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04/01/2020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133,848</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330,480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awards. Each restricted stock award represents the Reporting Person's right to receive one share of Class A Common Stock. The restricted stock awards vest as to 1/16th of the shares on May 15, 2020 and each three-month anniversary thereafter through February 15, 2024.</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260" w:type="dxa"/>
            <w:vAlign w:val="bottom"/>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04/03/2020</w:t>
            </w:r>
          </w:p>
        </w:tc>
        <w:tc>
          <w:tcPr>
            <w:tcW w:w="0" w:type="dxa"/>
            <w:vAlign w:val="bottom"/>
          </w:tcPr>
          <w:p>
            <w:pPr>
              <w:spacing w:after="0"/>
              <w:rPr>
                <w:sz w:val="1"/>
                <w:szCs w:val="1"/>
                <w:color w:val="auto"/>
              </w:rPr>
            </w:pPr>
          </w:p>
        </w:tc>
      </w:tr>
      <w:tr>
        <w:trPr>
          <w:trHeight w:val="87"/>
        </w:trPr>
        <w:tc>
          <w:tcPr>
            <w:tcW w:w="19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2020-04-03T18:11:46Z</dcterms:created>
  <dcterms:modified xsi:type="dcterms:W3CDTF">2020-04-03T18:11:46Z</dcterms:modified>
</cp:coreProperties>
</file>