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Volkmer Bart</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1800 OWENS STREET</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DROPBOX,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DBX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08/17/2020</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905"/>
        <w:spacing w:after="0"/>
        <w:rPr>
          <w:sz w:val="20"/>
          <w:szCs w:val="20"/>
          <w:color w:val="auto"/>
        </w:rPr>
      </w:pPr>
      <w:r>
        <w:rPr>
          <w:rFonts w:ascii="Arial" w:cs="Arial" w:eastAsia="Arial" w:hAnsi="Arial"/>
          <w:sz w:val="17"/>
          <w:szCs w:val="17"/>
          <w:color w:val="0000FF"/>
        </w:rPr>
        <w:t>Chief Legal Officer</w:t>
      </w:r>
    </w:p>
    <w:p>
      <w:pPr>
        <w:spacing w:after="0" w:line="568"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136"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9" w:lineRule="exact"/>
        <w:rPr>
          <w:sz w:val="24"/>
          <w:szCs w:val="24"/>
          <w:color w:val="auto"/>
        </w:rPr>
      </w:pPr>
    </w:p>
    <w:p>
      <w:pPr>
        <w:ind w:left="120" w:right="200"/>
        <w:spacing w:after="0"/>
        <w:rPr>
          <w:sz w:val="20"/>
          <w:szCs w:val="20"/>
          <w:color w:val="auto"/>
        </w:rPr>
      </w:pPr>
      <w:r>
        <w:rPr>
          <w:rFonts w:ascii="Arial" w:cs="Arial" w:eastAsia="Arial" w:hAnsi="Arial"/>
          <w:sz w:val="34"/>
          <w:szCs w:val="34"/>
          <w:color w:val="0000FF"/>
          <w:vertAlign w:val="superscript"/>
        </w:rPr>
        <w:t>SAN</w:t>
      </w:r>
      <w:r>
        <w:rPr>
          <w:rFonts w:ascii="Arial" w:cs="Arial" w:eastAsia="Arial" w:hAnsi="Arial"/>
          <w:sz w:val="17"/>
          <w:szCs w:val="17"/>
          <w:color w:val="0000FF"/>
        </w:rPr>
        <w:t xml:space="preserve"> CA 94158 FRANCISCO</w:t>
      </w:r>
    </w:p>
    <w:p>
      <w:pPr>
        <w:spacing w:after="0" w:line="36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-2484120</wp:posOffset>
            </wp:positionH>
            <wp:positionV relativeFrom="paragraph">
              <wp:posOffset>277495</wp:posOffset>
            </wp:positionV>
            <wp:extent cx="6964045" cy="13455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345565"/>
                    </a:xfrm>
                    <a:prstGeom prst="rect">
                      <a:avLst/>
                    </a:prstGeom>
                    <a:noFill/>
                  </pic:spPr>
                </pic:pic>
              </a:graphicData>
            </a:graphic>
          </wp:anchor>
        </w:drawing>
      </w:r>
    </w:p>
    <w:p>
      <w:pPr>
        <w:spacing w:after="0" w:line="498" w:lineRule="exact"/>
        <w:rPr>
          <w:sz w:val="24"/>
          <w:szCs w:val="24"/>
          <w:color w:val="auto"/>
        </w:rPr>
      </w:pPr>
    </w:p>
    <w:p>
      <w:pPr>
        <w:sectPr>
          <w:pgSz w:w="11900" w:h="16838" w:orient="portrait"/>
          <w:cols w:equalWidth="0" w:num="2">
            <w:col w:w="3200" w:space="72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jc w:val="right"/>
              <w:ind w:right="220"/>
              <w:spacing w:after="0"/>
              <w:rPr>
                <w:sz w:val="20"/>
                <w:szCs w:val="20"/>
                <w:color w:val="auto"/>
              </w:rPr>
            </w:pPr>
            <w:r>
              <w:rPr>
                <w:rFonts w:ascii="Arial" w:cs="Arial" w:eastAsia="Arial" w:hAnsi="Arial"/>
                <w:sz w:val="12"/>
                <w:szCs w:val="12"/>
                <w:b w:val="1"/>
                <w:bCs w:val="1"/>
                <w:color w:val="auto"/>
                <w:w w:val="88"/>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08/17/2020</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14,168</w:t>
            </w:r>
            <w:r>
              <w:rPr>
                <w:rFonts w:ascii="Arial" w:cs="Arial" w:eastAsia="Arial" w:hAnsi="Arial"/>
                <w:sz w:val="22"/>
                <w:szCs w:val="22"/>
                <w:color w:val="008000"/>
                <w:vertAlign w:val="superscript"/>
              </w:rPr>
              <w:t>(1)</w:t>
            </w:r>
          </w:p>
        </w:tc>
        <w:tc>
          <w:tcPr>
            <w:tcW w:w="66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56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19.5</w:t>
            </w:r>
          </w:p>
        </w:tc>
        <w:tc>
          <w:tcPr>
            <w:tcW w:w="120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275,819</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08/18/2020</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(3)</w:t>
            </w:r>
          </w:p>
        </w:tc>
        <w:tc>
          <w:tcPr>
            <w:tcW w:w="760" w:type="dxa"/>
            <w:vAlign w:val="bottom"/>
            <w:tcBorders>
              <w:bottom w:val="single" w:sz="8" w:color="2C2C2C"/>
            </w:tcBorders>
          </w:tcPr>
          <w:p>
            <w:pPr>
              <w:jc w:val="right"/>
              <w:ind w:right="53"/>
              <w:spacing w:after="0"/>
              <w:rPr>
                <w:sz w:val="20"/>
                <w:szCs w:val="20"/>
                <w:color w:val="auto"/>
              </w:rPr>
            </w:pPr>
            <w:r>
              <w:rPr>
                <w:rFonts w:ascii="Arial" w:cs="Arial" w:eastAsia="Arial" w:hAnsi="Arial"/>
                <w:sz w:val="17"/>
                <w:szCs w:val="17"/>
                <w:color w:val="0000FF"/>
              </w:rPr>
              <w:t>9,800</w:t>
            </w:r>
          </w:p>
        </w:tc>
        <w:tc>
          <w:tcPr>
            <w:tcW w:w="66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56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21.1</w:t>
            </w:r>
          </w:p>
        </w:tc>
        <w:tc>
          <w:tcPr>
            <w:tcW w:w="120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266,019</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2"/>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4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20" w:type="dxa"/>
            <w:vAlign w:val="bottom"/>
            <w:gridSpan w:val="3"/>
          </w:tcPr>
          <w:p>
            <w:pPr>
              <w:ind w:left="4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22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52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that have been withheld by the Issuer to satisfy income tax withholding and remittance obligations in connection with the vesting and net settlement of restricted stock units and restricted stock awards previously reported.</w:t>
      </w:r>
    </w:p>
    <w:p>
      <w:pPr>
        <w:spacing w:after="0" w:line="15" w:lineRule="exact"/>
        <w:rPr>
          <w:rFonts w:ascii="Arial" w:cs="Arial" w:eastAsia="Arial" w:hAnsi="Arial"/>
          <w:sz w:val="13"/>
          <w:szCs w:val="13"/>
          <w:color w:val="008000"/>
        </w:rPr>
      </w:pPr>
    </w:p>
    <w:p>
      <w:pPr>
        <w:jc w:val="both"/>
        <w:ind w:left="40" w:right="16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Certain of these securities are restricted stock awards and restricted stock units. Each restricted stock award or restricted stock unit represents the Reporting Person's right to receive one share of Class A Common Stock, subject to the applicable vesting schedule through February 15, 2024. In the event the Reporting Person ceases to be a Service Provider, the unvested restricted stock awards and restricted stock units will be cancelled by the Issuer.</w:t>
      </w:r>
    </w:p>
    <w:p>
      <w:pPr>
        <w:spacing w:after="0" w:line="25"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shares were sold pursuant to a Rule 10b5-1 trading plan entered into by the Reporting Person.</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Arial" w:cs="Arial" w:eastAsia="Arial" w:hAnsi="Arial"/>
                <w:sz w:val="17"/>
                <w:szCs w:val="17"/>
                <w:color w:val="0000FF"/>
              </w:rPr>
              <w:t>/s/ Bart E. Volkmer</w:t>
            </w:r>
          </w:p>
        </w:tc>
        <w:tc>
          <w:tcPr>
            <w:tcW w:w="920" w:type="dxa"/>
            <w:vAlign w:val="bottom"/>
            <w:gridSpan w:val="2"/>
          </w:tcPr>
          <w:p>
            <w:pPr>
              <w:ind w:left="120"/>
              <w:spacing w:after="0"/>
              <w:rPr>
                <w:sz w:val="20"/>
                <w:szCs w:val="20"/>
                <w:color w:val="auto"/>
              </w:rPr>
            </w:pPr>
            <w:r>
              <w:rPr>
                <w:rFonts w:ascii="Arial" w:cs="Arial" w:eastAsia="Arial" w:hAnsi="Arial"/>
                <w:sz w:val="17"/>
                <w:szCs w:val="17"/>
                <w:color w:val="0000FF"/>
                <w:w w:val="91"/>
              </w:rPr>
              <w:t>08/19/2020</w:t>
            </w:r>
          </w:p>
        </w:tc>
      </w:tr>
      <w:tr>
        <w:trPr>
          <w:trHeight w:val="20"/>
        </w:trPr>
        <w:tc>
          <w:tcPr>
            <w:tcW w:w="13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734437" TargetMode="External"/><Relationship Id="rId14"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2020-08-19T17:05:54Z</dcterms:created>
  <dcterms:modified xsi:type="dcterms:W3CDTF">2020-08-19T17:05:54Z</dcterms:modified>
</cp:coreProperties>
</file>