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04/01/2021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116,804</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348,717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awards. Each restricted stock award represents the Reporting Person's right to receive one share of Class A Common Stock. The restricted stock awards vest as to 1/16th of the shares on May 15, 2021 and each three-month anniversary thereafter through February 15, 2025.</w:t>
      </w:r>
    </w:p>
    <w:p>
      <w:pPr>
        <w:spacing w:after="0" w:line="15"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04/06/2021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2021-04-06T17:58:23Z</dcterms:created>
  <dcterms:modified xsi:type="dcterms:W3CDTF">2021-04-06T17:58:23Z</dcterms:modified>
</cp:coreProperties>
</file>