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8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48260</wp:posOffset>
            </wp:positionV>
            <wp:extent cx="1430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655" cy="825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-259715</wp:posOffset>
            </wp:positionV>
            <wp:extent cx="1430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February 21, 2019</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38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6"/>
          <w:szCs w:val="36"/>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-259715</wp:posOffset>
            </wp:positionV>
            <wp:extent cx="3143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21590</wp:posOffset>
            </wp:positionV>
            <wp:extent cx="3143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ectPr>
          <w:pgSz w:w="11900" w:h="16838" w:orient="portrait"/>
          <w:cols w:equalWidth="0" w:num="1">
            <w:col w:w="11520"/>
          </w:cols>
          <w:pgMar w:left="240" w:top="672" w:right="139" w:bottom="1440" w:gutter="0" w:footer="0" w:header="0"/>
        </w:sectPr>
      </w:pPr>
    </w:p>
    <w:p>
      <w:pPr>
        <w:spacing w:after="0" w:line="200" w:lineRule="exact"/>
        <w:rPr>
          <w:sz w:val="24"/>
          <w:szCs w:val="24"/>
          <w:color w:val="auto"/>
        </w:rPr>
      </w:pPr>
    </w:p>
    <w:p>
      <w:pPr>
        <w:spacing w:after="0" w:line="36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7"/>
          <w:szCs w:val="17"/>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26-0138832</w:t>
      </w:r>
    </w:p>
    <w:p>
      <w:pPr>
        <w:spacing w:after="0" w:line="74" w:lineRule="exact"/>
        <w:rPr>
          <w:sz w:val="24"/>
          <w:szCs w:val="24"/>
          <w:color w:val="auto"/>
        </w:rPr>
      </w:pPr>
    </w:p>
    <w:p>
      <w:pPr>
        <w:sectPr>
          <w:pgSz w:w="11900" w:h="16838" w:orient="portrait"/>
          <w:cols w:equalWidth="0" w:num="3">
            <w:col w:w="4660" w:space="720"/>
            <w:col w:w="2540" w:space="720"/>
            <w:col w:w="2880"/>
          </w:cols>
          <w:pgMar w:left="240" w:top="672" w:right="13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42" w:lineRule="exact"/>
        <w:rPr>
          <w:sz w:val="24"/>
          <w:szCs w:val="24"/>
          <w:color w:val="auto"/>
        </w:rPr>
      </w:pPr>
    </w:p>
    <w:p>
      <w:pPr>
        <w:sectPr>
          <w:pgSz w:w="11900" w:h="16838" w:orient="portrait"/>
          <w:cols w:equalWidth="0" w:num="3">
            <w:col w:w="4000" w:space="720"/>
            <w:col w:w="2220" w:space="720"/>
            <w:col w:w="3860"/>
          </w:cols>
          <w:pgMar w:left="240" w:top="672" w:right="1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8"/>
          <w:szCs w:val="18"/>
          <w:b w:val="1"/>
          <w:bCs w:val="1"/>
          <w:color w:val="auto"/>
        </w:rPr>
        <w:t>incorporation)</w:t>
      </w:r>
    </w:p>
    <w:p>
      <w:pPr>
        <w:sectPr>
          <w:pgSz w:w="11900" w:h="16838" w:orient="portrait"/>
          <w:cols w:equalWidth="0" w:num="1">
            <w:col w:w="11520"/>
          </w:cols>
          <w:pgMar w:left="240" w:top="672" w:right="139" w:bottom="1440" w:gutter="0" w:footer="0" w:header="0"/>
          <w:type w:val="continuous"/>
        </w:sectPr>
      </w:pPr>
    </w:p>
    <w:p>
      <w:pPr>
        <w:spacing w:after="0" w:line="17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333 Brannan St.</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94107</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33" w:lineRule="exact"/>
        <w:rPr>
          <w:sz w:val="24"/>
          <w:szCs w:val="24"/>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520"/>
          </w:cols>
          <w:pgMar w:left="240" w:top="672" w:right="1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February 21, 2019, Dropbox, Inc. (“Dropbox”) issued a press release and will hold a conference call announcing its financial results for the quarter and fiscal year ended December 31, 2018. A copy of the press release is attached as Exhibit 99.1 to this current report on Form 8-K and is incorporated by reference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21, 2019,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99"/>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entitled “Dropbox Announces Fourth Quarter and Fiscal 2018 Results” dated February 21, 2019</w:t>
              </w:r>
            </w:hyperlink>
          </w:p>
        </w:tc>
        <w:tc>
          <w:tcPr>
            <w:tcW w:w="2060" w:type="dxa"/>
            <w:vAlign w:val="bottom"/>
          </w:tcPr>
          <w:p>
            <w:pPr>
              <w:spacing w:after="0"/>
              <w:rPr>
                <w:sz w:val="17"/>
                <w:szCs w:val="17"/>
                <w:color w:val="auto"/>
              </w:rPr>
            </w:pPr>
          </w:p>
        </w:tc>
      </w:tr>
    </w:tbl>
    <w:p>
      <w:pPr>
        <w:sectPr>
          <w:pgSz w:w="11900" w:h="16838" w:orient="portrait"/>
          <w:cols w:equalWidth="0" w:num="1">
            <w:col w:w="11420"/>
          </w:cols>
          <w:pgMar w:left="240" w:top="792" w:right="2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21, 2019</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/s/ Ajay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34290</wp:posOffset>
            </wp:positionV>
            <wp:extent cx="2827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Ajay Vashee</w:t>
      </w:r>
    </w:p>
    <w:p>
      <w:pPr>
        <w:spacing w:after="0" w:line="6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60"/>
          </w:cols>
          <w:pgMar w:left="240" w:top="576" w:right="3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Announces Fourth Quarter and Fiscal 2018 Results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Fourth Quarter Revenue of $375.9 Million, Up 23% Year-over-year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Net Cash Provided by Operating Activities of $123.7 Million and Free Cash Flow of $88.3 Million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Fiscal 2018 Revenue of $1,391.7 Million, Up 26% Year-over-year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Net Cash Provided by Operating Activities of $425.4 Million and Free Cash Flow of $362.4 Million</w:t>
      </w:r>
    </w:p>
    <w:p>
      <w:pPr>
        <w:spacing w:after="0" w:line="20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FRANCISCO, Calif. </w:t>
      </w:r>
      <w:r>
        <w:rPr>
          <w:rFonts w:ascii="Times New Roman" w:cs="Times New Roman" w:eastAsia="Times New Roman" w:hAnsi="Times New Roman"/>
          <w:sz w:val="18"/>
          <w:szCs w:val="18"/>
          <w:color w:val="auto"/>
        </w:rPr>
        <w:t>- February 21, 2019 - Dropbox, Inc. (NASDAQ: DBX), a leading global collaboration platform, today announced financial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its fourth quarter and fiscal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ended our incredible first year as a public company with a great Q4,” said Dropbox Co-founder and Chief Executive Officer Drew</w:t>
      </w:r>
    </w:p>
    <w:p>
      <w:pPr>
        <w:spacing w:after="0" w:line="27"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Houston. “Our healthy top line growth and free cash flow generation reflect our strong business model, and our new product updates and integrations, like Dropbox Extensions, put Dropbox at the center of our users’ workflows and helped us close out the year with over 400,000 business teams. We kicked off 2019 with our acquisition of HelloSign, which extends the capabilities of our platform and solves even more problems for our users. I’m excited for the road ahead and looking forward to another great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Fiscal 2018 Results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$375.9 million, an increase of 23% from the same period last year.</w:t>
      </w:r>
    </w:p>
    <w:p>
      <w:pPr>
        <w:spacing w:after="0" w:line="224" w:lineRule="exact"/>
        <w:rPr>
          <w:rFonts w:ascii="Times New Roman" w:cs="Times New Roman" w:eastAsia="Times New Roman" w:hAnsi="Times New Roman"/>
          <w:sz w:val="18"/>
          <w:szCs w:val="18"/>
          <w:color w:val="auto"/>
        </w:rPr>
      </w:pPr>
    </w:p>
    <w:p>
      <w:pPr>
        <w:ind w:left="660" w:right="560" w:hanging="328"/>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users totaled 12.7 million, as compared to 11.0 million for the same period last year. Average revenue per paying user was $119.61, as compared to $113.39 for the same period last year.</w:t>
      </w:r>
    </w:p>
    <w:p>
      <w:pPr>
        <w:spacing w:after="0" w:line="162"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74.9%, as compared to 70.0% in the same period last year. Non-GAAP gross margin was 75.7%, as compared to 70.9% in the same period last year.</w:t>
      </w:r>
    </w:p>
    <w:p>
      <w:pPr>
        <w:spacing w:after="0" w:line="162"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(3.2%), as compared to (12.2%) in the same period last year. Non-GAAP operating margin was 11.0%, as compared to 3.3% in the same period last year.</w:t>
      </w:r>
    </w:p>
    <w:p>
      <w:pPr>
        <w:spacing w:after="0" w:line="162" w:lineRule="exact"/>
        <w:rPr>
          <w:rFonts w:ascii="Times New Roman" w:cs="Times New Roman" w:eastAsia="Times New Roman" w:hAnsi="Times New Roman"/>
          <w:sz w:val="18"/>
          <w:szCs w:val="18"/>
          <w:color w:val="auto"/>
        </w:rPr>
      </w:pPr>
    </w:p>
    <w:p>
      <w:pPr>
        <w:ind w:left="660" w:right="620" w:hanging="328"/>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was ($9.5) million, as compared to ($37.7) million in the same period last year. Non-GAAP net income was $42.3 million, as compared to $11.2 million in the same period last year.</w:t>
      </w:r>
    </w:p>
    <w:p>
      <w:pPr>
        <w:spacing w:after="0" w:line="162"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$123.7 million, as compared to $71.1 million in the same period last year. Free cash flow was $88.3 million, as compared to $57.8 million in the same period last year.</w:t>
      </w:r>
    </w:p>
    <w:p>
      <w:pPr>
        <w:spacing w:after="0" w:line="162"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GAAP basic and diluted net loss per share was ($0.02), as compared to ($0.19) in the same period last year. Non-GAAP diluted net income per share was $0.10, as compared to $0.03 in the same period last year. </w:t>
      </w:r>
      <w:r>
        <w:rPr>
          <w:rFonts w:ascii="Times New Roman" w:cs="Times New Roman" w:eastAsia="Times New Roman" w:hAnsi="Times New Roman"/>
          <w:sz w:val="25"/>
          <w:szCs w:val="25"/>
          <w:color w:val="auto"/>
          <w:vertAlign w:val="superscript"/>
        </w:rPr>
        <w:t>(1)</w:t>
      </w:r>
    </w:p>
    <w:p>
      <w:pPr>
        <w:spacing w:after="0" w:line="62"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were $1,089.3 million at the end of the fourth quarter of 2018, as compared to $430.0 million at the end of the fourth quarter of last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Fiscal 2018 Results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$1,391.7 million, an increase of 26% year over year.</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paying user was $117.64, as compared to $111.91 in the prior year.</w:t>
      </w:r>
    </w:p>
    <w:p>
      <w:pPr>
        <w:spacing w:after="0" w:line="224"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71.6%, as compared to 66.7% in the prior year. Non-GAAP gross margin was 75.1%, as compared to 67.8% in the prior year.</w:t>
      </w:r>
    </w:p>
    <w:p>
      <w:pPr>
        <w:spacing w:after="0" w:line="162"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(35.5%), as compared to (10.3%) in the prior year. Non-GAAP operating margin was 12.2%, as compared to 5.5% in the prior year.</w:t>
      </w:r>
    </w:p>
    <w:p>
      <w:pPr>
        <w:spacing w:after="0" w:line="162"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was ($484.9) million, as compared to ($111.7) million in the prior year. Non-GAAP net income was $166.2 million, as compared to $59.9 million in the prior year.</w:t>
      </w:r>
    </w:p>
    <w:p>
      <w:pPr>
        <w:sectPr>
          <w:pgSz w:w="11900" w:h="16838" w:orient="portrait"/>
          <w:cols w:equalWidth="0" w:num="1">
            <w:col w:w="11400"/>
          </w:cols>
          <w:pgMar w:left="240" w:top="576" w:right="259" w:bottom="1440" w:gutter="0" w:footer="0" w:header="0"/>
        </w:sectPr>
      </w:pPr>
    </w:p>
    <w:bookmarkStart w:id="4" w:name="page5"/>
    <w:bookmarkEnd w:id="4"/>
    <w:p>
      <w:pPr>
        <w:ind w:left="652" w:right="60" w:hanging="328"/>
        <w:spacing w:after="0" w:line="281"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$425.4 million, as compared to $330.3 million in the prior year. Free cash flow was $362.4 million, as compared to $305.0 million in the prior year.</w:t>
      </w:r>
    </w:p>
    <w:p>
      <w:pPr>
        <w:spacing w:after="0" w:line="162" w:lineRule="exact"/>
        <w:rPr>
          <w:rFonts w:ascii="Times New Roman" w:cs="Times New Roman" w:eastAsia="Times New Roman" w:hAnsi="Times New Roman"/>
          <w:sz w:val="18"/>
          <w:szCs w:val="18"/>
          <w:color w:val="auto"/>
        </w:rPr>
      </w:pPr>
    </w:p>
    <w:p>
      <w:pPr>
        <w:ind w:left="652" w:hanging="328"/>
        <w:spacing w:after="0" w:line="284"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GAAP basic and diluted net loss per share was ($1.35), as compared to ($0.57) in the prior year. Non-GAAP diluted net income per share was $0.41, as compared to $0.17 in the prior year. </w:t>
      </w:r>
      <w:r>
        <w:rPr>
          <w:rFonts w:ascii="Times New Roman" w:cs="Times New Roman" w:eastAsia="Times New Roman" w:hAnsi="Times New Roman"/>
          <w:sz w:val="25"/>
          <w:szCs w:val="25"/>
          <w:color w:val="auto"/>
          <w:vertAlign w:val="superscript"/>
        </w:rPr>
        <w:t>(2)</w:t>
      </w:r>
    </w:p>
    <w:p>
      <w:pPr>
        <w:spacing w:after="0" w:line="174" w:lineRule="exact"/>
        <w:rPr>
          <w:rFonts w:ascii="Times New Roman" w:cs="Times New Roman" w:eastAsia="Times New Roman" w:hAnsi="Times New Roman"/>
          <w:sz w:val="18"/>
          <w:szCs w:val="18"/>
          <w:color w:val="auto"/>
        </w:rPr>
      </w:pPr>
    </w:p>
    <w:p>
      <w:pPr>
        <w:ind w:left="-8" w:right="180" w:firstLine="8"/>
        <w:spacing w:after="0" w:line="275" w:lineRule="auto"/>
        <w:tabs>
          <w:tab w:leader="none" w:pos="17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Non-GAAP diluted net income per share is calculated based upon 416.3 million and 351.2 million diluted weighted-average shares of common stock for the three months ended December 31, 2018 and 2017, respectively.</w:t>
      </w:r>
    </w:p>
    <w:p>
      <w:pPr>
        <w:spacing w:after="0" w:line="186" w:lineRule="exact"/>
        <w:rPr>
          <w:rFonts w:ascii="Times New Roman" w:cs="Times New Roman" w:eastAsia="Times New Roman" w:hAnsi="Times New Roman"/>
          <w:sz w:val="21"/>
          <w:szCs w:val="21"/>
          <w:color w:val="auto"/>
          <w:vertAlign w:val="superscript"/>
        </w:rPr>
      </w:pPr>
    </w:p>
    <w:p>
      <w:pPr>
        <w:ind w:left="-8" w:right="360" w:firstLine="8"/>
        <w:spacing w:after="0" w:line="275" w:lineRule="auto"/>
        <w:tabs>
          <w:tab w:leader="none" w:pos="17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Non-GAAP diluted net income per share is calculated based upon 409.8 million and 347.7 million diluted weighted-average shares of common stock for the fiscal year ended December 31, 2018 and 2017, respectively.</w:t>
      </w:r>
    </w:p>
    <w:p>
      <w:pPr>
        <w:sectPr>
          <w:pgSz w:w="11900" w:h="16838" w:orient="portrait"/>
          <w:cols w:equalWidth="0" w:num="1">
            <w:col w:w="11372"/>
          </w:cols>
          <w:pgMar w:left="248" w:top="580" w:right="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Dropbox will provide forward-looking guidance in connection with this quarterly earnings announcement on our conference call, webcast, and on our investor relations website at investors.dropbox.com.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Dropbox plans to host a conference call today to review its fourth quarter and fiscal 2018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investors.dropbox.com. Following the completion of the call, a telephonic replay will be available through 11:59 PM Eastern Time on February 28, 2019 at (855) 859-2056 from the United States or (404) 537-3406 internationally with recording access code 7188984.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Upcoming Events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Ajay Vashee, Chief Financial Officer, will be presenting at the JMP Securities 2019 Technology Conference in San Francisco, CA, on Tuesday, February 26, 2019 at 3:30 p.m. PT. At that time, a live webcast will be accessible from the Dropbox investor relations website at http://investors.dropbox.com. Following the event, a replay will be made available at the same location.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Dropbox</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Dropbox is a leading global collaboration platform that's transforming the way people work together, from the smallest business to the largest enterprise. With more than 500 million registered users across more than 180 countries, our products are designed to establish a more enlightened way of working. Headquartered in San Francisco, CA, Dropbox has 12 offices around the world. For more information on our mission and products, visit dropbox.com.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among other things, statements regarding Dropbox's future operational performance, the demand for our platform and product features, and the benefits from new product experiences and acquisitions.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 (iii) our revenue growth rate; (iv) our history of net losses; (v) our liability for any unauthorized access to our data or our users’ content, including through privacy and data security breaches; (vi) significant disruption of service on our platform or loss of content; (vii) any decline in demand for our platform or for content collaboration solutions in general; (viii) changes in the interoperability of our platform across devices, operating systems, and third-party applications that we do not control; (ix) competition in our markets; (x) our ability to respond to rapid technological changes, extend our platform, or develop new features; (xi) our ability to manage our growth or plan for future growth; (xii)</w:t>
      </w:r>
    </w:p>
    <w:p>
      <w:pPr>
        <w:ind w:right="20"/>
        <w:spacing w:after="0" w:line="251" w:lineRule="auto"/>
        <w:rPr>
          <w:sz w:val="20"/>
          <w:szCs w:val="20"/>
          <w:color w:val="auto"/>
        </w:rPr>
      </w:pPr>
      <w:r>
        <w:rPr>
          <w:rFonts w:ascii="Times New Roman" w:cs="Times New Roman" w:eastAsia="Times New Roman" w:hAnsi="Times New Roman"/>
          <w:sz w:val="18"/>
          <w:szCs w:val="18"/>
          <w:color w:val="auto"/>
        </w:rPr>
        <w:t>our acquisition of other businesses and the potential of such acquisitions to require significant management attention, disrupt our business, or dilute stockholder value; and (xiii)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September 30, 2018. Additional information will be made available in our annual report on Form 10-K and other future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currently intend to, update any such forward-looking statements after the date of this release, except as required by applicable law.</w:t>
      </w:r>
    </w:p>
    <w:p>
      <w:pPr>
        <w:sectPr>
          <w:pgSz w:w="11900" w:h="16838" w:orient="portrait"/>
          <w:cols w:equalWidth="0" w:num="1">
            <w:col w:w="10219"/>
          </w:cols>
          <w:pgMar w:left="240" w:top="58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1,106.8</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280"/>
              <w:spacing w:after="0" w:line="27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5"/>
                <w:szCs w:val="25"/>
                <w:color w:val="auto"/>
                <w:vertAlign w:val="superscript"/>
              </w:rPr>
              <w:t>(1)</w:t>
            </w:r>
          </w:p>
        </w:tc>
        <w:tc>
          <w:tcPr>
            <w:tcW w:w="1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1,491.0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240" w:type="dxa"/>
            <w:vAlign w:val="bottom"/>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140" w:type="dxa"/>
            <w:vAlign w:val="bottom"/>
            <w:vMerge w:val="restart"/>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net loss per</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attributable to common stockholders, basic and</w:t>
            </w:r>
          </w:p>
        </w:tc>
        <w:tc>
          <w:tcPr>
            <w:tcW w:w="1140" w:type="dxa"/>
            <w:vAlign w:val="bottom"/>
          </w:tcPr>
          <w:p>
            <w:pPr>
              <w:spacing w:after="0"/>
              <w:rPr>
                <w:sz w:val="18"/>
                <w:szCs w:val="18"/>
                <w:color w:val="auto"/>
              </w:rPr>
            </w:pPr>
          </w:p>
        </w:tc>
        <w:tc>
          <w:tcPr>
            <w:tcW w:w="6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41"/>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r>
      <w:tr>
        <w:trPr>
          <w:trHeight w:val="238"/>
        </w:trPr>
        <w:tc>
          <w:tcPr>
            <w:tcW w:w="4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42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4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w:t>
            </w: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r>
    </w:tbl>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ind w:left="52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6"/>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518.1</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341.9</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r>
      <w:tr>
        <w:trPr>
          <w:trHeight w:val="23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1,019.9</w:t>
            </w:r>
          </w:p>
        </w:tc>
      </w:tr>
      <w:tr>
        <w:trPr>
          <w:trHeight w:val="67"/>
        </w:trPr>
        <w:tc>
          <w:tcPr>
            <w:tcW w:w="67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r>
      <w:tr>
        <w:trPr>
          <w:trHeight w:val="230"/>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lease obligation</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417.9</w:t>
            </w:r>
          </w:p>
        </w:tc>
      </w:tr>
      <w:tr>
        <w:trPr>
          <w:trHeight w:val="23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738.4</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rent, non-current</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r>
      <w:tr>
        <w:trPr>
          <w:trHeight w:val="23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917.0</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60" w:type="dxa"/>
            <w:vAlign w:val="bottom"/>
          </w:tcPr>
          <w:p>
            <w:pPr>
              <w:spacing w:after="0"/>
              <w:rPr>
                <w:sz w:val="21"/>
                <w:szCs w:val="21"/>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615.3</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1"/>
                <w:szCs w:val="21"/>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533.1</w:t>
            </w: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3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8"/>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ind w:left="52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80" w:type="dxa"/>
            <w:vAlign w:val="bottom"/>
          </w:tcPr>
          <w:p>
            <w:pPr>
              <w:spacing w:after="0"/>
              <w:rPr>
                <w:sz w:val="17"/>
                <w:szCs w:val="17"/>
                <w:color w:val="auto"/>
              </w:rPr>
            </w:pPr>
          </w:p>
        </w:tc>
        <w:tc>
          <w:tcPr>
            <w:tcW w:w="2820" w:type="dxa"/>
            <w:vAlign w:val="bottom"/>
            <w:gridSpan w:val="4"/>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2"/>
        </w:trPr>
        <w:tc>
          <w:tcPr>
            <w:tcW w:w="4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60" w:type="dxa"/>
            <w:vAlign w:val="bottom"/>
            <w:gridSpan w:val="3"/>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3"/>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0"/>
                <w:szCs w:val="20"/>
                <w:color w:val="auto"/>
              </w:rPr>
            </w:pP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5"/>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activities:</w:t>
            </w: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37"/>
        </w:trPr>
        <w:tc>
          <w:tcPr>
            <w:tcW w:w="4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181.8</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164.6</w:t>
            </w:r>
          </w:p>
        </w:tc>
      </w:tr>
      <w:tr>
        <w:trPr>
          <w:trHeight w:val="237"/>
        </w:trPr>
        <w:tc>
          <w:tcPr>
            <w:tcW w:w="4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Donation of common stock to charitable foundation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r>
      <w:tr>
        <w:trPr>
          <w:trHeight w:val="237"/>
        </w:trPr>
        <w:tc>
          <w:tcPr>
            <w:tcW w:w="4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37"/>
        </w:trPr>
        <w:tc>
          <w:tcPr>
            <w:tcW w:w="4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r>
      <w:tr>
        <w:trPr>
          <w:trHeight w:val="237"/>
        </w:trPr>
        <w:tc>
          <w:tcPr>
            <w:tcW w:w="4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34.0</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r>
      <w:tr>
        <w:trPr>
          <w:trHeight w:val="237"/>
        </w:trPr>
        <w:tc>
          <w:tcPr>
            <w:tcW w:w="4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Non-current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7"/>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330.3</w:t>
            </w:r>
          </w:p>
        </w:tc>
      </w:tr>
      <w:tr>
        <w:trPr>
          <w:trHeight w:val="33"/>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3"/>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46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bl>
    <w:p>
      <w:pPr>
        <w:spacing w:after="0" w:line="13" w:lineRule="exact"/>
        <w:rPr>
          <w:sz w:val="20"/>
          <w:szCs w:val="20"/>
          <w:color w:val="auto"/>
        </w:rPr>
      </w:pPr>
    </w:p>
    <w:p>
      <w:pPr>
        <w:sectPr>
          <w:pgSz w:w="11900" w:h="16838" w:orient="portrait"/>
          <w:cols w:equalWidth="0" w:num="1">
            <w:col w:w="11420"/>
          </w:cols>
          <w:pgMar w:left="240" w:top="580" w:right="239" w:bottom="1440" w:gutter="0" w:footer="0" w:header="0"/>
        </w:sectPr>
      </w:pPr>
    </w:p>
    <w:p>
      <w:pPr>
        <w:ind w:left="280"/>
        <w:spacing w:after="0"/>
        <w:rPr>
          <w:sz w:val="20"/>
          <w:szCs w:val="20"/>
          <w:color w:val="auto"/>
        </w:rPr>
      </w:pPr>
      <w:r>
        <w:rPr>
          <w:rFonts w:ascii="Times New Roman" w:cs="Times New Roman" w:eastAsia="Times New Roman" w:hAnsi="Times New Roman"/>
          <w:sz w:val="16"/>
          <w:szCs w:val="16"/>
          <w:color w:val="auto"/>
        </w:rPr>
        <w:t>Capital expenditures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Purchase of intangible assets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Purchases of short-term investments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Proceeds from sales of short-term investments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p>
      <w:pPr>
        <w:spacing w:after="0" w:line="101" w:lineRule="exact"/>
        <w:rPr>
          <w:sz w:val="20"/>
          <w:szCs w:val="20"/>
          <w:color w:val="auto"/>
        </w:rPr>
      </w:pPr>
    </w:p>
    <w:p>
      <w:pPr>
        <w:ind w:left="280"/>
        <w:spacing w:after="0" w:line="298" w:lineRule="auto"/>
        <w:rPr>
          <w:sz w:val="20"/>
          <w:szCs w:val="20"/>
          <w:color w:val="auto"/>
        </w:rPr>
      </w:pPr>
      <w:r>
        <w:rPr>
          <w:rFonts w:ascii="Times New Roman" w:cs="Times New Roman" w:eastAsia="Times New Roman" w:hAnsi="Times New Roman"/>
          <w:sz w:val="16"/>
          <w:szCs w:val="16"/>
          <w:color w:val="auto"/>
        </w:rPr>
        <w:t>Proceeds from initial public offering and private placement, net of underwriters' discounts and commissions</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Payments of deferred offering costs</w:t>
      </w:r>
    </w:p>
    <w:p>
      <w:pPr>
        <w:spacing w:after="0" w:line="86" w:lineRule="exact"/>
        <w:rPr>
          <w:sz w:val="20"/>
          <w:szCs w:val="20"/>
          <w:color w:val="auto"/>
        </w:rPr>
      </w:pPr>
    </w:p>
    <w:p>
      <w:pPr>
        <w:ind w:left="280" w:right="160"/>
        <w:spacing w:after="0" w:line="298" w:lineRule="auto"/>
        <w:rPr>
          <w:sz w:val="20"/>
          <w:szCs w:val="20"/>
          <w:color w:val="auto"/>
        </w:rPr>
      </w:pPr>
      <w:r>
        <w:rPr>
          <w:rFonts w:ascii="Times New Roman" w:cs="Times New Roman" w:eastAsia="Times New Roman" w:hAnsi="Times New Roman"/>
          <w:sz w:val="16"/>
          <w:szCs w:val="16"/>
          <w:color w:val="auto"/>
        </w:rPr>
        <w:t>Shares repurchased for tax withholdings on release of restricted stock</w:t>
      </w:r>
    </w:p>
    <w:p>
      <w:pPr>
        <w:spacing w:after="0" w:line="2" w:lineRule="exact"/>
        <w:rPr>
          <w:sz w:val="20"/>
          <w:szCs w:val="20"/>
          <w:color w:val="auto"/>
        </w:rPr>
      </w:pPr>
    </w:p>
    <w:p>
      <w:pPr>
        <w:ind w:left="280" w:right="340"/>
        <w:spacing w:after="0" w:line="368" w:lineRule="auto"/>
        <w:rPr>
          <w:sz w:val="20"/>
          <w:szCs w:val="20"/>
          <w:color w:val="auto"/>
        </w:rPr>
      </w:pPr>
      <w:r>
        <w:rPr>
          <w:rFonts w:ascii="Times New Roman" w:cs="Times New Roman" w:eastAsia="Times New Roman" w:hAnsi="Times New Roman"/>
          <w:sz w:val="16"/>
          <w:szCs w:val="16"/>
          <w:color w:val="auto"/>
        </w:rPr>
        <w:t>Proceeds from issuance of common stock, net of repurchases Principal payments on capital lease obligations Principal payments against note payable Fees paid for revolving credit facility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70"/>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70"/>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3"/>
                <w:szCs w:val="23"/>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689"/>
        </w:trPr>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746.6</w:t>
            </w:r>
          </w:p>
        </w:tc>
        <w:tc>
          <w:tcPr>
            <w:tcW w:w="10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459"/>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70"/>
        </w:trPr>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r>
      <w:tr>
        <w:trPr>
          <w:trHeight w:val="270"/>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r>
      <w:tr>
        <w:trPr>
          <w:trHeight w:val="270"/>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70"/>
        </w:trPr>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70"/>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-2796540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-2454275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-2111375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-1768475</wp:posOffset>
            </wp:positionV>
            <wp:extent cx="724662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970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-1297305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-835025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-492125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-149860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560" w:space="120"/>
            <w:col w:w="67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6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w:t>
            </w:r>
          </w:p>
        </w:tc>
      </w:tr>
      <w:tr>
        <w:trPr>
          <w:trHeight w:val="33"/>
        </w:trPr>
        <w:tc>
          <w:tcPr>
            <w:tcW w:w="4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r>
      <w:tr>
        <w:trPr>
          <w:trHeight w:val="217"/>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77.3</w:t>
            </w:r>
          </w:p>
        </w:tc>
      </w:tr>
      <w:tr>
        <w:trPr>
          <w:trHeight w:val="33"/>
        </w:trPr>
        <w:tc>
          <w:tcPr>
            <w:tcW w:w="4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equivalents—beginning of period</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536.2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422.7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430.0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352.7</w:t>
            </w:r>
          </w:p>
        </w:tc>
      </w:tr>
      <w:tr>
        <w:trPr>
          <w:trHeight w:val="217"/>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equivalents—end of period</w:t>
            </w:r>
          </w:p>
        </w:tc>
        <w:tc>
          <w:tcPr>
            <w:tcW w:w="6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519.3</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430.0</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519.3</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430.0</w:t>
            </w:r>
          </w:p>
        </w:tc>
      </w:tr>
      <w:tr>
        <w:trPr>
          <w:trHeight w:val="73"/>
        </w:trPr>
        <w:tc>
          <w:tcPr>
            <w:tcW w:w="468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50"/>
        </w:trPr>
        <w:tc>
          <w:tcPr>
            <w:tcW w:w="46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3"/>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6"/>
        </w:trPr>
        <w:tc>
          <w:tcPr>
            <w:tcW w:w="4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61"/>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Property and equipment acquired under capital leases</w:t>
            </w: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months ended December 31, 2018</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460" w:type="dxa"/>
            <w:vAlign w:val="bottom"/>
          </w:tcPr>
          <w:p>
            <w:pPr>
              <w:spacing w:after="0"/>
              <w:rPr>
                <w:sz w:val="20"/>
                <w:szCs w:val="20"/>
                <w:color w:val="auto"/>
              </w:rPr>
            </w:pPr>
          </w:p>
        </w:tc>
        <w:tc>
          <w:tcPr>
            <w:tcW w:w="20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7"/>
        </w:trPr>
        <w:tc>
          <w:tcPr>
            <w:tcW w:w="35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284.6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41.2</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41.5</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months ended December 31, 2017</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460" w:type="dxa"/>
            <w:vAlign w:val="bottom"/>
          </w:tcPr>
          <w:p>
            <w:pPr>
              <w:spacing w:after="0"/>
              <w:rPr>
                <w:sz w:val="20"/>
                <w:szCs w:val="20"/>
                <w:color w:val="auto"/>
              </w:rPr>
            </w:pPr>
          </w:p>
        </w:tc>
        <w:tc>
          <w:tcPr>
            <w:tcW w:w="20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7"/>
        </w:trPr>
        <w:tc>
          <w:tcPr>
            <w:tcW w:w="35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88.8</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216.7</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92.1</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37.2</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ectPr>
          <w:pgSz w:w="11900" w:h="16838" w:orient="portrait"/>
          <w:cols w:equalWidth="0" w:num="1">
            <w:col w:w="11420"/>
          </w:cols>
          <w:pgMar w:left="240" w:top="571"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Twelve months ended December 31, 2018</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Employer payroll taxes</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related to the release of</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28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two-tier RSUs</w:t>
            </w:r>
          </w:p>
        </w:tc>
        <w:tc>
          <w:tcPr>
            <w:tcW w:w="32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7"/>
        </w:trPr>
        <w:tc>
          <w:tcPr>
            <w:tcW w:w="3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346.6</w:t>
            </w: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1,045.1</w:t>
            </w: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7"/>
        </w:trPr>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391.7</w:t>
            </w: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343.1</w:t>
            </w: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140.3</w:t>
            </w: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(494.0)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170.0</w:t>
            </w: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Twelve months ended December 31, 2017</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Donation of common</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16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stock to the Dropbox</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Foundation</w:t>
            </w:r>
          </w:p>
        </w:tc>
        <w:tc>
          <w:tcPr>
            <w:tcW w:w="30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7"/>
        </w:trPr>
        <w:tc>
          <w:tcPr>
            <w:tcW w:w="3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356.7</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750.1</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287.2</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280.3</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122.3</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60.3</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ectPr>
          <w:pgSz w:w="11900" w:h="16838" w:orient="portrait"/>
          <w:cols w:equalWidth="0" w:num="1">
            <w:col w:w="11420"/>
          </w:cols>
          <w:pgMar w:left="240" w:top="571"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and twelve months ended December 31, 2018 and 2017</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net loss to Non-GAAP net income and Non-GAAP diluted net income per share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3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 net loss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Employer payroll taxes related to the release</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two-tier RSUs</w:t>
            </w:r>
          </w:p>
        </w:tc>
        <w:tc>
          <w:tcPr>
            <w:tcW w:w="1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Donation of common stock to the Dropbox</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Foundation</w:t>
            </w:r>
          </w:p>
        </w:tc>
        <w:tc>
          <w:tcPr>
            <w:tcW w:w="13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effects of non-GAAP</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97"/>
        </w:trPr>
        <w:tc>
          <w:tcPr>
            <w:tcW w:w="3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Non-GAAP net income</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diluted net income per share</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shares used to compute</w:t>
            </w: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416.3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41"/>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diluted net income per share</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and twelve months ended December 31, 2018 and 2017</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free cash flow and supplemental cash flow disclosure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3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425.4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12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Free cash flow margin</w:t>
            </w: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expenditures related to our new</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headquarters, net of tenant</w:t>
            </w:r>
          </w:p>
        </w:tc>
        <w:tc>
          <w:tcPr>
            <w:tcW w:w="126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8"/>
                <w:szCs w:val="18"/>
                <w:color w:val="auto"/>
              </w:rPr>
            </w:pPr>
          </w:p>
        </w:tc>
        <w:tc>
          <w:tcPr>
            <w:tcW w:w="1360" w:type="dxa"/>
            <w:vAlign w:val="bottom"/>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8"/>
                <w:szCs w:val="18"/>
                <w:color w:val="auto"/>
              </w:rPr>
            </w:pP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20" w:type="dxa"/>
            <w:vAlign w:val="bottom"/>
          </w:tcPr>
          <w:p>
            <w:pPr>
              <w:ind w:left="280"/>
              <w:spacing w:after="0" w:line="247" w:lineRule="exact"/>
              <w:rPr>
                <w:sz w:val="20"/>
                <w:szCs w:val="20"/>
                <w:color w:val="auto"/>
              </w:rPr>
            </w:pPr>
            <w:r>
              <w:rPr>
                <w:rFonts w:ascii="Times New Roman" w:cs="Times New Roman" w:eastAsia="Times New Roman" w:hAnsi="Times New Roman"/>
                <w:sz w:val="18"/>
                <w:szCs w:val="18"/>
                <w:color w:val="auto"/>
              </w:rPr>
              <w:t>improvement allowances</w:t>
            </w:r>
            <w:r>
              <w:rPr>
                <w:rFonts w:ascii="Times New Roman" w:cs="Times New Roman" w:eastAsia="Times New Roman" w:hAnsi="Times New Roman"/>
                <w:sz w:val="25"/>
                <w:szCs w:val="25"/>
                <w:color w:val="auto"/>
                <w:vertAlign w:val="superscript"/>
              </w:rPr>
              <w:t>(1)</w:t>
            </w:r>
          </w:p>
        </w:tc>
        <w:tc>
          <w:tcPr>
            <w:tcW w:w="12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20" w:firstLine="8"/>
        <w:spacing w:after="0" w:line="251" w:lineRule="auto"/>
        <w:tabs>
          <w:tab w:leader="none" w:pos="192"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Capital expenditures include cash outflows related to the build-out of our new corporate headquarters in San Francisco, CA. Net cash provided by operating activities include tenant improvement allowances related to our new corporate headquarters, and represents cash received from our landlord to partially offset this build-out. These amounts are presented net in the table above. There was no cash received from our landlord related to our new corporate headquarters in the periods presented.</w:t>
      </w:r>
    </w:p>
    <w:p>
      <w:pPr>
        <w:sectPr>
          <w:pgSz w:w="11900" w:h="16838" w:orient="portrait"/>
          <w:cols w:equalWidth="0" w:num="1">
            <w:col w:w="11420"/>
          </w:cols>
          <w:pgMar w:left="240" w:top="57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provide investors and others with additional information regarding Dropbox's results, we have disclosed the following non-GAAP financial measures: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differs from GAAP in that it excludes stock-based compensation expense and employer payroll tax expense relating to the release of two-tier RSUs with respect to the three months ended March 31, 2018. Non-GAAP general and administrative expense also excludes expense related to a donation of common stock to the Dropbox Foundation with respect to the three months ended June 30, 2017. Non-GAAP net income also includes the income tax effect of these adjustments. FCF differs from GAAP net cash provided by operating activities in that it treats capital expenditures as a reduction to net cash provided by operating activities. Free cash flow margin is calculated as FCF divided by revenue. Non-GAAP diluted net income per share differs from GAAP diluted net loss per share in that the numerator utilizes the non-GAAP net income as described above, and the weighted-average shares used in the computation include certain shares that are excluded from the GAAP diluted net loss per share calculation because their effect would have been anti-dilutive.</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includes capital expenditures related to our new corporate headquarters, and may be calculated differently by other companies in our industry, limiting its usefulness as a comparative measure.</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new corporate headquarters, net of tenant improvement allowances.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420"/>
          </w:cols>
          <w:pgMar w:left="240" w:top="57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Darren Yip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ir@dropbox.com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Saman Asheer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press@dropbox.com</w:t>
      </w:r>
    </w:p>
    <w:sectPr>
      <w:pgSz w:w="11900" w:h="16838" w:orient="portrait"/>
      <w:cols w:equalWidth="0" w:num="1">
        <w:col w:w="10219"/>
      </w:cols>
      <w:pgMar w:left="2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lvl>
    <w:lvl w:ilvl="1">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2019-12-28T16:13:46Z</dcterms:created>
  <dcterms:modified xsi:type="dcterms:W3CDTF">2019-12-28T16:13:46Z</dcterms:modified>
</cp:coreProperties>
</file>