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243840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44450</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May 10, 2018</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243840</wp:posOffset>
            </wp:positionV>
            <wp:extent cx="2946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6400"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21590</wp:posOffset>
            </wp:positionV>
            <wp:extent cx="2946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6400" cy="8255"/>
                    </a:xfrm>
                    <a:prstGeom prst="rect">
                      <a:avLst/>
                    </a:prstGeom>
                    <a:noFill/>
                  </pic:spPr>
                </pic:pic>
              </a:graphicData>
            </a:graphic>
          </wp:anchor>
        </w:drawing>
      </w:r>
    </w:p>
    <w:p>
      <w:pPr>
        <w:sectPr>
          <w:pgSz w:w="11900" w:h="16838" w:orient="portrait"/>
          <w:cols w:equalWidth="0" w:num="1">
            <w:col w:w="11520"/>
          </w:cols>
          <w:pgMar w:left="240" w:top="678" w:right="1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200" w:lineRule="exact"/>
        <w:rPr>
          <w:sz w:val="24"/>
          <w:szCs w:val="24"/>
          <w:color w:val="auto"/>
        </w:rPr>
      </w:pPr>
    </w:p>
    <w:p>
      <w:pPr>
        <w:sectPr>
          <w:pgSz w:w="11900" w:h="16838" w:orient="portrait"/>
          <w:cols w:equalWidth="0" w:num="3">
            <w:col w:w="4660" w:space="720"/>
            <w:col w:w="2540" w:space="720"/>
            <w:col w:w="2880"/>
          </w:cols>
          <w:pgMar w:left="240" w:top="678" w:right="139" w:bottom="1440" w:gutter="0" w:footer="0" w:header="0"/>
          <w:type w:val="continuous"/>
        </w:sectPr>
      </w:pPr>
    </w:p>
    <w:p>
      <w:pPr>
        <w:spacing w:after="0" w:line="102" w:lineRule="exact"/>
        <w:rPr>
          <w:sz w:val="24"/>
          <w:szCs w:val="24"/>
          <w:color w:val="auto"/>
        </w:r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678"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678" w:right="139" w:bottom="1440" w:gutter="0" w:footer="0" w:header="0"/>
          <w:type w:val="continuous"/>
        </w:sectPr>
      </w:pP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7"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520"/>
          </w:cols>
          <w:pgMar w:left="240" w:top="678"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color w:val="auto"/>
        </w:rPr>
        <w:t>On May 10, 2018, Dropbox, Inc. (“Dropbox”) issued a press release and will hold a conference call announcing its financial results for the quarter ended March 31, 2018. A copy of the press release is attached as Exhibit 99.1 to this current report on Form 8-K and is incorporated by reference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69" w:lineRule="exact"/>
        <w:rPr>
          <w:sz w:val="20"/>
          <w:szCs w:val="20"/>
          <w:color w:val="auto"/>
        </w:rPr>
      </w:pPr>
    </w:p>
    <w:p>
      <w:pPr>
        <w:ind w:right="180"/>
        <w:spacing w:after="0" w:line="341" w:lineRule="auto"/>
        <w:rPr>
          <w:sz w:val="20"/>
          <w:szCs w:val="20"/>
          <w:color w:val="auto"/>
        </w:rPr>
      </w:pPr>
      <w:r>
        <w:rPr>
          <w:rFonts w:ascii="Arial" w:cs="Arial" w:eastAsia="Arial" w:hAnsi="Arial"/>
          <w:sz w:val="16"/>
          <w:szCs w:val="16"/>
          <w:color w:val="auto"/>
        </w:rPr>
        <w:t>On May 10, 2018,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2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Fiscal 2018 First Quarter Results” dated May 10, 2018</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2018</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60"/>
          </w:cols>
          <w:pgMar w:left="240" w:top="580" w:right="3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Dropbox Announces Fiscal 2018 First Quarter Results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Revenue of $316.3 million, Up 28% Year-Over-Year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Net Cash Provided by Operating Activities of $61.8 million and Free Cash Flow of $51.9 million</w:t>
      </w:r>
    </w:p>
    <w:p>
      <w:pPr>
        <w:spacing w:after="0" w:line="206"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May 10, 2018 - Dropbox, Inc. (NASDAQ: DBX), a leading global collaboration platform,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first fiscal quarter ended March 31, 2018.</w:t>
      </w:r>
    </w:p>
    <w:p>
      <w:pPr>
        <w:spacing w:after="0" w:line="16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“2018 has already been a banner year for Dropbox, and we're proud of our strong first quarter as a public company,” said Dropbox Co-Founder and Chief Executive Officer Drew Houston. “Growth in paying users and increased adoption of premium plans helped drive first quarter revenue of $316 million, up 28% year-over-year. We continued to add value to our platform with new product features, and enhanced our ecosystem through partnerships with Salesforce and Google. Our team is focused on building a great business for the long-term, and we’re excited for the opportunities ahead of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2018 Results</w:t>
      </w:r>
    </w:p>
    <w:p>
      <w:pPr>
        <w:spacing w:after="0" w:line="229"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$316.3 million, an increase of 28% from the same period last year.</w:t>
      </w:r>
    </w:p>
    <w:p>
      <w:pPr>
        <w:spacing w:after="0" w:line="224" w:lineRule="exact"/>
        <w:rPr>
          <w:rFonts w:ascii="Arial" w:cs="Arial" w:eastAsia="Arial" w:hAnsi="Arial"/>
          <w:sz w:val="18"/>
          <w:szCs w:val="18"/>
          <w:color w:val="auto"/>
        </w:rPr>
      </w:pPr>
    </w:p>
    <w:p>
      <w:pPr>
        <w:ind w:left="660" w:right="6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totaled 11.5 million, as compared to 9.3 million for the same period last year. Average revenue per paying user was $114.30, as compared to $110.79 for the same period last year.</w:t>
      </w:r>
    </w:p>
    <w:p>
      <w:pPr>
        <w:spacing w:after="0" w:line="169"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61.9%, as compared to 62.3% in the same period last year. Non-GAAP gross margin was 74.2%, as compared to 63.5% in the same period last year.</w:t>
      </w:r>
    </w:p>
    <w:p>
      <w:pPr>
        <w:spacing w:after="0" w:line="169"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(147.3%), as compared to (13.5%) in the same period last year. Non-GAAP operating margin was 10.9%, as compared to 2.2% in the same period last year.</w:t>
      </w:r>
    </w:p>
    <w:p>
      <w:pPr>
        <w:spacing w:after="0" w:line="169" w:lineRule="exact"/>
        <w:rPr>
          <w:rFonts w:ascii="Arial" w:cs="Arial" w:eastAsia="Arial" w:hAnsi="Arial"/>
          <w:sz w:val="18"/>
          <w:szCs w:val="18"/>
          <w:color w:val="auto"/>
        </w:rPr>
      </w:pPr>
    </w:p>
    <w:p>
      <w:pPr>
        <w:ind w:left="660" w:right="42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loss was ($465.5) million, as compared to ($33.1) million in the same period last year. Non-GAAP net income was $30.9 million, as compared to $5.2 million in the same period last year.</w:t>
      </w:r>
    </w:p>
    <w:p>
      <w:pPr>
        <w:spacing w:after="0" w:line="169" w:lineRule="exact"/>
        <w:rPr>
          <w:rFonts w:ascii="Arial" w:cs="Arial" w:eastAsia="Arial" w:hAnsi="Arial"/>
          <w:sz w:val="18"/>
          <w:szCs w:val="18"/>
          <w:color w:val="auto"/>
        </w:rPr>
      </w:pPr>
    </w:p>
    <w:p>
      <w:pPr>
        <w:ind w:left="660" w:hanging="328"/>
        <w:spacing w:after="0" w:line="259"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and net loss for the first quarter of 2018 included a $418.7 million stock-based compensation charge due to the achievement of the liquidity event-related performance condition in connection with our initial public offering ("IPO") for two-tier restricted stock units that met their service-based vesting condition as of the end of the first quarter of 2018, and a $13.9 million employer payroll tax charge related to these restricted stock units.</w:t>
      </w:r>
    </w:p>
    <w:p>
      <w:pPr>
        <w:spacing w:after="0" w:line="185" w:lineRule="exact"/>
        <w:rPr>
          <w:rFonts w:ascii="Arial" w:cs="Arial" w:eastAsia="Arial" w:hAnsi="Arial"/>
          <w:sz w:val="18"/>
          <w:szCs w:val="18"/>
          <w:color w:val="auto"/>
        </w:rPr>
      </w:pPr>
    </w:p>
    <w:p>
      <w:pPr>
        <w:ind w:left="660" w:right="32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$61.8 million, as compared to $61.6 million in the same period last year. Free cash flow was $51.9 million, as compared to $56.5 million in the same period last year.</w:t>
      </w:r>
    </w:p>
    <w:p>
      <w:pPr>
        <w:spacing w:after="0" w:line="169" w:lineRule="exact"/>
        <w:rPr>
          <w:rFonts w:ascii="Arial" w:cs="Arial" w:eastAsia="Arial" w:hAnsi="Arial"/>
          <w:sz w:val="18"/>
          <w:szCs w:val="18"/>
          <w:color w:val="auto"/>
        </w:rPr>
      </w:pPr>
    </w:p>
    <w:p>
      <w:pPr>
        <w:ind w:left="660" w:right="200" w:hanging="328"/>
        <w:spacing w:after="0" w:line="28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GAAP basic and diluted net loss per share was ($2.13), compared to ($0.17) in the same period last year. Non-GAAP diluted net income per share was $0.08, compared to $0.02 in the same period last year. </w:t>
      </w:r>
      <w:r>
        <w:rPr>
          <w:rFonts w:ascii="Arial" w:cs="Arial" w:eastAsia="Arial" w:hAnsi="Arial"/>
          <w:sz w:val="25"/>
          <w:szCs w:val="25"/>
          <w:color w:val="auto"/>
          <w:vertAlign w:val="superscript"/>
        </w:rPr>
        <w:t>(1)</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$846.0 million at the end of the first quarter of 2018.</w:t>
      </w:r>
    </w:p>
    <w:p>
      <w:pPr>
        <w:spacing w:after="0" w:line="337" w:lineRule="exact"/>
        <w:rPr>
          <w:rFonts w:ascii="Arial" w:cs="Arial" w:eastAsia="Arial" w:hAnsi="Arial"/>
          <w:sz w:val="18"/>
          <w:szCs w:val="18"/>
          <w:color w:val="auto"/>
        </w:rPr>
      </w:pPr>
    </w:p>
    <w:p>
      <w:pPr>
        <w:ind w:right="180" w:firstLine="8"/>
        <w:spacing w:after="0" w:line="308" w:lineRule="auto"/>
        <w:tabs>
          <w:tab w:leader="none" w:pos="178"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per share is calculated based upon 373.1 million and 342.3 million diluted weighted-average shares of common stock for the three months ended March 31, 2018 and 2017, respectively.</w:t>
      </w:r>
    </w:p>
    <w:p>
      <w:pPr>
        <w:sectPr>
          <w:pgSz w:w="11900" w:h="16838" w:orient="portrait"/>
          <w:cols w:equalWidth="0" w:num="1">
            <w:col w:w="11380"/>
          </w:cols>
          <w:pgMar w:left="240" w:top="5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Initial Public Offering and Private Placement</w:t>
      </w:r>
    </w:p>
    <w:p>
      <w:pPr>
        <w:spacing w:after="0" w:line="2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27, 2018, we completed our IPO and a concurrent private placement where 40,761,905 shares of Class A common stock were sold at $21 per share, including 26,822,409 shares by the Company and 9,177,591 shares by selling stockholders in our IPO, and 4,761,905 shares by the Company in a private placement to Salesforce Ventures LLC. The underwriters of the IPO exercised in full their option to purchase an additional 5,400,000 shares of Class A common stock at $21 per share, which closed on April 3, 2018. As a result of our IPO and the concurrent private placement, we received total gross proceeds of $776.7 million, before deducting underwriting fees and estimated offering expenses. The proceeds from the exercise of the underwriters' option, net of underwriting fees totaled $108.4 million and are not reflected in the ending cash, cash equivalents, and short-term investment balance at the end of the first quarter of 2018 as the transaction closed in April.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and Employer Payroll Tax Expense Related to Restricted Stock Units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historically granted two-tier restricted stock units ("RSUs") to employees, with our last two-tier award grant occurring in 2015. These awards have both a service-based vesting condition and a liquidity event-related performance condition. The stock-based compensation expense related to these awards was previously unrecognized as the satisfaction of the performance condition was not deemed probable. The liquidity event-related performance condition was satisfied upon our IPO. As a result, we recognized $418.7 million in stock-based compensation expense related to two-tier RSUs for which the service-based vesting condition had been met as of the end of the first quarter of 2018. We expect to record additional stock-based compensation of $2.6 million relating to two-tier RSUs throughout the remainder of 2018 as their respective service-based vesting conditions are met. During the quarter, we also released 26.8 million shares of common stock underlying the vested two-tier RSUs, and as a result recorded $13.9 million in employer related payroll tax expenses associated with these same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Dropbox will provide forward-looking guidance in connection with this quarterly earnings announcement on our conference call, webcast, and on our investor relations website at investors.dropbox.com.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Dropbox plans to host a conference call today to review its first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Eastern Time on May 17, 2018 at (855) 859-2056 from the United States or (404) 537-3406 internationally with recording access code 4296618.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Dropbox is a leading global collaboration platform that's transforming the way people work together, from the smallest business to the largest enterprise. With more than 500 million registered users across more than 180 countries, our products are designed to help unleash the world’s creative energy and establish a more enlightened way of working. Headquartered in San Francisco, CA, Dropbox has 12 offices around the world. For more information on our mission and products, visit dropbox.com.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including, among other things, statements regarding Dropbox's future operational performance, the demand for our platform, the benefits from new product experiences, and expectations regarding stock-based compensation expense. Words such as "believe," "may," "will," "estimate," "continue," "anticipate," "intend," "expect," "plans," and similar expressions are</w:t>
      </w:r>
    </w:p>
    <w:p>
      <w:pPr>
        <w:sectPr>
          <w:pgSz w:w="11900" w:h="16838" w:orient="portrait"/>
          <w:cols w:equalWidth="0" w:num="1">
            <w:col w:w="11420"/>
          </w:cols>
          <w:pgMar w:left="240" w:top="634" w:right="2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t>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and (xii)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prospectus filed pursuant to Rule 424(b) under the Securities Act of 1933, as amended, on March 23, 2018.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380"/>
          </w:cols>
          <w:pgMar w:left="240" w:top="584"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Dropbox,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Condensed Consolidated Statements of Operations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p>
      <w:pPr>
        <w:ind w:left="40"/>
        <w:spacing w:after="0"/>
        <w:rPr>
          <w:sz w:val="20"/>
          <w:szCs w:val="20"/>
          <w:color w:val="auto"/>
        </w:rPr>
      </w:pPr>
      <w:r>
        <w:rPr>
          <w:rFonts w:ascii="Arial" w:cs="Arial" w:eastAsia="Arial" w:hAnsi="Arial"/>
          <w:sz w:val="18"/>
          <w:szCs w:val="18"/>
          <w:color w:val="auto"/>
        </w:rPr>
        <w:t>Gross profit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ind w:left="280"/>
        <w:spacing w:after="0"/>
        <w:rPr>
          <w:sz w:val="20"/>
          <w:szCs w:val="20"/>
          <w:color w:val="auto"/>
        </w:rPr>
      </w:pPr>
      <w:r>
        <w:rPr>
          <w:rFonts w:ascii="Arial" w:cs="Arial" w:eastAsia="Arial" w:hAnsi="Arial"/>
          <w:sz w:val="15"/>
          <w:szCs w:val="15"/>
          <w:color w:val="auto"/>
        </w:rPr>
        <w:t>Research and development</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440"/>
        <w:spacing w:after="0"/>
        <w:rPr>
          <w:sz w:val="20"/>
          <w:szCs w:val="20"/>
          <w:color w:val="auto"/>
        </w:rPr>
      </w:pPr>
      <w:r>
        <w:rPr>
          <w:rFonts w:ascii="Arial" w:cs="Arial" w:eastAsia="Arial" w:hAnsi="Arial"/>
          <w:sz w:val="16"/>
          <w:szCs w:val="16"/>
          <w:i w:val="1"/>
          <w:iCs w:val="1"/>
          <w:color w:val="auto"/>
        </w:rPr>
        <w:t>(In millions, except per share data)</w:t>
      </w:r>
    </w:p>
    <w:p>
      <w:pPr>
        <w:spacing w:after="0" w:line="30" w:lineRule="exact"/>
        <w:rPr>
          <w:sz w:val="20"/>
          <w:szCs w:val="20"/>
          <w:color w:val="auto"/>
        </w:rPr>
      </w:pPr>
    </w:p>
    <w:p>
      <w:pPr>
        <w:jc w:val="center"/>
        <w:ind w:right="4440"/>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p>
      <w:pPr>
        <w:jc w:val="center"/>
        <w:ind w:left="-209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2099"/>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22860</wp:posOffset>
            </wp:positionV>
            <wp:extent cx="2963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38" w:lineRule="exact"/>
        <w:rPr>
          <w:sz w:val="20"/>
          <w:szCs w:val="20"/>
          <w:color w:val="auto"/>
        </w:rPr>
      </w:pPr>
    </w:p>
    <w:tbl>
      <w:tblPr>
        <w:tblLayout w:type="fixed"/>
        <w:tblInd w:w="23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r>
      <w:tr>
        <w:trPr>
          <w:trHeight w:val="27"/>
        </w:trPr>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247.9</w:t>
            </w:r>
          </w:p>
        </w:tc>
      </w:tr>
      <w:tr>
        <w:trPr>
          <w:trHeight w:val="270"/>
        </w:trPr>
        <w:tc>
          <w:tcPr>
            <w:tcW w:w="54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54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540"/>
        </w:trPr>
        <w:tc>
          <w:tcPr>
            <w:tcW w:w="540" w:type="dxa"/>
            <w:vAlign w:val="bottom"/>
          </w:tcPr>
          <w:p>
            <w:pPr>
              <w:spacing w:after="0"/>
              <w:rPr>
                <w:sz w:val="24"/>
                <w:szCs w:val="24"/>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0"/>
        </w:trPr>
        <w:tc>
          <w:tcPr>
            <w:tcW w:w="54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0"/>
        </w:trPr>
        <w:tc>
          <w:tcPr>
            <w:tcW w:w="54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-1198880</wp:posOffset>
            </wp:positionV>
            <wp:extent cx="72466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97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-847725</wp:posOffset>
            </wp:positionV>
            <wp:extent cx="72466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97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-495935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-153670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3720" w:space="720"/>
            <w:col w:w="698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7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shares used in computing net loss per share attributable to common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7"/>
        </w:trPr>
        <w:tc>
          <w:tcPr>
            <w:tcW w:w="676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9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w:t>
      </w:r>
    </w:p>
    <w:p>
      <w:pPr>
        <w:spacing w:after="0" w:line="14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22860</wp:posOffset>
            </wp:positionV>
            <wp:extent cx="2955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r>
      <w:tr>
        <w:trPr>
          <w:trHeight w:val="27"/>
        </w:trPr>
        <w:tc>
          <w:tcPr>
            <w:tcW w:w="6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revenue</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21.8</w:t>
            </w:r>
          </w:p>
        </w:tc>
      </w:tr>
      <w:tr>
        <w:trPr>
          <w:trHeight w:val="27"/>
        </w:trPr>
        <w:tc>
          <w:tcPr>
            <w:tcW w:w="6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584" w:right="2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ind w:left="522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3"/>
          </w:tcPr>
          <w:p>
            <w:pPr>
              <w:jc w:val="right"/>
              <w:ind w:right="39"/>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6"/>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2000" w:type="dxa"/>
            <w:vAlign w:val="bottom"/>
          </w:tcPr>
          <w:p>
            <w:pPr>
              <w:jc w:val="right"/>
              <w:ind w:right="319"/>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430.0</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and other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58.8</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929.9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341.9</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98.9</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1,438.7</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1,019.9</w:t>
            </w:r>
          </w:p>
        </w:tc>
      </w:tr>
      <w:tr>
        <w:trPr>
          <w:trHeight w:val="67"/>
        </w:trPr>
        <w:tc>
          <w:tcPr>
            <w:tcW w:w="6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30"/>
        </w:trPr>
        <w:tc>
          <w:tcPr>
            <w:tcW w:w="6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129.8</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Capital lease obligation</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102.7</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444.6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746.1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738.4</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Deferred rent, non-current</w:t>
            </w:r>
          </w:p>
        </w:tc>
        <w:tc>
          <w:tcPr>
            <w:tcW w:w="320" w:type="dxa"/>
            <w:vAlign w:val="bottom"/>
          </w:tcPr>
          <w:p>
            <w:pPr>
              <w:spacing w:after="0"/>
              <w:rPr>
                <w:sz w:val="21"/>
                <w:szCs w:val="21"/>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69.8</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928.5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917.0</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Convertible preferred stock</w:t>
            </w:r>
          </w:p>
        </w:tc>
        <w:tc>
          <w:tcPr>
            <w:tcW w:w="32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615.3</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2,104.9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533.1</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(1,049.7)</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102.9</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1,019.9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80" w:top="58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32385</wp:posOffset>
            </wp:positionV>
            <wp:extent cx="2963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ind w:right="899"/>
              <w:spacing w:after="0"/>
              <w:rPr>
                <w:sz w:val="20"/>
                <w:szCs w:val="20"/>
                <w:color w:val="auto"/>
              </w:rPr>
            </w:pPr>
            <w:r>
              <w:rPr>
                <w:rFonts w:ascii="Arial" w:cs="Arial" w:eastAsia="Arial" w:hAnsi="Arial"/>
                <w:sz w:val="16"/>
                <w:szCs w:val="16"/>
                <w:b w:val="1"/>
                <w:bCs w:val="1"/>
                <w:color w:val="auto"/>
              </w:rPr>
              <w:t>2017</w:t>
            </w:r>
          </w:p>
        </w:tc>
      </w:tr>
      <w:tr>
        <w:trPr>
          <w:trHeight w:val="33"/>
        </w:trPr>
        <w:tc>
          <w:tcPr>
            <w:tcW w:w="67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Net loss</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33"/>
        </w:trPr>
        <w:tc>
          <w:tcPr>
            <w:tcW w:w="6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5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48.0</w:t>
            </w:r>
          </w:p>
        </w:tc>
      </w:tr>
      <w:tr>
        <w:trPr>
          <w:trHeight w:val="33"/>
        </w:trPr>
        <w:tc>
          <w:tcPr>
            <w:tcW w:w="6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Amortization of deferred commissions</w:t>
            </w:r>
          </w:p>
        </w:tc>
        <w:tc>
          <w:tcPr>
            <w:tcW w:w="15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6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3"/>
        </w:trPr>
        <w:tc>
          <w:tcPr>
            <w:tcW w:w="676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6"/>
        </w:trPr>
        <w:tc>
          <w:tcPr>
            <w:tcW w:w="67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and other receivables, net</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6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6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and other current 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Accrued compensation and benefits</w:t>
            </w:r>
          </w:p>
        </w:tc>
        <w:tc>
          <w:tcPr>
            <w:tcW w:w="1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6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37"/>
        </w:trPr>
        <w:tc>
          <w:tcPr>
            <w:tcW w:w="6760" w:type="dxa"/>
            <w:vAlign w:val="bottom"/>
          </w:tcPr>
          <w:p>
            <w:pPr>
              <w:ind w:left="280"/>
              <w:spacing w:after="0"/>
              <w:rPr>
                <w:sz w:val="20"/>
                <w:szCs w:val="20"/>
                <w:color w:val="auto"/>
              </w:rPr>
            </w:pPr>
            <w:r>
              <w:rPr>
                <w:rFonts w:ascii="Arial" w:cs="Arial" w:eastAsia="Arial" w:hAnsi="Arial"/>
                <w:sz w:val="16"/>
                <w:szCs w:val="16"/>
                <w:color w:val="auto"/>
              </w:rPr>
              <w:t>Non-current liabilities</w:t>
            </w:r>
          </w:p>
        </w:tc>
        <w:tc>
          <w:tcPr>
            <w:tcW w:w="15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7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r>
      <w:tr>
        <w:trPr>
          <w:trHeight w:val="203"/>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15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received from equipment rebates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83" w:lineRule="exact"/>
        <w:rPr>
          <w:sz w:val="20"/>
          <w:szCs w:val="20"/>
          <w:color w:val="auto"/>
        </w:rPr>
      </w:pPr>
    </w:p>
    <w:p>
      <w:pPr>
        <w:ind w:left="280" w:right="1420"/>
        <w:spacing w:after="0" w:line="292" w:lineRule="auto"/>
        <w:rPr>
          <w:sz w:val="20"/>
          <w:szCs w:val="20"/>
          <w:color w:val="auto"/>
        </w:rPr>
      </w:pPr>
      <w:r>
        <w:rPr>
          <w:rFonts w:ascii="Arial" w:cs="Arial" w:eastAsia="Arial" w:hAnsi="Arial"/>
          <w:sz w:val="16"/>
          <w:szCs w:val="16"/>
          <w:color w:val="auto"/>
        </w:rPr>
        <w:t>Proceeds from initial public offering and private placement, net of underwriters' discounts and commissions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Shares repurchased for tax withholdings on release of restricted stock</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Principal payments against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ind w:right="1260"/>
        <w:spacing w:after="0"/>
        <w:rPr>
          <w:sz w:val="20"/>
          <w:szCs w:val="20"/>
          <w:color w:val="auto"/>
        </w:rPr>
      </w:pPr>
      <w:r>
        <w:rPr>
          <w:rFonts w:ascii="Arial" w:cs="Arial" w:eastAsia="Arial" w:hAnsi="Arial"/>
          <w:sz w:val="16"/>
          <w:szCs w:val="16"/>
          <w:color w:val="auto"/>
        </w:rPr>
        <w:t>(9.9)</w:t>
      </w:r>
    </w:p>
    <w:p>
      <w:pPr>
        <w:spacing w:after="0" w:line="86" w:lineRule="exact"/>
        <w:rPr>
          <w:sz w:val="20"/>
          <w:szCs w:val="20"/>
          <w:color w:val="auto"/>
        </w:rPr>
      </w:pPr>
    </w:p>
    <w:p>
      <w:pPr>
        <w:jc w:val="right"/>
        <w:ind w:right="126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jc w:val="right"/>
        <w:ind w:right="1320"/>
        <w:spacing w:after="0"/>
        <w:rPr>
          <w:sz w:val="20"/>
          <w:szCs w:val="20"/>
          <w:color w:val="auto"/>
        </w:rPr>
      </w:pPr>
      <w:r>
        <w:rPr>
          <w:rFonts w:ascii="Arial" w:cs="Arial" w:eastAsia="Arial" w:hAnsi="Arial"/>
          <w:sz w:val="16"/>
          <w:szCs w:val="16"/>
          <w:color w:val="auto"/>
        </w:rPr>
        <w:t>0.1</w:t>
      </w:r>
    </w:p>
    <w:p>
      <w:pPr>
        <w:spacing w:after="0" w:line="86" w:lineRule="exact"/>
        <w:rPr>
          <w:sz w:val="20"/>
          <w:szCs w:val="20"/>
          <w:color w:val="auto"/>
        </w:rPr>
      </w:pPr>
    </w:p>
    <w:p>
      <w:pPr>
        <w:jc w:val="right"/>
        <w:ind w:right="1260"/>
        <w:spacing w:after="0"/>
        <w:rPr>
          <w:sz w:val="20"/>
          <w:szCs w:val="20"/>
          <w:color w:val="auto"/>
        </w:rPr>
      </w:pPr>
      <w:r>
        <w:rPr>
          <w:rFonts w:ascii="Arial" w:cs="Arial" w:eastAsia="Arial" w:hAnsi="Arial"/>
          <w:sz w:val="15"/>
          <w:szCs w:val="15"/>
          <w:color w:val="auto"/>
        </w:rPr>
        <w:t>(180.8)</w:t>
      </w:r>
    </w:p>
    <w:p>
      <w:pPr>
        <w:spacing w:after="0" w:line="97" w:lineRule="exact"/>
        <w:rPr>
          <w:sz w:val="20"/>
          <w:szCs w:val="20"/>
          <w:color w:val="auto"/>
        </w:rPr>
      </w:pPr>
    </w:p>
    <w:p>
      <w:pPr>
        <w:jc w:val="right"/>
        <w:ind w:right="1260"/>
        <w:spacing w:after="0"/>
        <w:rPr>
          <w:sz w:val="20"/>
          <w:szCs w:val="20"/>
          <w:color w:val="auto"/>
        </w:rPr>
      </w:pPr>
      <w:r>
        <w:rPr>
          <w:rFonts w:ascii="Arial" w:cs="Arial" w:eastAsia="Arial" w:hAnsi="Arial"/>
          <w:sz w:val="15"/>
          <w:szCs w:val="15"/>
          <w:color w:val="auto"/>
        </w:rPr>
        <w:t>(193.1)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42545</wp:posOffset>
            </wp:positionV>
            <wp:extent cx="1456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right"/>
        <w:ind w:right="1320"/>
        <w:spacing w:after="0"/>
        <w:rPr>
          <w:sz w:val="20"/>
          <w:szCs w:val="20"/>
          <w:color w:val="auto"/>
        </w:rPr>
      </w:pPr>
      <w:r>
        <w:rPr>
          <w:rFonts w:ascii="Arial" w:cs="Arial" w:eastAsia="Arial" w:hAnsi="Arial"/>
          <w:sz w:val="16"/>
          <w:szCs w:val="16"/>
          <w:color w:val="auto"/>
        </w:rPr>
        <w:t>638.2</w:t>
      </w:r>
    </w:p>
    <w:p>
      <w:pPr>
        <w:spacing w:after="0" w:line="86" w:lineRule="exact"/>
        <w:rPr>
          <w:sz w:val="20"/>
          <w:szCs w:val="20"/>
          <w:color w:val="auto"/>
        </w:rPr>
      </w:pPr>
    </w:p>
    <w:p>
      <w:pPr>
        <w:jc w:val="right"/>
        <w:ind w:right="1260"/>
        <w:spacing w:after="0"/>
        <w:rPr>
          <w:sz w:val="20"/>
          <w:szCs w:val="20"/>
          <w:color w:val="auto"/>
        </w:rPr>
      </w:pPr>
      <w:r>
        <w:rPr>
          <w:rFonts w:ascii="Arial" w:cs="Arial" w:eastAsia="Arial" w:hAnsi="Arial"/>
          <w:sz w:val="16"/>
          <w:szCs w:val="16"/>
          <w:color w:val="auto"/>
        </w:rPr>
        <w:t>(0.9)</w:t>
      </w:r>
    </w:p>
    <w:p>
      <w:pPr>
        <w:spacing w:after="0" w:line="86" w:lineRule="exact"/>
        <w:rPr>
          <w:sz w:val="20"/>
          <w:szCs w:val="20"/>
          <w:color w:val="auto"/>
        </w:rPr>
      </w:pPr>
    </w:p>
    <w:p>
      <w:pPr>
        <w:jc w:val="right"/>
        <w:ind w:right="1260"/>
        <w:spacing w:after="0"/>
        <w:rPr>
          <w:sz w:val="20"/>
          <w:szCs w:val="20"/>
          <w:color w:val="auto"/>
        </w:rPr>
      </w:pPr>
      <w:r>
        <w:rPr>
          <w:rFonts w:ascii="Arial" w:cs="Arial" w:eastAsia="Arial" w:hAnsi="Arial"/>
          <w:sz w:val="15"/>
          <w:szCs w:val="15"/>
          <w:color w:val="auto"/>
        </w:rPr>
        <w:t>(241.2)</w:t>
      </w:r>
    </w:p>
    <w:p>
      <w:pPr>
        <w:spacing w:after="0" w:line="97" w:lineRule="exact"/>
        <w:rPr>
          <w:sz w:val="20"/>
          <w:szCs w:val="20"/>
          <w:color w:val="auto"/>
        </w:rPr>
      </w:pPr>
    </w:p>
    <w:p>
      <w:pPr>
        <w:jc w:val="right"/>
        <w:ind w:right="1260"/>
        <w:spacing w:after="0"/>
        <w:rPr>
          <w:sz w:val="20"/>
          <w:szCs w:val="20"/>
          <w:color w:val="auto"/>
        </w:rPr>
      </w:pPr>
      <w:r>
        <w:rPr>
          <w:rFonts w:ascii="Arial" w:cs="Arial" w:eastAsia="Arial" w:hAnsi="Arial"/>
          <w:sz w:val="16"/>
          <w:szCs w:val="16"/>
          <w:color w:val="auto"/>
        </w:rPr>
        <w:t>(29.8)</w:t>
      </w:r>
    </w:p>
    <w:p>
      <w:pPr>
        <w:spacing w:after="0" w:line="86" w:lineRule="exact"/>
        <w:rPr>
          <w:sz w:val="20"/>
          <w:szCs w:val="20"/>
          <w:color w:val="auto"/>
        </w:rPr>
      </w:pPr>
    </w:p>
    <w:p>
      <w:pPr>
        <w:jc w:val="right"/>
        <w:ind w:right="12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(5.1)</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34925</wp:posOffset>
            </wp:positionV>
            <wp:extent cx="14389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(24.0)</w:t>
      </w:r>
    </w:p>
    <w:p>
      <w:pPr>
        <w:spacing w:after="0" w:line="10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(34.6)</w:t>
      </w:r>
    </w:p>
    <w:p>
      <w:pPr>
        <w:spacing w:after="0" w:line="10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w:t>
      </w:r>
    </w:p>
    <w:p>
      <w:pPr>
        <w:spacing w:after="0" w:line="35" w:lineRule="exact"/>
        <w:rPr>
          <w:sz w:val="20"/>
          <w:szCs w:val="20"/>
          <w:color w:val="auto"/>
        </w:rPr>
      </w:pPr>
    </w:p>
    <w:p>
      <w:pPr>
        <w:sectPr>
          <w:pgSz w:w="11900" w:h="16838" w:orient="portrait"/>
          <w:cols w:equalWidth="0" w:num="3">
            <w:col w:w="7800" w:space="720"/>
            <w:col w:w="1740" w:space="720"/>
            <w:col w:w="44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w:t>
            </w:r>
          </w:p>
        </w:tc>
      </w:tr>
      <w:tr>
        <w:trPr>
          <w:trHeight w:val="33"/>
        </w:trPr>
        <w:tc>
          <w:tcPr>
            <w:tcW w:w="6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17"/>
        </w:trPr>
        <w:tc>
          <w:tcPr>
            <w:tcW w:w="6760" w:type="dxa"/>
            <w:vAlign w:val="bottom"/>
          </w:tcPr>
          <w:p>
            <w:pPr>
              <w:ind w:left="40"/>
              <w:spacing w:after="0"/>
              <w:rPr>
                <w:sz w:val="20"/>
                <w:szCs w:val="20"/>
                <w:color w:val="auto"/>
              </w:rPr>
            </w:pPr>
            <w:r>
              <w:rPr>
                <w:rFonts w:ascii="Arial" w:cs="Arial" w:eastAsia="Arial" w:hAnsi="Arial"/>
                <w:sz w:val="16"/>
                <w:szCs w:val="16"/>
                <w:color w:val="auto"/>
              </w:rPr>
              <w:t>Change in cash, cash equivalents, and restricted cash</w:t>
            </w:r>
          </w:p>
        </w:tc>
        <w:tc>
          <w:tcPr>
            <w:tcW w:w="9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cash—beginning of period</w:t>
            </w:r>
          </w:p>
        </w:tc>
        <w:tc>
          <w:tcPr>
            <w:tcW w:w="9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17"/>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cash—end of period</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665.3</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351.2</w:t>
            </w:r>
          </w:p>
        </w:tc>
      </w:tr>
      <w:tr>
        <w:trPr>
          <w:trHeight w:val="73"/>
        </w:trPr>
        <w:tc>
          <w:tcPr>
            <w:tcW w:w="676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264"/>
        </w:trPr>
        <w:tc>
          <w:tcPr>
            <w:tcW w:w="67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3"/>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6"/>
        </w:trPr>
        <w:tc>
          <w:tcPr>
            <w:tcW w:w="6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3"/>
        </w:trPr>
        <w:tc>
          <w:tcPr>
            <w:tcW w:w="6760" w:type="dxa"/>
            <w:vAlign w:val="bottom"/>
          </w:tcPr>
          <w:p>
            <w:pPr>
              <w:ind w:left="380"/>
              <w:spacing w:after="0"/>
              <w:rPr>
                <w:sz w:val="20"/>
                <w:szCs w:val="20"/>
                <w:color w:val="auto"/>
              </w:rPr>
            </w:pPr>
            <w:r>
              <w:rPr>
                <w:rFonts w:ascii="Arial" w:cs="Arial" w:eastAsia="Arial" w:hAnsi="Arial"/>
                <w:sz w:val="16"/>
                <w:szCs w:val="16"/>
                <w:color w:val="auto"/>
              </w:rPr>
              <w:t>Property and equipment acquired under capital leases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9"/>
                <w:szCs w:val="19"/>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6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March 31,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Employer payroll taxes</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Stock-based</w:t>
            </w:r>
          </w:p>
        </w:tc>
        <w:tc>
          <w:tcPr>
            <w:tcW w:w="2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related to the release of</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compensation</w:t>
            </w:r>
          </w:p>
        </w:tc>
        <w:tc>
          <w:tcPr>
            <w:tcW w:w="28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two-tier RSUs</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81.7</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38.1 %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25.8%</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61.9 %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12.0 %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0.3 %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74.2%</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w w:val="96"/>
              </w:rPr>
              <w:t>119.7 %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(89.4)%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27.6%</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49.6 %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26.1%</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39.9 %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(29.5)%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9.6%</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w w:val="90"/>
              </w:rPr>
              <w:t>(147.3)%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153.8 %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4.4 %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10.9%</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March 31, 2017</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Employer payroll taxes</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Stock-based</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related to the release of</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compensation</w:t>
            </w:r>
          </w:p>
        </w:tc>
        <w:tc>
          <w:tcPr>
            <w:tcW w:w="28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two-tier RSUs</w:t>
            </w:r>
          </w:p>
        </w:tc>
        <w:tc>
          <w:tcPr>
            <w:tcW w:w="32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90.4</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37.7 %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36.5%</w:t>
            </w:r>
          </w:p>
        </w:tc>
      </w:tr>
      <w:tr>
        <w:trPr>
          <w:trHeight w:val="27"/>
        </w:trPr>
        <w:tc>
          <w:tcPr>
            <w:tcW w:w="3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157.5</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62.3 %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63.5%</w:t>
            </w:r>
          </w:p>
        </w:tc>
      </w:tr>
      <w:tr>
        <w:trPr>
          <w:trHeight w:val="27"/>
        </w:trPr>
        <w:tc>
          <w:tcPr>
            <w:tcW w:w="3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67.5</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i w:val="1"/>
                <w:iCs w:val="1"/>
                <w:color w:val="auto"/>
              </w:rPr>
              <w:t>Research and development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36.0 %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27.2%</w:t>
            </w:r>
          </w:p>
        </w:tc>
      </w:tr>
      <w:tr>
        <w:trPr>
          <w:trHeight w:val="27"/>
        </w:trPr>
        <w:tc>
          <w:tcPr>
            <w:tcW w:w="3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59.5</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27.1 %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24.0%</w:t>
            </w:r>
          </w:p>
        </w:tc>
      </w:tr>
      <w:tr>
        <w:trPr>
          <w:trHeight w:val="27"/>
        </w:trPr>
        <w:tc>
          <w:tcPr>
            <w:tcW w:w="3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i w:val="1"/>
                <w:iCs w:val="1"/>
                <w:color w:val="auto"/>
              </w:rPr>
              <w:t>General and administrative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12.6 %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10.1%</w:t>
            </w:r>
          </w:p>
        </w:tc>
      </w:tr>
      <w:tr>
        <w:trPr>
          <w:trHeight w:val="27"/>
        </w:trPr>
        <w:tc>
          <w:tcPr>
            <w:tcW w:w="3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i w:val="1"/>
                <w:iCs w:val="1"/>
                <w:color w:val="auto"/>
              </w:rPr>
              <w:t>15.7 %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2.2%</w:t>
            </w:r>
          </w:p>
        </w:tc>
      </w:tr>
    </w:tbl>
    <w:p>
      <w:pPr>
        <w:sectPr>
          <w:pgSz w:w="11900" w:h="16838" w:orient="portrait"/>
          <w:cols w:equalWidth="0" w:num="1">
            <w:col w:w="11420"/>
          </w:cols>
          <w:pgMar w:left="240" w:top="57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March 31, 2018 and 2017</w:t>
      </w:r>
    </w:p>
    <w:p>
      <w:pPr>
        <w:jc w:val="center"/>
        <w:spacing w:after="0"/>
        <w:rPr>
          <w:sz w:val="20"/>
          <w:szCs w:val="20"/>
          <w:color w:val="auto"/>
        </w:rPr>
      </w:pPr>
      <w:r>
        <w:rPr>
          <w:rFonts w:ascii="Arial" w:cs="Arial" w:eastAsia="Arial" w:hAnsi="Arial"/>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9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c>
          <w:tcPr>
            <w:tcW w:w="74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6"/>
        </w:trPr>
        <w:tc>
          <w:tcPr>
            <w:tcW w:w="67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5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6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payroll taxes related to the release of two-tier RSUs</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tax effects of non-GAAP adjustments</w:t>
            </w:r>
          </w:p>
        </w:tc>
        <w:tc>
          <w:tcPr>
            <w:tcW w:w="1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7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diluted net income per share</w:t>
            </w: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Weighted-average shares used to compute Non-GAAP diluted net income per share</w:t>
            </w:r>
          </w:p>
        </w:tc>
        <w:tc>
          <w:tcPr>
            <w:tcW w:w="15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342.3</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March 31, 2018 and 2017</w:t>
      </w:r>
    </w:p>
    <w:p>
      <w:pPr>
        <w:jc w:val="center"/>
        <w:spacing w:after="0"/>
        <w:rPr>
          <w:sz w:val="20"/>
          <w:szCs w:val="20"/>
          <w:color w:val="auto"/>
        </w:rPr>
      </w:pPr>
      <w:r>
        <w:rPr>
          <w:rFonts w:ascii="Arial" w:cs="Arial" w:eastAsia="Arial" w:hAnsi="Arial"/>
          <w:sz w:val="20"/>
          <w:szCs w:val="20"/>
          <w:b w:val="1"/>
          <w:bCs w:val="1"/>
          <w:color w:val="auto"/>
        </w:rPr>
        <w:t>Reconciliation of free cash flow and supplemental cash flow disclosure</w:t>
      </w:r>
    </w:p>
    <w:p>
      <w:pPr>
        <w:spacing w:after="0" w:line="2"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670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reconciliation:</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61.6</w:t>
            </w:r>
          </w:p>
        </w:tc>
      </w:tr>
      <w:tr>
        <w:trPr>
          <w:trHeight w:val="27"/>
        </w:trPr>
        <w:tc>
          <w:tcPr>
            <w:tcW w:w="6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5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8"/>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expenditures related to our new corporate headquarters, net of tenant</w:t>
            </w: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7"/>
        </w:trPr>
        <w:tc>
          <w:tcPr>
            <w:tcW w:w="6700" w:type="dxa"/>
            <w:vAlign w:val="bottom"/>
            <w:shd w:val="clear" w:color="auto" w:fill="CCEEFF"/>
          </w:tcPr>
          <w:p>
            <w:pPr>
              <w:ind w:left="260"/>
              <w:spacing w:after="0" w:line="257" w:lineRule="exact"/>
              <w:rPr>
                <w:sz w:val="20"/>
                <w:szCs w:val="20"/>
                <w:color w:val="auto"/>
              </w:rPr>
            </w:pPr>
            <w:r>
              <w:rPr>
                <w:rFonts w:ascii="Arial" w:cs="Arial" w:eastAsia="Arial" w:hAnsi="Arial"/>
                <w:sz w:val="18"/>
                <w:szCs w:val="18"/>
                <w:color w:val="auto"/>
              </w:rPr>
              <w:t>improvement allowances</w:t>
            </w:r>
            <w:r>
              <w:rPr>
                <w:rFonts w:ascii="Arial" w:cs="Arial" w:eastAsia="Arial" w:hAnsi="Arial"/>
                <w:sz w:val="25"/>
                <w:szCs w:val="25"/>
                <w:color w:val="auto"/>
                <w:vertAlign w:val="superscript"/>
              </w:rPr>
              <w:t>(1)</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420" w:firstLine="8"/>
        <w:spacing w:after="0" w:line="262" w:lineRule="auto"/>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Capital expenditures include cash outflows related to the build-out of our new corporate headquarters in San Francisco, CA. Net cash provided by operating activities includes tenant improvement allowances related to our new corporate headquarters and represents cash received from our landlord to offset this build-out. These amounts are presented net in the table above.</w:t>
      </w:r>
    </w:p>
    <w:p>
      <w:pPr>
        <w:sectPr>
          <w:pgSz w:w="11900" w:h="16838" w:orient="portrait"/>
          <w:cols w:equalWidth="0" w:num="1">
            <w:col w:w="11420"/>
          </w:cols>
          <w:pgMar w:left="240" w:top="57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and employer payroll tax expense relating to the release of two-tier RSUs. Non-GAAP net income also includes the income tax effect of these adjustments. Free cash flow differs from GAAP net cash provided by operating activities in that it treats capital expenditures as a reduction to net cash provided by operating activities.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 Asheer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press@dropbox.com</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lvl>
    <w:lvl w:ilvl="1">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2019-12-28T22:17:58Z</dcterms:created>
  <dcterms:modified xsi:type="dcterms:W3CDTF">2019-12-28T22:17:58Z</dcterms:modified>
</cp:coreProperties>
</file>