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UNITED STATES</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38" w:lineRule="auto"/>
        <w:rPr>
          <w:sz w:val="20"/>
          <w:szCs w:val="20"/>
          <w:color w:val="auto"/>
        </w:rPr>
      </w:pPr>
      <w:r>
        <w:rPr>
          <w:rFonts w:ascii="Courier New" w:cs="Courier New" w:eastAsia="Courier New" w:hAnsi="Courier New"/>
          <w:sz w:val="18"/>
          <w:szCs w:val="18"/>
          <w:color w:val="auto"/>
        </w:rPr>
        <w:t>Washington, D.C. 20549</w:t>
      </w:r>
    </w:p>
    <w:p>
      <w:pPr>
        <w:spacing w:after="0"/>
        <w:rPr>
          <w:sz w:val="20"/>
          <w:szCs w:val="20"/>
          <w:color w:val="auto"/>
        </w:rPr>
      </w:pPr>
      <w:r>
        <w:rPr>
          <w:rFonts w:ascii="Courier New" w:cs="Courier New" w:eastAsia="Courier New" w:hAnsi="Courier New"/>
          <w:sz w:val="18"/>
          <w:szCs w:val="18"/>
          <w:color w:val="auto"/>
        </w:rPr>
        <w:t>SCHEDULE 13G</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(Amendment No. )</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Dropbox Inc</w:t>
      </w:r>
    </w:p>
    <w:p>
      <w:pPr>
        <w:spacing w:after="0" w:line="3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(Name of Issuer)</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3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26210C104</w:t>
      </w:r>
    </w:p>
    <w:p>
      <w:pPr>
        <w:spacing w:after="0" w:line="3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NUMBER)</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March 31, 2018</w:t>
      </w:r>
    </w:p>
    <w:p>
      <w:pPr>
        <w:spacing w:after="0" w:line="3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(Date of Event which Requires Filing of Statement)</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Check the appropriate box to designate the Rule pursuant to which this</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is filed:</w:t>
      </w:r>
    </w:p>
    <w:p>
      <w:pPr>
        <w:jc w:val="both"/>
        <w:ind w:left="540" w:right="8099" w:hanging="532"/>
        <w:spacing w:after="0" w:line="323" w:lineRule="auto"/>
        <w:tabs>
          <w:tab w:leader="none" w:pos="540"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 - 1(b) Rule 13d - 1(c) Rule 13d - 1(d)</w:t>
      </w:r>
    </w:p>
    <w:p>
      <w:pPr>
        <w:spacing w:after="0" w:line="47" w:lineRule="exact"/>
        <w:rPr>
          <w:sz w:val="24"/>
          <w:szCs w:val="24"/>
          <w:color w:val="auto"/>
        </w:rPr>
      </w:pPr>
    </w:p>
    <w:p>
      <w:pPr>
        <w:ind w:left="320" w:hanging="312"/>
        <w:spacing w:after="0"/>
        <w:tabs>
          <w:tab w:leader="none" w:pos="3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Reporting Person</w:t>
      </w:r>
    </w:p>
    <w:p>
      <w:pPr>
        <w:spacing w:after="0" w:line="30" w:lineRule="exact"/>
        <w:rPr>
          <w:rFonts w:ascii="Courier New" w:cs="Courier New" w:eastAsia="Courier New" w:hAnsi="Courier New"/>
          <w:sz w:val="18"/>
          <w:szCs w:val="18"/>
          <w:color w:val="auto"/>
        </w:rPr>
      </w:pPr>
    </w:p>
    <w:p>
      <w:pPr>
        <w:ind w:left="32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T. ROWE PRICE ASSOCIATES, INC.</w:t>
      </w:r>
    </w:p>
    <w:p>
      <w:pPr>
        <w:ind w:left="3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52-0556948</w:t>
      </w:r>
    </w:p>
    <w:p>
      <w:pPr>
        <w:spacing w:after="0" w:line="169" w:lineRule="exact"/>
        <w:rPr>
          <w:rFonts w:ascii="Courier New" w:cs="Courier New" w:eastAsia="Courier New" w:hAnsi="Courier New"/>
          <w:sz w:val="18"/>
          <w:szCs w:val="18"/>
          <w:color w:val="auto"/>
        </w:rPr>
      </w:pPr>
    </w:p>
    <w:p>
      <w:pPr>
        <w:ind w:left="320" w:hanging="312"/>
        <w:spacing w:after="0"/>
        <w:tabs>
          <w:tab w:leader="none" w:pos="3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30" w:lineRule="exact"/>
        <w:rPr>
          <w:rFonts w:ascii="Courier New" w:cs="Courier New" w:eastAsia="Courier New" w:hAnsi="Courier New"/>
          <w:sz w:val="18"/>
          <w:szCs w:val="18"/>
          <w:color w:val="auto"/>
        </w:rPr>
      </w:pPr>
    </w:p>
    <w:p>
      <w:pPr>
        <w:ind w:left="3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NOT APPLICABLE</w:t>
      </w:r>
    </w:p>
    <w:p>
      <w:pPr>
        <w:spacing w:after="0" w:line="169" w:lineRule="exact"/>
        <w:rPr>
          <w:rFonts w:ascii="Courier New" w:cs="Courier New" w:eastAsia="Courier New" w:hAnsi="Courier New"/>
          <w:sz w:val="18"/>
          <w:szCs w:val="18"/>
          <w:color w:val="auto"/>
        </w:rPr>
      </w:pPr>
    </w:p>
    <w:p>
      <w:pPr>
        <w:ind w:left="320" w:hanging="312"/>
        <w:spacing w:after="0"/>
        <w:tabs>
          <w:tab w:leader="none" w:pos="3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320" w:right="6099" w:hanging="312"/>
        <w:spacing w:after="0" w:line="347" w:lineRule="auto"/>
        <w:tabs>
          <w:tab w:leader="none" w:pos="3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 Maryland</w:t>
      </w:r>
    </w:p>
    <w:p>
      <w:pPr>
        <w:spacing w:after="0" w:line="18"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Number of Shares Beneficially Owned by Each Reporting Person With</w:t>
      </w:r>
    </w:p>
    <w:p>
      <w:pPr>
        <w:spacing w:after="0" w:line="201" w:lineRule="exact"/>
        <w:rPr>
          <w:sz w:val="24"/>
          <w:szCs w:val="24"/>
          <w:color w:val="auto"/>
        </w:rPr>
      </w:pPr>
    </w:p>
    <w:tbl>
      <w:tblPr>
        <w:tblLayout w:type="fixed"/>
        <w:tblInd w:w="0" w:type="dxa"/>
        <w:tblCellMar>
          <w:top w:w="0" w:type="dxa"/>
          <w:left w:w="0" w:type="dxa"/>
          <w:bottom w:w="0" w:type="dxa"/>
          <w:right w:w="0" w:type="dxa"/>
        </w:tblCellMar>
      </w:tblPr>
      <w:tr>
        <w:trPr>
          <w:trHeight w:val="296"/>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5.</w:t>
            </w:r>
          </w:p>
        </w:tc>
        <w:tc>
          <w:tcPr>
            <w:tcW w:w="520" w:type="dxa"/>
            <w:vAlign w:val="bottom"/>
          </w:tcPr>
          <w:p>
            <w:pPr>
              <w:ind w:left="40"/>
              <w:spacing w:after="0"/>
              <w:rPr>
                <w:sz w:val="20"/>
                <w:szCs w:val="20"/>
                <w:color w:val="auto"/>
              </w:rPr>
            </w:pPr>
            <w:r>
              <w:rPr>
                <w:rFonts w:ascii="Courier New" w:cs="Courier New" w:eastAsia="Courier New" w:hAnsi="Courier New"/>
                <w:sz w:val="18"/>
                <w:szCs w:val="18"/>
                <w:color w:val="auto"/>
              </w:rPr>
              <w:t>Sole</w:t>
            </w:r>
          </w:p>
        </w:tc>
        <w:tc>
          <w:tcPr>
            <w:tcW w:w="2220" w:type="dxa"/>
            <w:vAlign w:val="bottom"/>
          </w:tcPr>
          <w:p>
            <w:pPr>
              <w:ind w:left="60"/>
              <w:spacing w:after="0"/>
              <w:rPr>
                <w:sz w:val="20"/>
                <w:szCs w:val="20"/>
                <w:color w:val="auto"/>
              </w:rPr>
            </w:pPr>
            <w:r>
              <w:rPr>
                <w:rFonts w:ascii="Courier New" w:cs="Courier New" w:eastAsia="Courier New" w:hAnsi="Courier New"/>
                <w:sz w:val="18"/>
                <w:szCs w:val="18"/>
                <w:color w:val="auto"/>
              </w:rPr>
              <w:t>Voting Power*</w:t>
            </w:r>
          </w:p>
        </w:tc>
        <w:tc>
          <w:tcPr>
            <w:tcW w:w="1200" w:type="dxa"/>
            <w:vAlign w:val="bottom"/>
          </w:tcPr>
          <w:p>
            <w:pPr>
              <w:ind w:left="140"/>
              <w:spacing w:after="0"/>
              <w:rPr>
                <w:sz w:val="20"/>
                <w:szCs w:val="20"/>
                <w:color w:val="auto"/>
              </w:rPr>
            </w:pPr>
            <w:r>
              <w:rPr>
                <w:rFonts w:ascii="Courier New" w:cs="Courier New" w:eastAsia="Courier New" w:hAnsi="Courier New"/>
                <w:sz w:val="18"/>
                <w:szCs w:val="18"/>
                <w:color w:val="auto"/>
              </w:rPr>
              <w:t>3,133,925</w:t>
            </w:r>
          </w:p>
        </w:tc>
      </w:tr>
      <w:tr>
        <w:trPr>
          <w:trHeight w:val="405"/>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6.</w:t>
            </w:r>
          </w:p>
        </w:tc>
        <w:tc>
          <w:tcPr>
            <w:tcW w:w="274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Shared Voting Power*</w:t>
            </w:r>
          </w:p>
        </w:tc>
        <w:tc>
          <w:tcPr>
            <w:tcW w:w="1200" w:type="dxa"/>
            <w:vAlign w:val="bottom"/>
          </w:tcPr>
          <w:p>
            <w:pPr>
              <w:ind w:left="140"/>
              <w:spacing w:after="0"/>
              <w:rPr>
                <w:sz w:val="20"/>
                <w:szCs w:val="20"/>
                <w:color w:val="auto"/>
              </w:rPr>
            </w:pPr>
            <w:r>
              <w:rPr>
                <w:rFonts w:ascii="Courier New" w:cs="Courier New" w:eastAsia="Courier New" w:hAnsi="Courier New"/>
                <w:sz w:val="18"/>
                <w:szCs w:val="18"/>
                <w:color w:val="auto"/>
              </w:rPr>
              <w:t>0</w:t>
            </w:r>
          </w:p>
        </w:tc>
      </w:tr>
      <w:tr>
        <w:trPr>
          <w:trHeight w:val="405"/>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7.</w:t>
            </w:r>
          </w:p>
        </w:tc>
        <w:tc>
          <w:tcPr>
            <w:tcW w:w="520" w:type="dxa"/>
            <w:vAlign w:val="bottom"/>
          </w:tcPr>
          <w:p>
            <w:pPr>
              <w:ind w:left="40"/>
              <w:spacing w:after="0"/>
              <w:rPr>
                <w:sz w:val="20"/>
                <w:szCs w:val="20"/>
                <w:color w:val="auto"/>
              </w:rPr>
            </w:pPr>
            <w:r>
              <w:rPr>
                <w:rFonts w:ascii="Courier New" w:cs="Courier New" w:eastAsia="Courier New" w:hAnsi="Courier New"/>
                <w:sz w:val="18"/>
                <w:szCs w:val="18"/>
                <w:color w:val="auto"/>
              </w:rPr>
              <w:t>Sole</w:t>
            </w:r>
          </w:p>
        </w:tc>
        <w:tc>
          <w:tcPr>
            <w:tcW w:w="2220" w:type="dxa"/>
            <w:vAlign w:val="bottom"/>
          </w:tcPr>
          <w:p>
            <w:pPr>
              <w:ind w:left="60"/>
              <w:spacing w:after="0"/>
              <w:rPr>
                <w:sz w:val="20"/>
                <w:szCs w:val="20"/>
                <w:color w:val="auto"/>
              </w:rPr>
            </w:pPr>
            <w:r>
              <w:rPr>
                <w:rFonts w:ascii="Courier New" w:cs="Courier New" w:eastAsia="Courier New" w:hAnsi="Courier New"/>
                <w:sz w:val="18"/>
                <w:szCs w:val="18"/>
                <w:color w:val="auto"/>
              </w:rPr>
              <w:t>Dispositive Power*</w:t>
            </w:r>
          </w:p>
        </w:tc>
        <w:tc>
          <w:tcPr>
            <w:tcW w:w="1200" w:type="dxa"/>
            <w:vAlign w:val="bottom"/>
          </w:tcPr>
          <w:p>
            <w:pPr>
              <w:ind w:left="140"/>
              <w:spacing w:after="0"/>
              <w:rPr>
                <w:sz w:val="20"/>
                <w:szCs w:val="20"/>
                <w:color w:val="auto"/>
              </w:rPr>
            </w:pPr>
            <w:r>
              <w:rPr>
                <w:rFonts w:ascii="Courier New" w:cs="Courier New" w:eastAsia="Courier New" w:hAnsi="Courier New"/>
                <w:sz w:val="18"/>
                <w:szCs w:val="18"/>
                <w:color w:val="auto"/>
                <w:w w:val="96"/>
              </w:rPr>
              <w:t>15,067,236</w:t>
            </w:r>
          </w:p>
        </w:tc>
      </w:tr>
      <w:tr>
        <w:trPr>
          <w:trHeight w:val="405"/>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8.</w:t>
            </w:r>
          </w:p>
        </w:tc>
        <w:tc>
          <w:tcPr>
            <w:tcW w:w="274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Shared Dispositive Power</w:t>
            </w:r>
          </w:p>
        </w:tc>
        <w:tc>
          <w:tcPr>
            <w:tcW w:w="1200" w:type="dxa"/>
            <w:vAlign w:val="bottom"/>
          </w:tcPr>
          <w:p>
            <w:pPr>
              <w:ind w:left="140"/>
              <w:spacing w:after="0"/>
              <w:rPr>
                <w:sz w:val="20"/>
                <w:szCs w:val="20"/>
                <w:color w:val="auto"/>
              </w:rPr>
            </w:pPr>
            <w:r>
              <w:rPr>
                <w:rFonts w:ascii="Courier New" w:cs="Courier New" w:eastAsia="Courier New" w:hAnsi="Courier New"/>
                <w:sz w:val="18"/>
                <w:szCs w:val="18"/>
                <w:color w:val="auto"/>
              </w:rPr>
              <w:t>0</w:t>
            </w:r>
          </w:p>
        </w:tc>
      </w:tr>
    </w:tbl>
    <w:p>
      <w:pPr>
        <w:spacing w:after="0" w:line="109" w:lineRule="exact"/>
        <w:rPr>
          <w:sz w:val="24"/>
          <w:szCs w:val="24"/>
          <w:color w:val="auto"/>
        </w:rPr>
      </w:pPr>
    </w:p>
    <w:p>
      <w:pPr>
        <w:ind w:left="320" w:right="3579" w:hanging="312"/>
        <w:spacing w:after="0" w:line="347" w:lineRule="auto"/>
        <w:tabs>
          <w:tab w:leader="none" w:pos="3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15,067,236</w:t>
      </w:r>
    </w:p>
    <w:p>
      <w:pPr>
        <w:spacing w:after="0" w:line="18"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Check Box if the Aggregate Amount in Row (9) Excludes Certain Shares</w:t>
      </w:r>
    </w:p>
    <w:p>
      <w:pPr>
        <w:spacing w:after="0" w:line="53" w:lineRule="exact"/>
        <w:rPr>
          <w:rFonts w:ascii="Courier New" w:cs="Courier New" w:eastAsia="Courier New" w:hAnsi="Courier New"/>
          <w:sz w:val="16"/>
          <w:szCs w:val="16"/>
          <w:color w:val="auto"/>
        </w:rPr>
      </w:pPr>
    </w:p>
    <w:p>
      <w:pPr>
        <w:ind w:left="860"/>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NOT APPLICABLE</w:t>
      </w:r>
    </w:p>
    <w:p>
      <w:pPr>
        <w:spacing w:after="0" w:line="169" w:lineRule="exact"/>
        <w:rPr>
          <w:rFonts w:ascii="Courier New" w:cs="Courier New" w:eastAsia="Courier New" w:hAnsi="Courier New"/>
          <w:sz w:val="16"/>
          <w:szCs w:val="16"/>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31" w:lineRule="exact"/>
        <w:rPr>
          <w:sz w:val="24"/>
          <w:szCs w:val="24"/>
          <w:color w:val="auto"/>
        </w:rPr>
      </w:pPr>
    </w:p>
    <w:p>
      <w:pPr>
        <w:ind w:left="860"/>
        <w:spacing w:after="0"/>
        <w:rPr>
          <w:sz w:val="20"/>
          <w:szCs w:val="20"/>
          <w:color w:val="auto"/>
        </w:rPr>
      </w:pPr>
      <w:r>
        <w:rPr>
          <w:rFonts w:ascii="Courier New" w:cs="Courier New" w:eastAsia="Courier New" w:hAnsi="Courier New"/>
          <w:sz w:val="18"/>
          <w:szCs w:val="18"/>
          <w:color w:val="auto"/>
        </w:rPr>
        <w:t>20.1%</w:t>
      </w:r>
    </w:p>
    <w:p>
      <w:pPr>
        <w:spacing w:after="0" w:line="169" w:lineRule="exact"/>
        <w:rPr>
          <w:sz w:val="24"/>
          <w:szCs w:val="24"/>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30" w:lineRule="exact"/>
        <w:rPr>
          <w:rFonts w:ascii="Courier New" w:cs="Courier New" w:eastAsia="Courier New" w:hAnsi="Courier New"/>
          <w:sz w:val="18"/>
          <w:szCs w:val="18"/>
          <w:color w:val="auto"/>
        </w:rPr>
      </w:pPr>
    </w:p>
    <w:p>
      <w:pPr>
        <w:ind w:left="86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IA</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*Any shares reported in Items 5 and 6 are also reported in Item 7.</w:t>
      </w:r>
    </w:p>
    <w:p>
      <w:pPr>
        <w:spacing w:after="0" w:line="200" w:lineRule="exact"/>
        <w:rPr>
          <w:sz w:val="24"/>
          <w:szCs w:val="24"/>
          <w:color w:val="auto"/>
        </w:rPr>
      </w:pPr>
    </w:p>
    <w:p>
      <w:pPr>
        <w:spacing w:after="0" w:line="204"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3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Dropbox Inc</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3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333 BRANNAN STREET, SAN FRANCISCO, CA 94107</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2(a) Name of Person(s) Filing:</w:t>
      </w:r>
    </w:p>
    <w:p>
      <w:pPr>
        <w:spacing w:after="0" w:line="3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 T. ROWE PRICE ASSOCIATES, INC. ("Price Associates")</w:t>
      </w:r>
    </w:p>
    <w:p>
      <w:pPr>
        <w:spacing w:after="0" w:line="37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2(b) Address of Principal Business Office:</w:t>
      </w:r>
    </w:p>
    <w:p>
      <w:pPr>
        <w:spacing w:after="0" w:line="3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100 E. Pratt Street, Baltimore, MD 21202</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2(c) Citizenship or Place of Organization:</w:t>
      </w:r>
    </w:p>
    <w:p>
      <w:pPr>
        <w:spacing w:after="0" w:line="3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 Maryland</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2(d) Title of Class of Securities: COMMON STOCK</w:t>
      </w:r>
    </w:p>
    <w:p>
      <w:pPr>
        <w:sectPr>
          <w:pgSz w:w="11900" w:h="16838" w:orient="portrait"/>
          <w:cols w:equalWidth="0" w:num="1">
            <w:col w:w="10219"/>
          </w:cols>
          <w:pgMar w:left="240" w:top="218" w:right="1440" w:bottom="0" w:gutter="0" w:footer="0" w:header="0"/>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Item 2(e) Cusip Number: 26210C104</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 The person filing this Schedule 13G is an:</w:t>
      </w:r>
    </w:p>
    <w:p>
      <w:pPr>
        <w:spacing w:after="0" w:line="31" w:lineRule="exact"/>
        <w:rPr>
          <w:sz w:val="20"/>
          <w:szCs w:val="20"/>
          <w:color w:val="auto"/>
        </w:rPr>
      </w:pPr>
    </w:p>
    <w:p>
      <w:pPr>
        <w:ind w:left="420" w:right="2939" w:hanging="412"/>
        <w:spacing w:after="0" w:line="309" w:lineRule="auto"/>
        <w:tabs>
          <w:tab w:leader="none" w:pos="42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Investment Adviser registered under Section 203 of the Investment Advisers Act of 1940</w:t>
      </w:r>
    </w:p>
    <w:p>
      <w:pPr>
        <w:spacing w:after="0" w:line="51" w:lineRule="exact"/>
        <w:rPr>
          <w:sz w:val="20"/>
          <w:szCs w:val="20"/>
          <w:color w:val="auto"/>
        </w:rPr>
      </w:pPr>
    </w:p>
    <w:p>
      <w:pPr>
        <w:ind w:left="860" w:right="2839" w:hanging="842"/>
        <w:spacing w:after="0" w:line="347" w:lineRule="auto"/>
        <w:rPr>
          <w:sz w:val="20"/>
          <w:szCs w:val="20"/>
          <w:color w:val="auto"/>
        </w:rPr>
      </w:pPr>
      <w:r>
        <w:rPr>
          <w:rFonts w:ascii="Courier New" w:cs="Courier New" w:eastAsia="Courier New" w:hAnsi="Courier New"/>
          <w:sz w:val="18"/>
          <w:szCs w:val="18"/>
          <w:color w:val="auto"/>
        </w:rPr>
        <w:t>Item 4: Reference is made to Items 5-11 on the preceding pages of this Schedule 13G.</w:t>
      </w:r>
    </w:p>
    <w:p>
      <w:pPr>
        <w:spacing w:after="0" w:line="1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 Ownership of Five Percent or Less of a Class</w:t>
      </w:r>
    </w:p>
    <w:p>
      <w:pPr>
        <w:spacing w:after="0" w:line="3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Not Applicable</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Five Percent on Behalf of Another Person</w:t>
      </w:r>
    </w:p>
    <w:p>
      <w:pPr>
        <w:spacing w:after="0" w:line="201" w:lineRule="exact"/>
        <w:rPr>
          <w:sz w:val="20"/>
          <w:szCs w:val="20"/>
          <w:color w:val="auto"/>
        </w:rPr>
      </w:pPr>
    </w:p>
    <w:p>
      <w:pPr>
        <w:ind w:left="860" w:right="2099" w:hanging="852"/>
        <w:spacing w:after="0" w:line="319" w:lineRule="auto"/>
        <w:tabs>
          <w:tab w:leader="none" w:pos="860" w:val="left"/>
        </w:tabs>
        <w:numPr>
          <w:ilvl w:val="0"/>
          <w:numId w:val="6"/>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Price Associates does not serve as custodian of the assets of any of its clients; accordingly, in each instance only the client or the client's custodian or trustee bank has the right to receive dividends paid with respect to, and proceeds from the sale of, such securities.</w:t>
      </w:r>
    </w:p>
    <w:p>
      <w:pPr>
        <w:spacing w:after="0" w:line="49" w:lineRule="exact"/>
        <w:rPr>
          <w:rFonts w:ascii="Courier New" w:cs="Courier New" w:eastAsia="Courier New" w:hAnsi="Courier New"/>
          <w:sz w:val="16"/>
          <w:szCs w:val="16"/>
          <w:color w:val="auto"/>
        </w:rPr>
      </w:pPr>
    </w:p>
    <w:p>
      <w:pPr>
        <w:ind w:left="860" w:right="2099"/>
        <w:spacing w:after="0" w:line="260"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The ultimate power to direct the receipt of dividends paid with respect to, and the proceeds from the sale of, such securities, is vested in the individual and institutional clients which Price Associates serves as investment adviser. Any and all discretionary authority which has been delegated to Price Associates may be revoked in whole or in part at any time.</w:t>
      </w:r>
    </w:p>
    <w:p>
      <w:pPr>
        <w:spacing w:after="0" w:line="92" w:lineRule="exact"/>
        <w:rPr>
          <w:rFonts w:ascii="Courier New" w:cs="Courier New" w:eastAsia="Courier New" w:hAnsi="Courier New"/>
          <w:sz w:val="16"/>
          <w:szCs w:val="16"/>
          <w:color w:val="auto"/>
        </w:rPr>
      </w:pPr>
    </w:p>
    <w:p>
      <w:pPr>
        <w:ind w:left="860" w:right="1999"/>
        <w:spacing w:after="0" w:line="26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Except as may be indicated if this is a joint filing with one of the registered investment companies sponsored by Price Associates which it also serves as investment adviser ("T. Rowe Price Funds"), not more than 5% of the class of such securities is owned by any one client subject to the investment advice of Price Associates.</w:t>
      </w:r>
    </w:p>
    <w:p>
      <w:pPr>
        <w:spacing w:after="0" w:line="89" w:lineRule="exact"/>
        <w:rPr>
          <w:rFonts w:ascii="Courier New" w:cs="Courier New" w:eastAsia="Courier New" w:hAnsi="Courier New"/>
          <w:sz w:val="16"/>
          <w:szCs w:val="16"/>
          <w:color w:val="auto"/>
        </w:rPr>
      </w:pPr>
    </w:p>
    <w:p>
      <w:pPr>
        <w:ind w:left="860" w:right="1999" w:hanging="852"/>
        <w:spacing w:after="0" w:line="260" w:lineRule="auto"/>
        <w:tabs>
          <w:tab w:leader="none" w:pos="86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With respect to securities owned by any one of the T. Rowe Price Funds, only the custodian for each of such Funds, has the right to receive dividends paid with respect to, and proceeds from the sale of, such securities. No other person is known to have such right, except that the shareholders of each such Fund participate proportionately in any dividends and distributions so paid.</w:t>
      </w:r>
    </w:p>
    <w:p>
      <w:pPr>
        <w:spacing w:after="0" w:line="93" w:lineRule="exact"/>
        <w:rPr>
          <w:sz w:val="20"/>
          <w:szCs w:val="20"/>
          <w:color w:val="auto"/>
        </w:rPr>
      </w:pPr>
    </w:p>
    <w:p>
      <w:pPr>
        <w:ind w:left="860" w:right="1999" w:hanging="842"/>
        <w:spacing w:after="0" w:line="257"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ind w:left="860"/>
        <w:spacing w:after="0"/>
        <w:rPr>
          <w:sz w:val="20"/>
          <w:szCs w:val="20"/>
          <w:color w:val="auto"/>
        </w:rPr>
      </w:pPr>
      <w:r>
        <w:rPr>
          <w:rFonts w:ascii="Courier New" w:cs="Courier New" w:eastAsia="Courier New" w:hAnsi="Courier New"/>
          <w:sz w:val="18"/>
          <w:szCs w:val="18"/>
          <w:color w:val="auto"/>
        </w:rPr>
        <w:t>Not Applicable</w:t>
      </w:r>
    </w:p>
    <w:p>
      <w:pPr>
        <w:spacing w:after="0" w:line="169" w:lineRule="exact"/>
        <w:rPr>
          <w:sz w:val="20"/>
          <w:szCs w:val="20"/>
          <w:color w:val="auto"/>
        </w:rPr>
      </w:pPr>
    </w:p>
    <w:p>
      <w:pPr>
        <w:ind w:left="860" w:right="3359" w:hanging="842"/>
        <w:spacing w:after="0" w:line="347" w:lineRule="auto"/>
        <w:rPr>
          <w:sz w:val="20"/>
          <w:szCs w:val="20"/>
          <w:color w:val="auto"/>
        </w:rPr>
      </w:pPr>
      <w:r>
        <w:rPr>
          <w:rFonts w:ascii="Courier New" w:cs="Courier New" w:eastAsia="Courier New" w:hAnsi="Courier New"/>
          <w:sz w:val="18"/>
          <w:szCs w:val="18"/>
          <w:color w:val="auto"/>
        </w:rPr>
        <w:t>Item 8: Identification and Classification of Members of the Group Not Applicable</w:t>
      </w:r>
    </w:p>
    <w:p>
      <w:pPr>
        <w:spacing w:after="0" w:line="1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3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Not Applicable</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w:t>
      </w:r>
    </w:p>
    <w:p>
      <w:pPr>
        <w:spacing w:after="0" w:line="31" w:lineRule="exact"/>
        <w:rPr>
          <w:sz w:val="20"/>
          <w:szCs w:val="20"/>
          <w:color w:val="auto"/>
        </w:rPr>
      </w:pPr>
    </w:p>
    <w:p>
      <w:pPr>
        <w:ind w:left="960" w:right="2099"/>
        <w:spacing w:after="0" w:line="238"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 T. Rowe Price Associates, Inc. hereby declares and affirms that the filing</w:t>
      </w:r>
    </w:p>
    <w:p>
      <w:pPr>
        <w:spacing w:after="0" w:line="3" w:lineRule="exact"/>
        <w:rPr>
          <w:sz w:val="20"/>
          <w:szCs w:val="20"/>
          <w:color w:val="auto"/>
        </w:rPr>
      </w:pPr>
    </w:p>
    <w:p>
      <w:pPr>
        <w:jc w:val="both"/>
        <w:ind w:left="960" w:right="2419"/>
        <w:spacing w:after="0" w:line="273" w:lineRule="auto"/>
        <w:rPr>
          <w:sz w:val="20"/>
          <w:szCs w:val="20"/>
          <w:color w:val="auto"/>
        </w:rPr>
      </w:pPr>
      <w:r>
        <w:rPr>
          <w:rFonts w:ascii="Courier New" w:cs="Courier New" w:eastAsia="Courier New" w:hAnsi="Courier New"/>
          <w:sz w:val="18"/>
          <w:szCs w:val="18"/>
          <w:color w:val="auto"/>
        </w:rPr>
        <w:t>of Schedule 13G shall not be construed as an admission that Price Associates is the beneficial owner of the securities referred to, which beneficial ownership is expressly denied.</w:t>
      </w:r>
    </w:p>
    <w:p>
      <w:pPr>
        <w:spacing w:after="0" w:line="82" w:lineRule="exact"/>
        <w:rPr>
          <w:sz w:val="20"/>
          <w:szCs w:val="20"/>
          <w:color w:val="auto"/>
        </w:rPr>
      </w:pPr>
    </w:p>
    <w:p>
      <w:pPr>
        <w:ind w:left="960"/>
        <w:spacing w:after="0"/>
        <w:rPr>
          <w:sz w:val="20"/>
          <w:szCs w:val="20"/>
          <w:color w:val="auto"/>
        </w:rPr>
      </w:pPr>
      <w:r>
        <w:rPr>
          <w:rFonts w:ascii="Courier New" w:cs="Courier New" w:eastAsia="Courier New" w:hAnsi="Courier New"/>
          <w:sz w:val="18"/>
          <w:szCs w:val="18"/>
          <w:color w:val="auto"/>
        </w:rPr>
        <w:t>Signature.</w:t>
      </w:r>
    </w:p>
    <w:p>
      <w:pPr>
        <w:spacing w:after="0" w:line="201" w:lineRule="exact"/>
        <w:rPr>
          <w:sz w:val="20"/>
          <w:szCs w:val="20"/>
          <w:color w:val="auto"/>
        </w:rPr>
      </w:pPr>
    </w:p>
    <w:p>
      <w:pPr>
        <w:jc w:val="both"/>
        <w:ind w:left="960" w:right="2099"/>
        <w:spacing w:after="0" w:line="292"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6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 ROWE PRICE ASSOCIATES, INC.</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 April 10, 2018</w:t>
      </w:r>
    </w:p>
    <w:p>
      <w:pPr>
        <w:spacing w:after="0" w:line="238" w:lineRule="auto"/>
        <w:rPr>
          <w:sz w:val="20"/>
          <w:szCs w:val="20"/>
          <w:color w:val="auto"/>
        </w:rPr>
      </w:pPr>
      <w:r>
        <w:rPr>
          <w:rFonts w:ascii="Courier New" w:cs="Courier New" w:eastAsia="Courier New" w:hAnsi="Courier New"/>
          <w:sz w:val="18"/>
          <w:szCs w:val="18"/>
          <w:color w:val="auto"/>
        </w:rPr>
        <w:t>Signature: /s/ David Oestreicher</w:t>
      </w:r>
    </w:p>
    <w:p>
      <w:pPr>
        <w:spacing w:after="0"/>
        <w:rPr>
          <w:sz w:val="20"/>
          <w:szCs w:val="20"/>
          <w:color w:val="auto"/>
        </w:rPr>
      </w:pPr>
      <w:r>
        <w:rPr>
          <w:rFonts w:ascii="Courier New" w:cs="Courier New" w:eastAsia="Courier New" w:hAnsi="Courier New"/>
          <w:sz w:val="18"/>
          <w:szCs w:val="18"/>
          <w:color w:val="auto"/>
        </w:rPr>
        <w:t>Name &amp; Title: David Oestreicher, Vice President</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03/31/2018</w:t>
      </w:r>
    </w:p>
    <w:sectPr>
      <w:pgSz w:w="11900" w:h="16838" w:orient="portrait"/>
      <w:cols w:equalWidth="0" w:num="1">
        <w:col w:w="10219"/>
      </w:cols>
      <w:pgMar w:left="240" w:top="312" w:right="1440" w:bottom="969"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lowerRoman"/>
      <w:start w:val="10"/>
    </w:lvl>
  </w:abstractNum>
  <w:abstractNum w:abstractNumId="1">
    <w:nsid w:val="625558EC"/>
    <w:multiLevelType w:val="hybridMultilevel"/>
    <w:lvl w:ilvl="0">
      <w:lvlJc w:val="left"/>
      <w:lvlText w:val="%1."/>
      <w:numFmt w:val="decimal"/>
      <w:start w:val="1"/>
    </w:lvl>
  </w:abstractNum>
  <w:abstractNum w:abstractNumId="2">
    <w:nsid w:val="238E1F29"/>
    <w:multiLevelType w:val="hybridMultilevel"/>
    <w:lvl w:ilvl="0">
      <w:lvlJc w:val="left"/>
      <w:lvlText w:val="%1."/>
      <w:numFmt w:val="decimal"/>
      <w:start w:val="9"/>
    </w:lvl>
  </w:abstractNum>
  <w:abstractNum w:abstractNumId="3">
    <w:nsid w:val="46E87CCD"/>
    <w:multiLevelType w:val="hybridMultilevel"/>
    <w:lvl w:ilvl="0">
      <w:lvlJc w:val="left"/>
      <w:lvlText w:val="%1."/>
      <w:numFmt w:val="decimal"/>
      <w:start w:val="12"/>
    </w:lvl>
  </w:abstractNum>
  <w:abstractNum w:abstractNumId="4">
    <w:nsid w:val="3D1B58BA"/>
    <w:multiLevelType w:val="hybridMultilevel"/>
    <w:lvl w:ilvl="0">
      <w:lvlJc w:val="left"/>
      <w:lvlText w:val="X"/>
      <w:numFmt w:val="bullet"/>
      <w:start w:val="1"/>
    </w:lvl>
  </w:abstractNum>
  <w:abstractNum w:abstractNumId="5">
    <w:nsid w:val="507ED7A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2019-12-07T16:40:01Z</dcterms:created>
  <dcterms:modified xsi:type="dcterms:W3CDTF">2019-12-07T16:40:01Z</dcterms:modified>
</cp:coreProperties>
</file>