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6035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3504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194945</wp:posOffset>
            </wp:positionV>
            <wp:extent cx="60350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67"/>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67"/>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67"/>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46990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62" w:lineRule="exact"/>
        <w:rPr>
          <w:sz w:val="24"/>
          <w:szCs w:val="24"/>
          <w:color w:val="auto"/>
        </w:rPr>
      </w:pPr>
    </w:p>
    <w:p>
      <w:pPr>
        <w:jc w:val="center"/>
        <w:ind w:right="-67"/>
        <w:spacing w:after="0"/>
        <w:rPr>
          <w:sz w:val="20"/>
          <w:szCs w:val="20"/>
          <w:color w:val="auto"/>
        </w:rPr>
      </w:pPr>
      <w:r>
        <w:rPr>
          <w:rFonts w:ascii="Arial" w:cs="Arial" w:eastAsia="Arial" w:hAnsi="Arial"/>
          <w:sz w:val="32"/>
          <w:szCs w:val="32"/>
          <w:b w:val="1"/>
          <w:bCs w:val="1"/>
          <w:color w:val="auto"/>
        </w:rPr>
        <w:t>SCHEDULE 14A</w:t>
      </w:r>
    </w:p>
    <w:p>
      <w:pPr>
        <w:spacing w:after="0" w:line="127" w:lineRule="exact"/>
        <w:rPr>
          <w:sz w:val="24"/>
          <w:szCs w:val="24"/>
          <w:color w:val="auto"/>
        </w:rPr>
      </w:pPr>
    </w:p>
    <w:p>
      <w:pPr>
        <w:jc w:val="center"/>
        <w:ind w:right="-67"/>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67"/>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2468880</wp:posOffset>
            </wp:positionH>
            <wp:positionV relativeFrom="paragraph">
              <wp:posOffset>83185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6" w:lineRule="exact"/>
        <w:rPr>
          <w:sz w:val="24"/>
          <w:szCs w:val="24"/>
          <w:color w:val="auto"/>
        </w:rPr>
      </w:pPr>
    </w:p>
    <w:p>
      <w:pPr>
        <w:ind w:left="8"/>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ind w:left="8"/>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ind w:left="8"/>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448" w:hanging="448"/>
        <w:spacing w:after="0"/>
        <w:tabs>
          <w:tab w:leader="none" w:pos="4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40" w:lineRule="exact"/>
        <w:rPr>
          <w:rFonts w:ascii="MS PGothic" w:cs="MS PGothic" w:eastAsia="MS PGothic" w:hAnsi="MS PGothic"/>
          <w:sz w:val="18"/>
          <w:szCs w:val="18"/>
          <w:color w:val="auto"/>
        </w:rPr>
      </w:pPr>
    </w:p>
    <w:p>
      <w:pPr>
        <w:ind w:left="448" w:hanging="448"/>
        <w:spacing w:after="0"/>
        <w:tabs>
          <w:tab w:leader="none" w:pos="44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48" w:lineRule="exact"/>
        <w:rPr>
          <w:sz w:val="24"/>
          <w:szCs w:val="24"/>
          <w:color w:val="auto"/>
        </w:rPr>
      </w:pPr>
    </w:p>
    <w:p>
      <w:pPr>
        <w:ind w:left="448" w:hanging="448"/>
        <w:spacing w:after="0"/>
        <w:tabs>
          <w:tab w:leader="none" w:pos="44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44" w:lineRule="exact"/>
        <w:rPr>
          <w:sz w:val="24"/>
          <w:szCs w:val="24"/>
          <w:color w:val="auto"/>
        </w:rPr>
      </w:pPr>
    </w:p>
    <w:p>
      <w:pPr>
        <w:ind w:left="448" w:hanging="448"/>
        <w:spacing w:after="0"/>
        <w:tabs>
          <w:tab w:leader="none" w:pos="448"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448" w:hanging="448"/>
        <w:spacing w:after="0"/>
        <w:tabs>
          <w:tab w:leader="none" w:pos="448"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§240.14a-2</w:t>
      </w:r>
    </w:p>
    <w:p>
      <w:pPr>
        <w:spacing w:after="0" w:line="196" w:lineRule="exact"/>
        <w:rPr>
          <w:sz w:val="24"/>
          <w:szCs w:val="24"/>
          <w:color w:val="auto"/>
        </w:rPr>
      </w:pPr>
    </w:p>
    <w:p>
      <w:pPr>
        <w:jc w:val="center"/>
        <w:ind w:right="-67"/>
        <w:spacing w:after="0"/>
        <w:rPr>
          <w:sz w:val="20"/>
          <w:szCs w:val="20"/>
          <w:color w:val="auto"/>
        </w:rPr>
      </w:pPr>
      <w:r>
        <w:rPr>
          <w:rFonts w:ascii="Arial" w:cs="Arial" w:eastAsia="Arial" w:hAnsi="Arial"/>
          <w:sz w:val="43"/>
          <w:szCs w:val="43"/>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035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59" w:lineRule="exact"/>
        <w:rPr>
          <w:sz w:val="24"/>
          <w:szCs w:val="24"/>
          <w:color w:val="auto"/>
        </w:rPr>
      </w:pPr>
    </w:p>
    <w:p>
      <w:pPr>
        <w:ind w:left="2908"/>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1" w:lineRule="exact"/>
        <w:rPr>
          <w:sz w:val="24"/>
          <w:szCs w:val="24"/>
          <w:color w:val="auto"/>
        </w:rPr>
      </w:pPr>
    </w:p>
    <w:p>
      <w:pPr>
        <w:ind w:left="8"/>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428" w:hanging="401"/>
        <w:spacing w:after="0"/>
        <w:tabs>
          <w:tab w:leader="none" w:pos="428"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428" w:hanging="401"/>
        <w:spacing w:after="0"/>
        <w:tabs>
          <w:tab w:leader="none" w:pos="428"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44" w:lineRule="exact"/>
        <w:rPr>
          <w:rFonts w:ascii="MS PGothic" w:cs="MS PGothic" w:eastAsia="MS PGothic" w:hAnsi="MS PGothic"/>
          <w:sz w:val="18"/>
          <w:szCs w:val="18"/>
          <w:color w:val="auto"/>
        </w:rPr>
      </w:pPr>
    </w:p>
    <w:p>
      <w:pPr>
        <w:ind w:left="868" w:hanging="436"/>
        <w:spacing w:after="0"/>
        <w:tabs>
          <w:tab w:leader="none" w:pos="868"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868" w:hanging="436"/>
        <w:spacing w:after="0"/>
        <w:tabs>
          <w:tab w:leader="none" w:pos="868"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868" w:right="320" w:hanging="436"/>
        <w:spacing w:after="0" w:line="277" w:lineRule="auto"/>
        <w:tabs>
          <w:tab w:leader="none" w:pos="868"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68" w:hanging="436"/>
        <w:spacing w:after="0"/>
        <w:tabs>
          <w:tab w:leader="none" w:pos="868"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868" w:hanging="436"/>
        <w:spacing w:after="0"/>
        <w:tabs>
          <w:tab w:leader="none" w:pos="868"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428" w:hanging="401"/>
        <w:spacing w:after="0"/>
        <w:tabs>
          <w:tab w:leader="none" w:pos="428"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428" w:hanging="401"/>
        <w:spacing w:after="0" w:line="263" w:lineRule="auto"/>
        <w:tabs>
          <w:tab w:leader="none" w:pos="428"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2" w:lineRule="exact"/>
        <w:rPr>
          <w:rFonts w:ascii="MS PGothic" w:cs="MS PGothic" w:eastAsia="MS PGothic" w:hAnsi="MS PGothic"/>
          <w:sz w:val="18"/>
          <w:szCs w:val="18"/>
          <w:color w:val="auto"/>
        </w:rPr>
      </w:pPr>
    </w:p>
    <w:p>
      <w:pPr>
        <w:ind w:left="868" w:hanging="436"/>
        <w:spacing w:after="0"/>
        <w:tabs>
          <w:tab w:leader="none" w:pos="868"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868" w:hanging="436"/>
        <w:spacing w:after="0"/>
        <w:tabs>
          <w:tab w:leader="none" w:pos="868"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868" w:hanging="436"/>
        <w:spacing w:after="0"/>
        <w:tabs>
          <w:tab w:leader="none" w:pos="868"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868" w:hanging="436"/>
        <w:spacing w:after="0"/>
        <w:tabs>
          <w:tab w:leader="none" w:pos="868"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-479425</wp:posOffset>
            </wp:positionH>
            <wp:positionV relativeFrom="paragraph">
              <wp:posOffset>546100</wp:posOffset>
            </wp:positionV>
            <wp:extent cx="699516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571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246380</wp:posOffset>
            </wp:positionV>
            <wp:extent cx="5486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-190500</wp:posOffset>
            </wp:positionV>
            <wp:extent cx="5486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640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-678815</wp:posOffset>
            </wp:positionV>
            <wp:extent cx="5486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640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-1167765</wp:posOffset>
            </wp:positionV>
            <wp:extent cx="5486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-2367915</wp:posOffset>
            </wp:positionV>
            <wp:extent cx="5486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640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-2856230</wp:posOffset>
            </wp:positionV>
            <wp:extent cx="5486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8640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-3345180</wp:posOffset>
            </wp:positionV>
            <wp:extent cx="5486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8640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-3970655</wp:posOffset>
            </wp:positionV>
            <wp:extent cx="54864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8640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-4459605</wp:posOffset>
            </wp:positionV>
            <wp:extent cx="5486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86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323215</wp:posOffset>
            </wp:positionV>
            <wp:extent cx="60350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50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408940</wp:posOffset>
            </wp:positionV>
            <wp:extent cx="60350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5040" cy="17145"/>
                    </a:xfrm>
                    <a:prstGeom prst="rect">
                      <a:avLst/>
                    </a:prstGeom>
                    <a:noFill/>
                  </pic:spPr>
                </pic:pic>
              </a:graphicData>
            </a:graphic>
          </wp:anchor>
        </w:drawing>
      </w:r>
    </w:p>
    <w:p>
      <w:pPr>
        <w:sectPr>
          <w:pgSz w:w="11900" w:h="16838" w:orient="portrait"/>
          <w:cols w:equalWidth="0" w:num="1">
            <w:col w:w="9428"/>
          </w:cols>
          <w:pgMar w:left="1192" w:top="225" w:right="1279" w:bottom="443" w:gutter="0" w:footer="0" w:header="0"/>
        </w:sectPr>
      </w:pPr>
    </w:p>
    <w:bookmarkStart w:id="1" w:name="page2"/>
    <w:bookmarkEnd w:id="1"/>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8" w:lineRule="exact"/>
        <w:rPr>
          <w:sz w:val="20"/>
          <w:szCs w:val="20"/>
          <w:color w:val="auto"/>
        </w:rPr>
      </w:pPr>
    </w:p>
    <w:p>
      <w:pPr>
        <w:ind w:left="7324"/>
        <w:spacing w:after="0"/>
        <w:rPr>
          <w:sz w:val="20"/>
          <w:szCs w:val="20"/>
          <w:color w:val="auto"/>
        </w:rPr>
      </w:pPr>
      <w:r>
        <w:rPr>
          <w:rFonts w:ascii="Arial" w:cs="Arial" w:eastAsia="Arial" w:hAnsi="Arial"/>
          <w:sz w:val="18"/>
          <w:szCs w:val="18"/>
          <w:color w:val="auto"/>
        </w:rPr>
        <w:t>DROPBOX, INC.</w:t>
      </w:r>
    </w:p>
    <w:p>
      <w:pPr>
        <w:ind w:left="7324"/>
        <w:spacing w:after="0" w:line="234" w:lineRule="auto"/>
        <w:rPr>
          <w:sz w:val="20"/>
          <w:szCs w:val="20"/>
          <w:color w:val="auto"/>
        </w:rPr>
      </w:pPr>
      <w:r>
        <w:rPr>
          <w:rFonts w:ascii="Arial" w:cs="Arial" w:eastAsia="Arial" w:hAnsi="Arial"/>
          <w:sz w:val="18"/>
          <w:szCs w:val="18"/>
          <w:color w:val="auto"/>
        </w:rPr>
        <w:t>1800 OWENS STREET</w:t>
      </w:r>
    </w:p>
    <w:p>
      <w:pPr>
        <w:ind w:left="7324"/>
        <w:spacing w:after="0" w:line="235" w:lineRule="auto"/>
        <w:rPr>
          <w:sz w:val="20"/>
          <w:szCs w:val="20"/>
          <w:color w:val="auto"/>
        </w:rPr>
      </w:pPr>
      <w:r>
        <w:rPr>
          <w:rFonts w:ascii="Arial" w:cs="Arial" w:eastAsia="Arial" w:hAnsi="Arial"/>
          <w:sz w:val="18"/>
          <w:szCs w:val="18"/>
          <w:color w:val="auto"/>
        </w:rPr>
        <w:t>SAN FRANCISCO,</w:t>
      </w:r>
    </w:p>
    <w:p>
      <w:pPr>
        <w:spacing w:after="0" w:line="1" w:lineRule="exact"/>
        <w:rPr>
          <w:sz w:val="20"/>
          <w:szCs w:val="20"/>
          <w:color w:val="auto"/>
        </w:rPr>
      </w:pPr>
    </w:p>
    <w:p>
      <w:pPr>
        <w:ind w:left="7324"/>
        <w:spacing w:after="0"/>
        <w:rPr>
          <w:sz w:val="20"/>
          <w:szCs w:val="20"/>
          <w:color w:val="auto"/>
        </w:rPr>
      </w:pPr>
      <w:r>
        <w:rPr>
          <w:rFonts w:ascii="Arial" w:cs="Arial" w:eastAsia="Arial" w:hAnsi="Arial"/>
          <w:sz w:val="18"/>
          <w:szCs w:val="18"/>
          <w:color w:val="auto"/>
        </w:rPr>
        <w:t>CALIFORNIA 94158</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5CB8"/>
        </w:rPr>
        <w:t>NOTICE OF ANNUAL MEETING OF STOCKHOLDERS</w:t>
      </w:r>
    </w:p>
    <w:p>
      <w:pPr>
        <w:spacing w:after="0" w:line="40" w:lineRule="exact"/>
        <w:rPr>
          <w:sz w:val="20"/>
          <w:szCs w:val="20"/>
          <w:color w:val="auto"/>
        </w:rPr>
      </w:pPr>
    </w:p>
    <w:p>
      <w:pPr>
        <w:ind w:left="4"/>
        <w:spacing w:after="0"/>
        <w:rPr>
          <w:sz w:val="20"/>
          <w:szCs w:val="20"/>
          <w:color w:val="auto"/>
        </w:rPr>
      </w:pPr>
      <w:r>
        <w:rPr>
          <w:rFonts w:ascii="Arial" w:cs="Arial" w:eastAsia="Arial" w:hAnsi="Arial"/>
          <w:sz w:val="29"/>
          <w:szCs w:val="29"/>
          <w:b w:val="1"/>
          <w:bCs w:val="1"/>
          <w:color w:val="005CB8"/>
        </w:rPr>
        <w:t>to be held at 9:00 am Pacific Time on Thursday, May 21, 2020</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Dear Stockholders of Dropbox, Inc.:</w:t>
      </w:r>
    </w:p>
    <w:p>
      <w:pPr>
        <w:spacing w:after="0" w:line="147" w:lineRule="exact"/>
        <w:rPr>
          <w:sz w:val="20"/>
          <w:szCs w:val="20"/>
          <w:color w:val="auto"/>
        </w:rPr>
      </w:pPr>
    </w:p>
    <w:p>
      <w:pPr>
        <w:ind w:left="4" w:right="80"/>
        <w:spacing w:after="0" w:line="259" w:lineRule="auto"/>
        <w:rPr>
          <w:sz w:val="20"/>
          <w:szCs w:val="20"/>
          <w:color w:val="auto"/>
        </w:rPr>
      </w:pPr>
      <w:r>
        <w:rPr>
          <w:rFonts w:ascii="Arial" w:cs="Arial" w:eastAsia="Arial" w:hAnsi="Arial"/>
          <w:sz w:val="16"/>
          <w:szCs w:val="16"/>
          <w:color w:val="auto"/>
        </w:rPr>
        <w:t>We cordially invite you to attend the 2020 annual meeting of stockholders (the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of Dropbox, Inc., a Delaware corporation, to be held on May 21, 2020 at 9:00 am Pacific Time. The Annual Meeting will be conducted virtually via live audio webcast. You will be able to attend the Annual Meeting virtually by visiting www.virtualshareholdermeeting.com/DBX2020, where you will be able to listen to the meeting live, submit questions and vote online.</w:t>
      </w:r>
    </w:p>
    <w:p>
      <w:pPr>
        <w:spacing w:after="0" w:line="144" w:lineRule="exact"/>
        <w:rPr>
          <w:sz w:val="20"/>
          <w:szCs w:val="20"/>
          <w:color w:val="auto"/>
        </w:rPr>
      </w:pPr>
    </w:p>
    <w:p>
      <w:pPr>
        <w:ind w:left="4" w:right="200"/>
        <w:spacing w:after="0" w:line="260" w:lineRule="auto"/>
        <w:rPr>
          <w:sz w:val="20"/>
          <w:szCs w:val="20"/>
          <w:color w:val="auto"/>
        </w:rPr>
      </w:pPr>
      <w:r>
        <w:rPr>
          <w:rFonts w:ascii="Arial" w:cs="Arial" w:eastAsia="Arial" w:hAnsi="Arial"/>
          <w:sz w:val="16"/>
          <w:szCs w:val="16"/>
          <w:color w:val="auto"/>
        </w:rPr>
        <w:t>Whether or not you attend the Annual Meeting, it is important that your shares be represented and voted at the meeting. Therefore, we urge you to promptly vote and submit your proxy via the Internet, by telephone or by mail.</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6"/>
          <w:szCs w:val="16"/>
          <w:color w:val="auto"/>
        </w:rPr>
        <w:t>We are holding the Annual Meeting for the following purposes, as more fully described in the accompanying proxy statement:</w:t>
      </w:r>
    </w:p>
    <w:p>
      <w:pPr>
        <w:spacing w:after="0" w:line="167" w:lineRule="exact"/>
        <w:rPr>
          <w:sz w:val="20"/>
          <w:szCs w:val="20"/>
          <w:color w:val="auto"/>
        </w:rPr>
      </w:pPr>
    </w:p>
    <w:p>
      <w:pPr>
        <w:ind w:left="344" w:right="340" w:hanging="344"/>
        <w:spacing w:after="0" w:line="260" w:lineRule="auto"/>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eight directors to serve until the next annual meeting of stockholders and until their successors are duly elected and qualified;</w:t>
      </w:r>
    </w:p>
    <w:p>
      <w:pPr>
        <w:spacing w:after="0" w:line="141" w:lineRule="exact"/>
        <w:rPr>
          <w:rFonts w:ascii="Arial" w:cs="Arial" w:eastAsia="Arial" w:hAnsi="Arial"/>
          <w:sz w:val="16"/>
          <w:szCs w:val="16"/>
          <w:color w:val="auto"/>
        </w:rPr>
      </w:pPr>
    </w:p>
    <w:p>
      <w:pPr>
        <w:ind w:left="344" w:right="220" w:hanging="344"/>
        <w:spacing w:after="0" w:line="260" w:lineRule="auto"/>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our fiscal year ending December 31, 2020;</w:t>
      </w:r>
    </w:p>
    <w:p>
      <w:pPr>
        <w:spacing w:after="0" w:line="141" w:lineRule="exact"/>
        <w:rPr>
          <w:rFonts w:ascii="Arial" w:cs="Arial" w:eastAsia="Arial" w:hAnsi="Arial"/>
          <w:sz w:val="16"/>
          <w:szCs w:val="16"/>
          <w:color w:val="auto"/>
        </w:rPr>
      </w:pPr>
    </w:p>
    <w:p>
      <w:pPr>
        <w:ind w:left="344" w:hanging="344"/>
        <w:spacing w:after="0"/>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on an advisory basis, the compensation of our named executive officers; and</w:t>
      </w:r>
    </w:p>
    <w:p>
      <w:pPr>
        <w:spacing w:after="0" w:line="167" w:lineRule="exact"/>
        <w:rPr>
          <w:rFonts w:ascii="Arial" w:cs="Arial" w:eastAsia="Arial" w:hAnsi="Arial"/>
          <w:sz w:val="16"/>
          <w:szCs w:val="16"/>
          <w:color w:val="auto"/>
        </w:rPr>
      </w:pPr>
    </w:p>
    <w:p>
      <w:pPr>
        <w:ind w:left="344" w:right="480" w:hanging="344"/>
        <w:spacing w:after="0" w:line="260" w:lineRule="auto"/>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adjournments or postponements thereof.</w:t>
      </w:r>
    </w:p>
    <w:p>
      <w:pPr>
        <w:spacing w:after="0" w:line="141" w:lineRule="exact"/>
        <w:rPr>
          <w:sz w:val="20"/>
          <w:szCs w:val="20"/>
          <w:color w:val="auto"/>
        </w:rPr>
      </w:pPr>
    </w:p>
    <w:p>
      <w:pPr>
        <w:jc w:val="both"/>
        <w:ind w:left="4" w:right="100"/>
        <w:spacing w:after="0" w:line="253" w:lineRule="auto"/>
        <w:rPr>
          <w:sz w:val="20"/>
          <w:szCs w:val="20"/>
          <w:color w:val="auto"/>
        </w:rPr>
      </w:pPr>
      <w:r>
        <w:rPr>
          <w:rFonts w:ascii="Arial" w:cs="Arial" w:eastAsia="Arial" w:hAnsi="Arial"/>
          <w:sz w:val="16"/>
          <w:szCs w:val="16"/>
          <w:color w:val="auto"/>
        </w:rPr>
        <w:t>Our board of directors has fixed the close of business on March 23, 2020 as the record date for the Annual Meeting. Stockholders of record on March 23, 2020 are entitled to notice of and to vote at the Annual Meeting. Further information regarding voting rights and the matters to be voted upon is presented in the accompanying proxy statement.</w:t>
      </w:r>
    </w:p>
    <w:p>
      <w:pPr>
        <w:spacing w:after="0" w:line="147" w:lineRule="exact"/>
        <w:rPr>
          <w:sz w:val="20"/>
          <w:szCs w:val="20"/>
          <w:color w:val="auto"/>
        </w:rPr>
      </w:pPr>
    </w:p>
    <w:p>
      <w:pPr>
        <w:ind w:left="4" w:right="340"/>
        <w:spacing w:after="0" w:line="260" w:lineRule="auto"/>
        <w:rPr>
          <w:sz w:val="20"/>
          <w:szCs w:val="20"/>
          <w:color w:val="auto"/>
        </w:rPr>
      </w:pPr>
      <w:r>
        <w:rPr>
          <w:rFonts w:ascii="Arial" w:cs="Arial" w:eastAsia="Arial" w:hAnsi="Arial"/>
          <w:sz w:val="16"/>
          <w:szCs w:val="16"/>
          <w:color w:val="auto"/>
        </w:rPr>
        <w:t>The accompanying proxy statement and our annual report can be accessed by visiting: www.proxyvote.com. You will be asked to enter the 16-digit control number located on your proxy card.</w:t>
      </w:r>
    </w:p>
    <w:p>
      <w:pPr>
        <w:spacing w:after="0" w:line="121" w:lineRule="exact"/>
        <w:rPr>
          <w:sz w:val="20"/>
          <w:szCs w:val="20"/>
          <w:color w:val="auto"/>
        </w:rPr>
      </w:pPr>
    </w:p>
    <w:p>
      <w:pPr>
        <w:ind w:left="4"/>
        <w:spacing w:after="0" w:line="259" w:lineRule="auto"/>
        <w:rPr>
          <w:sz w:val="20"/>
          <w:szCs w:val="20"/>
          <w:color w:val="auto"/>
        </w:rPr>
      </w:pPr>
      <w:r>
        <w:rPr>
          <w:rFonts w:ascii="Arial" w:cs="Arial" w:eastAsia="Arial" w:hAnsi="Arial"/>
          <w:sz w:val="16"/>
          <w:szCs w:val="16"/>
          <w:b w:val="1"/>
          <w:bCs w:val="1"/>
          <w:color w:val="auto"/>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Annual Meeting and to vote your shares at the Annual Meeting.</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4"/>
        <w:spacing w:after="0"/>
        <w:rPr>
          <w:sz w:val="20"/>
          <w:szCs w:val="20"/>
          <w:color w:val="auto"/>
        </w:rPr>
      </w:pPr>
      <w:r>
        <w:rPr>
          <w:rFonts w:ascii="Arial" w:cs="Arial" w:eastAsia="Arial" w:hAnsi="Arial"/>
          <w:sz w:val="16"/>
          <w:szCs w:val="16"/>
          <w:b w:val="1"/>
          <w:bCs w:val="1"/>
          <w:color w:val="auto"/>
        </w:rPr>
        <w:t>Andrew W. Houston</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6"/>
          <w:szCs w:val="16"/>
          <w:color w:val="auto"/>
        </w:rPr>
        <w:t>Chief Executive Officer, Co-Founder, and Chairman of the Board</w:t>
      </w:r>
    </w:p>
    <w:p>
      <w:pPr>
        <w:spacing w:after="0" w:line="5" w:lineRule="exact"/>
        <w:rPr>
          <w:sz w:val="20"/>
          <w:szCs w:val="20"/>
          <w:color w:val="auto"/>
        </w:rPr>
      </w:pPr>
    </w:p>
    <w:p>
      <w:pPr>
        <w:ind w:left="4"/>
        <w:spacing w:after="0"/>
        <w:rPr>
          <w:sz w:val="20"/>
          <w:szCs w:val="20"/>
          <w:color w:val="auto"/>
        </w:rPr>
      </w:pPr>
      <w:r>
        <w:rPr>
          <w:rFonts w:ascii="Arial" w:cs="Arial" w:eastAsia="Arial" w:hAnsi="Arial"/>
          <w:sz w:val="16"/>
          <w:szCs w:val="16"/>
          <w:color w:val="auto"/>
        </w:rPr>
        <w:t>San Francisco, California</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April 7, 2020</w:t>
      </w:r>
    </w:p>
    <w:p>
      <w:pPr>
        <w:spacing w:after="0" w:line="206" w:lineRule="exact"/>
        <w:rPr>
          <w:sz w:val="20"/>
          <w:szCs w:val="20"/>
          <w:color w:val="auto"/>
        </w:rPr>
      </w:pPr>
    </w:p>
    <w:p>
      <w:pPr>
        <w:ind w:left="4204"/>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 w:name="page3"/>
    <w:bookmarkEnd w:id="2"/>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TABLE OF CONTENTS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005CB8"/>
              </w:rPr>
              <w:t>Page</w:t>
            </w:r>
          </w:p>
        </w:tc>
        <w:tc>
          <w:tcPr>
            <w:tcW w:w="0" w:type="dxa"/>
            <w:vAlign w:val="bottom"/>
          </w:tcPr>
          <w:p>
            <w:pPr>
              <w:spacing w:after="0"/>
              <w:rPr>
                <w:sz w:val="1"/>
                <w:szCs w:val="1"/>
                <w:color w:val="auto"/>
              </w:rPr>
            </w:pPr>
          </w:p>
        </w:tc>
      </w:tr>
      <w:tr>
        <w:trPr>
          <w:trHeight w:val="80"/>
        </w:trPr>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9"/>
        </w:trPr>
        <w:tc>
          <w:tcPr>
            <w:tcW w:w="760" w:type="dxa"/>
            <w:vAlign w:val="bottom"/>
          </w:tcPr>
          <w:p>
            <w:pPr>
              <w:spacing w:after="0"/>
              <w:rPr>
                <w:sz w:val="24"/>
                <w:szCs w:val="24"/>
                <w:color w:val="auto"/>
              </w:rPr>
            </w:pPr>
          </w:p>
        </w:tc>
        <w:tc>
          <w:tcPr>
            <w:tcW w:w="9140" w:type="dxa"/>
            <w:vAlign w:val="bottom"/>
            <w:gridSpan w:val="9"/>
          </w:tcPr>
          <w:p>
            <w:pPr>
              <w:spacing w:after="0"/>
              <w:rPr>
                <w:rFonts w:ascii="Arial" w:cs="Arial" w:eastAsia="Arial" w:hAnsi="Arial"/>
                <w:sz w:val="22"/>
                <w:szCs w:val="22"/>
                <w:b w:val="1"/>
                <w:bCs w:val="1"/>
                <w:u w:val="single" w:color="auto"/>
                <w:color w:val="0000EE"/>
              </w:rPr>
            </w:pPr>
            <w:hyperlink w:anchor="page5">
              <w:r>
                <w:rPr>
                  <w:rFonts w:ascii="Arial" w:cs="Arial" w:eastAsia="Arial" w:hAnsi="Arial"/>
                  <w:sz w:val="22"/>
                  <w:szCs w:val="22"/>
                  <w:b w:val="1"/>
                  <w:bCs w:val="1"/>
                  <w:u w:val="single" w:color="auto"/>
                  <w:color w:val="0000EE"/>
                </w:rPr>
                <w:t>GENERAL INFORMATION</w:t>
              </w:r>
            </w:hyperlink>
          </w:p>
        </w:tc>
        <w:tc>
          <w:tcPr>
            <w:tcW w:w="280" w:type="dxa"/>
            <w:vAlign w:val="bottom"/>
            <w:gridSpan w:val="2"/>
          </w:tcPr>
          <w:p>
            <w:pPr>
              <w:jc w:val="right"/>
              <w:spacing w:after="0"/>
              <w:rPr>
                <w:rFonts w:ascii="Arial" w:cs="Arial" w:eastAsia="Arial" w:hAnsi="Arial"/>
                <w:sz w:val="22"/>
                <w:szCs w:val="22"/>
                <w:b w:val="1"/>
                <w:bCs w:val="1"/>
                <w:color w:val="0000EE"/>
              </w:rPr>
            </w:pPr>
            <w:hyperlink w:anchor="page5">
              <w:r>
                <w:rPr>
                  <w:rFonts w:ascii="Arial" w:cs="Arial" w:eastAsia="Arial" w:hAnsi="Arial"/>
                  <w:sz w:val="22"/>
                  <w:szCs w:val="22"/>
                  <w:b w:val="1"/>
                  <w:bCs w:val="1"/>
                  <w:color w:val="0000EE"/>
                </w:rPr>
                <w:t>1</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760" w:type="dxa"/>
            <w:vAlign w:val="bottom"/>
          </w:tcPr>
          <w:p>
            <w:pPr>
              <w:spacing w:after="0"/>
              <w:rPr>
                <w:sz w:val="24"/>
                <w:szCs w:val="24"/>
                <w:color w:val="auto"/>
              </w:rPr>
            </w:pPr>
          </w:p>
        </w:tc>
        <w:tc>
          <w:tcPr>
            <w:tcW w:w="9140" w:type="dxa"/>
            <w:vAlign w:val="bottom"/>
            <w:gridSpan w:val="9"/>
          </w:tcPr>
          <w:p>
            <w:pPr>
              <w:spacing w:after="0"/>
              <w:rPr>
                <w:rFonts w:ascii="Arial" w:cs="Arial" w:eastAsia="Arial" w:hAnsi="Arial"/>
                <w:sz w:val="22"/>
                <w:szCs w:val="22"/>
                <w:b w:val="1"/>
                <w:bCs w:val="1"/>
                <w:u w:val="single" w:color="auto"/>
                <w:color w:val="0000EE"/>
              </w:rPr>
            </w:pPr>
            <w:hyperlink w:anchor="page11">
              <w:r>
                <w:rPr>
                  <w:rFonts w:ascii="Arial" w:cs="Arial" w:eastAsia="Arial" w:hAnsi="Arial"/>
                  <w:sz w:val="22"/>
                  <w:szCs w:val="22"/>
                  <w:b w:val="1"/>
                  <w:bCs w:val="1"/>
                  <w:u w:val="single" w:color="auto"/>
                  <w:color w:val="0000EE"/>
                </w:rPr>
                <w:t>BOARD OF DIRECTORS AND CORPORATE GOVERNANCE</w:t>
              </w:r>
            </w:hyperlink>
          </w:p>
        </w:tc>
        <w:tc>
          <w:tcPr>
            <w:tcW w:w="280" w:type="dxa"/>
            <w:vAlign w:val="bottom"/>
            <w:gridSpan w:val="2"/>
          </w:tcPr>
          <w:p>
            <w:pPr>
              <w:jc w:val="right"/>
              <w:spacing w:after="0"/>
              <w:rPr>
                <w:rFonts w:ascii="Arial" w:cs="Arial" w:eastAsia="Arial" w:hAnsi="Arial"/>
                <w:sz w:val="22"/>
                <w:szCs w:val="22"/>
                <w:b w:val="1"/>
                <w:bCs w:val="1"/>
                <w:color w:val="0000EE"/>
              </w:rPr>
            </w:pPr>
            <w:hyperlink w:anchor="page11">
              <w:r>
                <w:rPr>
                  <w:rFonts w:ascii="Arial" w:cs="Arial" w:eastAsia="Arial" w:hAnsi="Arial"/>
                  <w:sz w:val="22"/>
                  <w:szCs w:val="22"/>
                  <w:b w:val="1"/>
                  <w:bCs w:val="1"/>
                  <w:color w:val="0000EE"/>
                </w:rPr>
                <w:t>7</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Nominees for Director</w:t>
              </w:r>
            </w:hyperlink>
          </w:p>
        </w:tc>
        <w:tc>
          <w:tcPr>
            <w:tcW w:w="200" w:type="dxa"/>
            <w:vAlign w:val="bottom"/>
          </w:tcPr>
          <w:p>
            <w:pPr>
              <w:spacing w:after="0"/>
              <w:rPr>
                <w:sz w:val="24"/>
                <w:szCs w:val="24"/>
                <w:color w:val="auto"/>
              </w:rPr>
            </w:pPr>
          </w:p>
        </w:tc>
        <w:tc>
          <w:tcPr>
            <w:tcW w:w="80" w:type="dxa"/>
            <w:vAlign w:val="bottom"/>
            <w:tcBorders>
              <w:top w:val="single" w:sz="8" w:color="0000EE"/>
            </w:tcBorders>
          </w:tcPr>
          <w:p>
            <w:pPr>
              <w:jc w:val="right"/>
              <w:spacing w:after="0"/>
              <w:rPr>
                <w:rFonts w:ascii="Arial" w:cs="Arial" w:eastAsia="Arial" w:hAnsi="Arial"/>
                <w:sz w:val="15"/>
                <w:szCs w:val="15"/>
                <w:b w:val="1"/>
                <w:bCs w:val="1"/>
                <w:color w:val="0000EE"/>
                <w:w w:val="71"/>
              </w:rPr>
            </w:pPr>
            <w:hyperlink w:anchor="page12">
              <w:r>
                <w:rPr>
                  <w:rFonts w:ascii="Arial" w:cs="Arial" w:eastAsia="Arial" w:hAnsi="Arial"/>
                  <w:sz w:val="15"/>
                  <w:szCs w:val="15"/>
                  <w:b w:val="1"/>
                  <w:bCs w:val="1"/>
                  <w:color w:val="0000EE"/>
                  <w:w w:val="71"/>
                </w:rPr>
                <w:t>8</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Non-Continuing Directors</w:t>
              </w:r>
            </w:hyperlink>
          </w:p>
        </w:tc>
        <w:tc>
          <w:tcPr>
            <w:tcW w:w="280" w:type="dxa"/>
            <w:vAlign w:val="bottom"/>
            <w:gridSpan w:val="2"/>
          </w:tcPr>
          <w:p>
            <w:pPr>
              <w:jc w:val="right"/>
              <w:spacing w:after="0"/>
              <w:rPr>
                <w:rFonts w:ascii="Arial" w:cs="Arial" w:eastAsia="Arial" w:hAnsi="Arial"/>
                <w:sz w:val="16"/>
                <w:szCs w:val="16"/>
                <w:b w:val="1"/>
                <w:bCs w:val="1"/>
                <w:color w:val="0000EE"/>
              </w:rPr>
            </w:pPr>
            <w:hyperlink w:anchor="page13">
              <w:r>
                <w:rPr>
                  <w:rFonts w:ascii="Arial" w:cs="Arial" w:eastAsia="Arial" w:hAnsi="Arial"/>
                  <w:sz w:val="16"/>
                  <w:szCs w:val="16"/>
                  <w:b w:val="1"/>
                  <w:bCs w:val="1"/>
                  <w:color w:val="0000EE"/>
                </w:rPr>
                <w:t>9</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Director Independence</w:t>
              </w:r>
            </w:hyperlink>
          </w:p>
        </w:tc>
        <w:tc>
          <w:tcPr>
            <w:tcW w:w="280" w:type="dxa"/>
            <w:vAlign w:val="bottom"/>
            <w:gridSpan w:val="2"/>
          </w:tcPr>
          <w:p>
            <w:pPr>
              <w:jc w:val="right"/>
              <w:spacing w:after="0"/>
              <w:rPr>
                <w:rFonts w:ascii="Arial" w:cs="Arial" w:eastAsia="Arial" w:hAnsi="Arial"/>
                <w:sz w:val="16"/>
                <w:szCs w:val="16"/>
                <w:b w:val="1"/>
                <w:bCs w:val="1"/>
                <w:color w:val="0000EE"/>
              </w:rPr>
            </w:pPr>
            <w:hyperlink w:anchor="page13">
              <w:r>
                <w:rPr>
                  <w:rFonts w:ascii="Arial" w:cs="Arial" w:eastAsia="Arial" w:hAnsi="Arial"/>
                  <w:sz w:val="16"/>
                  <w:szCs w:val="16"/>
                  <w:b w:val="1"/>
                  <w:bCs w:val="1"/>
                  <w:color w:val="0000EE"/>
                </w:rPr>
                <w:t>9</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14">
              <w:r>
                <w:rPr>
                  <w:rFonts w:ascii="Arial" w:cs="Arial" w:eastAsia="Arial" w:hAnsi="Arial"/>
                  <w:sz w:val="16"/>
                  <w:szCs w:val="16"/>
                  <w:u w:val="single" w:color="auto"/>
                  <w:color w:val="0000EE"/>
                </w:rPr>
                <w:t>Board Leadership Structure and Role of the Lead Independent Director</w:t>
              </w:r>
            </w:hyperlink>
          </w:p>
        </w:tc>
        <w:tc>
          <w:tcPr>
            <w:tcW w:w="280" w:type="dxa"/>
            <w:vAlign w:val="bottom"/>
            <w:gridSpan w:val="2"/>
          </w:tcPr>
          <w:p>
            <w:pPr>
              <w:jc w:val="right"/>
              <w:spacing w:after="0"/>
              <w:rPr>
                <w:rFonts w:ascii="Arial" w:cs="Arial" w:eastAsia="Arial" w:hAnsi="Arial"/>
                <w:sz w:val="16"/>
                <w:szCs w:val="16"/>
                <w:b w:val="1"/>
                <w:bCs w:val="1"/>
                <w:u w:val="single" w:color="auto"/>
                <w:color w:val="0000EE"/>
              </w:rPr>
            </w:pPr>
            <w:hyperlink w:anchor="page14">
              <w:r>
                <w:rPr>
                  <w:rFonts w:ascii="Arial" w:cs="Arial" w:eastAsia="Arial" w:hAnsi="Arial"/>
                  <w:sz w:val="16"/>
                  <w:szCs w:val="16"/>
                  <w:b w:val="1"/>
                  <w:bCs w:val="1"/>
                  <w:u w:val="single" w:color="auto"/>
                  <w:color w:val="0000EE"/>
                </w:rPr>
                <w:t>10</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Board Committees</w:t>
              </w:r>
            </w:hyperlink>
          </w:p>
        </w:tc>
        <w:tc>
          <w:tcPr>
            <w:tcW w:w="280" w:type="dxa"/>
            <w:vAlign w:val="bottom"/>
            <w:gridSpan w:val="2"/>
          </w:tcPr>
          <w:p>
            <w:pPr>
              <w:jc w:val="right"/>
              <w:spacing w:after="0"/>
              <w:rPr>
                <w:rFonts w:ascii="Arial" w:cs="Arial" w:eastAsia="Arial" w:hAnsi="Arial"/>
                <w:sz w:val="16"/>
                <w:szCs w:val="16"/>
                <w:b w:val="1"/>
                <w:bCs w:val="1"/>
                <w:u w:val="single" w:color="auto"/>
                <w:color w:val="0000EE"/>
              </w:rPr>
            </w:pPr>
            <w:hyperlink w:anchor="page15">
              <w:r>
                <w:rPr>
                  <w:rFonts w:ascii="Arial" w:cs="Arial" w:eastAsia="Arial" w:hAnsi="Arial"/>
                  <w:sz w:val="16"/>
                  <w:szCs w:val="16"/>
                  <w:b w:val="1"/>
                  <w:bCs w:val="1"/>
                  <w:u w:val="single" w:color="auto"/>
                  <w:color w:val="0000EE"/>
                </w:rPr>
                <w:t>11</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Attendance at Board and Stockholder Meetings</w:t>
              </w:r>
            </w:hyperlink>
          </w:p>
        </w:tc>
        <w:tc>
          <w:tcPr>
            <w:tcW w:w="280" w:type="dxa"/>
            <w:vAlign w:val="bottom"/>
            <w:gridSpan w:val="2"/>
          </w:tcPr>
          <w:p>
            <w:pPr>
              <w:jc w:val="right"/>
              <w:spacing w:after="0"/>
              <w:rPr>
                <w:rFonts w:ascii="Arial" w:cs="Arial" w:eastAsia="Arial" w:hAnsi="Arial"/>
                <w:sz w:val="16"/>
                <w:szCs w:val="16"/>
                <w:b w:val="1"/>
                <w:bCs w:val="1"/>
                <w:u w:val="single" w:color="auto"/>
                <w:color w:val="0000EE"/>
              </w:rPr>
            </w:pPr>
            <w:hyperlink w:anchor="page16">
              <w:r>
                <w:rPr>
                  <w:rFonts w:ascii="Arial" w:cs="Arial" w:eastAsia="Arial" w:hAnsi="Arial"/>
                  <w:sz w:val="16"/>
                  <w:szCs w:val="16"/>
                  <w:b w:val="1"/>
                  <w:bCs w:val="1"/>
                  <w:u w:val="single" w:color="auto"/>
                  <w:color w:val="0000EE"/>
                </w:rPr>
                <w:t>12</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Compensation Committee Interlocks and Insider Participation</w:t>
              </w:r>
            </w:hyperlink>
          </w:p>
        </w:tc>
        <w:tc>
          <w:tcPr>
            <w:tcW w:w="280" w:type="dxa"/>
            <w:vAlign w:val="bottom"/>
            <w:gridSpan w:val="2"/>
          </w:tcPr>
          <w:p>
            <w:pPr>
              <w:jc w:val="right"/>
              <w:spacing w:after="0"/>
              <w:rPr>
                <w:rFonts w:ascii="Arial" w:cs="Arial" w:eastAsia="Arial" w:hAnsi="Arial"/>
                <w:sz w:val="16"/>
                <w:szCs w:val="16"/>
                <w:b w:val="1"/>
                <w:bCs w:val="1"/>
                <w:u w:val="single" w:color="auto"/>
                <w:color w:val="0000EE"/>
              </w:rPr>
            </w:pPr>
            <w:hyperlink w:anchor="page16">
              <w:r>
                <w:rPr>
                  <w:rFonts w:ascii="Arial" w:cs="Arial" w:eastAsia="Arial" w:hAnsi="Arial"/>
                  <w:sz w:val="16"/>
                  <w:szCs w:val="16"/>
                  <w:b w:val="1"/>
                  <w:bCs w:val="1"/>
                  <w:u w:val="single" w:color="auto"/>
                  <w:color w:val="0000EE"/>
                </w:rPr>
                <w:t>12</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Considerations in Evaluating Director Nominees</w:t>
              </w:r>
            </w:hyperlink>
          </w:p>
        </w:tc>
        <w:tc>
          <w:tcPr>
            <w:tcW w:w="280" w:type="dxa"/>
            <w:vAlign w:val="bottom"/>
            <w:gridSpan w:val="2"/>
          </w:tcPr>
          <w:p>
            <w:pPr>
              <w:jc w:val="right"/>
              <w:spacing w:after="0"/>
              <w:rPr>
                <w:rFonts w:ascii="Arial" w:cs="Arial" w:eastAsia="Arial" w:hAnsi="Arial"/>
                <w:sz w:val="16"/>
                <w:szCs w:val="16"/>
                <w:b w:val="1"/>
                <w:bCs w:val="1"/>
                <w:u w:val="single" w:color="auto"/>
                <w:color w:val="0000EE"/>
              </w:rPr>
            </w:pPr>
            <w:hyperlink w:anchor="page17">
              <w:r>
                <w:rPr>
                  <w:rFonts w:ascii="Arial" w:cs="Arial" w:eastAsia="Arial" w:hAnsi="Arial"/>
                  <w:sz w:val="16"/>
                  <w:szCs w:val="16"/>
                  <w:b w:val="1"/>
                  <w:bCs w:val="1"/>
                  <w:u w:val="single" w:color="auto"/>
                  <w:color w:val="0000EE"/>
                </w:rPr>
                <w:t>13</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Stockholder Recommendations and Nominations to the Board of Directors</w:t>
              </w:r>
            </w:hyperlink>
          </w:p>
        </w:tc>
        <w:tc>
          <w:tcPr>
            <w:tcW w:w="280" w:type="dxa"/>
            <w:vAlign w:val="bottom"/>
            <w:gridSpan w:val="2"/>
          </w:tcPr>
          <w:p>
            <w:pPr>
              <w:jc w:val="right"/>
              <w:spacing w:after="0"/>
              <w:rPr>
                <w:rFonts w:ascii="Arial" w:cs="Arial" w:eastAsia="Arial" w:hAnsi="Arial"/>
                <w:sz w:val="16"/>
                <w:szCs w:val="16"/>
                <w:b w:val="1"/>
                <w:bCs w:val="1"/>
                <w:u w:val="single" w:color="auto"/>
                <w:color w:val="0000EE"/>
              </w:rPr>
            </w:pPr>
            <w:hyperlink w:anchor="page17">
              <w:r>
                <w:rPr>
                  <w:rFonts w:ascii="Arial" w:cs="Arial" w:eastAsia="Arial" w:hAnsi="Arial"/>
                  <w:sz w:val="16"/>
                  <w:szCs w:val="16"/>
                  <w:b w:val="1"/>
                  <w:bCs w:val="1"/>
                  <w:u w:val="single" w:color="auto"/>
                  <w:color w:val="0000EE"/>
                </w:rPr>
                <w:t>13</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Communications with the Board of Directors</w:t>
              </w:r>
            </w:hyperlink>
          </w:p>
        </w:tc>
        <w:tc>
          <w:tcPr>
            <w:tcW w:w="280" w:type="dxa"/>
            <w:vAlign w:val="bottom"/>
            <w:gridSpan w:val="2"/>
          </w:tcPr>
          <w:p>
            <w:pPr>
              <w:jc w:val="right"/>
              <w:spacing w:after="0"/>
              <w:rPr>
                <w:rFonts w:ascii="Arial" w:cs="Arial" w:eastAsia="Arial" w:hAnsi="Arial"/>
                <w:sz w:val="16"/>
                <w:szCs w:val="16"/>
                <w:b w:val="1"/>
                <w:bCs w:val="1"/>
                <w:u w:val="single" w:color="auto"/>
                <w:color w:val="0000EE"/>
              </w:rPr>
            </w:pPr>
            <w:hyperlink w:anchor="page18">
              <w:r>
                <w:rPr>
                  <w:rFonts w:ascii="Arial" w:cs="Arial" w:eastAsia="Arial" w:hAnsi="Arial"/>
                  <w:sz w:val="16"/>
                  <w:szCs w:val="16"/>
                  <w:b w:val="1"/>
                  <w:bCs w:val="1"/>
                  <w:u w:val="single" w:color="auto"/>
                  <w:color w:val="0000EE"/>
                </w:rPr>
                <w:t>14</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Corporate Governance Guidelines and Code of Business Conduct and Ethics</w:t>
              </w:r>
            </w:hyperlink>
          </w:p>
        </w:tc>
        <w:tc>
          <w:tcPr>
            <w:tcW w:w="280" w:type="dxa"/>
            <w:vAlign w:val="bottom"/>
            <w:gridSpan w:val="2"/>
          </w:tcPr>
          <w:p>
            <w:pPr>
              <w:jc w:val="right"/>
              <w:spacing w:after="0"/>
              <w:rPr>
                <w:rFonts w:ascii="Arial" w:cs="Arial" w:eastAsia="Arial" w:hAnsi="Arial"/>
                <w:sz w:val="16"/>
                <w:szCs w:val="16"/>
                <w:b w:val="1"/>
                <w:bCs w:val="1"/>
                <w:u w:val="single" w:color="auto"/>
                <w:color w:val="0000EE"/>
              </w:rPr>
            </w:pPr>
            <w:hyperlink w:anchor="page18">
              <w:r>
                <w:rPr>
                  <w:rFonts w:ascii="Arial" w:cs="Arial" w:eastAsia="Arial" w:hAnsi="Arial"/>
                  <w:sz w:val="16"/>
                  <w:szCs w:val="16"/>
                  <w:b w:val="1"/>
                  <w:bCs w:val="1"/>
                  <w:u w:val="single" w:color="auto"/>
                  <w:color w:val="0000EE"/>
                </w:rPr>
                <w:t>14</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Role of Board in Risk Oversight Process</w:t>
              </w:r>
            </w:hyperlink>
          </w:p>
        </w:tc>
        <w:tc>
          <w:tcPr>
            <w:tcW w:w="280" w:type="dxa"/>
            <w:vAlign w:val="bottom"/>
            <w:gridSpan w:val="2"/>
          </w:tcPr>
          <w:p>
            <w:pPr>
              <w:jc w:val="right"/>
              <w:spacing w:after="0"/>
              <w:rPr>
                <w:rFonts w:ascii="Arial" w:cs="Arial" w:eastAsia="Arial" w:hAnsi="Arial"/>
                <w:sz w:val="16"/>
                <w:szCs w:val="16"/>
                <w:b w:val="1"/>
                <w:bCs w:val="1"/>
                <w:u w:val="single" w:color="auto"/>
                <w:color w:val="0000EE"/>
              </w:rPr>
            </w:pPr>
            <w:hyperlink w:anchor="page18">
              <w:r>
                <w:rPr>
                  <w:rFonts w:ascii="Arial" w:cs="Arial" w:eastAsia="Arial" w:hAnsi="Arial"/>
                  <w:sz w:val="16"/>
                  <w:szCs w:val="16"/>
                  <w:b w:val="1"/>
                  <w:bCs w:val="1"/>
                  <w:u w:val="single" w:color="auto"/>
                  <w:color w:val="0000EE"/>
                </w:rPr>
                <w:t>14</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Director Compensation</w:t>
              </w:r>
            </w:hyperlink>
          </w:p>
        </w:tc>
        <w:tc>
          <w:tcPr>
            <w:tcW w:w="280" w:type="dxa"/>
            <w:vAlign w:val="bottom"/>
            <w:gridSpan w:val="2"/>
          </w:tcPr>
          <w:p>
            <w:pPr>
              <w:jc w:val="right"/>
              <w:spacing w:after="0"/>
              <w:rPr>
                <w:rFonts w:ascii="Arial" w:cs="Arial" w:eastAsia="Arial" w:hAnsi="Arial"/>
                <w:sz w:val="16"/>
                <w:szCs w:val="16"/>
                <w:b w:val="1"/>
                <w:bCs w:val="1"/>
                <w:u w:val="single" w:color="auto"/>
                <w:color w:val="0000EE"/>
              </w:rPr>
            </w:pPr>
            <w:hyperlink w:anchor="page19">
              <w:r>
                <w:rPr>
                  <w:rFonts w:ascii="Arial" w:cs="Arial" w:eastAsia="Arial" w:hAnsi="Arial"/>
                  <w:sz w:val="16"/>
                  <w:szCs w:val="16"/>
                  <w:b w:val="1"/>
                  <w:bCs w:val="1"/>
                  <w:u w:val="single" w:color="auto"/>
                  <w:color w:val="0000EE"/>
                </w:rPr>
                <w:t>15</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760" w:type="dxa"/>
            <w:vAlign w:val="bottom"/>
          </w:tcPr>
          <w:p>
            <w:pPr>
              <w:spacing w:after="0"/>
              <w:rPr>
                <w:sz w:val="24"/>
                <w:szCs w:val="24"/>
                <w:color w:val="auto"/>
              </w:rPr>
            </w:pPr>
          </w:p>
        </w:tc>
        <w:tc>
          <w:tcPr>
            <w:tcW w:w="9140" w:type="dxa"/>
            <w:vAlign w:val="bottom"/>
            <w:gridSpan w:val="9"/>
          </w:tcPr>
          <w:p>
            <w:pPr>
              <w:spacing w:after="0"/>
              <w:rPr>
                <w:rFonts w:ascii="Arial" w:cs="Arial" w:eastAsia="Arial" w:hAnsi="Arial"/>
                <w:sz w:val="22"/>
                <w:szCs w:val="22"/>
                <w:b w:val="1"/>
                <w:bCs w:val="1"/>
                <w:u w:val="single" w:color="auto"/>
                <w:color w:val="0000EE"/>
              </w:rPr>
            </w:pPr>
            <w:hyperlink w:anchor="page22">
              <w:r>
                <w:rPr>
                  <w:rFonts w:ascii="Arial" w:cs="Arial" w:eastAsia="Arial" w:hAnsi="Arial"/>
                  <w:sz w:val="22"/>
                  <w:szCs w:val="22"/>
                  <w:b w:val="1"/>
                  <w:bCs w:val="1"/>
                  <w:u w:val="single" w:color="auto"/>
                  <w:color w:val="0000EE"/>
                </w:rPr>
                <w:t>PROPOSAL NO. 1—ELECTION OF DIRECTORS</w:t>
              </w:r>
            </w:hyperlink>
          </w:p>
        </w:tc>
        <w:tc>
          <w:tcPr>
            <w:tcW w:w="360" w:type="dxa"/>
            <w:vAlign w:val="bottom"/>
            <w:gridSpan w:val="3"/>
          </w:tcPr>
          <w:p>
            <w:pPr>
              <w:jc w:val="center"/>
              <w:spacing w:after="0"/>
              <w:rPr>
                <w:rFonts w:ascii="Arial" w:cs="Arial" w:eastAsia="Arial" w:hAnsi="Arial"/>
                <w:sz w:val="22"/>
                <w:szCs w:val="22"/>
                <w:b w:val="1"/>
                <w:bCs w:val="1"/>
                <w:u w:val="single" w:color="auto"/>
                <w:color w:val="0000EE"/>
                <w:w w:val="97"/>
              </w:rPr>
            </w:pPr>
            <w:hyperlink w:anchor="page22">
              <w:r>
                <w:rPr>
                  <w:rFonts w:ascii="Arial" w:cs="Arial" w:eastAsia="Arial" w:hAnsi="Arial"/>
                  <w:sz w:val="22"/>
                  <w:szCs w:val="22"/>
                  <w:b w:val="1"/>
                  <w:bCs w:val="1"/>
                  <w:u w:val="single" w:color="auto"/>
                  <w:color w:val="0000EE"/>
                  <w:w w:val="97"/>
                </w:rPr>
                <w:t>18</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Nominees</w:t>
              </w:r>
            </w:hyperlink>
          </w:p>
        </w:tc>
        <w:tc>
          <w:tcPr>
            <w:tcW w:w="280" w:type="dxa"/>
            <w:vAlign w:val="bottom"/>
            <w:gridSpan w:val="2"/>
          </w:tcPr>
          <w:p>
            <w:pPr>
              <w:jc w:val="right"/>
              <w:spacing w:after="0"/>
              <w:rPr>
                <w:rFonts w:ascii="Arial" w:cs="Arial" w:eastAsia="Arial" w:hAnsi="Arial"/>
                <w:sz w:val="16"/>
                <w:szCs w:val="16"/>
                <w:b w:val="1"/>
                <w:bCs w:val="1"/>
                <w:u w:val="single" w:color="auto"/>
                <w:color w:val="0000EE"/>
              </w:rPr>
            </w:pPr>
            <w:hyperlink w:anchor="page22">
              <w:r>
                <w:rPr>
                  <w:rFonts w:ascii="Arial" w:cs="Arial" w:eastAsia="Arial" w:hAnsi="Arial"/>
                  <w:sz w:val="16"/>
                  <w:szCs w:val="16"/>
                  <w:b w:val="1"/>
                  <w:bCs w:val="1"/>
                  <w:u w:val="single" w:color="auto"/>
                  <w:color w:val="0000EE"/>
                </w:rPr>
                <w:t>18</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Vote Required</w:t>
              </w:r>
            </w:hyperlink>
          </w:p>
        </w:tc>
        <w:tc>
          <w:tcPr>
            <w:tcW w:w="280" w:type="dxa"/>
            <w:vAlign w:val="bottom"/>
            <w:gridSpan w:val="2"/>
          </w:tcPr>
          <w:p>
            <w:pPr>
              <w:jc w:val="right"/>
              <w:spacing w:after="0"/>
              <w:rPr>
                <w:rFonts w:ascii="Arial" w:cs="Arial" w:eastAsia="Arial" w:hAnsi="Arial"/>
                <w:sz w:val="16"/>
                <w:szCs w:val="16"/>
                <w:b w:val="1"/>
                <w:bCs w:val="1"/>
                <w:u w:val="single" w:color="auto"/>
                <w:color w:val="0000EE"/>
              </w:rPr>
            </w:pPr>
            <w:hyperlink w:anchor="page22">
              <w:r>
                <w:rPr>
                  <w:rFonts w:ascii="Arial" w:cs="Arial" w:eastAsia="Arial" w:hAnsi="Arial"/>
                  <w:sz w:val="16"/>
                  <w:szCs w:val="16"/>
                  <w:b w:val="1"/>
                  <w:bCs w:val="1"/>
                  <w:u w:val="single" w:color="auto"/>
                  <w:color w:val="0000EE"/>
                </w:rPr>
                <w:t>18</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760" w:type="dxa"/>
            <w:vAlign w:val="bottom"/>
          </w:tcPr>
          <w:p>
            <w:pPr>
              <w:spacing w:after="0"/>
              <w:rPr>
                <w:sz w:val="24"/>
                <w:szCs w:val="24"/>
                <w:color w:val="auto"/>
              </w:rPr>
            </w:pPr>
          </w:p>
        </w:tc>
        <w:tc>
          <w:tcPr>
            <w:tcW w:w="9140" w:type="dxa"/>
            <w:vAlign w:val="bottom"/>
            <w:gridSpan w:val="9"/>
          </w:tcPr>
          <w:p>
            <w:pPr>
              <w:spacing w:after="0"/>
              <w:rPr>
                <w:rFonts w:ascii="Arial" w:cs="Arial" w:eastAsia="Arial" w:hAnsi="Arial"/>
                <w:sz w:val="22"/>
                <w:szCs w:val="22"/>
                <w:b w:val="1"/>
                <w:bCs w:val="1"/>
                <w:color w:val="0000EE"/>
                <w:w w:val="99"/>
              </w:rPr>
            </w:pPr>
            <w:hyperlink w:anchor="page23">
              <w:r>
                <w:rPr>
                  <w:rFonts w:ascii="Arial" w:cs="Arial" w:eastAsia="Arial" w:hAnsi="Arial"/>
                  <w:sz w:val="22"/>
                  <w:szCs w:val="22"/>
                  <w:b w:val="1"/>
                  <w:bCs w:val="1"/>
                  <w:color w:val="0000EE"/>
                  <w:w w:val="99"/>
                </w:rPr>
                <w:t>PROPOSAL NO. 2—RATIFICATION OF APPOINTMENT OF INDEPENDENT REGISTERED</w:t>
              </w:r>
            </w:hyperlink>
          </w:p>
        </w:tc>
        <w:tc>
          <w:tcPr>
            <w:tcW w:w="360" w:type="dxa"/>
            <w:vAlign w:val="bottom"/>
            <w:gridSpan w:val="3"/>
            <w:vMerge w:val="restart"/>
          </w:tcPr>
          <w:p>
            <w:pPr>
              <w:jc w:val="center"/>
              <w:spacing w:after="0"/>
              <w:rPr>
                <w:rFonts w:ascii="Arial" w:cs="Arial" w:eastAsia="Arial" w:hAnsi="Arial"/>
                <w:sz w:val="22"/>
                <w:szCs w:val="22"/>
                <w:b w:val="1"/>
                <w:bCs w:val="1"/>
                <w:u w:val="single" w:color="auto"/>
                <w:color w:val="0000EE"/>
                <w:w w:val="97"/>
              </w:rPr>
            </w:pPr>
            <w:hyperlink w:anchor="page23">
              <w:r>
                <w:rPr>
                  <w:rFonts w:ascii="Arial" w:cs="Arial" w:eastAsia="Arial" w:hAnsi="Arial"/>
                  <w:sz w:val="22"/>
                  <w:szCs w:val="22"/>
                  <w:b w:val="1"/>
                  <w:bCs w:val="1"/>
                  <w:u w:val="single" w:color="auto"/>
                  <w:color w:val="0000EE"/>
                  <w:w w:val="97"/>
                </w:rPr>
                <w:t>19</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920" w:type="dxa"/>
            <w:vAlign w:val="bottom"/>
            <w:tcBorders>
              <w:top w:val="single" w:sz="8" w:color="0000EE"/>
              <w:bottom w:val="single" w:sz="8" w:color="0000EE"/>
            </w:tcBorders>
            <w:gridSpan w:val="5"/>
          </w:tcPr>
          <w:p>
            <w:pPr>
              <w:spacing w:after="0" w:line="223" w:lineRule="exact"/>
              <w:rPr>
                <w:rFonts w:ascii="Arial" w:cs="Arial" w:eastAsia="Arial" w:hAnsi="Arial"/>
                <w:sz w:val="22"/>
                <w:szCs w:val="22"/>
                <w:b w:val="1"/>
                <w:bCs w:val="1"/>
                <w:color w:val="0000EE"/>
                <w:w w:val="97"/>
              </w:rPr>
            </w:pPr>
            <w:hyperlink w:anchor="page23">
              <w:r>
                <w:rPr>
                  <w:rFonts w:ascii="Arial" w:cs="Arial" w:eastAsia="Arial" w:hAnsi="Arial"/>
                  <w:sz w:val="22"/>
                  <w:szCs w:val="22"/>
                  <w:b w:val="1"/>
                  <w:bCs w:val="1"/>
                  <w:color w:val="0000EE"/>
                  <w:w w:val="97"/>
                </w:rPr>
                <w:t>PUBLIC ACCOUNTING FIRM</w:t>
              </w:r>
            </w:hyperlink>
          </w:p>
        </w:tc>
        <w:tc>
          <w:tcPr>
            <w:tcW w:w="6040" w:type="dxa"/>
            <w:vAlign w:val="bottom"/>
            <w:tcBorders>
              <w:top w:val="single" w:sz="8" w:color="0000EE"/>
            </w:tcBorders>
            <w:gridSpan w:val="3"/>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Fees Paid to the Independent Registered Public Accounting Firm</w:t>
              </w:r>
            </w:hyperlink>
          </w:p>
        </w:tc>
        <w:tc>
          <w:tcPr>
            <w:tcW w:w="280" w:type="dxa"/>
            <w:vAlign w:val="bottom"/>
            <w:gridSpan w:val="2"/>
          </w:tcPr>
          <w:p>
            <w:pPr>
              <w:jc w:val="right"/>
              <w:spacing w:after="0"/>
              <w:rPr>
                <w:rFonts w:ascii="Arial" w:cs="Arial" w:eastAsia="Arial" w:hAnsi="Arial"/>
                <w:sz w:val="16"/>
                <w:szCs w:val="16"/>
                <w:b w:val="1"/>
                <w:bCs w:val="1"/>
                <w:u w:val="single" w:color="auto"/>
                <w:color w:val="0000EE"/>
              </w:rPr>
            </w:pPr>
            <w:hyperlink w:anchor="page23">
              <w:r>
                <w:rPr>
                  <w:rFonts w:ascii="Arial" w:cs="Arial" w:eastAsia="Arial" w:hAnsi="Arial"/>
                  <w:sz w:val="16"/>
                  <w:szCs w:val="16"/>
                  <w:b w:val="1"/>
                  <w:bCs w:val="1"/>
                  <w:u w:val="single" w:color="auto"/>
                  <w:color w:val="0000EE"/>
                </w:rPr>
                <w:t>19</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Auditor Independence</w:t>
              </w:r>
            </w:hyperlink>
          </w:p>
        </w:tc>
        <w:tc>
          <w:tcPr>
            <w:tcW w:w="280" w:type="dxa"/>
            <w:vAlign w:val="bottom"/>
            <w:gridSpan w:val="2"/>
          </w:tcPr>
          <w:p>
            <w:pPr>
              <w:jc w:val="right"/>
              <w:spacing w:after="0"/>
              <w:rPr>
                <w:rFonts w:ascii="Arial" w:cs="Arial" w:eastAsia="Arial" w:hAnsi="Arial"/>
                <w:sz w:val="16"/>
                <w:szCs w:val="16"/>
                <w:b w:val="1"/>
                <w:bCs w:val="1"/>
                <w:u w:val="single" w:color="auto"/>
                <w:color w:val="0000EE"/>
              </w:rPr>
            </w:pPr>
            <w:hyperlink w:anchor="page24">
              <w:r>
                <w:rPr>
                  <w:rFonts w:ascii="Arial" w:cs="Arial" w:eastAsia="Arial" w:hAnsi="Arial"/>
                  <w:sz w:val="16"/>
                  <w:szCs w:val="16"/>
                  <w:b w:val="1"/>
                  <w:bCs w:val="1"/>
                  <w:u w:val="single" w:color="auto"/>
                  <w:color w:val="0000EE"/>
                </w:rPr>
                <w:t>20</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560" w:type="dxa"/>
            <w:vAlign w:val="bottom"/>
            <w:tcBorders>
              <w:bottom w:val="single" w:sz="8" w:color="0000EE"/>
            </w:tcBorders>
            <w:gridSpan w:val="6"/>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Audit Committee Policy on Pre-Approval of Audit and Permissible Non-Audit Services of Independent Registered Public</w:t>
              </w:r>
            </w:hyperlink>
          </w:p>
        </w:tc>
        <w:tc>
          <w:tcPr>
            <w:tcW w:w="320" w:type="dxa"/>
            <w:vAlign w:val="bottom"/>
            <w:gridSpan w:val="2"/>
          </w:tcPr>
          <w:p>
            <w:pPr>
              <w:spacing w:after="0"/>
              <w:rPr>
                <w:sz w:val="24"/>
                <w:szCs w:val="24"/>
                <w:color w:val="auto"/>
              </w:rPr>
            </w:pPr>
          </w:p>
        </w:tc>
        <w:tc>
          <w:tcPr>
            <w:tcW w:w="280" w:type="dxa"/>
            <w:vAlign w:val="bottom"/>
            <w:gridSpan w:val="2"/>
            <w:vMerge w:val="restart"/>
          </w:tcPr>
          <w:p>
            <w:pPr>
              <w:jc w:val="right"/>
              <w:spacing w:after="0"/>
              <w:rPr>
                <w:rFonts w:ascii="Arial" w:cs="Arial" w:eastAsia="Arial" w:hAnsi="Arial"/>
                <w:sz w:val="16"/>
                <w:szCs w:val="16"/>
                <w:b w:val="1"/>
                <w:bCs w:val="1"/>
                <w:u w:val="single" w:color="auto"/>
                <w:color w:val="0000EE"/>
              </w:rPr>
            </w:pPr>
            <w:hyperlink w:anchor="page24">
              <w:r>
                <w:rPr>
                  <w:rFonts w:ascii="Arial" w:cs="Arial" w:eastAsia="Arial" w:hAnsi="Arial"/>
                  <w:sz w:val="16"/>
                  <w:szCs w:val="16"/>
                  <w:b w:val="1"/>
                  <w:bCs w:val="1"/>
                  <w:u w:val="single" w:color="auto"/>
                  <w:color w:val="0000EE"/>
                </w:rPr>
                <w:t>20</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0" w:type="dxa"/>
            <w:vAlign w:val="bottom"/>
            <w:gridSpan w:val="7"/>
          </w:tcPr>
          <w:p>
            <w:pPr>
              <w:spacing w:after="0" w:line="169" w:lineRule="exact"/>
              <w:rPr>
                <w:rFonts w:ascii="Arial" w:cs="Arial" w:eastAsia="Arial" w:hAnsi="Arial"/>
                <w:sz w:val="16"/>
                <w:szCs w:val="16"/>
                <w:color w:val="0000EE"/>
              </w:rPr>
            </w:pPr>
            <w:hyperlink w:anchor="page24">
              <w:r>
                <w:rPr>
                  <w:rFonts w:ascii="Arial" w:cs="Arial" w:eastAsia="Arial" w:hAnsi="Arial"/>
                  <w:sz w:val="16"/>
                  <w:szCs w:val="16"/>
                  <w:color w:val="0000EE"/>
                </w:rPr>
                <w:t>Accounting Firm</w:t>
              </w:r>
            </w:hyperlink>
          </w:p>
        </w:tc>
        <w:tc>
          <w:tcPr>
            <w:tcW w:w="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80" w:type="dxa"/>
            <w:vAlign w:val="bottom"/>
            <w:gridSpan w:val="2"/>
            <w:vMerge w:val="restart"/>
          </w:tcPr>
          <w:p>
            <w:pPr>
              <w:jc w:val="right"/>
              <w:spacing w:after="0"/>
              <w:rPr>
                <w:rFonts w:ascii="Arial" w:cs="Arial" w:eastAsia="Arial" w:hAnsi="Arial"/>
                <w:sz w:val="16"/>
                <w:szCs w:val="16"/>
                <w:b w:val="1"/>
                <w:bCs w:val="1"/>
                <w:u w:val="single" w:color="auto"/>
                <w:color w:val="0000EE"/>
              </w:rPr>
            </w:pPr>
            <w:hyperlink w:anchor="page24">
              <w:r>
                <w:rPr>
                  <w:rFonts w:ascii="Arial" w:cs="Arial" w:eastAsia="Arial" w:hAnsi="Arial"/>
                  <w:sz w:val="16"/>
                  <w:szCs w:val="16"/>
                  <w:b w:val="1"/>
                  <w:bCs w:val="1"/>
                  <w:u w:val="single" w:color="auto"/>
                  <w:color w:val="0000EE"/>
                </w:rPr>
                <w:t>20</w:t>
              </w:r>
            </w:hyperlink>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Vote Required</w:t>
              </w:r>
            </w:hyperlink>
          </w:p>
        </w:tc>
        <w:tc>
          <w:tcPr>
            <w:tcW w:w="2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Report of the Audit Committee</w:t>
              </w:r>
            </w:hyperlink>
          </w:p>
        </w:tc>
        <w:tc>
          <w:tcPr>
            <w:tcW w:w="280" w:type="dxa"/>
            <w:vAlign w:val="bottom"/>
            <w:gridSpan w:val="2"/>
          </w:tcPr>
          <w:p>
            <w:pPr>
              <w:jc w:val="right"/>
              <w:spacing w:after="0"/>
              <w:rPr>
                <w:rFonts w:ascii="Arial" w:cs="Arial" w:eastAsia="Arial" w:hAnsi="Arial"/>
                <w:sz w:val="16"/>
                <w:szCs w:val="16"/>
                <w:b w:val="1"/>
                <w:bCs w:val="1"/>
                <w:u w:val="single" w:color="auto"/>
                <w:color w:val="0000EE"/>
              </w:rPr>
            </w:pPr>
            <w:hyperlink w:anchor="page25">
              <w:r>
                <w:rPr>
                  <w:rFonts w:ascii="Arial" w:cs="Arial" w:eastAsia="Arial" w:hAnsi="Arial"/>
                  <w:sz w:val="16"/>
                  <w:szCs w:val="16"/>
                  <w:b w:val="1"/>
                  <w:bCs w:val="1"/>
                  <w:u w:val="single" w:color="auto"/>
                  <w:color w:val="0000EE"/>
                </w:rPr>
                <w:t>21</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760" w:type="dxa"/>
            <w:vAlign w:val="bottom"/>
          </w:tcPr>
          <w:p>
            <w:pPr>
              <w:spacing w:after="0"/>
              <w:rPr>
                <w:sz w:val="24"/>
                <w:szCs w:val="24"/>
                <w:color w:val="auto"/>
              </w:rPr>
            </w:pPr>
          </w:p>
        </w:tc>
        <w:tc>
          <w:tcPr>
            <w:tcW w:w="9140" w:type="dxa"/>
            <w:vAlign w:val="bottom"/>
            <w:gridSpan w:val="9"/>
          </w:tcPr>
          <w:p>
            <w:pPr>
              <w:spacing w:after="0"/>
              <w:rPr>
                <w:rFonts w:ascii="Arial" w:cs="Arial" w:eastAsia="Arial" w:hAnsi="Arial"/>
                <w:sz w:val="22"/>
                <w:szCs w:val="22"/>
                <w:b w:val="1"/>
                <w:bCs w:val="1"/>
                <w:color w:val="0000EE"/>
              </w:rPr>
            </w:pPr>
            <w:hyperlink w:anchor="page26">
              <w:r>
                <w:rPr>
                  <w:rFonts w:ascii="Arial" w:cs="Arial" w:eastAsia="Arial" w:hAnsi="Arial"/>
                  <w:sz w:val="22"/>
                  <w:szCs w:val="22"/>
                  <w:b w:val="1"/>
                  <w:bCs w:val="1"/>
                  <w:color w:val="0000EE"/>
                </w:rPr>
                <w:t>PROPOSAL NO. 3—ADVISORY VOTE ON THE COMPENSATION OF OUR NAMED</w:t>
              </w:r>
            </w:hyperlink>
          </w:p>
        </w:tc>
        <w:tc>
          <w:tcPr>
            <w:tcW w:w="360" w:type="dxa"/>
            <w:vAlign w:val="bottom"/>
            <w:gridSpan w:val="3"/>
            <w:vMerge w:val="restart"/>
          </w:tcPr>
          <w:p>
            <w:pPr>
              <w:jc w:val="center"/>
              <w:spacing w:after="0"/>
              <w:rPr>
                <w:rFonts w:ascii="Arial" w:cs="Arial" w:eastAsia="Arial" w:hAnsi="Arial"/>
                <w:sz w:val="22"/>
                <w:szCs w:val="22"/>
                <w:b w:val="1"/>
                <w:bCs w:val="1"/>
                <w:u w:val="single" w:color="auto"/>
                <w:color w:val="0000EE"/>
                <w:w w:val="97"/>
              </w:rPr>
            </w:pPr>
            <w:hyperlink w:anchor="page26">
              <w:r>
                <w:rPr>
                  <w:rFonts w:ascii="Arial" w:cs="Arial" w:eastAsia="Arial" w:hAnsi="Arial"/>
                  <w:sz w:val="22"/>
                  <w:szCs w:val="22"/>
                  <w:b w:val="1"/>
                  <w:bCs w:val="1"/>
                  <w:u w:val="single" w:color="auto"/>
                  <w:color w:val="0000EE"/>
                  <w:w w:val="97"/>
                </w:rPr>
                <w:t>22</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380" w:type="dxa"/>
            <w:vAlign w:val="bottom"/>
            <w:tcBorders>
              <w:top w:val="single" w:sz="8" w:color="0000EE"/>
              <w:bottom w:val="single" w:sz="8" w:color="0000EE"/>
            </w:tcBorders>
            <w:gridSpan w:val="4"/>
          </w:tcPr>
          <w:p>
            <w:pPr>
              <w:spacing w:after="0" w:line="223" w:lineRule="exact"/>
              <w:rPr>
                <w:rFonts w:ascii="Arial" w:cs="Arial" w:eastAsia="Arial" w:hAnsi="Arial"/>
                <w:sz w:val="22"/>
                <w:szCs w:val="22"/>
                <w:b w:val="1"/>
                <w:bCs w:val="1"/>
                <w:color w:val="0000EE"/>
                <w:w w:val="97"/>
              </w:rPr>
            </w:pPr>
            <w:hyperlink w:anchor="page26">
              <w:r>
                <w:rPr>
                  <w:rFonts w:ascii="Arial" w:cs="Arial" w:eastAsia="Arial" w:hAnsi="Arial"/>
                  <w:sz w:val="22"/>
                  <w:szCs w:val="22"/>
                  <w:b w:val="1"/>
                  <w:bCs w:val="1"/>
                  <w:color w:val="0000EE"/>
                  <w:w w:val="97"/>
                </w:rPr>
                <w:t>EXECUTIVE OFFICERS</w:t>
              </w:r>
            </w:hyperlink>
          </w:p>
        </w:tc>
        <w:tc>
          <w:tcPr>
            <w:tcW w:w="5880" w:type="dxa"/>
            <w:vAlign w:val="bottom"/>
            <w:tcBorders>
              <w:top w:val="single" w:sz="8" w:color="0000EE"/>
            </w:tcBorders>
            <w:gridSpan w:val="2"/>
          </w:tcPr>
          <w:p>
            <w:pPr>
              <w:spacing w:after="0"/>
              <w:rPr>
                <w:sz w:val="19"/>
                <w:szCs w:val="19"/>
                <w:color w:val="auto"/>
              </w:rPr>
            </w:pPr>
          </w:p>
        </w:tc>
        <w:tc>
          <w:tcPr>
            <w:tcW w:w="880" w:type="dxa"/>
            <w:vAlign w:val="bottom"/>
            <w:gridSpan w:val="3"/>
          </w:tcPr>
          <w:p>
            <w:pPr>
              <w:spacing w:after="0"/>
              <w:rPr>
                <w:sz w:val="19"/>
                <w:szCs w:val="19"/>
                <w:color w:val="auto"/>
              </w:rPr>
            </w:pPr>
          </w:p>
        </w:tc>
        <w:tc>
          <w:tcPr>
            <w:tcW w:w="36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760" w:type="dxa"/>
            <w:vAlign w:val="bottom"/>
          </w:tcPr>
          <w:p>
            <w:pPr>
              <w:spacing w:after="0"/>
              <w:rPr>
                <w:sz w:val="24"/>
                <w:szCs w:val="24"/>
                <w:color w:val="auto"/>
              </w:rPr>
            </w:pPr>
          </w:p>
        </w:tc>
        <w:tc>
          <w:tcPr>
            <w:tcW w:w="9140" w:type="dxa"/>
            <w:vAlign w:val="bottom"/>
            <w:gridSpan w:val="9"/>
          </w:tcPr>
          <w:p>
            <w:pPr>
              <w:ind w:left="260"/>
              <w:spacing w:after="0"/>
              <w:rPr>
                <w:rFonts w:ascii="Arial" w:cs="Arial" w:eastAsia="Arial" w:hAnsi="Arial"/>
                <w:sz w:val="16"/>
                <w:szCs w:val="16"/>
                <w:u w:val="single" w:color="auto"/>
                <w:color w:val="0000EE"/>
              </w:rPr>
            </w:pPr>
            <w:hyperlink w:anchor="page26">
              <w:r>
                <w:rPr>
                  <w:rFonts w:ascii="Arial" w:cs="Arial" w:eastAsia="Arial" w:hAnsi="Arial"/>
                  <w:sz w:val="16"/>
                  <w:szCs w:val="16"/>
                  <w:u w:val="single" w:color="auto"/>
                  <w:color w:val="0000EE"/>
                </w:rPr>
                <w:t>Vote Required</w:t>
              </w:r>
            </w:hyperlink>
          </w:p>
        </w:tc>
        <w:tc>
          <w:tcPr>
            <w:tcW w:w="280" w:type="dxa"/>
            <w:vAlign w:val="bottom"/>
            <w:gridSpan w:val="2"/>
          </w:tcPr>
          <w:p>
            <w:pPr>
              <w:jc w:val="right"/>
              <w:spacing w:after="0"/>
              <w:rPr>
                <w:rFonts w:ascii="Arial" w:cs="Arial" w:eastAsia="Arial" w:hAnsi="Arial"/>
                <w:sz w:val="16"/>
                <w:szCs w:val="16"/>
                <w:b w:val="1"/>
                <w:bCs w:val="1"/>
                <w:u w:val="single" w:color="auto"/>
                <w:color w:val="0000EE"/>
              </w:rPr>
            </w:pPr>
            <w:hyperlink w:anchor="page26">
              <w:r>
                <w:rPr>
                  <w:rFonts w:ascii="Arial" w:cs="Arial" w:eastAsia="Arial" w:hAnsi="Arial"/>
                  <w:sz w:val="16"/>
                  <w:szCs w:val="16"/>
                  <w:b w:val="1"/>
                  <w:bCs w:val="1"/>
                  <w:u w:val="single" w:color="auto"/>
                  <w:color w:val="0000EE"/>
                </w:rPr>
                <w:t>22</w:t>
              </w:r>
            </w:hyperlink>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3" w:name="page4"/>
    <w:bookmarkEnd w:id="3"/>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p>
      <w:pPr>
        <w:ind w:left="99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6272530</wp:posOffset>
            </wp:positionH>
            <wp:positionV relativeFrom="paragraph">
              <wp:posOffset>69215</wp:posOffset>
            </wp:positionV>
            <wp:extent cx="2400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9520" w:type="dxa"/>
            <w:vAlign w:val="bottom"/>
          </w:tcPr>
          <w:p>
            <w:pPr>
              <w:ind w:left="760"/>
              <w:spacing w:after="0"/>
              <w:rPr>
                <w:rFonts w:ascii="Arial" w:cs="Arial" w:eastAsia="Arial" w:hAnsi="Arial"/>
                <w:sz w:val="22"/>
                <w:szCs w:val="22"/>
                <w:b w:val="1"/>
                <w:bCs w:val="1"/>
                <w:u w:val="single" w:color="auto"/>
                <w:color w:val="0000EE"/>
              </w:rPr>
            </w:pPr>
            <w:hyperlink w:anchor="page27">
              <w:r>
                <w:rPr>
                  <w:rFonts w:ascii="Arial" w:cs="Arial" w:eastAsia="Arial" w:hAnsi="Arial"/>
                  <w:sz w:val="22"/>
                  <w:szCs w:val="22"/>
                  <w:b w:val="1"/>
                  <w:bCs w:val="1"/>
                  <w:u w:val="single" w:color="auto"/>
                  <w:color w:val="0000EE"/>
                </w:rPr>
                <w:t>EXECUTIVE OFFICERS</w:t>
              </w:r>
            </w:hyperlink>
          </w:p>
        </w:tc>
        <w:tc>
          <w:tcPr>
            <w:tcW w:w="720" w:type="dxa"/>
            <w:vAlign w:val="bottom"/>
            <w:gridSpan w:val="2"/>
          </w:tcPr>
          <w:p>
            <w:pPr>
              <w:jc w:val="right"/>
              <w:spacing w:after="0"/>
              <w:rPr>
                <w:rFonts w:ascii="Arial" w:cs="Arial" w:eastAsia="Arial" w:hAnsi="Arial"/>
                <w:sz w:val="22"/>
                <w:szCs w:val="22"/>
                <w:b w:val="1"/>
                <w:bCs w:val="1"/>
                <w:u w:val="single" w:color="auto"/>
                <w:color w:val="0000EE"/>
              </w:rPr>
            </w:pPr>
            <w:hyperlink w:anchor="page27">
              <w:r>
                <w:rPr>
                  <w:rFonts w:ascii="Arial" w:cs="Arial" w:eastAsia="Arial" w:hAnsi="Arial"/>
                  <w:sz w:val="22"/>
                  <w:szCs w:val="22"/>
                  <w:b w:val="1"/>
                  <w:bCs w:val="1"/>
                  <w:u w:val="single" w:color="auto"/>
                  <w:color w:val="0000EE"/>
                </w:rPr>
                <w:t>23</w:t>
              </w:r>
            </w:hyperlink>
          </w:p>
        </w:tc>
        <w:tc>
          <w:tcPr>
            <w:tcW w:w="780" w:type="dxa"/>
            <w:vAlign w:val="bottom"/>
          </w:tcPr>
          <w:p>
            <w:pPr>
              <w:spacing w:after="0"/>
              <w:rPr>
                <w:sz w:val="24"/>
                <w:szCs w:val="24"/>
                <w:color w:val="auto"/>
              </w:rPr>
            </w:pPr>
          </w:p>
        </w:tc>
      </w:tr>
      <w:tr>
        <w:trPr>
          <w:trHeight w:val="553"/>
        </w:trPr>
        <w:tc>
          <w:tcPr>
            <w:tcW w:w="9520" w:type="dxa"/>
            <w:vAlign w:val="bottom"/>
          </w:tcPr>
          <w:p>
            <w:pPr>
              <w:ind w:left="760"/>
              <w:spacing w:after="0"/>
              <w:rPr>
                <w:rFonts w:ascii="Arial" w:cs="Arial" w:eastAsia="Arial" w:hAnsi="Arial"/>
                <w:sz w:val="22"/>
                <w:szCs w:val="22"/>
                <w:b w:val="1"/>
                <w:bCs w:val="1"/>
                <w:u w:val="single" w:color="auto"/>
                <w:color w:val="0000EE"/>
              </w:rPr>
            </w:pPr>
            <w:hyperlink w:anchor="page28">
              <w:r>
                <w:rPr>
                  <w:rFonts w:ascii="Arial" w:cs="Arial" w:eastAsia="Arial" w:hAnsi="Arial"/>
                  <w:sz w:val="22"/>
                  <w:szCs w:val="22"/>
                  <w:b w:val="1"/>
                  <w:bCs w:val="1"/>
                  <w:u w:val="single" w:color="auto"/>
                  <w:color w:val="0000EE"/>
                </w:rPr>
                <w:t>EXECUTIVE COMPENSATION</w:t>
              </w:r>
            </w:hyperlink>
          </w:p>
        </w:tc>
        <w:tc>
          <w:tcPr>
            <w:tcW w:w="720" w:type="dxa"/>
            <w:vAlign w:val="bottom"/>
            <w:gridSpan w:val="2"/>
          </w:tcPr>
          <w:p>
            <w:pPr>
              <w:jc w:val="right"/>
              <w:spacing w:after="0"/>
              <w:rPr>
                <w:rFonts w:ascii="Arial" w:cs="Arial" w:eastAsia="Arial" w:hAnsi="Arial"/>
                <w:sz w:val="22"/>
                <w:szCs w:val="22"/>
                <w:b w:val="1"/>
                <w:bCs w:val="1"/>
                <w:u w:val="single" w:color="auto"/>
                <w:color w:val="0000EE"/>
              </w:rPr>
            </w:pPr>
            <w:hyperlink w:anchor="page28">
              <w:r>
                <w:rPr>
                  <w:rFonts w:ascii="Arial" w:cs="Arial" w:eastAsia="Arial" w:hAnsi="Arial"/>
                  <w:sz w:val="22"/>
                  <w:szCs w:val="22"/>
                  <w:b w:val="1"/>
                  <w:bCs w:val="1"/>
                  <w:u w:val="single" w:color="auto"/>
                  <w:color w:val="0000EE"/>
                </w:rPr>
                <w:t>24</w:t>
              </w:r>
            </w:hyperlink>
          </w:p>
        </w:tc>
        <w:tc>
          <w:tcPr>
            <w:tcW w:w="780" w:type="dxa"/>
            <w:vAlign w:val="bottom"/>
          </w:tcPr>
          <w:p>
            <w:pPr>
              <w:spacing w:after="0"/>
              <w:rPr>
                <w:sz w:val="24"/>
                <w:szCs w:val="24"/>
                <w:color w:val="auto"/>
              </w:rPr>
            </w:pPr>
          </w:p>
        </w:tc>
      </w:tr>
      <w:tr>
        <w:trPr>
          <w:trHeight w:val="314"/>
        </w:trPr>
        <w:tc>
          <w:tcPr>
            <w:tcW w:w="9520" w:type="dxa"/>
            <w:vAlign w:val="bottom"/>
          </w:tcPr>
          <w:p>
            <w:pPr>
              <w:ind w:left="102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Compensation Discussion and Analysis</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24</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9520" w:type="dxa"/>
            <w:vAlign w:val="bottom"/>
          </w:tcPr>
          <w:p>
            <w:pPr>
              <w:ind w:left="1020"/>
              <w:spacing w:after="0"/>
              <w:rPr>
                <w:rFonts w:ascii="Arial" w:cs="Arial" w:eastAsia="Arial" w:hAnsi="Arial"/>
                <w:sz w:val="16"/>
                <w:szCs w:val="16"/>
                <w:u w:val="single" w:color="auto"/>
                <w:color w:val="0000EE"/>
              </w:rPr>
            </w:pPr>
            <w:hyperlink w:anchor="page28">
              <w:r>
                <w:rPr>
                  <w:rFonts w:ascii="Arial" w:cs="Arial" w:eastAsia="Arial" w:hAnsi="Arial"/>
                  <w:sz w:val="16"/>
                  <w:szCs w:val="16"/>
                  <w:u w:val="single" w:color="auto"/>
                  <w:color w:val="0000EE"/>
                </w:rPr>
                <w:t>Executive Summary</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24</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9520" w:type="dxa"/>
            <w:vAlign w:val="bottom"/>
          </w:tcPr>
          <w:p>
            <w:pPr>
              <w:ind w:left="102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Executive Compensation Philosophy and Objectives</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26</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9520" w:type="dxa"/>
            <w:vAlign w:val="bottom"/>
          </w:tcPr>
          <w:p>
            <w:pPr>
              <w:ind w:left="1020"/>
              <w:spacing w:after="0"/>
              <w:rPr>
                <w:rFonts w:ascii="Arial" w:cs="Arial" w:eastAsia="Arial" w:hAnsi="Arial"/>
                <w:sz w:val="16"/>
                <w:szCs w:val="16"/>
                <w:u w:val="single" w:color="auto"/>
                <w:color w:val="0000EE"/>
              </w:rPr>
            </w:pPr>
            <w:hyperlink w:anchor="page30">
              <w:r>
                <w:rPr>
                  <w:rFonts w:ascii="Arial" w:cs="Arial" w:eastAsia="Arial" w:hAnsi="Arial"/>
                  <w:sz w:val="16"/>
                  <w:szCs w:val="16"/>
                  <w:u w:val="single" w:color="auto"/>
                  <w:color w:val="0000EE"/>
                </w:rPr>
                <w:t>Compensation-Setting Process</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26</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9520" w:type="dxa"/>
            <w:vAlign w:val="bottom"/>
          </w:tcPr>
          <w:p>
            <w:pPr>
              <w:ind w:left="1020"/>
              <w:spacing w:after="0"/>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Compensation Elements</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30</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9520" w:type="dxa"/>
            <w:vAlign w:val="bottom"/>
          </w:tcPr>
          <w:p>
            <w:pPr>
              <w:ind w:left="102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Employment Arrangements</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38">
              <w:r>
                <w:rPr>
                  <w:rFonts w:ascii="Arial" w:cs="Arial" w:eastAsia="Arial" w:hAnsi="Arial"/>
                  <w:sz w:val="16"/>
                  <w:szCs w:val="16"/>
                  <w:b w:val="1"/>
                  <w:bCs w:val="1"/>
                  <w:color w:val="0000EE"/>
                </w:rPr>
                <w:t>34</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9520" w:type="dxa"/>
            <w:vAlign w:val="bottom"/>
          </w:tcPr>
          <w:p>
            <w:pPr>
              <w:ind w:left="102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Post-Employment Compensation</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39">
              <w:r>
                <w:rPr>
                  <w:rFonts w:ascii="Arial" w:cs="Arial" w:eastAsia="Arial" w:hAnsi="Arial"/>
                  <w:sz w:val="16"/>
                  <w:szCs w:val="16"/>
                  <w:b w:val="1"/>
                  <w:bCs w:val="1"/>
                  <w:color w:val="0000EE"/>
                </w:rPr>
                <w:t>35</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9520" w:type="dxa"/>
            <w:vAlign w:val="bottom"/>
          </w:tcPr>
          <w:p>
            <w:pPr>
              <w:ind w:left="102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Tax and Accounting Considerations</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39">
              <w:r>
                <w:rPr>
                  <w:rFonts w:ascii="Arial" w:cs="Arial" w:eastAsia="Arial" w:hAnsi="Arial"/>
                  <w:sz w:val="16"/>
                  <w:szCs w:val="16"/>
                  <w:b w:val="1"/>
                  <w:bCs w:val="1"/>
                  <w:color w:val="0000EE"/>
                </w:rPr>
                <w:t>35</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9520" w:type="dxa"/>
            <w:vAlign w:val="bottom"/>
          </w:tcPr>
          <w:p>
            <w:pPr>
              <w:ind w:left="1020"/>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Report of the Compensation Committee</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41">
              <w:r>
                <w:rPr>
                  <w:rFonts w:ascii="Arial" w:cs="Arial" w:eastAsia="Arial" w:hAnsi="Arial"/>
                  <w:sz w:val="16"/>
                  <w:szCs w:val="16"/>
                  <w:b w:val="1"/>
                  <w:bCs w:val="1"/>
                  <w:color w:val="0000EE"/>
                </w:rPr>
                <w:t>37</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9520" w:type="dxa"/>
            <w:vAlign w:val="bottom"/>
          </w:tcPr>
          <w:p>
            <w:pPr>
              <w:ind w:left="102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Compensation Risk Assessment</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42">
              <w:r>
                <w:rPr>
                  <w:rFonts w:ascii="Arial" w:cs="Arial" w:eastAsia="Arial" w:hAnsi="Arial"/>
                  <w:sz w:val="16"/>
                  <w:szCs w:val="16"/>
                  <w:b w:val="1"/>
                  <w:bCs w:val="1"/>
                  <w:color w:val="0000EE"/>
                </w:rPr>
                <w:t>38</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9520" w:type="dxa"/>
            <w:vAlign w:val="bottom"/>
          </w:tcPr>
          <w:p>
            <w:pPr>
              <w:ind w:left="102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Summary Compensation Table for Fiscal Year 2019</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43">
              <w:r>
                <w:rPr>
                  <w:rFonts w:ascii="Arial" w:cs="Arial" w:eastAsia="Arial" w:hAnsi="Arial"/>
                  <w:sz w:val="16"/>
                  <w:szCs w:val="16"/>
                  <w:b w:val="1"/>
                  <w:bCs w:val="1"/>
                  <w:color w:val="0000EE"/>
                </w:rPr>
                <w:t>39</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9520" w:type="dxa"/>
            <w:vAlign w:val="bottom"/>
          </w:tcPr>
          <w:p>
            <w:pPr>
              <w:ind w:left="102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Grants of Plan-Based Awards in 2019</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45">
              <w:r>
                <w:rPr>
                  <w:rFonts w:ascii="Arial" w:cs="Arial" w:eastAsia="Arial" w:hAnsi="Arial"/>
                  <w:sz w:val="16"/>
                  <w:szCs w:val="16"/>
                  <w:b w:val="1"/>
                  <w:bCs w:val="1"/>
                  <w:color w:val="0000EE"/>
                </w:rPr>
                <w:t>41</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9520" w:type="dxa"/>
            <w:vAlign w:val="bottom"/>
          </w:tcPr>
          <w:p>
            <w:pPr>
              <w:ind w:left="1020"/>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Outstanding Equity Awards at 2019 Year-End</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46">
              <w:r>
                <w:rPr>
                  <w:rFonts w:ascii="Arial" w:cs="Arial" w:eastAsia="Arial" w:hAnsi="Arial"/>
                  <w:sz w:val="16"/>
                  <w:szCs w:val="16"/>
                  <w:b w:val="1"/>
                  <w:bCs w:val="1"/>
                  <w:color w:val="0000EE"/>
                </w:rPr>
                <w:t>42</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9520" w:type="dxa"/>
            <w:vAlign w:val="bottom"/>
          </w:tcPr>
          <w:p>
            <w:pPr>
              <w:ind w:left="1020"/>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Co-Founder Grants</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47">
              <w:r>
                <w:rPr>
                  <w:rFonts w:ascii="Arial" w:cs="Arial" w:eastAsia="Arial" w:hAnsi="Arial"/>
                  <w:sz w:val="16"/>
                  <w:szCs w:val="16"/>
                  <w:b w:val="1"/>
                  <w:bCs w:val="1"/>
                  <w:color w:val="0000EE"/>
                </w:rPr>
                <w:t>43</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9520" w:type="dxa"/>
            <w:vAlign w:val="bottom"/>
          </w:tcPr>
          <w:p>
            <w:pPr>
              <w:ind w:left="1020"/>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Option Exercises and Stock Vested in 2019</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48">
              <w:r>
                <w:rPr>
                  <w:rFonts w:ascii="Arial" w:cs="Arial" w:eastAsia="Arial" w:hAnsi="Arial"/>
                  <w:sz w:val="16"/>
                  <w:szCs w:val="16"/>
                  <w:b w:val="1"/>
                  <w:bCs w:val="1"/>
                  <w:color w:val="0000EE"/>
                </w:rPr>
                <w:t>44</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9520" w:type="dxa"/>
            <w:vAlign w:val="bottom"/>
          </w:tcPr>
          <w:p>
            <w:pPr>
              <w:ind w:left="1020"/>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Potential Payments on Termination or Change in Control</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48">
              <w:r>
                <w:rPr>
                  <w:rFonts w:ascii="Arial" w:cs="Arial" w:eastAsia="Arial" w:hAnsi="Arial"/>
                  <w:sz w:val="16"/>
                  <w:szCs w:val="16"/>
                  <w:b w:val="1"/>
                  <w:bCs w:val="1"/>
                  <w:color w:val="0000EE"/>
                </w:rPr>
                <w:t>44</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9520" w:type="dxa"/>
            <w:vAlign w:val="bottom"/>
          </w:tcPr>
          <w:p>
            <w:pPr>
              <w:ind w:left="1020"/>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CEO Pay Ratio</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50">
              <w:r>
                <w:rPr>
                  <w:rFonts w:ascii="Arial" w:cs="Arial" w:eastAsia="Arial" w:hAnsi="Arial"/>
                  <w:sz w:val="16"/>
                  <w:szCs w:val="16"/>
                  <w:b w:val="1"/>
                  <w:bCs w:val="1"/>
                  <w:color w:val="0000EE"/>
                </w:rPr>
                <w:t>46</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571"/>
        </w:trPr>
        <w:tc>
          <w:tcPr>
            <w:tcW w:w="9520" w:type="dxa"/>
            <w:vAlign w:val="bottom"/>
          </w:tcPr>
          <w:p>
            <w:pPr>
              <w:ind w:left="760"/>
              <w:spacing w:after="0"/>
              <w:rPr>
                <w:rFonts w:ascii="Arial" w:cs="Arial" w:eastAsia="Arial" w:hAnsi="Arial"/>
                <w:sz w:val="22"/>
                <w:szCs w:val="22"/>
                <w:b w:val="1"/>
                <w:bCs w:val="1"/>
                <w:u w:val="single" w:color="auto"/>
                <w:color w:val="0000EE"/>
              </w:rPr>
            </w:pPr>
            <w:hyperlink w:anchor="page51">
              <w:r>
                <w:rPr>
                  <w:rFonts w:ascii="Arial" w:cs="Arial" w:eastAsia="Arial" w:hAnsi="Arial"/>
                  <w:sz w:val="22"/>
                  <w:szCs w:val="22"/>
                  <w:b w:val="1"/>
                  <w:bCs w:val="1"/>
                  <w:u w:val="single" w:color="auto"/>
                  <w:color w:val="0000EE"/>
                </w:rPr>
                <w:t>EQUITY COMPENSATION PLAN INFORMATION</w:t>
              </w:r>
            </w:hyperlink>
          </w:p>
        </w:tc>
        <w:tc>
          <w:tcPr>
            <w:tcW w:w="720" w:type="dxa"/>
            <w:vAlign w:val="bottom"/>
            <w:gridSpan w:val="2"/>
          </w:tcPr>
          <w:p>
            <w:pPr>
              <w:jc w:val="right"/>
              <w:spacing w:after="0"/>
              <w:rPr>
                <w:rFonts w:ascii="Arial" w:cs="Arial" w:eastAsia="Arial" w:hAnsi="Arial"/>
                <w:sz w:val="22"/>
                <w:szCs w:val="22"/>
                <w:b w:val="1"/>
                <w:bCs w:val="1"/>
                <w:u w:val="single" w:color="auto"/>
                <w:color w:val="0000EE"/>
              </w:rPr>
            </w:pPr>
            <w:hyperlink w:anchor="page51">
              <w:r>
                <w:rPr>
                  <w:rFonts w:ascii="Arial" w:cs="Arial" w:eastAsia="Arial" w:hAnsi="Arial"/>
                  <w:sz w:val="22"/>
                  <w:szCs w:val="22"/>
                  <w:b w:val="1"/>
                  <w:bCs w:val="1"/>
                  <w:u w:val="single" w:color="auto"/>
                  <w:color w:val="0000EE"/>
                </w:rPr>
                <w:t>47</w:t>
              </w:r>
            </w:hyperlink>
          </w:p>
        </w:tc>
        <w:tc>
          <w:tcPr>
            <w:tcW w:w="780" w:type="dxa"/>
            <w:vAlign w:val="bottom"/>
          </w:tcPr>
          <w:p>
            <w:pPr>
              <w:spacing w:after="0"/>
              <w:rPr>
                <w:sz w:val="24"/>
                <w:szCs w:val="24"/>
                <w:color w:val="auto"/>
              </w:rPr>
            </w:pPr>
          </w:p>
        </w:tc>
      </w:tr>
      <w:tr>
        <w:trPr>
          <w:trHeight w:val="553"/>
        </w:trPr>
        <w:tc>
          <w:tcPr>
            <w:tcW w:w="9520" w:type="dxa"/>
            <w:vAlign w:val="bottom"/>
          </w:tcPr>
          <w:p>
            <w:pPr>
              <w:ind w:left="760"/>
              <w:spacing w:after="0"/>
              <w:rPr>
                <w:rFonts w:ascii="Arial" w:cs="Arial" w:eastAsia="Arial" w:hAnsi="Arial"/>
                <w:sz w:val="22"/>
                <w:szCs w:val="22"/>
                <w:b w:val="1"/>
                <w:bCs w:val="1"/>
                <w:u w:val="single" w:color="auto"/>
                <w:color w:val="0000EE"/>
              </w:rPr>
            </w:pPr>
            <w:hyperlink w:anchor="page52">
              <w:r>
                <w:rPr>
                  <w:rFonts w:ascii="Arial" w:cs="Arial" w:eastAsia="Arial" w:hAnsi="Arial"/>
                  <w:sz w:val="22"/>
                  <w:szCs w:val="22"/>
                  <w:b w:val="1"/>
                  <w:bCs w:val="1"/>
                  <w:u w:val="single" w:color="auto"/>
                  <w:color w:val="0000EE"/>
                </w:rPr>
                <w:t>SECURITY OWNERSHIP OF CERTAIN BENEFICIAL OWNERS AND MANAGEMENT</w:t>
              </w:r>
            </w:hyperlink>
          </w:p>
        </w:tc>
        <w:tc>
          <w:tcPr>
            <w:tcW w:w="720" w:type="dxa"/>
            <w:vAlign w:val="bottom"/>
            <w:gridSpan w:val="2"/>
          </w:tcPr>
          <w:p>
            <w:pPr>
              <w:jc w:val="right"/>
              <w:spacing w:after="0"/>
              <w:rPr>
                <w:rFonts w:ascii="Arial" w:cs="Arial" w:eastAsia="Arial" w:hAnsi="Arial"/>
                <w:sz w:val="22"/>
                <w:szCs w:val="22"/>
                <w:b w:val="1"/>
                <w:bCs w:val="1"/>
                <w:u w:val="single" w:color="auto"/>
                <w:color w:val="0000EE"/>
              </w:rPr>
            </w:pPr>
            <w:hyperlink w:anchor="page52">
              <w:r>
                <w:rPr>
                  <w:rFonts w:ascii="Arial" w:cs="Arial" w:eastAsia="Arial" w:hAnsi="Arial"/>
                  <w:sz w:val="22"/>
                  <w:szCs w:val="22"/>
                  <w:b w:val="1"/>
                  <w:bCs w:val="1"/>
                  <w:u w:val="single" w:color="auto"/>
                  <w:color w:val="0000EE"/>
                </w:rPr>
                <w:t>48</w:t>
              </w:r>
            </w:hyperlink>
          </w:p>
        </w:tc>
        <w:tc>
          <w:tcPr>
            <w:tcW w:w="780" w:type="dxa"/>
            <w:vAlign w:val="bottom"/>
          </w:tcPr>
          <w:p>
            <w:pPr>
              <w:spacing w:after="0"/>
              <w:rPr>
                <w:sz w:val="24"/>
                <w:szCs w:val="24"/>
                <w:color w:val="auto"/>
              </w:rPr>
            </w:pPr>
          </w:p>
        </w:tc>
      </w:tr>
      <w:tr>
        <w:trPr>
          <w:trHeight w:val="553"/>
        </w:trPr>
        <w:tc>
          <w:tcPr>
            <w:tcW w:w="9520" w:type="dxa"/>
            <w:vAlign w:val="bottom"/>
          </w:tcPr>
          <w:p>
            <w:pPr>
              <w:ind w:left="760"/>
              <w:spacing w:after="0"/>
              <w:rPr>
                <w:rFonts w:ascii="Arial" w:cs="Arial" w:eastAsia="Arial" w:hAnsi="Arial"/>
                <w:sz w:val="22"/>
                <w:szCs w:val="22"/>
                <w:b w:val="1"/>
                <w:bCs w:val="1"/>
                <w:u w:val="single" w:color="auto"/>
                <w:color w:val="0000EE"/>
              </w:rPr>
            </w:pPr>
            <w:hyperlink w:anchor="page54">
              <w:r>
                <w:rPr>
                  <w:rFonts w:ascii="Arial" w:cs="Arial" w:eastAsia="Arial" w:hAnsi="Arial"/>
                  <w:sz w:val="22"/>
                  <w:szCs w:val="22"/>
                  <w:b w:val="1"/>
                  <w:bCs w:val="1"/>
                  <w:u w:val="single" w:color="auto"/>
                  <w:color w:val="0000EE"/>
                </w:rPr>
                <w:t>CERTAIN RELATIONSHIPS, RELATED PARTY AND OTHER TRANSACTIONS</w:t>
              </w:r>
            </w:hyperlink>
          </w:p>
        </w:tc>
        <w:tc>
          <w:tcPr>
            <w:tcW w:w="720" w:type="dxa"/>
            <w:vAlign w:val="bottom"/>
            <w:gridSpan w:val="2"/>
          </w:tcPr>
          <w:p>
            <w:pPr>
              <w:jc w:val="right"/>
              <w:spacing w:after="0"/>
              <w:rPr>
                <w:rFonts w:ascii="Arial" w:cs="Arial" w:eastAsia="Arial" w:hAnsi="Arial"/>
                <w:sz w:val="22"/>
                <w:szCs w:val="22"/>
                <w:b w:val="1"/>
                <w:bCs w:val="1"/>
                <w:u w:val="single" w:color="auto"/>
                <w:color w:val="0000EE"/>
              </w:rPr>
            </w:pPr>
            <w:hyperlink w:anchor="page54">
              <w:r>
                <w:rPr>
                  <w:rFonts w:ascii="Arial" w:cs="Arial" w:eastAsia="Arial" w:hAnsi="Arial"/>
                  <w:sz w:val="22"/>
                  <w:szCs w:val="22"/>
                  <w:b w:val="1"/>
                  <w:bCs w:val="1"/>
                  <w:u w:val="single" w:color="auto"/>
                  <w:color w:val="0000EE"/>
                </w:rPr>
                <w:t>50</w:t>
              </w:r>
            </w:hyperlink>
          </w:p>
        </w:tc>
        <w:tc>
          <w:tcPr>
            <w:tcW w:w="780" w:type="dxa"/>
            <w:vAlign w:val="bottom"/>
          </w:tcPr>
          <w:p>
            <w:pPr>
              <w:spacing w:after="0"/>
              <w:rPr>
                <w:sz w:val="24"/>
                <w:szCs w:val="24"/>
                <w:color w:val="auto"/>
              </w:rPr>
            </w:pPr>
          </w:p>
        </w:tc>
      </w:tr>
      <w:tr>
        <w:trPr>
          <w:trHeight w:val="314"/>
        </w:trPr>
        <w:tc>
          <w:tcPr>
            <w:tcW w:w="9520" w:type="dxa"/>
            <w:vAlign w:val="bottom"/>
          </w:tcPr>
          <w:p>
            <w:pPr>
              <w:ind w:left="1020"/>
              <w:spacing w:after="0"/>
              <w:rPr>
                <w:rFonts w:ascii="Arial" w:cs="Arial" w:eastAsia="Arial" w:hAnsi="Arial"/>
                <w:sz w:val="16"/>
                <w:szCs w:val="16"/>
                <w:u w:val="single" w:color="auto"/>
                <w:color w:val="0000EE"/>
              </w:rPr>
            </w:pPr>
            <w:hyperlink w:anchor="page54">
              <w:r>
                <w:rPr>
                  <w:rFonts w:ascii="Arial" w:cs="Arial" w:eastAsia="Arial" w:hAnsi="Arial"/>
                  <w:sz w:val="16"/>
                  <w:szCs w:val="16"/>
                  <w:u w:val="single" w:color="auto"/>
                  <w:color w:val="0000EE"/>
                </w:rPr>
                <w:t>Policies and Procedures for Related Person Transactions</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50</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571"/>
        </w:trPr>
        <w:tc>
          <w:tcPr>
            <w:tcW w:w="9520" w:type="dxa"/>
            <w:vAlign w:val="bottom"/>
          </w:tcPr>
          <w:p>
            <w:pPr>
              <w:ind w:left="760"/>
              <w:spacing w:after="0"/>
              <w:rPr>
                <w:rFonts w:ascii="Arial" w:cs="Arial" w:eastAsia="Arial" w:hAnsi="Arial"/>
                <w:sz w:val="22"/>
                <w:szCs w:val="22"/>
                <w:b w:val="1"/>
                <w:bCs w:val="1"/>
                <w:u w:val="single" w:color="auto"/>
                <w:color w:val="0000EE"/>
              </w:rPr>
            </w:pPr>
            <w:hyperlink w:anchor="page55">
              <w:r>
                <w:rPr>
                  <w:rFonts w:ascii="Arial" w:cs="Arial" w:eastAsia="Arial" w:hAnsi="Arial"/>
                  <w:sz w:val="22"/>
                  <w:szCs w:val="22"/>
                  <w:b w:val="1"/>
                  <w:bCs w:val="1"/>
                  <w:u w:val="single" w:color="auto"/>
                  <w:color w:val="0000EE"/>
                </w:rPr>
                <w:t>OTHER MATTERS</w:t>
              </w:r>
            </w:hyperlink>
          </w:p>
        </w:tc>
        <w:tc>
          <w:tcPr>
            <w:tcW w:w="720" w:type="dxa"/>
            <w:vAlign w:val="bottom"/>
            <w:gridSpan w:val="2"/>
          </w:tcPr>
          <w:p>
            <w:pPr>
              <w:jc w:val="right"/>
              <w:spacing w:after="0"/>
              <w:rPr>
                <w:rFonts w:ascii="Arial" w:cs="Arial" w:eastAsia="Arial" w:hAnsi="Arial"/>
                <w:sz w:val="22"/>
                <w:szCs w:val="22"/>
                <w:b w:val="1"/>
                <w:bCs w:val="1"/>
                <w:u w:val="single" w:color="auto"/>
                <w:color w:val="0000EE"/>
              </w:rPr>
            </w:pPr>
            <w:hyperlink w:anchor="page55">
              <w:r>
                <w:rPr>
                  <w:rFonts w:ascii="Arial" w:cs="Arial" w:eastAsia="Arial" w:hAnsi="Arial"/>
                  <w:sz w:val="22"/>
                  <w:szCs w:val="22"/>
                  <w:b w:val="1"/>
                  <w:bCs w:val="1"/>
                  <w:u w:val="single" w:color="auto"/>
                  <w:color w:val="0000EE"/>
                </w:rPr>
                <w:t>51</w:t>
              </w:r>
            </w:hyperlink>
          </w:p>
        </w:tc>
        <w:tc>
          <w:tcPr>
            <w:tcW w:w="780" w:type="dxa"/>
            <w:vAlign w:val="bottom"/>
          </w:tcPr>
          <w:p>
            <w:pPr>
              <w:spacing w:after="0"/>
              <w:rPr>
                <w:sz w:val="24"/>
                <w:szCs w:val="24"/>
                <w:color w:val="auto"/>
              </w:rPr>
            </w:pPr>
          </w:p>
        </w:tc>
      </w:tr>
      <w:tr>
        <w:trPr>
          <w:trHeight w:val="314"/>
        </w:trPr>
        <w:tc>
          <w:tcPr>
            <w:tcW w:w="9520" w:type="dxa"/>
            <w:vAlign w:val="bottom"/>
          </w:tcPr>
          <w:p>
            <w:pPr>
              <w:ind w:left="1020"/>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Section 16(a) Beneficial Ownership Reporting Compliance</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51</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31"/>
        </w:trPr>
        <w:tc>
          <w:tcPr>
            <w:tcW w:w="9520" w:type="dxa"/>
            <w:vAlign w:val="bottom"/>
          </w:tcPr>
          <w:p>
            <w:pPr>
              <w:ind w:left="1020"/>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Fiscal Year 2019 Annual Report and SEC Filings</w:t>
              </w:r>
            </w:hyperlink>
          </w:p>
        </w:tc>
        <w:tc>
          <w:tcPr>
            <w:tcW w:w="720" w:type="dxa"/>
            <w:vAlign w:val="bottom"/>
            <w:gridSpan w:val="2"/>
          </w:tcPr>
          <w:p>
            <w:pPr>
              <w:jc w:val="right"/>
              <w:spacing w:after="0"/>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51</w:t>
              </w:r>
            </w:hyperlink>
          </w:p>
        </w:tc>
        <w:tc>
          <w:tcPr>
            <w:tcW w:w="780" w:type="dxa"/>
            <w:vAlign w:val="bottom"/>
          </w:tcPr>
          <w:p>
            <w:pPr>
              <w:spacing w:after="0"/>
              <w:rPr>
                <w:sz w:val="24"/>
                <w:szCs w:val="24"/>
                <w:color w:val="auto"/>
              </w:rPr>
            </w:pPr>
          </w:p>
        </w:tc>
      </w:tr>
      <w:tr>
        <w:trPr>
          <w:trHeight w:val="20"/>
        </w:trPr>
        <w:tc>
          <w:tcPr>
            <w:tcW w:w="9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571"/>
        </w:trPr>
        <w:tc>
          <w:tcPr>
            <w:tcW w:w="9520" w:type="dxa"/>
            <w:vAlign w:val="bottom"/>
          </w:tcPr>
          <w:p>
            <w:pPr>
              <w:ind w:left="760"/>
              <w:spacing w:after="0"/>
              <w:rPr>
                <w:rFonts w:ascii="Arial" w:cs="Arial" w:eastAsia="Arial" w:hAnsi="Arial"/>
                <w:sz w:val="22"/>
                <w:szCs w:val="22"/>
                <w:b w:val="1"/>
                <w:bCs w:val="1"/>
                <w:u w:val="single" w:color="auto"/>
                <w:color w:val="0000EE"/>
              </w:rPr>
            </w:pPr>
            <w:hyperlink w:anchor="page56">
              <w:r>
                <w:rPr>
                  <w:rFonts w:ascii="Arial" w:cs="Arial" w:eastAsia="Arial" w:hAnsi="Arial"/>
                  <w:sz w:val="22"/>
                  <w:szCs w:val="22"/>
                  <w:b w:val="1"/>
                  <w:bCs w:val="1"/>
                  <w:u w:val="single" w:color="auto"/>
                  <w:color w:val="0000EE"/>
                </w:rPr>
                <w:t>APPENDIX A</w:t>
              </w:r>
            </w:hyperlink>
          </w:p>
        </w:tc>
        <w:tc>
          <w:tcPr>
            <w:tcW w:w="1500" w:type="dxa"/>
            <w:vAlign w:val="bottom"/>
            <w:gridSpan w:val="3"/>
          </w:tcPr>
          <w:p>
            <w:pPr>
              <w:jc w:val="right"/>
              <w:ind w:right="780"/>
              <w:spacing w:after="0"/>
              <w:rPr>
                <w:rFonts w:ascii="Arial" w:cs="Arial" w:eastAsia="Arial" w:hAnsi="Arial"/>
                <w:sz w:val="22"/>
                <w:szCs w:val="22"/>
                <w:b w:val="1"/>
                <w:bCs w:val="1"/>
                <w:u w:val="single" w:color="auto"/>
                <w:color w:val="0000EE"/>
              </w:rPr>
            </w:pPr>
            <w:hyperlink w:anchor="page56">
              <w:r>
                <w:rPr>
                  <w:rFonts w:ascii="Arial" w:cs="Arial" w:eastAsia="Arial" w:hAnsi="Arial"/>
                  <w:sz w:val="22"/>
                  <w:szCs w:val="22"/>
                  <w:b w:val="1"/>
                  <w:bCs w:val="1"/>
                  <w:u w:val="single" w:color="auto"/>
                  <w:color w:val="0000EE"/>
                </w:rPr>
                <w:t>A-1</w:t>
              </w:r>
            </w:hyperlink>
          </w:p>
        </w:tc>
      </w:tr>
      <w:tr>
        <w:trPr>
          <w:trHeight w:val="348"/>
        </w:trPr>
        <w:tc>
          <w:tcPr>
            <w:tcW w:w="9520" w:type="dxa"/>
            <w:vAlign w:val="bottom"/>
          </w:tcPr>
          <w:p>
            <w:pPr>
              <w:ind w:left="1020"/>
              <w:spacing w:after="0"/>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Reconciliation of GAAP financial measures to non-GAAP financial measures</w:t>
              </w:r>
            </w:hyperlink>
          </w:p>
        </w:tc>
        <w:tc>
          <w:tcPr>
            <w:tcW w:w="1500" w:type="dxa"/>
            <w:vAlign w:val="bottom"/>
            <w:gridSpan w:val="3"/>
          </w:tcPr>
          <w:p>
            <w:pPr>
              <w:jc w:val="right"/>
              <w:ind w:right="800"/>
              <w:spacing w:after="0"/>
              <w:rPr>
                <w:rFonts w:ascii="Arial" w:cs="Arial" w:eastAsia="Arial" w:hAnsi="Arial"/>
                <w:sz w:val="16"/>
                <w:szCs w:val="16"/>
                <w:b w:val="1"/>
                <w:bCs w:val="1"/>
                <w:u w:val="single" w:color="auto"/>
                <w:color w:val="0000EE"/>
              </w:rPr>
            </w:pPr>
            <w:hyperlink w:anchor="page56">
              <w:r>
                <w:rPr>
                  <w:rFonts w:ascii="Arial" w:cs="Arial" w:eastAsia="Arial" w:hAnsi="Arial"/>
                  <w:sz w:val="16"/>
                  <w:szCs w:val="16"/>
                  <w:b w:val="1"/>
                  <w:bCs w:val="1"/>
                  <w:u w:val="single" w:color="auto"/>
                  <w:color w:val="0000EE"/>
                </w:rPr>
                <w:t>A-1</w:t>
              </w:r>
            </w:hyperlink>
          </w:p>
        </w:tc>
      </w:tr>
      <w:tr>
        <w:trPr>
          <w:trHeight w:val="189"/>
        </w:trPr>
        <w:tc>
          <w:tcPr>
            <w:tcW w:w="95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bl>
    <w:p>
      <w:pPr>
        <w:sectPr>
          <w:pgSz w:w="11900" w:h="16838" w:orient="portrait"/>
          <w:cols w:equalWidth="0" w:num="1">
            <w:col w:w="11020"/>
          </w:cols>
          <w:pgMar w:left="440" w:top="265" w:right="439" w:bottom="1440" w:gutter="0" w:footer="0" w:header="0"/>
        </w:sectPr>
      </w:pPr>
    </w:p>
    <w:bookmarkStart w:id="4" w:name="page5"/>
    <w:bookmarkEnd w:id="4"/>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GENERAL INFORMATION</w:t>
      </w:r>
    </w:p>
    <w:p>
      <w:pPr>
        <w:spacing w:after="0" w:line="319" w:lineRule="exact"/>
        <w:rPr>
          <w:sz w:val="20"/>
          <w:szCs w:val="20"/>
          <w:color w:val="auto"/>
        </w:rPr>
      </w:pPr>
    </w:p>
    <w:p>
      <w:pPr>
        <w:ind w:left="4520"/>
        <w:spacing w:after="0"/>
        <w:rPr>
          <w:sz w:val="20"/>
          <w:szCs w:val="20"/>
          <w:color w:val="auto"/>
        </w:rPr>
      </w:pPr>
      <w:r>
        <w:rPr>
          <w:rFonts w:ascii="Arial" w:cs="Arial" w:eastAsia="Arial" w:hAnsi="Arial"/>
          <w:sz w:val="26"/>
          <w:szCs w:val="26"/>
          <w:b w:val="1"/>
          <w:bCs w:val="1"/>
          <w:color w:val="005CB8"/>
        </w:rPr>
        <w:t>DROPBOX, INC.</w:t>
      </w:r>
    </w:p>
    <w:p>
      <w:pPr>
        <w:spacing w:after="0" w:line="244" w:lineRule="exact"/>
        <w:rPr>
          <w:sz w:val="20"/>
          <w:szCs w:val="20"/>
          <w:color w:val="auto"/>
        </w:rPr>
      </w:pPr>
    </w:p>
    <w:p>
      <w:pPr>
        <w:ind w:left="4240"/>
        <w:spacing w:after="0"/>
        <w:rPr>
          <w:sz w:val="20"/>
          <w:szCs w:val="20"/>
          <w:color w:val="auto"/>
        </w:rPr>
      </w:pPr>
      <w:r>
        <w:rPr>
          <w:rFonts w:ascii="Arial" w:cs="Arial" w:eastAsia="Arial" w:hAnsi="Arial"/>
          <w:sz w:val="26"/>
          <w:szCs w:val="26"/>
          <w:color w:val="005CB8"/>
        </w:rPr>
        <w:t>PROXY STATEMENT</w:t>
      </w:r>
    </w:p>
    <w:p>
      <w:pPr>
        <w:jc w:val="center"/>
        <w:ind w:right="20"/>
        <w:spacing w:after="0" w:line="238" w:lineRule="auto"/>
        <w:rPr>
          <w:sz w:val="20"/>
          <w:szCs w:val="20"/>
          <w:color w:val="auto"/>
        </w:rPr>
      </w:pPr>
      <w:r>
        <w:rPr>
          <w:rFonts w:ascii="Arial" w:cs="Arial" w:eastAsia="Arial" w:hAnsi="Arial"/>
          <w:sz w:val="26"/>
          <w:szCs w:val="26"/>
          <w:color w:val="005CB8"/>
        </w:rPr>
        <w:t>FOR 2020 ANNUAL MEETING OF STOCKHOLDERS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6"/>
          <w:szCs w:val="26"/>
          <w:color w:val="005CB8"/>
        </w:rPr>
        <w:t>to be held at 9:00 am Pacific Time on Thursday, May 21, 2020</w:t>
      </w:r>
    </w:p>
    <w:p>
      <w:pPr>
        <w:spacing w:after="0" w:line="169" w:lineRule="exact"/>
        <w:rPr>
          <w:sz w:val="20"/>
          <w:szCs w:val="20"/>
          <w:color w:val="auto"/>
        </w:rPr>
      </w:pPr>
    </w:p>
    <w:p>
      <w:pPr>
        <w:ind w:left="720" w:right="740"/>
        <w:spacing w:after="0" w:line="248" w:lineRule="auto"/>
        <w:rPr>
          <w:sz w:val="20"/>
          <w:szCs w:val="20"/>
          <w:color w:val="auto"/>
        </w:rPr>
      </w:pPr>
      <w:r>
        <w:rPr>
          <w:rFonts w:ascii="Arial" w:cs="Arial" w:eastAsia="Arial" w:hAnsi="Arial"/>
          <w:sz w:val="16"/>
          <w:szCs w:val="16"/>
          <w:color w:val="auto"/>
        </w:rPr>
        <w:t>This proxy statement and the enclosed form of proxy are furnished in connection with the solicitation of proxies by our board of directors for use at the 2020 annual meeting of stockholders of Dropbox, Inc., a Delaware corporation, and any postponements, adjournments or continuations thereof (the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The Annual Meeting will be held on Thursday, May 21, 2020 at 9:00 am Pacific Time . The Annual Meeting will be conducted virtually via live audio webcast. You will be able to attend the Annual Meeting virtually by visiting www.virtualshareholdermeeting.com/DBX2020, where you will be able to listen to the meeting live, submit questions and vote online. The Notice of Internet Availability of Proxy Materials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containing instructions on how to access this proxy statement and our annual report is first being mailed on or about April 7, 2020 to all stockholders entitled to vote at the Annual Meeting. The proxy materials and our 2019 annual report can be accessed by following the instructions in the Notice.</w:t>
      </w:r>
    </w:p>
    <w:p>
      <w:pPr>
        <w:spacing w:after="0" w:line="153" w:lineRule="exact"/>
        <w:rPr>
          <w:sz w:val="20"/>
          <w:szCs w:val="20"/>
          <w:color w:val="auto"/>
        </w:rPr>
      </w:pPr>
    </w:p>
    <w:p>
      <w:pPr>
        <w:ind w:left="720" w:right="800"/>
        <w:spacing w:after="0" w:line="251" w:lineRule="auto"/>
        <w:rPr>
          <w:sz w:val="20"/>
          <w:szCs w:val="20"/>
          <w:color w:val="auto"/>
        </w:rPr>
      </w:pPr>
      <w:r>
        <w:rPr>
          <w:rFonts w:ascii="Arial" w:cs="Arial" w:eastAsia="Arial" w:hAnsi="Arial"/>
          <w:sz w:val="16"/>
          <w:szCs w:val="16"/>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344"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What matters am I voting on?</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You are being asked to vote on:</w:t>
      </w:r>
    </w:p>
    <w:p>
      <w:pPr>
        <w:spacing w:after="0" w:line="140" w:lineRule="exact"/>
        <w:rPr>
          <w:sz w:val="20"/>
          <w:szCs w:val="20"/>
          <w:color w:val="auto"/>
        </w:rPr>
      </w:pPr>
    </w:p>
    <w:p>
      <w:pPr>
        <w:ind w:left="1000" w:right="820" w:hanging="284"/>
        <w:spacing w:after="0" w:line="260" w:lineRule="auto"/>
        <w:tabs>
          <w:tab w:leader="none" w:pos="1000" w:val="left"/>
        </w:tabs>
        <w:numPr>
          <w:ilvl w:val="0"/>
          <w:numId w:val="7"/>
        </w:numPr>
        <w:rPr>
          <w:rFonts w:ascii="Arial" w:cs="Arial" w:eastAsia="Arial" w:hAnsi="Arial"/>
          <w:sz w:val="16"/>
          <w:szCs w:val="16"/>
          <w:color w:val="005CB8"/>
        </w:rPr>
      </w:pPr>
      <w:r>
        <w:rPr>
          <w:rFonts w:ascii="Arial" w:cs="Arial" w:eastAsia="Arial" w:hAnsi="Arial"/>
          <w:sz w:val="16"/>
          <w:szCs w:val="16"/>
          <w:color w:val="auto"/>
        </w:rPr>
        <w:t>the election of eight directors to serve until the next annual meeting of stockholders or until their successors are duly elected and qualified;</w:t>
      </w:r>
    </w:p>
    <w:p>
      <w:pPr>
        <w:spacing w:after="0" w:line="100" w:lineRule="exact"/>
        <w:rPr>
          <w:rFonts w:ascii="Arial" w:cs="Arial" w:eastAsia="Arial" w:hAnsi="Arial"/>
          <w:sz w:val="16"/>
          <w:szCs w:val="16"/>
          <w:color w:val="005CB8"/>
        </w:rPr>
      </w:pPr>
    </w:p>
    <w:p>
      <w:pPr>
        <w:ind w:left="1000" w:right="800" w:hanging="284"/>
        <w:spacing w:after="0" w:line="260" w:lineRule="auto"/>
        <w:tabs>
          <w:tab w:leader="none" w:pos="1000" w:val="left"/>
        </w:tabs>
        <w:numPr>
          <w:ilvl w:val="0"/>
          <w:numId w:val="7"/>
        </w:numPr>
        <w:rPr>
          <w:rFonts w:ascii="Arial" w:cs="Arial" w:eastAsia="Arial" w:hAnsi="Arial"/>
          <w:sz w:val="16"/>
          <w:szCs w:val="16"/>
          <w:color w:val="005CB8"/>
        </w:rPr>
      </w:pPr>
      <w:r>
        <w:rPr>
          <w:rFonts w:ascii="Arial" w:cs="Arial" w:eastAsia="Arial" w:hAnsi="Arial"/>
          <w:sz w:val="16"/>
          <w:szCs w:val="16"/>
          <w:color w:val="auto"/>
        </w:rPr>
        <w:t>a proposal to ratify the appointment of Ernst &amp; Young LLP as our independent registered public accounting firm for our fiscal year ending December 31, 2020;</w:t>
      </w:r>
    </w:p>
    <w:p>
      <w:pPr>
        <w:spacing w:after="0" w:line="100" w:lineRule="exact"/>
        <w:rPr>
          <w:rFonts w:ascii="Arial" w:cs="Arial" w:eastAsia="Arial" w:hAnsi="Arial"/>
          <w:sz w:val="16"/>
          <w:szCs w:val="16"/>
          <w:color w:val="005CB8"/>
        </w:rPr>
      </w:pPr>
    </w:p>
    <w:p>
      <w:pPr>
        <w:ind w:left="1000" w:hanging="284"/>
        <w:spacing w:after="0"/>
        <w:tabs>
          <w:tab w:leader="none" w:pos="1000" w:val="left"/>
        </w:tabs>
        <w:numPr>
          <w:ilvl w:val="0"/>
          <w:numId w:val="7"/>
        </w:numPr>
        <w:rPr>
          <w:rFonts w:ascii="Arial" w:cs="Arial" w:eastAsia="Arial" w:hAnsi="Arial"/>
          <w:sz w:val="16"/>
          <w:szCs w:val="16"/>
          <w:color w:val="005CB8"/>
        </w:rPr>
      </w:pPr>
      <w:r>
        <w:rPr>
          <w:rFonts w:ascii="Arial" w:cs="Arial" w:eastAsia="Arial" w:hAnsi="Arial"/>
          <w:sz w:val="16"/>
          <w:szCs w:val="16"/>
          <w:color w:val="auto"/>
        </w:rPr>
        <w:t>a proposal to approve, on an advisory basis, the compensation of our named executive officers; and</w:t>
      </w:r>
    </w:p>
    <w:p>
      <w:pPr>
        <w:spacing w:after="0" w:line="140" w:lineRule="exact"/>
        <w:rPr>
          <w:rFonts w:ascii="Arial" w:cs="Arial" w:eastAsia="Arial" w:hAnsi="Arial"/>
          <w:sz w:val="16"/>
          <w:szCs w:val="16"/>
          <w:color w:val="005CB8"/>
        </w:rPr>
      </w:pPr>
    </w:p>
    <w:p>
      <w:pPr>
        <w:ind w:left="1000" w:hanging="284"/>
        <w:spacing w:after="0"/>
        <w:tabs>
          <w:tab w:leader="none" w:pos="1000" w:val="left"/>
        </w:tabs>
        <w:numPr>
          <w:ilvl w:val="0"/>
          <w:numId w:val="7"/>
        </w:numPr>
        <w:rPr>
          <w:rFonts w:ascii="Arial" w:cs="Arial" w:eastAsia="Arial" w:hAnsi="Arial"/>
          <w:sz w:val="16"/>
          <w:szCs w:val="16"/>
          <w:color w:val="005CB8"/>
        </w:rPr>
      </w:pPr>
      <w:r>
        <w:rPr>
          <w:rFonts w:ascii="Arial" w:cs="Arial" w:eastAsia="Arial" w:hAnsi="Arial"/>
          <w:sz w:val="16"/>
          <w:szCs w:val="16"/>
          <w:color w:val="auto"/>
        </w:rPr>
        <w:t>any other business as may properly come before the Annual Meeting.</w:t>
      </w:r>
    </w:p>
    <w:p>
      <w:pPr>
        <w:spacing w:after="0" w:line="36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How does the board of directors recommend I vote on these proposals?</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board of directors recommends a vote:</w:t>
      </w:r>
    </w:p>
    <w:p>
      <w:pPr>
        <w:spacing w:after="0" w:line="140" w:lineRule="exact"/>
        <w:rPr>
          <w:sz w:val="20"/>
          <w:szCs w:val="20"/>
          <w:color w:val="auto"/>
        </w:rPr>
      </w:pPr>
    </w:p>
    <w:p>
      <w:pPr>
        <w:ind w:left="1000" w:hanging="284"/>
        <w:spacing w:after="0"/>
        <w:tabs>
          <w:tab w:leader="none" w:pos="1000" w:val="left"/>
        </w:tabs>
        <w:numPr>
          <w:ilvl w:val="0"/>
          <w:numId w:val="8"/>
        </w:numPr>
        <w:rPr>
          <w:rFonts w:ascii="Arial" w:cs="Arial" w:eastAsia="Arial" w:hAnsi="Arial"/>
          <w:sz w:val="16"/>
          <w:szCs w:val="16"/>
          <w:color w:val="005CB8"/>
        </w:rPr>
      </w:pPr>
      <w:r>
        <w:rPr>
          <w:rFonts w:ascii="Arial" w:cs="Arial" w:eastAsia="Arial" w:hAnsi="Arial"/>
          <w:sz w:val="16"/>
          <w:szCs w:val="16"/>
          <w:color w:val="auto"/>
        </w:rPr>
        <w:t>“FOR” the election of each director nominee named in this proxy statement;</w:t>
      </w:r>
    </w:p>
    <w:p>
      <w:pPr>
        <w:spacing w:after="0" w:line="126" w:lineRule="exact"/>
        <w:rPr>
          <w:rFonts w:ascii="Arial" w:cs="Arial" w:eastAsia="Arial" w:hAnsi="Arial"/>
          <w:sz w:val="16"/>
          <w:szCs w:val="16"/>
          <w:color w:val="005CB8"/>
        </w:rPr>
      </w:pPr>
    </w:p>
    <w:p>
      <w:pPr>
        <w:ind w:left="1000" w:right="800" w:hanging="284"/>
        <w:spacing w:after="0" w:line="260" w:lineRule="auto"/>
        <w:tabs>
          <w:tab w:leader="none" w:pos="1000" w:val="left"/>
        </w:tabs>
        <w:numPr>
          <w:ilvl w:val="0"/>
          <w:numId w:val="8"/>
        </w:numPr>
        <w:rPr>
          <w:rFonts w:ascii="Arial" w:cs="Arial" w:eastAsia="Arial" w:hAnsi="Arial"/>
          <w:sz w:val="16"/>
          <w:szCs w:val="16"/>
          <w:color w:val="005CB8"/>
        </w:rPr>
      </w:pPr>
      <w:r>
        <w:rPr>
          <w:rFonts w:ascii="Arial" w:cs="Arial" w:eastAsia="Arial" w:hAnsi="Arial"/>
          <w:sz w:val="16"/>
          <w:szCs w:val="16"/>
          <w:color w:val="auto"/>
        </w:rPr>
        <w:t>“FOR” the ratification of the appointment of Ernst &amp; Young LLP as our independent registered public accounting firm for our fiscal year ending December 31, 2020; and</w:t>
      </w:r>
    </w:p>
    <w:p>
      <w:pPr>
        <w:spacing w:after="0" w:line="100" w:lineRule="exact"/>
        <w:rPr>
          <w:rFonts w:ascii="Arial" w:cs="Arial" w:eastAsia="Arial" w:hAnsi="Arial"/>
          <w:sz w:val="16"/>
          <w:szCs w:val="16"/>
          <w:color w:val="005CB8"/>
        </w:rPr>
      </w:pPr>
    </w:p>
    <w:p>
      <w:pPr>
        <w:ind w:left="1000" w:hanging="284"/>
        <w:spacing w:after="0"/>
        <w:tabs>
          <w:tab w:leader="none" w:pos="1000" w:val="left"/>
        </w:tabs>
        <w:numPr>
          <w:ilvl w:val="0"/>
          <w:numId w:val="8"/>
        </w:numPr>
        <w:rPr>
          <w:rFonts w:ascii="Arial" w:cs="Arial" w:eastAsia="Arial" w:hAnsi="Arial"/>
          <w:sz w:val="16"/>
          <w:szCs w:val="16"/>
          <w:color w:val="005CB8"/>
        </w:rPr>
      </w:pPr>
      <w:r>
        <w:rPr>
          <w:rFonts w:ascii="Arial" w:cs="Arial" w:eastAsia="Arial" w:hAnsi="Arial"/>
          <w:sz w:val="16"/>
          <w:szCs w:val="16"/>
          <w:color w:val="auto"/>
        </w:rPr>
        <w:t>“FOR” the approval, on an advisory basis, of the compensation of our named executive officers.</w:t>
      </w:r>
    </w:p>
    <w:p>
      <w:pPr>
        <w:spacing w:after="0" w:line="37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How many votes are needed for approval of each proposal?</w:t>
      </w:r>
    </w:p>
    <w:p>
      <w:pPr>
        <w:spacing w:after="0" w:line="66" w:lineRule="exact"/>
        <w:rPr>
          <w:sz w:val="20"/>
          <w:szCs w:val="20"/>
          <w:color w:val="auto"/>
        </w:rPr>
      </w:pPr>
    </w:p>
    <w:p>
      <w:pPr>
        <w:ind w:left="1000" w:right="980" w:hanging="284"/>
        <w:spacing w:after="0" w:line="249" w:lineRule="auto"/>
        <w:tabs>
          <w:tab w:leader="none" w:pos="1000" w:val="left"/>
        </w:tabs>
        <w:numPr>
          <w:ilvl w:val="0"/>
          <w:numId w:val="9"/>
        </w:numPr>
        <w:rPr>
          <w:rFonts w:ascii="Arial" w:cs="Arial" w:eastAsia="Arial" w:hAnsi="Arial"/>
          <w:sz w:val="16"/>
          <w:szCs w:val="16"/>
          <w:color w:val="005CB8"/>
        </w:rPr>
      </w:pPr>
      <w:r>
        <w:rPr>
          <w:rFonts w:ascii="Arial" w:cs="Arial" w:eastAsia="Arial" w:hAnsi="Arial"/>
          <w:sz w:val="16"/>
          <w:szCs w:val="16"/>
          <w:color w:val="005CB8"/>
        </w:rPr>
        <w:t xml:space="preserve">Proposal No. 1: </w:t>
      </w:r>
      <w:r>
        <w:rPr>
          <w:rFonts w:ascii="Arial" w:cs="Arial" w:eastAsia="Arial" w:hAnsi="Arial"/>
          <w:sz w:val="16"/>
          <w:szCs w:val="16"/>
          <w:color w:val="000000"/>
        </w:rPr>
        <w:t>Each director is elected by a plurality of the votes of the shares present virtually or represented by proxy at the</w:t>
      </w:r>
      <w:r>
        <w:rPr>
          <w:rFonts w:ascii="Arial" w:cs="Arial" w:eastAsia="Arial" w:hAnsi="Arial"/>
          <w:sz w:val="16"/>
          <w:szCs w:val="16"/>
          <w:color w:val="005CB8"/>
        </w:rPr>
        <w:t xml:space="preserve"> </w:t>
      </w:r>
      <w:r>
        <w:rPr>
          <w:rFonts w:ascii="Arial" w:cs="Arial" w:eastAsia="Arial" w:hAnsi="Arial"/>
          <w:sz w:val="16"/>
          <w:szCs w:val="16"/>
          <w:color w:val="000000"/>
        </w:rPr>
        <w:t>meeting and entitled to vote on the election of directors at the Annual Meeting. Abstentions and broker non-votes will have no effect on the outcome of the vote. “Plurality” means that the eight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 You may vote “For” or “Withhold” on each of the nominees for election as a director.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60" w:type="dxa"/>
            <w:vAlign w:val="bottom"/>
          </w:tcPr>
          <w:p>
            <w:pPr>
              <w:ind w:left="4060"/>
              <w:spacing w:after="0"/>
              <w:rPr>
                <w:sz w:val="20"/>
                <w:szCs w:val="20"/>
                <w:color w:val="auto"/>
              </w:rPr>
            </w:pPr>
            <w:r>
              <w:rPr>
                <w:rFonts w:ascii="Arial" w:cs="Arial" w:eastAsia="Arial" w:hAnsi="Arial"/>
                <w:sz w:val="14"/>
                <w:szCs w:val="14"/>
                <w:b w:val="1"/>
                <w:bCs w:val="1"/>
                <w:color w:val="005CB8"/>
              </w:rPr>
              <w:t>Dropbox, Inc. Proxy Statement and Notice of 2020 Annual Meeting of Stockholders</w:t>
            </w:r>
          </w:p>
        </w:tc>
        <w:tc>
          <w:tcPr>
            <w:tcW w:w="1060" w:type="dxa"/>
            <w:vAlign w:val="bottom"/>
          </w:tcPr>
          <w:p>
            <w:pPr>
              <w:jc w:val="right"/>
              <w:ind w:right="648"/>
              <w:spacing w:after="0"/>
              <w:rPr>
                <w:sz w:val="20"/>
                <w:szCs w:val="20"/>
                <w:color w:val="auto"/>
              </w:rPr>
            </w:pPr>
            <w:r>
              <w:rPr>
                <w:rFonts w:ascii="Arial" w:cs="Arial" w:eastAsia="Arial" w:hAnsi="Arial"/>
                <w:sz w:val="14"/>
                <w:szCs w:val="14"/>
                <w:b w:val="1"/>
                <w:bCs w:val="1"/>
                <w:color w:val="auto"/>
              </w:rPr>
              <w:t>1</w:t>
            </w:r>
          </w:p>
        </w:tc>
      </w:tr>
      <w:tr>
        <w:trPr>
          <w:trHeight w:val="167"/>
        </w:trPr>
        <w:tc>
          <w:tcPr>
            <w:tcW w:w="99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5" w:name="page6"/>
    <w:bookmarkEnd w:id="5"/>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5CB8"/>
        </w:rPr>
        <w:t>GENERAL INFORMATION (continued)</w:t>
      </w:r>
    </w:p>
    <w:p>
      <w:pPr>
        <w:spacing w:after="0" w:line="386" w:lineRule="exact"/>
        <w:rPr>
          <w:sz w:val="20"/>
          <w:szCs w:val="20"/>
          <w:color w:val="auto"/>
        </w:rPr>
      </w:pPr>
    </w:p>
    <w:p>
      <w:pPr>
        <w:jc w:val="both"/>
        <w:ind w:left="284" w:hanging="284"/>
        <w:spacing w:after="0" w:line="246" w:lineRule="auto"/>
        <w:tabs>
          <w:tab w:leader="none" w:pos="284" w:val="left"/>
        </w:tabs>
        <w:numPr>
          <w:ilvl w:val="0"/>
          <w:numId w:val="10"/>
        </w:numPr>
        <w:rPr>
          <w:rFonts w:ascii="Arial" w:cs="Arial" w:eastAsia="Arial" w:hAnsi="Arial"/>
          <w:sz w:val="16"/>
          <w:szCs w:val="16"/>
          <w:color w:val="005CB8"/>
        </w:rPr>
      </w:pPr>
      <w:r>
        <w:rPr>
          <w:rFonts w:ascii="Arial" w:cs="Arial" w:eastAsia="Arial" w:hAnsi="Arial"/>
          <w:sz w:val="16"/>
          <w:szCs w:val="16"/>
          <w:color w:val="005CB8"/>
        </w:rPr>
        <w:t xml:space="preserve">Proposal No. 2: </w:t>
      </w:r>
      <w:r>
        <w:rPr>
          <w:rFonts w:ascii="Arial" w:cs="Arial" w:eastAsia="Arial" w:hAnsi="Arial"/>
          <w:sz w:val="16"/>
          <w:szCs w:val="16"/>
          <w:color w:val="000000"/>
        </w:rPr>
        <w:t>The ratification of the appointment of Ernst &amp; Young LLP as our independent registered public accounting firm for</w:t>
      </w:r>
      <w:r>
        <w:rPr>
          <w:rFonts w:ascii="Arial" w:cs="Arial" w:eastAsia="Arial" w:hAnsi="Arial"/>
          <w:sz w:val="16"/>
          <w:szCs w:val="16"/>
          <w:color w:val="005CB8"/>
        </w:rPr>
        <w:t xml:space="preserve"> </w:t>
      </w:r>
      <w:r>
        <w:rPr>
          <w:rFonts w:ascii="Arial" w:cs="Arial" w:eastAsia="Arial" w:hAnsi="Arial"/>
          <w:sz w:val="16"/>
          <w:szCs w:val="16"/>
          <w:color w:val="000000"/>
        </w:rPr>
        <w:t>our fiscal year ending December 31, 2020, requires the affirmative “For” vote of a majority of the voting power of the shares of our common stock present virtually or represented by proxy at the Annual Meeting and entitled to vote thereon to be approved.</w:t>
      </w:r>
    </w:p>
    <w:p>
      <w:pPr>
        <w:spacing w:after="0" w:line="1" w:lineRule="exact"/>
        <w:rPr>
          <w:rFonts w:ascii="Arial" w:cs="Arial" w:eastAsia="Arial" w:hAnsi="Arial"/>
          <w:sz w:val="16"/>
          <w:szCs w:val="16"/>
          <w:color w:val="005CB8"/>
        </w:rPr>
      </w:pPr>
    </w:p>
    <w:p>
      <w:pPr>
        <w:ind w:left="284" w:right="320"/>
        <w:spacing w:after="0" w:line="260" w:lineRule="auto"/>
        <w:rPr>
          <w:rFonts w:ascii="Arial" w:cs="Arial" w:eastAsia="Arial" w:hAnsi="Arial"/>
          <w:sz w:val="16"/>
          <w:szCs w:val="16"/>
          <w:color w:val="005CB8"/>
        </w:rPr>
      </w:pPr>
      <w:r>
        <w:rPr>
          <w:rFonts w:ascii="Arial" w:cs="Arial" w:eastAsia="Arial" w:hAnsi="Arial"/>
          <w:sz w:val="16"/>
          <w:szCs w:val="16"/>
          <w:color w:val="auto"/>
        </w:rPr>
        <w:t>Abstentions are considered shares present and entitled to vote on this proposal, and thus, will have the same effect as a vote “Against” this proposal. Broker non-votes will have no effect on the outcome of this proposal.</w:t>
      </w:r>
    </w:p>
    <w:p>
      <w:pPr>
        <w:spacing w:after="0" w:line="141" w:lineRule="exact"/>
        <w:rPr>
          <w:rFonts w:ascii="Arial" w:cs="Arial" w:eastAsia="Arial" w:hAnsi="Arial"/>
          <w:sz w:val="16"/>
          <w:szCs w:val="16"/>
          <w:color w:val="005CB8"/>
        </w:rPr>
      </w:pPr>
    </w:p>
    <w:p>
      <w:pPr>
        <w:ind w:left="284" w:right="80" w:hanging="284"/>
        <w:spacing w:after="0" w:line="248" w:lineRule="auto"/>
        <w:tabs>
          <w:tab w:leader="none" w:pos="284" w:val="left"/>
        </w:tabs>
        <w:numPr>
          <w:ilvl w:val="0"/>
          <w:numId w:val="10"/>
        </w:numPr>
        <w:rPr>
          <w:rFonts w:ascii="Arial" w:cs="Arial" w:eastAsia="Arial" w:hAnsi="Arial"/>
          <w:sz w:val="16"/>
          <w:szCs w:val="16"/>
          <w:color w:val="005CB8"/>
        </w:rPr>
      </w:pPr>
      <w:r>
        <w:rPr>
          <w:rFonts w:ascii="Arial" w:cs="Arial" w:eastAsia="Arial" w:hAnsi="Arial"/>
          <w:sz w:val="16"/>
          <w:szCs w:val="16"/>
          <w:color w:val="005CB8"/>
        </w:rPr>
        <w:t xml:space="preserve">Proposal No. 3: </w:t>
      </w:r>
      <w:r>
        <w:rPr>
          <w:rFonts w:ascii="Arial" w:cs="Arial" w:eastAsia="Arial" w:hAnsi="Arial"/>
          <w:sz w:val="16"/>
          <w:szCs w:val="16"/>
          <w:color w:val="000000"/>
        </w:rPr>
        <w:t>The approval, on an advisory basis, of the compensation of our named executive officers requires the affirmative</w:t>
      </w:r>
      <w:r>
        <w:rPr>
          <w:rFonts w:ascii="Arial" w:cs="Arial" w:eastAsia="Arial" w:hAnsi="Arial"/>
          <w:sz w:val="16"/>
          <w:szCs w:val="16"/>
          <w:color w:val="005CB8"/>
        </w:rPr>
        <w:t xml:space="preserve"> </w:t>
      </w:r>
      <w:r>
        <w:rPr>
          <w:rFonts w:ascii="Arial" w:cs="Arial" w:eastAsia="Arial" w:hAnsi="Arial"/>
          <w:sz w:val="16"/>
          <w:szCs w:val="16"/>
          <w:color w:val="000000"/>
        </w:rPr>
        <w:t>vote of at least a majority of the voting power of our common stock present virtually or represented by proxy at the Annual Meeting and entitled to vote thereon to be approved.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Because this proposal is an advisory vote, the result will not be binding on our board of directors or our company. Our board of directors and our compensation committee will consider the outcome of the vote when determining named executive officer compensation.</w:t>
      </w:r>
    </w:p>
    <w:p>
      <w:pPr>
        <w:spacing w:after="0" w:line="31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Who is entitled to vote?</w:t>
      </w:r>
    </w:p>
    <w:p>
      <w:pPr>
        <w:spacing w:after="0" w:line="66" w:lineRule="exact"/>
        <w:rPr>
          <w:sz w:val="20"/>
          <w:szCs w:val="20"/>
          <w:color w:val="auto"/>
        </w:rPr>
      </w:pPr>
    </w:p>
    <w:p>
      <w:pPr>
        <w:ind w:left="4" w:right="220"/>
        <w:spacing w:after="0" w:line="248" w:lineRule="auto"/>
        <w:rPr>
          <w:sz w:val="20"/>
          <w:szCs w:val="20"/>
          <w:color w:val="auto"/>
        </w:rPr>
      </w:pPr>
      <w:r>
        <w:rPr>
          <w:rFonts w:ascii="Arial" w:cs="Arial" w:eastAsia="Arial" w:hAnsi="Arial"/>
          <w:sz w:val="16"/>
          <w:szCs w:val="16"/>
          <w:color w:val="auto"/>
        </w:rPr>
        <w:t>Holders of our Class A and Class B common stock as of the close of business on March 23, 2020, the record date for the Annual Meeting, may vote at the Annual Meeting. As of the record date, there were 277,095,634 shares of our Class A common stock outstanding and 151,306,402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proposal and each share of Class B Common Stock is entitled to 10 votes on each proposal. Our Class A common stock and Class B are collectively referred to in this proxy statement as our “common stock.”</w:t>
      </w:r>
    </w:p>
    <w:p>
      <w:pPr>
        <w:spacing w:after="0" w:line="154" w:lineRule="exact"/>
        <w:rPr>
          <w:sz w:val="20"/>
          <w:szCs w:val="20"/>
          <w:color w:val="auto"/>
        </w:rPr>
      </w:pPr>
    </w:p>
    <w:p>
      <w:pPr>
        <w:ind w:left="4" w:right="100"/>
        <w:spacing w:after="0" w:line="250" w:lineRule="auto"/>
        <w:rPr>
          <w:sz w:val="20"/>
          <w:szCs w:val="20"/>
          <w:color w:val="auto"/>
        </w:rPr>
      </w:pPr>
      <w:r>
        <w:rPr>
          <w:rFonts w:ascii="Arial" w:cs="Arial" w:eastAsia="Arial" w:hAnsi="Arial"/>
          <w:sz w:val="16"/>
          <w:szCs w:val="16"/>
          <w:color w:val="005CB8"/>
        </w:rPr>
        <w:t xml:space="preserve">Registered Stockholders. </w:t>
      </w:r>
      <w:r>
        <w:rPr>
          <w:rFonts w:ascii="Arial" w:cs="Arial" w:eastAsia="Arial" w:hAnsi="Arial"/>
          <w:sz w:val="16"/>
          <w:szCs w:val="16"/>
          <w:color w:val="000000"/>
        </w:rPr>
        <w:t>If shares of our common stock are registered directly in your name with our transfer agent, Computershare</w:t>
      </w:r>
      <w:r>
        <w:rPr>
          <w:rFonts w:ascii="Arial" w:cs="Arial" w:eastAsia="Arial" w:hAnsi="Arial"/>
          <w:sz w:val="16"/>
          <w:szCs w:val="16"/>
          <w:color w:val="005CB8"/>
        </w:rPr>
        <w:t xml:space="preserve"> </w:t>
      </w:r>
      <w:r>
        <w:rPr>
          <w:rFonts w:ascii="Arial" w:cs="Arial" w:eastAsia="Arial" w:hAnsi="Arial"/>
          <w:sz w:val="16"/>
          <w:szCs w:val="16"/>
          <w:color w:val="000000"/>
        </w:rPr>
        <w:t>Trust Company, N.A., you are considered the stockholder of record with respect to those shares, and the Notice was provided to you directly by us. As the stockholder of record, you have the right to grant your voting proxy directly to the individuals listed on the proxy card or to vote live at the Annual Meeting. Throughout this proxy statement, we refer to these registered stockholders as “stockholders of record.”</w:t>
      </w:r>
    </w:p>
    <w:p>
      <w:pPr>
        <w:spacing w:after="0" w:line="149"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005CB8"/>
        </w:rPr>
        <w:t xml:space="preserve">Street Name Stockholders. </w:t>
      </w:r>
      <w:r>
        <w:rPr>
          <w:rFonts w:ascii="Arial" w:cs="Arial" w:eastAsia="Arial" w:hAnsi="Arial"/>
          <w:sz w:val="16"/>
          <w:szCs w:val="16"/>
          <w:color w:val="000000"/>
        </w:rPr>
        <w:t>If shares of our common stock are held on your behalf in a brokerage account or by a bank or other</w:t>
      </w:r>
      <w:r>
        <w:rPr>
          <w:rFonts w:ascii="Arial" w:cs="Arial" w:eastAsia="Arial" w:hAnsi="Arial"/>
          <w:sz w:val="16"/>
          <w:szCs w:val="16"/>
          <w:color w:val="005CB8"/>
        </w:rPr>
        <w:t xml:space="preserve"> </w:t>
      </w:r>
      <w:r>
        <w:rPr>
          <w:rFonts w:ascii="Arial" w:cs="Arial" w:eastAsia="Arial" w:hAnsi="Arial"/>
          <w:sz w:val="16"/>
          <w:szCs w:val="16"/>
          <w:color w:val="000000"/>
        </w:rPr>
        <w:t>nominee, you are considered to be the beneficial owner of shares that are held in “street name,” and the Notice was forwarded to you by your broker or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30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Are a certain number of shares required to be present at the Annual Meeting?</w:t>
      </w:r>
    </w:p>
    <w:p>
      <w:pPr>
        <w:spacing w:after="0" w:line="66" w:lineRule="exact"/>
        <w:rPr>
          <w:sz w:val="20"/>
          <w:szCs w:val="20"/>
          <w:color w:val="auto"/>
        </w:rPr>
      </w:pPr>
    </w:p>
    <w:p>
      <w:pPr>
        <w:ind w:left="4"/>
        <w:spacing w:after="0" w:line="250" w:lineRule="auto"/>
        <w:rPr>
          <w:sz w:val="20"/>
          <w:szCs w:val="20"/>
          <w:color w:val="auto"/>
        </w:rPr>
      </w:pPr>
      <w:r>
        <w:rPr>
          <w:rFonts w:ascii="Arial" w:cs="Arial" w:eastAsia="Arial" w:hAnsi="Arial"/>
          <w:sz w:val="16"/>
          <w:szCs w:val="16"/>
          <w:color w:val="auto"/>
        </w:rPr>
        <w:t>A quorum is the minimum number of shares required to be present at the Annual Meeting to properly hold an annual meeting of stockholders and conduct business under our amended and restated bylaws and Delaware law. The presence, virtually or by proxy, of a majority of the voting power of all issued and outstanding shares of our common stock entitled to vote at the Annual Meeting will constitute a quorum at the Annual Meeting. Abstentions, withhold votes, and broker non-votes are counted as shares present and entitled to vote for purposes of determining a quorum.</w:t>
      </w:r>
    </w:p>
    <w:p>
      <w:pPr>
        <w:spacing w:after="0" w:line="30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How do I vote?</w:t>
      </w:r>
    </w:p>
    <w:p>
      <w:pPr>
        <w:spacing w:after="0" w:line="93"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you are a stockholder of record, there are five ways to vote:</w:t>
      </w:r>
    </w:p>
    <w:p>
      <w:pPr>
        <w:spacing w:after="0" w:line="167" w:lineRule="exact"/>
        <w:rPr>
          <w:sz w:val="20"/>
          <w:szCs w:val="20"/>
          <w:color w:val="auto"/>
        </w:rPr>
      </w:pPr>
    </w:p>
    <w:p>
      <w:pPr>
        <w:ind w:left="284" w:right="40" w:hanging="284"/>
        <w:spacing w:after="0" w:line="253" w:lineRule="auto"/>
        <w:tabs>
          <w:tab w:leader="none" w:pos="284" w:val="left"/>
        </w:tabs>
        <w:numPr>
          <w:ilvl w:val="0"/>
          <w:numId w:val="11"/>
        </w:numPr>
        <w:rPr>
          <w:rFonts w:ascii="Arial" w:cs="Arial" w:eastAsia="Arial" w:hAnsi="Arial"/>
          <w:sz w:val="16"/>
          <w:szCs w:val="16"/>
          <w:color w:val="005CB8"/>
        </w:rPr>
      </w:pPr>
      <w:r>
        <w:rPr>
          <w:rFonts w:ascii="Arial" w:cs="Arial" w:eastAsia="Arial" w:hAnsi="Arial"/>
          <w:sz w:val="16"/>
          <w:szCs w:val="16"/>
          <w:color w:val="auto"/>
        </w:rPr>
        <w:t>by Internet prior to the Annual Meeting at www.proxyvote.com, 24 hours a day, seven days a week, until 11:59 p.m. Eastern Time on May 20, 2020 for shares held directly and by 11:59 p.m. Eastern Time on May 18, 2020 for shares held in a Plan (have your Notice or proxy card in hand when you visit the website);</w:t>
      </w:r>
    </w:p>
    <w:p>
      <w:pPr>
        <w:spacing w:after="0" w:line="147" w:lineRule="exact"/>
        <w:rPr>
          <w:rFonts w:ascii="Arial" w:cs="Arial" w:eastAsia="Arial" w:hAnsi="Arial"/>
          <w:sz w:val="16"/>
          <w:szCs w:val="16"/>
          <w:color w:val="005CB8"/>
        </w:rPr>
      </w:pPr>
    </w:p>
    <w:p>
      <w:pPr>
        <w:ind w:left="284" w:right="280" w:hanging="284"/>
        <w:spacing w:after="0" w:line="260" w:lineRule="auto"/>
        <w:tabs>
          <w:tab w:leader="none" w:pos="284" w:val="left"/>
        </w:tabs>
        <w:numPr>
          <w:ilvl w:val="0"/>
          <w:numId w:val="11"/>
        </w:numPr>
        <w:rPr>
          <w:rFonts w:ascii="Arial" w:cs="Arial" w:eastAsia="Arial" w:hAnsi="Arial"/>
          <w:sz w:val="16"/>
          <w:szCs w:val="16"/>
          <w:color w:val="005CB8"/>
        </w:rPr>
      </w:pPr>
      <w:r>
        <w:rPr>
          <w:rFonts w:ascii="Arial" w:cs="Arial" w:eastAsia="Arial" w:hAnsi="Arial"/>
          <w:sz w:val="16"/>
          <w:szCs w:val="16"/>
          <w:color w:val="auto"/>
        </w:rPr>
        <w:t>by toll-free telephone at 1-800-690-6903, until 11:59 p.m. Eastern Time on May 20, 2020 for shares held directly and by 11:59 p.m. Eastern Time on May 18, 2020 for shares held in a Plan (have your Notice or proxy card in hand when you call);</w:t>
      </w:r>
    </w:p>
    <w:p>
      <w:pPr>
        <w:spacing w:after="0" w:line="180" w:lineRule="exact"/>
        <w:rPr>
          <w:sz w:val="20"/>
          <w:szCs w:val="20"/>
          <w:color w:val="auto"/>
        </w:rPr>
      </w:pPr>
    </w:p>
    <w:p>
      <w:pPr>
        <w:ind w:left="544" w:hanging="544"/>
        <w:spacing w:after="0"/>
        <w:tabs>
          <w:tab w:leader="none" w:pos="544"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005CB8"/>
        </w:rPr>
        <w:t>Dropbox, Inc. 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6" w:name="page7"/>
    <w:bookmarkEnd w:id="6"/>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GENERAL INFORMATION (continued)</w:t>
      </w:r>
    </w:p>
    <w:p>
      <w:pPr>
        <w:spacing w:after="0" w:line="386" w:lineRule="exact"/>
        <w:rPr>
          <w:sz w:val="20"/>
          <w:szCs w:val="20"/>
          <w:color w:val="auto"/>
        </w:rPr>
      </w:pPr>
    </w:p>
    <w:p>
      <w:pPr>
        <w:ind w:left="1000" w:hanging="284"/>
        <w:spacing w:after="0"/>
        <w:tabs>
          <w:tab w:leader="none" w:pos="1000" w:val="left"/>
        </w:tabs>
        <w:numPr>
          <w:ilvl w:val="0"/>
          <w:numId w:val="13"/>
        </w:numPr>
        <w:rPr>
          <w:rFonts w:ascii="Arial" w:cs="Arial" w:eastAsia="Arial" w:hAnsi="Arial"/>
          <w:sz w:val="16"/>
          <w:szCs w:val="16"/>
          <w:color w:val="005CB8"/>
        </w:rPr>
      </w:pPr>
      <w:r>
        <w:rPr>
          <w:rFonts w:ascii="Arial" w:cs="Arial" w:eastAsia="Arial" w:hAnsi="Arial"/>
          <w:sz w:val="16"/>
          <w:szCs w:val="16"/>
          <w:color w:val="auto"/>
        </w:rPr>
        <w:t>by completing and mailing your proxy card (if you received printed proxy materials); or</w:t>
      </w:r>
    </w:p>
    <w:p>
      <w:pPr>
        <w:spacing w:after="0" w:line="167" w:lineRule="exact"/>
        <w:rPr>
          <w:rFonts w:ascii="Arial" w:cs="Arial" w:eastAsia="Arial" w:hAnsi="Arial"/>
          <w:sz w:val="16"/>
          <w:szCs w:val="16"/>
          <w:color w:val="005CB8"/>
        </w:rPr>
      </w:pPr>
    </w:p>
    <w:p>
      <w:pPr>
        <w:ind w:left="1000" w:right="1180" w:hanging="284"/>
        <w:spacing w:after="0" w:line="260" w:lineRule="auto"/>
        <w:tabs>
          <w:tab w:leader="none" w:pos="1000" w:val="left"/>
        </w:tabs>
        <w:numPr>
          <w:ilvl w:val="0"/>
          <w:numId w:val="13"/>
        </w:numPr>
        <w:rPr>
          <w:rFonts w:ascii="Arial" w:cs="Arial" w:eastAsia="Arial" w:hAnsi="Arial"/>
          <w:sz w:val="16"/>
          <w:szCs w:val="16"/>
          <w:color w:val="005CB8"/>
        </w:rPr>
      </w:pPr>
      <w:r>
        <w:rPr>
          <w:rFonts w:ascii="Arial" w:cs="Arial" w:eastAsia="Arial" w:hAnsi="Arial"/>
          <w:sz w:val="16"/>
          <w:szCs w:val="16"/>
          <w:color w:val="auto"/>
        </w:rPr>
        <w:t>by attending the Annual Meeting by visiting www.virtualshareholdermeeting.com/DBX2020, where you may vote and submit questions during the meeting (please have your Notice or proxy card in hand when you visit the website).</w:t>
      </w:r>
    </w:p>
    <w:p>
      <w:pPr>
        <w:spacing w:after="0" w:line="141" w:lineRule="exact"/>
        <w:rPr>
          <w:sz w:val="20"/>
          <w:szCs w:val="20"/>
          <w:color w:val="auto"/>
        </w:rPr>
      </w:pPr>
    </w:p>
    <w:p>
      <w:pPr>
        <w:ind w:left="720" w:right="1080"/>
        <w:spacing w:after="0" w:line="260" w:lineRule="auto"/>
        <w:rPr>
          <w:sz w:val="20"/>
          <w:szCs w:val="20"/>
          <w:color w:val="auto"/>
        </w:rPr>
      </w:pPr>
      <w:r>
        <w:rPr>
          <w:rFonts w:ascii="Arial" w:cs="Arial" w:eastAsia="Arial" w:hAnsi="Arial"/>
          <w:sz w:val="16"/>
          <w:szCs w:val="16"/>
          <w:color w:val="auto"/>
        </w:rPr>
        <w:t>Even if you plan to attend the Annual Meeting, we recommend that you also vote by proxy so that your vote will be counted if you later decide not to attend the Annual Meeting.</w:t>
      </w:r>
    </w:p>
    <w:p>
      <w:pPr>
        <w:spacing w:after="0" w:line="141" w:lineRule="exact"/>
        <w:rPr>
          <w:sz w:val="20"/>
          <w:szCs w:val="20"/>
          <w:color w:val="auto"/>
        </w:rPr>
      </w:pPr>
    </w:p>
    <w:p>
      <w:pPr>
        <w:ind w:left="720" w:right="720"/>
        <w:spacing w:after="0" w:line="249" w:lineRule="auto"/>
        <w:rPr>
          <w:sz w:val="20"/>
          <w:szCs w:val="20"/>
          <w:color w:val="auto"/>
        </w:rPr>
      </w:pPr>
      <w:r>
        <w:rPr>
          <w:rFonts w:ascii="Arial" w:cs="Arial" w:eastAsia="Arial" w:hAnsi="Arial"/>
          <w:sz w:val="16"/>
          <w:szCs w:val="16"/>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stockholder, you may not vote your shares live at the Annual Meeting unless you obtain a legal proxy from your broker, bank, or other nominee.</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How may my brokerage firm or other intermediary vote my shares if I fail to provide timely directions?</w:t>
      </w:r>
    </w:p>
    <w:p>
      <w:pPr>
        <w:spacing w:after="0" w:line="52" w:lineRule="exact"/>
        <w:rPr>
          <w:sz w:val="20"/>
          <w:szCs w:val="20"/>
          <w:color w:val="auto"/>
        </w:rPr>
      </w:pPr>
    </w:p>
    <w:p>
      <w:pPr>
        <w:ind w:left="720" w:right="920"/>
        <w:spacing w:after="0" w:line="249" w:lineRule="auto"/>
        <w:rPr>
          <w:sz w:val="20"/>
          <w:szCs w:val="20"/>
          <w:color w:val="auto"/>
        </w:rPr>
      </w:pPr>
      <w:r>
        <w:rPr>
          <w:rFonts w:ascii="Arial" w:cs="Arial" w:eastAsia="Arial" w:hAnsi="Arial"/>
          <w:sz w:val="16"/>
          <w:szCs w:val="16"/>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Ernst &amp; Young LLP as our independent registered public accounting firm for our fiscal year ending December 31, 2020. Your broker will not have discretion to vote on any other proposals, which are “non-routine” matters, absent direction from you (and failure to provide instructions on these matters will result in a “broker non-vote”).</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Can I change my vote?</w:t>
      </w:r>
    </w:p>
    <w:p>
      <w:pPr>
        <w:spacing w:after="0" w:line="10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Yes. If you are a stockholder of record, you can change your vote or revoke your proxy any time before the Annual Meeting by:</w:t>
      </w:r>
    </w:p>
    <w:p>
      <w:pPr>
        <w:spacing w:after="0" w:line="167" w:lineRule="exact"/>
        <w:rPr>
          <w:sz w:val="20"/>
          <w:szCs w:val="20"/>
          <w:color w:val="auto"/>
        </w:rPr>
      </w:pPr>
    </w:p>
    <w:p>
      <w:pPr>
        <w:ind w:left="1000" w:hanging="284"/>
        <w:spacing w:after="0"/>
        <w:tabs>
          <w:tab w:leader="none" w:pos="1000" w:val="left"/>
        </w:tabs>
        <w:numPr>
          <w:ilvl w:val="0"/>
          <w:numId w:val="14"/>
        </w:numPr>
        <w:rPr>
          <w:rFonts w:ascii="Arial" w:cs="Arial" w:eastAsia="Arial" w:hAnsi="Arial"/>
          <w:sz w:val="16"/>
          <w:szCs w:val="16"/>
          <w:color w:val="005CB8"/>
        </w:rPr>
      </w:pPr>
      <w:r>
        <w:rPr>
          <w:rFonts w:ascii="Arial" w:cs="Arial" w:eastAsia="Arial" w:hAnsi="Arial"/>
          <w:sz w:val="16"/>
          <w:szCs w:val="16"/>
          <w:color w:val="auto"/>
        </w:rPr>
        <w:t>entering a new vote by Internet or by telephone;</w:t>
      </w:r>
    </w:p>
    <w:p>
      <w:pPr>
        <w:spacing w:after="0" w:line="167" w:lineRule="exact"/>
        <w:rPr>
          <w:rFonts w:ascii="Arial" w:cs="Arial" w:eastAsia="Arial" w:hAnsi="Arial"/>
          <w:sz w:val="16"/>
          <w:szCs w:val="16"/>
          <w:color w:val="005CB8"/>
        </w:rPr>
      </w:pPr>
    </w:p>
    <w:p>
      <w:pPr>
        <w:ind w:left="1000" w:hanging="284"/>
        <w:spacing w:after="0"/>
        <w:tabs>
          <w:tab w:leader="none" w:pos="1000" w:val="left"/>
        </w:tabs>
        <w:numPr>
          <w:ilvl w:val="0"/>
          <w:numId w:val="14"/>
        </w:numPr>
        <w:rPr>
          <w:rFonts w:ascii="Arial" w:cs="Arial" w:eastAsia="Arial" w:hAnsi="Arial"/>
          <w:sz w:val="16"/>
          <w:szCs w:val="16"/>
          <w:color w:val="005CB8"/>
        </w:rPr>
      </w:pPr>
      <w:r>
        <w:rPr>
          <w:rFonts w:ascii="Arial" w:cs="Arial" w:eastAsia="Arial" w:hAnsi="Arial"/>
          <w:sz w:val="16"/>
          <w:szCs w:val="16"/>
          <w:color w:val="auto"/>
        </w:rPr>
        <w:t>completing and returning a later-dated proxy card;</w:t>
      </w:r>
    </w:p>
    <w:p>
      <w:pPr>
        <w:spacing w:after="0" w:line="167" w:lineRule="exact"/>
        <w:rPr>
          <w:rFonts w:ascii="Arial" w:cs="Arial" w:eastAsia="Arial" w:hAnsi="Arial"/>
          <w:sz w:val="16"/>
          <w:szCs w:val="16"/>
          <w:color w:val="005CB8"/>
        </w:rPr>
      </w:pPr>
    </w:p>
    <w:p>
      <w:pPr>
        <w:ind w:left="1000" w:right="1120" w:hanging="284"/>
        <w:spacing w:after="0" w:line="260" w:lineRule="auto"/>
        <w:tabs>
          <w:tab w:leader="none" w:pos="1000" w:val="left"/>
        </w:tabs>
        <w:numPr>
          <w:ilvl w:val="0"/>
          <w:numId w:val="14"/>
        </w:numPr>
        <w:rPr>
          <w:rFonts w:ascii="Arial" w:cs="Arial" w:eastAsia="Arial" w:hAnsi="Arial"/>
          <w:sz w:val="16"/>
          <w:szCs w:val="16"/>
          <w:color w:val="005CB8"/>
        </w:rPr>
      </w:pPr>
      <w:r>
        <w:rPr>
          <w:rFonts w:ascii="Arial" w:cs="Arial" w:eastAsia="Arial" w:hAnsi="Arial"/>
          <w:sz w:val="16"/>
          <w:szCs w:val="16"/>
          <w:color w:val="auto"/>
        </w:rPr>
        <w:t>notifying the Corporate Secretary of Dropbox, Inc., in writing, at Dropbox, Inc., 1800 Owens Street, San Francisco, California 94158; or</w:t>
      </w:r>
    </w:p>
    <w:p>
      <w:pPr>
        <w:spacing w:after="0" w:line="141" w:lineRule="exact"/>
        <w:rPr>
          <w:rFonts w:ascii="Arial" w:cs="Arial" w:eastAsia="Arial" w:hAnsi="Arial"/>
          <w:sz w:val="16"/>
          <w:szCs w:val="16"/>
          <w:color w:val="005CB8"/>
        </w:rPr>
      </w:pPr>
    </w:p>
    <w:p>
      <w:pPr>
        <w:ind w:left="1000" w:hanging="284"/>
        <w:spacing w:after="0"/>
        <w:tabs>
          <w:tab w:leader="none" w:pos="1000" w:val="left"/>
        </w:tabs>
        <w:numPr>
          <w:ilvl w:val="0"/>
          <w:numId w:val="14"/>
        </w:numPr>
        <w:rPr>
          <w:rFonts w:ascii="Arial" w:cs="Arial" w:eastAsia="Arial" w:hAnsi="Arial"/>
          <w:sz w:val="16"/>
          <w:szCs w:val="16"/>
          <w:color w:val="005CB8"/>
        </w:rPr>
      </w:pPr>
      <w:r>
        <w:rPr>
          <w:rFonts w:ascii="Arial" w:cs="Arial" w:eastAsia="Arial" w:hAnsi="Arial"/>
          <w:sz w:val="16"/>
          <w:szCs w:val="16"/>
          <w:color w:val="auto"/>
        </w:rPr>
        <w:t>attending and voting at the Annual Meeting (although attendance at the Annual Meeting will not, by itself, revoke a proxy).</w:t>
      </w:r>
    </w:p>
    <w:p>
      <w:pPr>
        <w:spacing w:after="0" w:line="221" w:lineRule="exact"/>
        <w:rPr>
          <w:sz w:val="20"/>
          <w:szCs w:val="20"/>
          <w:color w:val="auto"/>
        </w:rPr>
      </w:pPr>
    </w:p>
    <w:p>
      <w:pPr>
        <w:ind w:left="720" w:right="1000"/>
        <w:spacing w:after="0" w:line="260" w:lineRule="auto"/>
        <w:rPr>
          <w:sz w:val="20"/>
          <w:szCs w:val="20"/>
          <w:color w:val="auto"/>
        </w:rPr>
      </w:pPr>
      <w:r>
        <w:rPr>
          <w:rFonts w:ascii="Arial" w:cs="Arial" w:eastAsia="Arial" w:hAnsi="Arial"/>
          <w:sz w:val="16"/>
          <w:szCs w:val="16"/>
          <w:color w:val="auto"/>
        </w:rPr>
        <w:t>If you are a street name stockholder, your broker, bank, or other nominee can provide you with instructions on how to change your vote.</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What do I need to do to attend the Annual Meeting?</w:t>
      </w:r>
    </w:p>
    <w:p>
      <w:pPr>
        <w:spacing w:after="0" w:line="52" w:lineRule="exact"/>
        <w:rPr>
          <w:sz w:val="20"/>
          <w:szCs w:val="20"/>
          <w:color w:val="auto"/>
        </w:rPr>
      </w:pPr>
    </w:p>
    <w:p>
      <w:pPr>
        <w:ind w:left="720" w:right="820"/>
        <w:spacing w:after="0" w:line="250" w:lineRule="auto"/>
        <w:rPr>
          <w:sz w:val="20"/>
          <w:szCs w:val="20"/>
          <w:color w:val="auto"/>
        </w:rPr>
      </w:pPr>
      <w:r>
        <w:rPr>
          <w:rFonts w:ascii="Arial" w:cs="Arial" w:eastAsia="Arial" w:hAnsi="Arial"/>
          <w:sz w:val="16"/>
          <w:szCs w:val="16"/>
          <w:color w:val="auto"/>
        </w:rPr>
        <w:t>You will be able to attend the Annual Meeting virtually, submit your questions during the meeting and vote your shares electronically at the meeting by visiting www.virtualshareholdermeeting.com/DBX2020. To participate in the Annual Meeting, you will need the control number included on your Notice or proxy card. The Annual Meeting webcast will begin promptly at 9:00 am Pacific Time. We encourage you to access the meeting prior to the start time. Online check-in will begin at 8:45 am Pacific Time, and you should allow ample time for the check-in procedures.</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What is the effect of giving a proxy?</w:t>
      </w:r>
    </w:p>
    <w:p>
      <w:pPr>
        <w:spacing w:after="0" w:line="66" w:lineRule="exact"/>
        <w:rPr>
          <w:sz w:val="20"/>
          <w:szCs w:val="20"/>
          <w:color w:val="auto"/>
        </w:rPr>
      </w:pPr>
    </w:p>
    <w:p>
      <w:pPr>
        <w:ind w:left="720" w:right="740"/>
        <w:spacing w:after="0" w:line="248" w:lineRule="auto"/>
        <w:rPr>
          <w:sz w:val="20"/>
          <w:szCs w:val="20"/>
          <w:color w:val="auto"/>
        </w:rPr>
      </w:pPr>
      <w:r>
        <w:rPr>
          <w:rFonts w:ascii="Arial" w:cs="Arial" w:eastAsia="Arial" w:hAnsi="Arial"/>
          <w:sz w:val="16"/>
          <w:szCs w:val="16"/>
          <w:color w:val="auto"/>
        </w:rPr>
        <w:t>Proxies are solicited by and on behalf of our board of directors. Andrew W. Houston and Ajay V. Vashee have been designated as proxy holders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as described above.</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Why did I receive a Notice of Internet Availability of Proxy Materials instead of a full set of proxy materials?</w:t>
      </w:r>
    </w:p>
    <w:p>
      <w:pPr>
        <w:spacing w:after="0" w:line="46" w:lineRule="exact"/>
        <w:rPr>
          <w:sz w:val="20"/>
          <w:szCs w:val="20"/>
          <w:color w:val="auto"/>
        </w:rPr>
      </w:pPr>
    </w:p>
    <w:p>
      <w:pPr>
        <w:ind w:left="720" w:right="940"/>
        <w:spacing w:after="0" w:line="259" w:lineRule="auto"/>
        <w:rPr>
          <w:sz w:val="20"/>
          <w:szCs w:val="20"/>
          <w:color w:val="auto"/>
        </w:rPr>
      </w:pPr>
      <w:r>
        <w:rPr>
          <w:rFonts w:ascii="Arial" w:cs="Arial" w:eastAsia="Arial" w:hAnsi="Arial"/>
          <w:sz w:val="16"/>
          <w:szCs w:val="16"/>
          <w:color w:val="auto"/>
        </w:rPr>
        <w:t>In accordance with the rules of the Securities and Exchange Commission (“</w:t>
      </w:r>
      <w:r>
        <w:rPr>
          <w:rFonts w:ascii="Arial" w:cs="Arial" w:eastAsia="Arial" w:hAnsi="Arial"/>
          <w:sz w:val="16"/>
          <w:szCs w:val="16"/>
          <w:b w:val="1"/>
          <w:bCs w:val="1"/>
          <w:i w:val="1"/>
          <w:iCs w:val="1"/>
          <w:color w:val="auto"/>
        </w:rPr>
        <w:t>SEC</w:t>
      </w:r>
      <w:r>
        <w:rPr>
          <w:rFonts w:ascii="Arial" w:cs="Arial" w:eastAsia="Arial" w:hAnsi="Arial"/>
          <w:sz w:val="16"/>
          <w:szCs w:val="16"/>
          <w:color w:val="auto"/>
        </w:rPr>
        <w:t>”), we have elected to furnish our proxy materials, including this proxy statement and our annual report, primarily via the Internet. The Notice containing instructions on how to access our proxy materials is first being mailed on or about April 7, 2020 to all stockholders entitled to vote at the Annual Meeting. Stockholders may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60" w:type="dxa"/>
            <w:vAlign w:val="bottom"/>
          </w:tcPr>
          <w:p>
            <w:pPr>
              <w:ind w:left="4060"/>
              <w:spacing w:after="0"/>
              <w:rPr>
                <w:sz w:val="20"/>
                <w:szCs w:val="20"/>
                <w:color w:val="auto"/>
              </w:rPr>
            </w:pPr>
            <w:r>
              <w:rPr>
                <w:rFonts w:ascii="Arial" w:cs="Arial" w:eastAsia="Arial" w:hAnsi="Arial"/>
                <w:sz w:val="14"/>
                <w:szCs w:val="14"/>
                <w:b w:val="1"/>
                <w:bCs w:val="1"/>
                <w:color w:val="005CB8"/>
              </w:rPr>
              <w:t>Dropbox, Inc. Proxy Statement and Notice of 2020 Annual Meeting of Stockholders</w:t>
            </w:r>
          </w:p>
        </w:tc>
        <w:tc>
          <w:tcPr>
            <w:tcW w:w="1060" w:type="dxa"/>
            <w:vAlign w:val="bottom"/>
          </w:tcPr>
          <w:p>
            <w:pPr>
              <w:jc w:val="right"/>
              <w:ind w:right="648"/>
              <w:spacing w:after="0"/>
              <w:rPr>
                <w:sz w:val="20"/>
                <w:szCs w:val="20"/>
                <w:color w:val="auto"/>
              </w:rPr>
            </w:pPr>
            <w:r>
              <w:rPr>
                <w:rFonts w:ascii="Arial" w:cs="Arial" w:eastAsia="Arial" w:hAnsi="Arial"/>
                <w:sz w:val="14"/>
                <w:szCs w:val="14"/>
                <w:b w:val="1"/>
                <w:bCs w:val="1"/>
                <w:color w:val="auto"/>
              </w:rPr>
              <w:t>3</w:t>
            </w:r>
          </w:p>
        </w:tc>
      </w:tr>
      <w:tr>
        <w:trPr>
          <w:trHeight w:val="168"/>
        </w:trPr>
        <w:tc>
          <w:tcPr>
            <w:tcW w:w="99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7" w:name="page8"/>
    <w:bookmarkEnd w:id="7"/>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5CB8"/>
        </w:rPr>
        <w:t>GENERAL INFORMATION (continued)</w:t>
      </w:r>
    </w:p>
    <w:p>
      <w:pPr>
        <w:spacing w:after="0" w:line="386" w:lineRule="exact"/>
        <w:rPr>
          <w:sz w:val="20"/>
          <w:szCs w:val="20"/>
          <w:color w:val="auto"/>
        </w:rPr>
      </w:pPr>
    </w:p>
    <w:p>
      <w:pPr>
        <w:ind w:left="4" w:right="20"/>
        <w:spacing w:after="0" w:line="253" w:lineRule="auto"/>
        <w:rPr>
          <w:sz w:val="20"/>
          <w:szCs w:val="20"/>
          <w:color w:val="auto"/>
        </w:rPr>
      </w:pPr>
      <w:r>
        <w:rPr>
          <w:rFonts w:ascii="Arial" w:cs="Arial" w:eastAsia="Arial" w:hAnsi="Arial"/>
          <w:sz w:val="16"/>
          <w:szCs w:val="16"/>
          <w:color w:val="auto"/>
        </w:rPr>
        <w:t>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spacing w:after="0" w:line="34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How are proxies solicited for the Annual Meeting?</w:t>
      </w:r>
    </w:p>
    <w:p>
      <w:pPr>
        <w:spacing w:after="0" w:line="66" w:lineRule="exact"/>
        <w:rPr>
          <w:sz w:val="20"/>
          <w:szCs w:val="20"/>
          <w:color w:val="auto"/>
        </w:rPr>
      </w:pPr>
    </w:p>
    <w:p>
      <w:pPr>
        <w:ind w:left="4"/>
        <w:spacing w:after="0" w:line="250" w:lineRule="auto"/>
        <w:rPr>
          <w:sz w:val="20"/>
          <w:szCs w:val="20"/>
          <w:color w:val="auto"/>
        </w:rPr>
      </w:pPr>
      <w:r>
        <w:rPr>
          <w:rFonts w:ascii="Arial" w:cs="Arial" w:eastAsia="Arial" w:hAnsi="Arial"/>
          <w:sz w:val="16"/>
          <w:szCs w:val="16"/>
          <w:color w:val="auto"/>
        </w:rPr>
        <w:t>Our board of directors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by telephone, by electronic communication or by other means of communication. Our directors and employees will not be paid any additional compensation for soliciting proxies.</w:t>
      </w:r>
    </w:p>
    <w:p>
      <w:pPr>
        <w:spacing w:after="0" w:line="3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Where can I find the voting results of the Annual Meeting?</w:t>
      </w:r>
    </w:p>
    <w:p>
      <w:pPr>
        <w:spacing w:after="0" w:line="52" w:lineRule="exact"/>
        <w:rPr>
          <w:sz w:val="20"/>
          <w:szCs w:val="20"/>
          <w:color w:val="auto"/>
        </w:rPr>
      </w:pPr>
    </w:p>
    <w:p>
      <w:pPr>
        <w:ind w:left="4" w:right="140"/>
        <w:spacing w:after="0" w:line="251" w:lineRule="auto"/>
        <w:rPr>
          <w:sz w:val="20"/>
          <w:szCs w:val="20"/>
          <w:color w:val="auto"/>
        </w:rPr>
      </w:pPr>
      <w:r>
        <w:rPr>
          <w:rFonts w:ascii="Arial" w:cs="Arial" w:eastAsia="Arial" w:hAnsi="Arial"/>
          <w:sz w:val="16"/>
          <w:szCs w:val="16"/>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Form 8-K within four business days after the Annual Meeting, we will file a Form 8-K to publish preliminary results and will provide the final results in an amendment to the Form 8-K as soon as they become available.</w:t>
      </w:r>
    </w:p>
    <w:p>
      <w:pPr>
        <w:spacing w:after="0" w:line="358" w:lineRule="exact"/>
        <w:rPr>
          <w:sz w:val="20"/>
          <w:szCs w:val="20"/>
          <w:color w:val="auto"/>
        </w:rPr>
      </w:pPr>
    </w:p>
    <w:p>
      <w:pPr>
        <w:ind w:left="4" w:right="60"/>
        <w:spacing w:after="0" w:line="286" w:lineRule="auto"/>
        <w:rPr>
          <w:sz w:val="20"/>
          <w:szCs w:val="20"/>
          <w:color w:val="auto"/>
        </w:rPr>
      </w:pPr>
      <w:r>
        <w:rPr>
          <w:rFonts w:ascii="Arial" w:cs="Arial" w:eastAsia="Arial" w:hAnsi="Arial"/>
          <w:sz w:val="16"/>
          <w:szCs w:val="16"/>
          <w:b w:val="1"/>
          <w:bCs w:val="1"/>
          <w:color w:val="005CB8"/>
        </w:rPr>
        <w:t>I share an address with another stockholder, and we received only one paper copy of the proxy materials. How may I obtain an additional copy of the proxy materials?</w:t>
      </w:r>
    </w:p>
    <w:p>
      <w:pPr>
        <w:ind w:left="4" w:right="40"/>
        <w:spacing w:after="0" w:line="248" w:lineRule="auto"/>
        <w:rPr>
          <w:sz w:val="20"/>
          <w:szCs w:val="20"/>
          <w:color w:val="auto"/>
        </w:rPr>
      </w:pPr>
      <w:r>
        <w:rPr>
          <w:rFonts w:ascii="Arial" w:cs="Arial" w:eastAsia="Arial" w:hAnsi="Arial"/>
          <w:sz w:val="16"/>
          <w:szCs w:val="16"/>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w:t>
      </w:r>
    </w:p>
    <w:p>
      <w:pPr>
        <w:spacing w:after="0" w:line="153"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Dropbox, Inc.</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Attention: Corporate Secretary</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1800 Owens Street</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San Francisco, California 94158</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(415) 857-6800</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Street name stockholders may contact their broker, bank, or other nominee to request information about householding.</w:t>
      </w:r>
    </w:p>
    <w:p>
      <w:pPr>
        <w:spacing w:after="0" w:line="206" w:lineRule="exact"/>
        <w:rPr>
          <w:sz w:val="20"/>
          <w:szCs w:val="20"/>
          <w:color w:val="auto"/>
        </w:rPr>
      </w:pPr>
    </w:p>
    <w:p>
      <w:pPr>
        <w:ind w:left="544" w:hanging="544"/>
        <w:spacing w:after="0"/>
        <w:tabs>
          <w:tab w:leader="none" w:pos="544"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005CB8"/>
        </w:rPr>
        <w:t>Dropbox, Inc. 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8" w:name="page9"/>
    <w:bookmarkEnd w:id="8"/>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GENERAL INFORMATION (continued)</w:t>
      </w:r>
    </w:p>
    <w:p>
      <w:pPr>
        <w:spacing w:after="0" w:line="366" w:lineRule="exact"/>
        <w:rPr>
          <w:sz w:val="20"/>
          <w:szCs w:val="20"/>
          <w:color w:val="auto"/>
        </w:rPr>
      </w:pPr>
    </w:p>
    <w:p>
      <w:pPr>
        <w:ind w:left="720" w:right="1140"/>
        <w:spacing w:after="0" w:line="286" w:lineRule="auto"/>
        <w:rPr>
          <w:sz w:val="20"/>
          <w:szCs w:val="20"/>
          <w:color w:val="auto"/>
        </w:rPr>
      </w:pPr>
      <w:r>
        <w:rPr>
          <w:rFonts w:ascii="Arial" w:cs="Arial" w:eastAsia="Arial" w:hAnsi="Arial"/>
          <w:sz w:val="16"/>
          <w:szCs w:val="16"/>
          <w:b w:val="1"/>
          <w:bCs w:val="1"/>
          <w:color w:val="005CB8"/>
        </w:rPr>
        <w:t>What is the deadline to propose actions for consideration at next year’s annual meeting of stockholders or to nominate individuals to serve as directors?</w:t>
      </w:r>
    </w:p>
    <w:p>
      <w:pPr>
        <w:spacing w:after="0" w:line="7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Stockholder Proposals</w:t>
      </w:r>
    </w:p>
    <w:p>
      <w:pPr>
        <w:spacing w:after="0" w:line="187" w:lineRule="exact"/>
        <w:rPr>
          <w:sz w:val="20"/>
          <w:szCs w:val="20"/>
          <w:color w:val="auto"/>
        </w:rPr>
      </w:pPr>
    </w:p>
    <w:p>
      <w:pPr>
        <w:ind w:left="720" w:right="900"/>
        <w:spacing w:after="0" w:line="249" w:lineRule="auto"/>
        <w:rPr>
          <w:sz w:val="20"/>
          <w:szCs w:val="20"/>
          <w:color w:val="auto"/>
        </w:rPr>
      </w:pPr>
      <w:r>
        <w:rPr>
          <w:rFonts w:ascii="Arial" w:cs="Arial" w:eastAsia="Arial" w:hAnsi="Arial"/>
          <w:sz w:val="16"/>
          <w:szCs w:val="16"/>
          <w:color w:val="auto"/>
        </w:rPr>
        <w:t>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2021 annual meeting of stockholders, our Secretary must receive the written proposal at our principal executive offices not later than December 8, 2020. In addition, stockholder proposals must comply with the requirements of Rule 14a-8 regarding the inclusion of stockholder proposals in company-sponsored proxy materials. Stockholder proposals should be addressed to:</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Dropbox, Inc.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Attention: Corporate Secretary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1800 Owens Street,</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San Francisco, California 94158</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(415) 857-6800</w:t>
      </w:r>
    </w:p>
    <w:p>
      <w:pPr>
        <w:spacing w:after="0" w:line="167" w:lineRule="exact"/>
        <w:rPr>
          <w:sz w:val="20"/>
          <w:szCs w:val="20"/>
          <w:color w:val="auto"/>
        </w:rPr>
      </w:pPr>
    </w:p>
    <w:p>
      <w:pPr>
        <w:ind w:left="720" w:right="820"/>
        <w:spacing w:after="0" w:line="246" w:lineRule="auto"/>
        <w:rPr>
          <w:sz w:val="20"/>
          <w:szCs w:val="20"/>
          <w:color w:val="auto"/>
        </w:rPr>
      </w:pPr>
      <w:r>
        <w:rPr>
          <w:rFonts w:ascii="Arial" w:cs="Arial" w:eastAsia="Arial" w:hAnsi="Arial"/>
          <w:sz w:val="16"/>
          <w:szCs w:val="16"/>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of stockholders is business that is</w:t>
      </w:r>
    </w:p>
    <w:p>
      <w:pPr>
        <w:spacing w:after="0" w:line="1" w:lineRule="exact"/>
        <w:rPr>
          <w:sz w:val="20"/>
          <w:szCs w:val="20"/>
          <w:color w:val="auto"/>
        </w:rPr>
      </w:pPr>
    </w:p>
    <w:p>
      <w:pPr>
        <w:ind w:left="720" w:right="760" w:hanging="4"/>
        <w:spacing w:after="0" w:line="250" w:lineRule="auto"/>
        <w:tabs>
          <w:tab w:leader="none" w:pos="909" w:val="left"/>
        </w:tabs>
        <w:numPr>
          <w:ilvl w:val="0"/>
          <w:numId w:val="16"/>
        </w:numPr>
        <w:rPr>
          <w:rFonts w:ascii="Arial" w:cs="Arial" w:eastAsia="Arial" w:hAnsi="Arial"/>
          <w:sz w:val="16"/>
          <w:szCs w:val="16"/>
          <w:color w:val="auto"/>
        </w:rPr>
      </w:pPr>
      <w:r>
        <w:rPr>
          <w:rFonts w:ascii="Arial" w:cs="Arial" w:eastAsia="Arial" w:hAnsi="Arial"/>
          <w:sz w:val="16"/>
          <w:szCs w:val="16"/>
          <w:color w:val="auto"/>
        </w:rPr>
        <w:t>specified in our proxy materials with respect to such annual meeting, (ii) otherwise properly brought before such annual meeting by or at the direction of our board of directors, or (iii) properly brought before such meeting by a stockholder of record entitled to vote at such annual meeting who has delivered timely written notice to our Corporate Secretary, which notice must contain the information specified in our amended and restated bylaws. To be timely for the 2021 annual meeting of stockholders, our Corporate Secretary must receive the written notice at our principal executive offices:</w:t>
      </w:r>
    </w:p>
    <w:p>
      <w:pPr>
        <w:spacing w:after="0" w:line="149" w:lineRule="exact"/>
        <w:rPr>
          <w:sz w:val="20"/>
          <w:szCs w:val="20"/>
          <w:color w:val="auto"/>
        </w:rPr>
      </w:pPr>
    </w:p>
    <w:p>
      <w:pPr>
        <w:ind w:left="1000" w:hanging="284"/>
        <w:spacing w:after="0"/>
        <w:tabs>
          <w:tab w:leader="none" w:pos="1000" w:val="left"/>
        </w:tabs>
        <w:numPr>
          <w:ilvl w:val="0"/>
          <w:numId w:val="17"/>
        </w:numPr>
        <w:rPr>
          <w:rFonts w:ascii="Arial" w:cs="Arial" w:eastAsia="Arial" w:hAnsi="Arial"/>
          <w:sz w:val="16"/>
          <w:szCs w:val="16"/>
          <w:color w:val="005CB8"/>
        </w:rPr>
      </w:pPr>
      <w:r>
        <w:rPr>
          <w:rFonts w:ascii="Arial" w:cs="Arial" w:eastAsia="Arial" w:hAnsi="Arial"/>
          <w:sz w:val="16"/>
          <w:szCs w:val="16"/>
          <w:color w:val="auto"/>
        </w:rPr>
        <w:t>not earlier than January 22, 2021; and</w:t>
      </w:r>
    </w:p>
    <w:p>
      <w:pPr>
        <w:spacing w:after="0" w:line="167" w:lineRule="exact"/>
        <w:rPr>
          <w:rFonts w:ascii="Arial" w:cs="Arial" w:eastAsia="Arial" w:hAnsi="Arial"/>
          <w:sz w:val="16"/>
          <w:szCs w:val="16"/>
          <w:color w:val="005CB8"/>
        </w:rPr>
      </w:pPr>
    </w:p>
    <w:p>
      <w:pPr>
        <w:ind w:left="1000" w:hanging="284"/>
        <w:spacing w:after="0"/>
        <w:tabs>
          <w:tab w:leader="none" w:pos="1000" w:val="left"/>
        </w:tabs>
        <w:numPr>
          <w:ilvl w:val="0"/>
          <w:numId w:val="17"/>
        </w:numPr>
        <w:rPr>
          <w:rFonts w:ascii="Arial" w:cs="Arial" w:eastAsia="Arial" w:hAnsi="Arial"/>
          <w:sz w:val="16"/>
          <w:szCs w:val="16"/>
          <w:color w:val="005CB8"/>
        </w:rPr>
      </w:pPr>
      <w:r>
        <w:rPr>
          <w:rFonts w:ascii="Arial" w:cs="Arial" w:eastAsia="Arial" w:hAnsi="Arial"/>
          <w:sz w:val="16"/>
          <w:szCs w:val="16"/>
          <w:color w:val="auto"/>
        </w:rPr>
        <w:t>not later than February 21, 2021.</w:t>
      </w:r>
    </w:p>
    <w:p>
      <w:pPr>
        <w:spacing w:after="0" w:line="167" w:lineRule="exact"/>
        <w:rPr>
          <w:sz w:val="20"/>
          <w:szCs w:val="20"/>
          <w:color w:val="auto"/>
        </w:rPr>
      </w:pPr>
    </w:p>
    <w:p>
      <w:pPr>
        <w:jc w:val="both"/>
        <w:ind w:left="720" w:right="780"/>
        <w:spacing w:after="0" w:line="214" w:lineRule="auto"/>
        <w:rPr>
          <w:sz w:val="20"/>
          <w:szCs w:val="20"/>
          <w:color w:val="auto"/>
        </w:rPr>
      </w:pPr>
      <w:r>
        <w:rPr>
          <w:rFonts w:ascii="Arial" w:cs="Arial" w:eastAsia="Arial" w:hAnsi="Arial"/>
          <w:sz w:val="16"/>
          <w:szCs w:val="16"/>
          <w:color w:val="auto"/>
        </w:rPr>
        <w:t>In the event that we hold the 2021 annual meeting of stockholders more than 30 days before or more than 60 days after the one-year anniversary of the Annual Meeting, a notice of a stockholder proposal that is not intended to be included in our proxy statement must be received no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before the 2021 annual meeting of stockholders and no later than the close of business on the later of the following two dates:</w:t>
      </w:r>
    </w:p>
    <w:p>
      <w:pPr>
        <w:spacing w:after="0" w:line="159" w:lineRule="exact"/>
        <w:rPr>
          <w:sz w:val="20"/>
          <w:szCs w:val="20"/>
          <w:color w:val="auto"/>
        </w:rPr>
      </w:pPr>
    </w:p>
    <w:p>
      <w:pPr>
        <w:ind w:left="1000" w:hanging="284"/>
        <w:spacing w:after="0"/>
        <w:tabs>
          <w:tab w:leader="none" w:pos="1000" w:val="left"/>
        </w:tabs>
        <w:numPr>
          <w:ilvl w:val="0"/>
          <w:numId w:val="18"/>
        </w:numPr>
        <w:rPr>
          <w:rFonts w:ascii="Arial" w:cs="Arial" w:eastAsia="Arial" w:hAnsi="Arial"/>
          <w:sz w:val="16"/>
          <w:szCs w:val="16"/>
          <w:color w:val="005CB8"/>
        </w:rPr>
      </w:pPr>
      <w:r>
        <w:rPr>
          <w:rFonts w:ascii="Arial" w:cs="Arial" w:eastAsia="Arial" w:hAnsi="Arial"/>
          <w:sz w:val="16"/>
          <w:szCs w:val="16"/>
          <w:color w:val="auto"/>
        </w:rPr>
        <w:t>the 90th day prior to the 2021 annual meeting of stockholders; or</w:t>
      </w:r>
    </w:p>
    <w:p>
      <w:pPr>
        <w:spacing w:after="0" w:line="167" w:lineRule="exact"/>
        <w:rPr>
          <w:rFonts w:ascii="Arial" w:cs="Arial" w:eastAsia="Arial" w:hAnsi="Arial"/>
          <w:sz w:val="16"/>
          <w:szCs w:val="16"/>
          <w:color w:val="005CB8"/>
        </w:rPr>
      </w:pPr>
    </w:p>
    <w:p>
      <w:pPr>
        <w:ind w:left="1000" w:right="1180" w:hanging="284"/>
        <w:spacing w:after="0" w:line="260" w:lineRule="auto"/>
        <w:tabs>
          <w:tab w:leader="none" w:pos="1000" w:val="left"/>
        </w:tabs>
        <w:numPr>
          <w:ilvl w:val="0"/>
          <w:numId w:val="18"/>
        </w:numPr>
        <w:rPr>
          <w:rFonts w:ascii="Arial" w:cs="Arial" w:eastAsia="Arial" w:hAnsi="Arial"/>
          <w:sz w:val="16"/>
          <w:szCs w:val="16"/>
          <w:color w:val="005CB8"/>
        </w:rPr>
      </w:pPr>
      <w:r>
        <w:rPr>
          <w:rFonts w:ascii="Arial" w:cs="Arial" w:eastAsia="Arial" w:hAnsi="Arial"/>
          <w:sz w:val="16"/>
          <w:szCs w:val="16"/>
          <w:color w:val="auto"/>
        </w:rPr>
        <w:t>the 10th day following the day on which public announcement of the date of the 2021 annual meeting of stockholders is first made.</w:t>
      </w:r>
    </w:p>
    <w:p>
      <w:pPr>
        <w:spacing w:after="0" w:line="141" w:lineRule="exact"/>
        <w:rPr>
          <w:sz w:val="20"/>
          <w:szCs w:val="20"/>
          <w:color w:val="auto"/>
        </w:rPr>
      </w:pPr>
    </w:p>
    <w:p>
      <w:pPr>
        <w:ind w:left="720" w:right="1000"/>
        <w:spacing w:after="0" w:line="253" w:lineRule="auto"/>
        <w:rPr>
          <w:sz w:val="20"/>
          <w:szCs w:val="20"/>
          <w:color w:val="auto"/>
        </w:rPr>
      </w:pPr>
      <w:r>
        <w:rPr>
          <w:rFonts w:ascii="Arial" w:cs="Arial" w:eastAsia="Arial" w:hAnsi="Arial"/>
          <w:sz w:val="16"/>
          <w:szCs w:val="16"/>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Recommendation or Nomination of Director Candidates</w:t>
      </w:r>
    </w:p>
    <w:p>
      <w:pPr>
        <w:spacing w:after="0" w:line="187" w:lineRule="exact"/>
        <w:rPr>
          <w:sz w:val="20"/>
          <w:szCs w:val="20"/>
          <w:color w:val="auto"/>
        </w:rPr>
      </w:pPr>
    </w:p>
    <w:p>
      <w:pPr>
        <w:ind w:left="720" w:right="760"/>
        <w:spacing w:after="0" w:line="249" w:lineRule="auto"/>
        <w:rPr>
          <w:sz w:val="20"/>
          <w:szCs w:val="20"/>
          <w:color w:val="auto"/>
        </w:rPr>
      </w:pPr>
      <w:r>
        <w:rPr>
          <w:rFonts w:ascii="Arial" w:cs="Arial" w:eastAsia="Arial" w:hAnsi="Arial"/>
          <w:sz w:val="16"/>
          <w:szCs w:val="16"/>
          <w:color w:val="auto"/>
        </w:rPr>
        <w:t>Holders of 1% of our fully diluted capitalization for at least 12 months prior to the submission of the recommendation may recommend director candidates for consideration by our nominating and corporate governance committee. Any such recommendations should include the nominee’s name and qualifications for membership on our board of directors and should be directed to our Corporate Secretary or legal department at the address set forth above. For additional information regarding stockholder recommendations for director candidates, see the section titled “</w:t>
      </w:r>
      <w:r>
        <w:rPr>
          <w:rFonts w:ascii="Arial" w:cs="Arial" w:eastAsia="Arial" w:hAnsi="Arial"/>
          <w:sz w:val="16"/>
          <w:szCs w:val="16"/>
          <w:i w:val="1"/>
          <w:iCs w:val="1"/>
          <w:color w:val="auto"/>
        </w:rPr>
        <w:t>Board of Directors and Corporate Governance—Stockholder Recommendations and</w:t>
      </w:r>
      <w:r>
        <w:rPr>
          <w:rFonts w:ascii="Arial" w:cs="Arial" w:eastAsia="Arial" w:hAnsi="Arial"/>
          <w:sz w:val="16"/>
          <w:szCs w:val="16"/>
          <w:color w:val="auto"/>
        </w:rPr>
        <w:t xml:space="preserve"> </w:t>
      </w:r>
      <w:r>
        <w:rPr>
          <w:rFonts w:ascii="Arial" w:cs="Arial" w:eastAsia="Arial" w:hAnsi="Arial"/>
          <w:sz w:val="16"/>
          <w:szCs w:val="16"/>
          <w:i w:val="1"/>
          <w:iCs w:val="1"/>
          <w:color w:val="auto"/>
        </w:rPr>
        <w:t>Nominations to the Board of Directors</w:t>
      </w:r>
      <w:r>
        <w:rPr>
          <w:rFonts w:ascii="Arial" w:cs="Arial" w:eastAsia="Arial" w:hAnsi="Arial"/>
          <w:sz w:val="16"/>
          <w:szCs w:val="16"/>
          <w:color w:val="auto"/>
        </w:rPr>
        <w:t>.”</w:t>
      </w:r>
    </w:p>
    <w:p>
      <w:pPr>
        <w:spacing w:after="0" w:line="151" w:lineRule="exact"/>
        <w:rPr>
          <w:sz w:val="20"/>
          <w:szCs w:val="20"/>
          <w:color w:val="auto"/>
        </w:rPr>
      </w:pPr>
    </w:p>
    <w:p>
      <w:pPr>
        <w:ind w:left="720" w:right="860"/>
        <w:spacing w:after="0" w:line="250" w:lineRule="auto"/>
        <w:rPr>
          <w:sz w:val="20"/>
          <w:szCs w:val="20"/>
          <w:color w:val="auto"/>
        </w:rPr>
      </w:pPr>
      <w:r>
        <w:rPr>
          <w:rFonts w:ascii="Arial" w:cs="Arial" w:eastAsia="Arial" w:hAnsi="Arial"/>
          <w:sz w:val="16"/>
          <w:szCs w:val="16"/>
          <w:color w:val="auto"/>
        </w:rPr>
        <w:t>In addition, 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Corporate Secretary in accordance with our amended and restated bylaws, which, in general, require that the notice be received by our Corporate Secretary within the time periods described above under the section titled “</w:t>
      </w:r>
      <w:r>
        <w:rPr>
          <w:rFonts w:ascii="Arial" w:cs="Arial" w:eastAsia="Arial" w:hAnsi="Arial"/>
          <w:sz w:val="16"/>
          <w:szCs w:val="16"/>
          <w:i w:val="1"/>
          <w:iCs w:val="1"/>
          <w:color w:val="auto"/>
        </w:rPr>
        <w:t>Stockholder Proposals</w:t>
      </w:r>
      <w:r>
        <w:rPr>
          <w:rFonts w:ascii="Arial" w:cs="Arial" w:eastAsia="Arial" w:hAnsi="Arial"/>
          <w:sz w:val="16"/>
          <w:szCs w:val="16"/>
          <w:color w:val="auto"/>
        </w:rPr>
        <w:t>” for stockholder proposals that are not intended to be included in a proxy statement.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60" w:type="dxa"/>
            <w:vAlign w:val="bottom"/>
          </w:tcPr>
          <w:p>
            <w:pPr>
              <w:ind w:left="4060"/>
              <w:spacing w:after="0"/>
              <w:rPr>
                <w:sz w:val="20"/>
                <w:szCs w:val="20"/>
                <w:color w:val="auto"/>
              </w:rPr>
            </w:pPr>
            <w:r>
              <w:rPr>
                <w:rFonts w:ascii="Arial" w:cs="Arial" w:eastAsia="Arial" w:hAnsi="Arial"/>
                <w:sz w:val="14"/>
                <w:szCs w:val="14"/>
                <w:b w:val="1"/>
                <w:bCs w:val="1"/>
                <w:color w:val="005CB8"/>
              </w:rPr>
              <w:t>Dropbox, Inc. Proxy Statement and Notice of 2020 Annual Meeting of Stockholders</w:t>
            </w:r>
          </w:p>
        </w:tc>
        <w:tc>
          <w:tcPr>
            <w:tcW w:w="1060" w:type="dxa"/>
            <w:vAlign w:val="bottom"/>
          </w:tcPr>
          <w:p>
            <w:pPr>
              <w:jc w:val="right"/>
              <w:ind w:right="648"/>
              <w:spacing w:after="0"/>
              <w:rPr>
                <w:sz w:val="20"/>
                <w:szCs w:val="20"/>
                <w:color w:val="auto"/>
              </w:rPr>
            </w:pPr>
            <w:r>
              <w:rPr>
                <w:rFonts w:ascii="Arial" w:cs="Arial" w:eastAsia="Arial" w:hAnsi="Arial"/>
                <w:sz w:val="14"/>
                <w:szCs w:val="14"/>
                <w:b w:val="1"/>
                <w:bCs w:val="1"/>
                <w:color w:val="auto"/>
              </w:rPr>
              <w:t>5</w:t>
            </w:r>
          </w:p>
        </w:tc>
      </w:tr>
      <w:tr>
        <w:trPr>
          <w:trHeight w:val="181"/>
        </w:trPr>
        <w:tc>
          <w:tcPr>
            <w:tcW w:w="99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9" w:name="page10"/>
    <w:bookmarkEnd w:id="9"/>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5CB8"/>
        </w:rPr>
        <w:t>GENERAL INFORMATION (continued)</w:t>
      </w:r>
    </w:p>
    <w:p>
      <w:pPr>
        <w:spacing w:after="0" w:line="36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Availability of Bylaws</w:t>
      </w:r>
    </w:p>
    <w:p>
      <w:pPr>
        <w:spacing w:after="0" w:line="187" w:lineRule="exact"/>
        <w:rPr>
          <w:sz w:val="20"/>
          <w:szCs w:val="20"/>
          <w:color w:val="auto"/>
        </w:rPr>
      </w:pPr>
    </w:p>
    <w:p>
      <w:pPr>
        <w:ind w:left="4"/>
        <w:spacing w:after="0" w:line="253" w:lineRule="auto"/>
        <w:rPr>
          <w:sz w:val="20"/>
          <w:szCs w:val="20"/>
          <w:color w:val="auto"/>
        </w:rPr>
      </w:pPr>
      <w:r>
        <w:rPr>
          <w:rFonts w:ascii="Arial" w:cs="Arial" w:eastAsia="Arial" w:hAnsi="Arial"/>
          <w:sz w:val="16"/>
          <w:szCs w:val="16"/>
          <w:color w:val="auto"/>
        </w:rPr>
        <w:t>A copy of our amended and restated bylaws is available via the SEC’s website at http://www.sec.gov. You may also contact our Corporate Secretary at the address set forth above for a copy of the relevant bylaw provisions regarding the requirements for making stockholder proposals and nominating director candidates.</w:t>
      </w:r>
    </w:p>
    <w:p>
      <w:pPr>
        <w:spacing w:after="0" w:line="186" w:lineRule="exact"/>
        <w:rPr>
          <w:sz w:val="20"/>
          <w:szCs w:val="20"/>
          <w:color w:val="auto"/>
        </w:rPr>
      </w:pPr>
    </w:p>
    <w:p>
      <w:pPr>
        <w:ind w:left="544" w:hanging="544"/>
        <w:spacing w:after="0"/>
        <w:tabs>
          <w:tab w:leader="none" w:pos="544"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005CB8"/>
        </w:rPr>
        <w:t>Dropbox, Inc. 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4"/>
          </w:cols>
          <w:pgMar w:left="1156" w:top="265" w:right="1239" w:bottom="1440" w:gutter="0" w:footer="0" w:header="0"/>
        </w:sectPr>
      </w:pPr>
    </w:p>
    <w:bookmarkStart w:id="10" w:name="page11"/>
    <w:bookmarkEnd w:id="10"/>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BOARD OF DIRECTORS AND CORPORATE GOVERNANCE</w:t>
      </w:r>
    </w:p>
    <w:p>
      <w:pPr>
        <w:spacing w:after="0" w:line="170" w:lineRule="exact"/>
        <w:rPr>
          <w:sz w:val="20"/>
          <w:szCs w:val="20"/>
          <w:color w:val="auto"/>
        </w:rPr>
      </w:pPr>
    </w:p>
    <w:p>
      <w:pPr>
        <w:ind w:left="720" w:right="820"/>
        <w:spacing w:after="0" w:line="246" w:lineRule="auto"/>
        <w:rPr>
          <w:sz w:val="20"/>
          <w:szCs w:val="20"/>
          <w:color w:val="auto"/>
        </w:rPr>
      </w:pPr>
      <w:r>
        <w:rPr>
          <w:rFonts w:ascii="Arial" w:cs="Arial" w:eastAsia="Arial" w:hAnsi="Arial"/>
          <w:sz w:val="16"/>
          <w:szCs w:val="16"/>
          <w:color w:val="auto"/>
        </w:rPr>
        <w:t>Our business affairs are managed under the direction of our board of directors. As of March 13, 2020, our board of directors consisted of ten directors, eight of whom qualified as “independent” under the listing standards of the NASDAQ Global Select Market (“</w:t>
      </w:r>
      <w:r>
        <w:rPr>
          <w:rFonts w:ascii="Arial" w:cs="Arial" w:eastAsia="Arial" w:hAnsi="Arial"/>
          <w:sz w:val="16"/>
          <w:szCs w:val="16"/>
          <w:b w:val="1"/>
          <w:bCs w:val="1"/>
          <w:i w:val="1"/>
          <w:iCs w:val="1"/>
          <w:color w:val="auto"/>
        </w:rPr>
        <w:t>Nasdaq</w:t>
      </w:r>
      <w:r>
        <w:rPr>
          <w:rFonts w:ascii="Arial" w:cs="Arial" w:eastAsia="Arial" w:hAnsi="Arial"/>
          <w:sz w:val="16"/>
          <w:szCs w:val="16"/>
          <w:color w:val="auto"/>
        </w:rPr>
        <w:t>”). As previously announced, Margaret C. Whitman will not stand for re-election as a director due to her other professional commitments and demands on her time, and her service on our board of directors will end at the Annual Meeting. Also as previously announced, Arash Ferdowsi resigned as a member of the board and as an officer of the company, effective March 19, 2020.</w:t>
      </w:r>
    </w:p>
    <w:p>
      <w:pPr>
        <w:spacing w:after="0" w:line="2" w:lineRule="exact"/>
        <w:rPr>
          <w:sz w:val="20"/>
          <w:szCs w:val="20"/>
          <w:color w:val="auto"/>
        </w:rPr>
      </w:pPr>
    </w:p>
    <w:p>
      <w:pPr>
        <w:ind w:left="720" w:right="1180"/>
        <w:spacing w:after="0" w:line="260" w:lineRule="auto"/>
        <w:rPr>
          <w:sz w:val="20"/>
          <w:szCs w:val="20"/>
          <w:color w:val="auto"/>
        </w:rPr>
      </w:pPr>
      <w:r>
        <w:rPr>
          <w:rFonts w:ascii="Arial" w:cs="Arial" w:eastAsia="Arial" w:hAnsi="Arial"/>
          <w:sz w:val="16"/>
          <w:szCs w:val="16"/>
          <w:color w:val="auto"/>
        </w:rPr>
        <w:t>Mr. Ferdowsi will remain at Dropbox to help with the transition until April 10, 2020. We appreciate the valuable contributions that Ms. Whitman and Mr. Ferdowsi have made to the board of directors and to our company over the years.</w:t>
      </w:r>
    </w:p>
    <w:p>
      <w:pPr>
        <w:spacing w:after="0" w:line="141" w:lineRule="exact"/>
        <w:rPr>
          <w:sz w:val="20"/>
          <w:szCs w:val="20"/>
          <w:color w:val="auto"/>
        </w:rPr>
      </w:pPr>
    </w:p>
    <w:p>
      <w:pPr>
        <w:ind w:left="720" w:right="980"/>
        <w:spacing w:after="0" w:line="250" w:lineRule="auto"/>
        <w:rPr>
          <w:sz w:val="20"/>
          <w:szCs w:val="20"/>
          <w:color w:val="auto"/>
        </w:rPr>
      </w:pPr>
      <w:r>
        <w:rPr>
          <w:rFonts w:ascii="Arial" w:cs="Arial" w:eastAsia="Arial" w:hAnsi="Arial"/>
          <w:sz w:val="16"/>
          <w:szCs w:val="16"/>
          <w:color w:val="auto"/>
        </w:rPr>
        <w:t>Until the outstanding shares of our Class B common stock represent less than a majority of the combined voting power of our common stock, we will have a single class of directors who are each elected for one-year terms and until their successors are duly elected and qualified. When the outstanding shares of our Class B common stock represent less than a majority of the combined voting power of our common stock, we will have a classified board of directors consisting of three classes of approximately equal size, each serving staggered three-year terms. Our directors will be assigned by the then-current board of directors to a class.</w:t>
      </w:r>
    </w:p>
    <w:p>
      <w:pPr>
        <w:spacing w:after="0" w:line="149" w:lineRule="exact"/>
        <w:rPr>
          <w:sz w:val="20"/>
          <w:szCs w:val="20"/>
          <w:color w:val="auto"/>
        </w:rPr>
      </w:pPr>
    </w:p>
    <w:p>
      <w:pPr>
        <w:ind w:left="720" w:right="840"/>
        <w:spacing w:after="0" w:line="260" w:lineRule="auto"/>
        <w:rPr>
          <w:sz w:val="20"/>
          <w:szCs w:val="20"/>
          <w:color w:val="auto"/>
        </w:rPr>
      </w:pPr>
      <w:r>
        <w:rPr>
          <w:rFonts w:ascii="Arial" w:cs="Arial" w:eastAsia="Arial" w:hAnsi="Arial"/>
          <w:sz w:val="16"/>
          <w:szCs w:val="16"/>
          <w:color w:val="auto"/>
        </w:rPr>
        <w:t>The following table provides summary information about each of our director nominees and non-continuing directors as of March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122555</wp:posOffset>
            </wp:positionV>
            <wp:extent cx="607758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7585" cy="222885"/>
                    </a:xfrm>
                    <a:prstGeom prst="rect">
                      <a:avLst/>
                    </a:prstGeom>
                    <a:noFill/>
                  </pic:spPr>
                </pic:pic>
              </a:graphicData>
            </a:graphic>
          </wp:anchor>
        </w:drawing>
      </w:r>
    </w:p>
    <w:p>
      <w:pPr>
        <w:spacing w:after="0" w:line="173" w:lineRule="exact"/>
        <w:rPr>
          <w:sz w:val="20"/>
          <w:szCs w:val="20"/>
          <w:color w:val="auto"/>
        </w:rPr>
      </w:pPr>
    </w:p>
    <w:tbl>
      <w:tblPr>
        <w:tblLayout w:type="fixed"/>
        <w:tblInd w:w="720" w:type="dxa"/>
        <w:tblCellMar>
          <w:top w:w="0" w:type="dxa"/>
          <w:left w:w="0" w:type="dxa"/>
          <w:bottom w:w="0" w:type="dxa"/>
          <w:right w:w="0" w:type="dxa"/>
        </w:tblCellMar>
      </w:tblPr>
      <w:tr>
        <w:trPr>
          <w:trHeight w:val="318"/>
        </w:trPr>
        <w:tc>
          <w:tcPr>
            <w:tcW w:w="2200" w:type="dxa"/>
            <w:vAlign w:val="bottom"/>
            <w:tcBorders>
              <w:bottom w:val="single" w:sz="8" w:color="0060EC"/>
            </w:tcBorders>
            <w:shd w:val="clear" w:color="auto" w:fill="0060EC"/>
          </w:tcPr>
          <w:p>
            <w:pPr>
              <w:ind w:left="40"/>
              <w:spacing w:after="0"/>
              <w:rPr>
                <w:sz w:val="20"/>
                <w:szCs w:val="20"/>
                <w:color w:val="auto"/>
              </w:rPr>
            </w:pPr>
            <w:r>
              <w:rPr>
                <w:rFonts w:ascii="Arial" w:cs="Arial" w:eastAsia="Arial" w:hAnsi="Arial"/>
                <w:sz w:val="14"/>
                <w:szCs w:val="14"/>
                <w:b w:val="1"/>
                <w:bCs w:val="1"/>
                <w:color w:val="FFFFFF"/>
              </w:rPr>
              <w:t>Name</w:t>
            </w:r>
          </w:p>
        </w:tc>
        <w:tc>
          <w:tcPr>
            <w:tcW w:w="950" w:type="dxa"/>
            <w:vAlign w:val="bottom"/>
            <w:tcBorders>
              <w:bottom w:val="single" w:sz="8" w:color="0060EC"/>
            </w:tcBorders>
            <w:shd w:val="clear" w:color="auto" w:fill="0060EC"/>
          </w:tcPr>
          <w:p>
            <w:pPr>
              <w:jc w:val="right"/>
              <w:ind w:right="190"/>
              <w:spacing w:after="0"/>
              <w:rPr>
                <w:sz w:val="20"/>
                <w:szCs w:val="20"/>
                <w:color w:val="auto"/>
              </w:rPr>
            </w:pPr>
            <w:r>
              <w:rPr>
                <w:rFonts w:ascii="Arial" w:cs="Arial" w:eastAsia="Arial" w:hAnsi="Arial"/>
                <w:sz w:val="14"/>
                <w:szCs w:val="14"/>
                <w:b w:val="1"/>
                <w:bCs w:val="1"/>
                <w:color w:val="FFFFFF"/>
              </w:rPr>
              <w:t>Age</w:t>
            </w:r>
          </w:p>
        </w:tc>
        <w:tc>
          <w:tcPr>
            <w:tcW w:w="3690" w:type="dxa"/>
            <w:vAlign w:val="bottom"/>
            <w:tcBorders>
              <w:bottom w:val="single" w:sz="8" w:color="0060EC"/>
            </w:tcBorders>
            <w:shd w:val="clear" w:color="auto" w:fill="0060EC"/>
          </w:tcPr>
          <w:p>
            <w:pPr>
              <w:ind w:left="90"/>
              <w:spacing w:after="0"/>
              <w:rPr>
                <w:sz w:val="20"/>
                <w:szCs w:val="20"/>
                <w:color w:val="auto"/>
              </w:rPr>
            </w:pPr>
            <w:r>
              <w:rPr>
                <w:rFonts w:ascii="Arial" w:cs="Arial" w:eastAsia="Arial" w:hAnsi="Arial"/>
                <w:sz w:val="14"/>
                <w:szCs w:val="14"/>
                <w:b w:val="1"/>
                <w:bCs w:val="1"/>
                <w:color w:val="FFFFFF"/>
              </w:rPr>
              <w:t>Position</w:t>
            </w:r>
          </w:p>
        </w:tc>
        <w:tc>
          <w:tcPr>
            <w:tcW w:w="1560" w:type="dxa"/>
            <w:vAlign w:val="bottom"/>
            <w:tcBorders>
              <w:bottom w:val="single" w:sz="8" w:color="0060EC"/>
            </w:tcBorders>
            <w:shd w:val="clear" w:color="auto" w:fill="0060EC"/>
          </w:tcPr>
          <w:p>
            <w:pPr>
              <w:jc w:val="center"/>
              <w:ind w:left="100"/>
              <w:spacing w:after="0"/>
              <w:rPr>
                <w:sz w:val="20"/>
                <w:szCs w:val="20"/>
                <w:color w:val="auto"/>
              </w:rPr>
            </w:pPr>
            <w:r>
              <w:rPr>
                <w:rFonts w:ascii="Arial" w:cs="Arial" w:eastAsia="Arial" w:hAnsi="Arial"/>
                <w:sz w:val="14"/>
                <w:szCs w:val="14"/>
                <w:b w:val="1"/>
                <w:bCs w:val="1"/>
                <w:color w:val="FFFFFF"/>
              </w:rPr>
              <w:t>Director Since</w:t>
            </w:r>
          </w:p>
        </w:tc>
        <w:tc>
          <w:tcPr>
            <w:tcW w:w="1160" w:type="dxa"/>
            <w:vAlign w:val="bottom"/>
            <w:tcBorders>
              <w:bottom w:val="single" w:sz="8" w:color="0060EC"/>
            </w:tcBorders>
            <w:shd w:val="clear" w:color="auto" w:fill="0060EC"/>
          </w:tcPr>
          <w:p>
            <w:pPr>
              <w:jc w:val="center"/>
              <w:ind w:left="60"/>
              <w:spacing w:after="0"/>
              <w:rPr>
                <w:sz w:val="20"/>
                <w:szCs w:val="20"/>
                <w:color w:val="auto"/>
              </w:rPr>
            </w:pPr>
            <w:r>
              <w:rPr>
                <w:rFonts w:ascii="Arial" w:cs="Arial" w:eastAsia="Arial" w:hAnsi="Arial"/>
                <w:sz w:val="14"/>
                <w:szCs w:val="14"/>
                <w:b w:val="1"/>
                <w:bCs w:val="1"/>
                <w:color w:val="FFFFFF"/>
              </w:rPr>
              <w:t>Independent</w:t>
            </w:r>
          </w:p>
        </w:tc>
      </w:tr>
      <w:tr>
        <w:trPr>
          <w:trHeight w:val="264"/>
        </w:trPr>
        <w:tc>
          <w:tcPr>
            <w:tcW w:w="2200" w:type="dxa"/>
            <w:vAlign w:val="bottom"/>
            <w:shd w:val="clear" w:color="auto" w:fill="E5EFFD"/>
          </w:tcPr>
          <w:p>
            <w:pPr>
              <w:ind w:left="40"/>
              <w:spacing w:after="0"/>
              <w:rPr>
                <w:sz w:val="20"/>
                <w:szCs w:val="20"/>
                <w:color w:val="auto"/>
              </w:rPr>
            </w:pPr>
            <w:r>
              <w:rPr>
                <w:rFonts w:ascii="Arial" w:cs="Arial" w:eastAsia="Arial" w:hAnsi="Arial"/>
                <w:sz w:val="16"/>
                <w:szCs w:val="16"/>
                <w:b w:val="1"/>
                <w:bCs w:val="1"/>
                <w:color w:val="005CB8"/>
              </w:rPr>
              <w:t>Nominees for Director</w:t>
            </w:r>
          </w:p>
        </w:tc>
        <w:tc>
          <w:tcPr>
            <w:tcW w:w="950" w:type="dxa"/>
            <w:vAlign w:val="bottom"/>
            <w:shd w:val="clear" w:color="auto" w:fill="E5EFFD"/>
          </w:tcPr>
          <w:p>
            <w:pPr>
              <w:spacing w:after="0"/>
              <w:rPr>
                <w:sz w:val="22"/>
                <w:szCs w:val="22"/>
                <w:color w:val="auto"/>
              </w:rPr>
            </w:pPr>
          </w:p>
        </w:tc>
        <w:tc>
          <w:tcPr>
            <w:tcW w:w="3690" w:type="dxa"/>
            <w:vAlign w:val="bottom"/>
            <w:shd w:val="clear" w:color="auto" w:fill="E5EFFD"/>
          </w:tcPr>
          <w:p>
            <w:pPr>
              <w:spacing w:after="0"/>
              <w:rPr>
                <w:sz w:val="22"/>
                <w:szCs w:val="22"/>
                <w:color w:val="auto"/>
              </w:rPr>
            </w:pPr>
          </w:p>
        </w:tc>
        <w:tc>
          <w:tcPr>
            <w:tcW w:w="1560" w:type="dxa"/>
            <w:vAlign w:val="bottom"/>
            <w:shd w:val="clear" w:color="auto" w:fill="E5EFFD"/>
          </w:tcPr>
          <w:p>
            <w:pPr>
              <w:spacing w:after="0"/>
              <w:rPr>
                <w:sz w:val="22"/>
                <w:szCs w:val="22"/>
                <w:color w:val="auto"/>
              </w:rPr>
            </w:pPr>
          </w:p>
        </w:tc>
        <w:tc>
          <w:tcPr>
            <w:tcW w:w="1160" w:type="dxa"/>
            <w:vAlign w:val="bottom"/>
            <w:shd w:val="clear" w:color="auto" w:fill="E5EFFD"/>
          </w:tcPr>
          <w:p>
            <w:pPr>
              <w:spacing w:after="0"/>
              <w:rPr>
                <w:sz w:val="22"/>
                <w:szCs w:val="22"/>
                <w:color w:val="auto"/>
              </w:rPr>
            </w:pPr>
          </w:p>
        </w:tc>
      </w:tr>
      <w:tr>
        <w:trPr>
          <w:trHeight w:val="318"/>
        </w:trPr>
        <w:tc>
          <w:tcPr>
            <w:tcW w:w="2200" w:type="dxa"/>
            <w:vAlign w:val="bottom"/>
            <w:shd w:val="clear" w:color="auto" w:fill="E5EFFD"/>
          </w:tcPr>
          <w:p>
            <w:pPr>
              <w:ind w:left="40"/>
              <w:spacing w:after="0"/>
              <w:rPr>
                <w:sz w:val="20"/>
                <w:szCs w:val="20"/>
                <w:color w:val="auto"/>
              </w:rPr>
            </w:pPr>
            <w:r>
              <w:rPr>
                <w:rFonts w:ascii="Arial" w:cs="Arial" w:eastAsia="Arial" w:hAnsi="Arial"/>
                <w:sz w:val="16"/>
                <w:szCs w:val="16"/>
                <w:color w:val="005CB8"/>
              </w:rPr>
              <w:t>Andrew W. Houston</w:t>
            </w:r>
          </w:p>
        </w:tc>
        <w:tc>
          <w:tcPr>
            <w:tcW w:w="950" w:type="dxa"/>
            <w:vAlign w:val="bottom"/>
            <w:shd w:val="clear" w:color="auto" w:fill="E5EFFD"/>
          </w:tcPr>
          <w:p>
            <w:pPr>
              <w:jc w:val="right"/>
              <w:ind w:right="210"/>
              <w:spacing w:after="0"/>
              <w:rPr>
                <w:sz w:val="20"/>
                <w:szCs w:val="20"/>
                <w:color w:val="auto"/>
              </w:rPr>
            </w:pPr>
            <w:r>
              <w:rPr>
                <w:rFonts w:ascii="Arial" w:cs="Arial" w:eastAsia="Arial" w:hAnsi="Arial"/>
                <w:sz w:val="16"/>
                <w:szCs w:val="16"/>
                <w:color w:val="005CB8"/>
              </w:rPr>
              <w:t>37</w:t>
            </w:r>
          </w:p>
        </w:tc>
        <w:tc>
          <w:tcPr>
            <w:tcW w:w="3690" w:type="dxa"/>
            <w:vAlign w:val="bottom"/>
            <w:shd w:val="clear" w:color="auto" w:fill="E5EFFD"/>
          </w:tcPr>
          <w:p>
            <w:pPr>
              <w:ind w:left="90"/>
              <w:spacing w:after="0"/>
              <w:rPr>
                <w:sz w:val="20"/>
                <w:szCs w:val="20"/>
                <w:color w:val="auto"/>
              </w:rPr>
            </w:pPr>
            <w:r>
              <w:rPr>
                <w:rFonts w:ascii="Arial" w:cs="Arial" w:eastAsia="Arial" w:hAnsi="Arial"/>
                <w:sz w:val="16"/>
                <w:szCs w:val="16"/>
                <w:color w:val="005CB8"/>
              </w:rPr>
              <w:t>Chief Executive Officer, Co-Founder, and</w:t>
            </w:r>
          </w:p>
        </w:tc>
        <w:tc>
          <w:tcPr>
            <w:tcW w:w="1560" w:type="dxa"/>
            <w:vAlign w:val="bottom"/>
            <w:shd w:val="clear" w:color="auto" w:fill="E5EFFD"/>
          </w:tcPr>
          <w:p>
            <w:pPr>
              <w:jc w:val="center"/>
              <w:ind w:left="120"/>
              <w:spacing w:after="0"/>
              <w:rPr>
                <w:sz w:val="20"/>
                <w:szCs w:val="20"/>
                <w:color w:val="auto"/>
              </w:rPr>
            </w:pPr>
            <w:r>
              <w:rPr>
                <w:rFonts w:ascii="Arial" w:cs="Arial" w:eastAsia="Arial" w:hAnsi="Arial"/>
                <w:sz w:val="16"/>
                <w:szCs w:val="16"/>
                <w:color w:val="005CB8"/>
              </w:rPr>
              <w:t>2007</w:t>
            </w:r>
          </w:p>
        </w:tc>
        <w:tc>
          <w:tcPr>
            <w:tcW w:w="1160" w:type="dxa"/>
            <w:vAlign w:val="bottom"/>
            <w:shd w:val="clear" w:color="auto" w:fill="E5EFFD"/>
          </w:tcPr>
          <w:p>
            <w:pPr>
              <w:jc w:val="center"/>
              <w:ind w:left="60"/>
              <w:spacing w:after="0"/>
              <w:rPr>
                <w:sz w:val="20"/>
                <w:szCs w:val="20"/>
                <w:color w:val="auto"/>
              </w:rPr>
            </w:pPr>
            <w:r>
              <w:rPr>
                <w:rFonts w:ascii="Arial" w:cs="Arial" w:eastAsia="Arial" w:hAnsi="Arial"/>
                <w:sz w:val="16"/>
                <w:szCs w:val="16"/>
                <w:color w:val="005CB8"/>
              </w:rPr>
              <w:t>No</w:t>
            </w:r>
          </w:p>
        </w:tc>
      </w:tr>
      <w:tr>
        <w:trPr>
          <w:trHeight w:val="195"/>
        </w:trPr>
        <w:tc>
          <w:tcPr>
            <w:tcW w:w="2200" w:type="dxa"/>
            <w:vAlign w:val="bottom"/>
            <w:shd w:val="clear" w:color="auto" w:fill="E5EFFD"/>
          </w:tcPr>
          <w:p>
            <w:pPr>
              <w:spacing w:after="0"/>
              <w:rPr>
                <w:sz w:val="16"/>
                <w:szCs w:val="16"/>
                <w:color w:val="auto"/>
              </w:rPr>
            </w:pPr>
          </w:p>
        </w:tc>
        <w:tc>
          <w:tcPr>
            <w:tcW w:w="950" w:type="dxa"/>
            <w:vAlign w:val="bottom"/>
            <w:shd w:val="clear" w:color="auto" w:fill="E5EFFD"/>
          </w:tcPr>
          <w:p>
            <w:pPr>
              <w:spacing w:after="0"/>
              <w:rPr>
                <w:sz w:val="16"/>
                <w:szCs w:val="16"/>
                <w:color w:val="auto"/>
              </w:rPr>
            </w:pPr>
          </w:p>
        </w:tc>
        <w:tc>
          <w:tcPr>
            <w:tcW w:w="3690" w:type="dxa"/>
            <w:vAlign w:val="bottom"/>
            <w:shd w:val="clear" w:color="auto" w:fill="E5EFFD"/>
          </w:tcPr>
          <w:p>
            <w:pPr>
              <w:ind w:left="90"/>
              <w:spacing w:after="0"/>
              <w:rPr>
                <w:sz w:val="20"/>
                <w:szCs w:val="20"/>
                <w:color w:val="auto"/>
              </w:rPr>
            </w:pPr>
            <w:r>
              <w:rPr>
                <w:rFonts w:ascii="Arial" w:cs="Arial" w:eastAsia="Arial" w:hAnsi="Arial"/>
                <w:sz w:val="16"/>
                <w:szCs w:val="16"/>
                <w:color w:val="005CB8"/>
              </w:rPr>
              <w:t>Chairman</w:t>
            </w:r>
          </w:p>
        </w:tc>
        <w:tc>
          <w:tcPr>
            <w:tcW w:w="1560" w:type="dxa"/>
            <w:vAlign w:val="bottom"/>
            <w:shd w:val="clear" w:color="auto" w:fill="E5EFFD"/>
          </w:tcPr>
          <w:p>
            <w:pPr>
              <w:spacing w:after="0"/>
              <w:rPr>
                <w:sz w:val="16"/>
                <w:szCs w:val="16"/>
                <w:color w:val="auto"/>
              </w:rPr>
            </w:pPr>
          </w:p>
        </w:tc>
        <w:tc>
          <w:tcPr>
            <w:tcW w:w="1160" w:type="dxa"/>
            <w:vAlign w:val="bottom"/>
            <w:shd w:val="clear" w:color="auto" w:fill="E5EFFD"/>
          </w:tcPr>
          <w:p>
            <w:pPr>
              <w:spacing w:after="0"/>
              <w:rPr>
                <w:sz w:val="16"/>
                <w:szCs w:val="16"/>
                <w:color w:val="auto"/>
              </w:rPr>
            </w:pPr>
          </w:p>
        </w:tc>
      </w:tr>
      <w:tr>
        <w:trPr>
          <w:trHeight w:val="384"/>
        </w:trPr>
        <w:tc>
          <w:tcPr>
            <w:tcW w:w="2200" w:type="dxa"/>
            <w:vAlign w:val="bottom"/>
            <w:shd w:val="clear" w:color="auto" w:fill="E5EFFD"/>
          </w:tcPr>
          <w:p>
            <w:pPr>
              <w:ind w:left="40"/>
              <w:spacing w:after="0"/>
              <w:rPr>
                <w:sz w:val="20"/>
                <w:szCs w:val="20"/>
                <w:color w:val="auto"/>
              </w:rPr>
            </w:pPr>
            <w:r>
              <w:rPr>
                <w:rFonts w:ascii="Arial" w:cs="Arial" w:eastAsia="Arial" w:hAnsi="Arial"/>
                <w:sz w:val="16"/>
                <w:szCs w:val="16"/>
                <w:color w:val="005CB8"/>
              </w:rPr>
              <w:t>Donald W. Blair</w:t>
            </w:r>
            <w:r>
              <w:rPr>
                <w:rFonts w:ascii="Arial" w:cs="Arial" w:eastAsia="Arial" w:hAnsi="Arial"/>
                <w:sz w:val="26"/>
                <w:szCs w:val="26"/>
                <w:color w:val="005CB8"/>
                <w:vertAlign w:val="superscript"/>
              </w:rPr>
              <w:t>(1)</w:t>
            </w:r>
            <w:r>
              <w:rPr>
                <w:rFonts w:ascii="Arial" w:cs="Arial" w:eastAsia="Arial" w:hAnsi="Arial"/>
                <w:sz w:val="12"/>
                <w:szCs w:val="12"/>
                <w:color w:val="005CB8"/>
              </w:rPr>
              <w:t>(8)(9)</w:t>
            </w:r>
          </w:p>
        </w:tc>
        <w:tc>
          <w:tcPr>
            <w:tcW w:w="950" w:type="dxa"/>
            <w:vAlign w:val="bottom"/>
            <w:shd w:val="clear" w:color="auto" w:fill="E5EFFD"/>
          </w:tcPr>
          <w:p>
            <w:pPr>
              <w:jc w:val="right"/>
              <w:ind w:right="210"/>
              <w:spacing w:after="0"/>
              <w:rPr>
                <w:sz w:val="20"/>
                <w:szCs w:val="20"/>
                <w:color w:val="auto"/>
              </w:rPr>
            </w:pPr>
            <w:r>
              <w:rPr>
                <w:rFonts w:ascii="Arial" w:cs="Arial" w:eastAsia="Arial" w:hAnsi="Arial"/>
                <w:sz w:val="16"/>
                <w:szCs w:val="16"/>
                <w:color w:val="005CB8"/>
              </w:rPr>
              <w:t>61</w:t>
            </w:r>
          </w:p>
        </w:tc>
        <w:tc>
          <w:tcPr>
            <w:tcW w:w="3690" w:type="dxa"/>
            <w:vAlign w:val="bottom"/>
            <w:shd w:val="clear" w:color="auto" w:fill="E5EFFD"/>
          </w:tcPr>
          <w:p>
            <w:pPr>
              <w:ind w:left="90"/>
              <w:spacing w:after="0"/>
              <w:rPr>
                <w:sz w:val="20"/>
                <w:szCs w:val="20"/>
                <w:color w:val="auto"/>
              </w:rPr>
            </w:pPr>
            <w:r>
              <w:rPr>
                <w:rFonts w:ascii="Arial" w:cs="Arial" w:eastAsia="Arial" w:hAnsi="Arial"/>
                <w:sz w:val="16"/>
                <w:szCs w:val="16"/>
                <w:color w:val="005CB8"/>
              </w:rPr>
              <w:t>Director</w:t>
            </w:r>
          </w:p>
        </w:tc>
        <w:tc>
          <w:tcPr>
            <w:tcW w:w="1560" w:type="dxa"/>
            <w:vAlign w:val="bottom"/>
            <w:shd w:val="clear" w:color="auto" w:fill="E5EFFD"/>
          </w:tcPr>
          <w:p>
            <w:pPr>
              <w:jc w:val="center"/>
              <w:ind w:left="120"/>
              <w:spacing w:after="0"/>
              <w:rPr>
                <w:sz w:val="20"/>
                <w:szCs w:val="20"/>
                <w:color w:val="auto"/>
              </w:rPr>
            </w:pPr>
            <w:r>
              <w:rPr>
                <w:rFonts w:ascii="Arial" w:cs="Arial" w:eastAsia="Arial" w:hAnsi="Arial"/>
                <w:sz w:val="16"/>
                <w:szCs w:val="16"/>
                <w:color w:val="005CB8"/>
              </w:rPr>
              <w:t>2017</w:t>
            </w:r>
          </w:p>
        </w:tc>
        <w:tc>
          <w:tcPr>
            <w:tcW w:w="1160" w:type="dxa"/>
            <w:vAlign w:val="bottom"/>
            <w:shd w:val="clear" w:color="auto" w:fill="E5EFFD"/>
          </w:tcPr>
          <w:p>
            <w:pPr>
              <w:jc w:val="center"/>
              <w:ind w:left="60"/>
              <w:spacing w:after="0"/>
              <w:rPr>
                <w:sz w:val="20"/>
                <w:szCs w:val="20"/>
                <w:color w:val="auto"/>
              </w:rPr>
            </w:pPr>
            <w:r>
              <w:rPr>
                <w:rFonts w:ascii="Arial" w:cs="Arial" w:eastAsia="Arial" w:hAnsi="Arial"/>
                <w:sz w:val="16"/>
                <w:szCs w:val="16"/>
                <w:color w:val="005CB8"/>
                <w:w w:val="94"/>
              </w:rPr>
              <w:t>Yes</w:t>
            </w:r>
          </w:p>
        </w:tc>
      </w:tr>
      <w:tr>
        <w:trPr>
          <w:trHeight w:val="324"/>
        </w:trPr>
        <w:tc>
          <w:tcPr>
            <w:tcW w:w="2200" w:type="dxa"/>
            <w:vAlign w:val="bottom"/>
            <w:shd w:val="clear" w:color="auto" w:fill="E5EFFD"/>
          </w:tcPr>
          <w:p>
            <w:pPr>
              <w:ind w:left="40"/>
              <w:spacing w:after="0"/>
              <w:rPr>
                <w:sz w:val="20"/>
                <w:szCs w:val="20"/>
                <w:color w:val="auto"/>
              </w:rPr>
            </w:pPr>
            <w:r>
              <w:rPr>
                <w:rFonts w:ascii="Arial" w:cs="Arial" w:eastAsia="Arial" w:hAnsi="Arial"/>
                <w:sz w:val="16"/>
                <w:szCs w:val="16"/>
                <w:color w:val="005CB8"/>
              </w:rPr>
              <w:t>Lisa Campbell</w:t>
            </w:r>
            <w:r>
              <w:rPr>
                <w:rFonts w:ascii="Arial" w:cs="Arial" w:eastAsia="Arial" w:hAnsi="Arial"/>
                <w:sz w:val="26"/>
                <w:szCs w:val="26"/>
                <w:color w:val="005CB8"/>
                <w:vertAlign w:val="superscript"/>
              </w:rPr>
              <w:t>(1)(3)</w:t>
            </w:r>
          </w:p>
        </w:tc>
        <w:tc>
          <w:tcPr>
            <w:tcW w:w="950" w:type="dxa"/>
            <w:vAlign w:val="bottom"/>
            <w:shd w:val="clear" w:color="auto" w:fill="E5EFFD"/>
          </w:tcPr>
          <w:p>
            <w:pPr>
              <w:jc w:val="right"/>
              <w:ind w:right="210"/>
              <w:spacing w:after="0"/>
              <w:rPr>
                <w:sz w:val="20"/>
                <w:szCs w:val="20"/>
                <w:color w:val="auto"/>
              </w:rPr>
            </w:pPr>
            <w:r>
              <w:rPr>
                <w:rFonts w:ascii="Arial" w:cs="Arial" w:eastAsia="Arial" w:hAnsi="Arial"/>
                <w:sz w:val="16"/>
                <w:szCs w:val="16"/>
                <w:color w:val="005CB8"/>
              </w:rPr>
              <w:t>56</w:t>
            </w:r>
          </w:p>
        </w:tc>
        <w:tc>
          <w:tcPr>
            <w:tcW w:w="3690" w:type="dxa"/>
            <w:vAlign w:val="bottom"/>
            <w:shd w:val="clear" w:color="auto" w:fill="E5EFFD"/>
          </w:tcPr>
          <w:p>
            <w:pPr>
              <w:ind w:left="90"/>
              <w:spacing w:after="0"/>
              <w:rPr>
                <w:sz w:val="20"/>
                <w:szCs w:val="20"/>
                <w:color w:val="auto"/>
              </w:rPr>
            </w:pPr>
            <w:r>
              <w:rPr>
                <w:rFonts w:ascii="Arial" w:cs="Arial" w:eastAsia="Arial" w:hAnsi="Arial"/>
                <w:sz w:val="16"/>
                <w:szCs w:val="16"/>
                <w:color w:val="005CB8"/>
              </w:rPr>
              <w:t>Director</w:t>
            </w:r>
          </w:p>
        </w:tc>
        <w:tc>
          <w:tcPr>
            <w:tcW w:w="1560" w:type="dxa"/>
            <w:vAlign w:val="bottom"/>
            <w:shd w:val="clear" w:color="auto" w:fill="E5EFFD"/>
          </w:tcPr>
          <w:p>
            <w:pPr>
              <w:jc w:val="center"/>
              <w:ind w:left="120"/>
              <w:spacing w:after="0"/>
              <w:rPr>
                <w:sz w:val="20"/>
                <w:szCs w:val="20"/>
                <w:color w:val="auto"/>
              </w:rPr>
            </w:pPr>
            <w:r>
              <w:rPr>
                <w:rFonts w:ascii="Arial" w:cs="Arial" w:eastAsia="Arial" w:hAnsi="Arial"/>
                <w:sz w:val="16"/>
                <w:szCs w:val="16"/>
                <w:color w:val="005CB8"/>
              </w:rPr>
              <w:t>2019</w:t>
            </w:r>
          </w:p>
        </w:tc>
        <w:tc>
          <w:tcPr>
            <w:tcW w:w="1160" w:type="dxa"/>
            <w:vAlign w:val="bottom"/>
            <w:shd w:val="clear" w:color="auto" w:fill="E5EFFD"/>
          </w:tcPr>
          <w:p>
            <w:pPr>
              <w:jc w:val="center"/>
              <w:ind w:left="60"/>
              <w:spacing w:after="0"/>
              <w:rPr>
                <w:sz w:val="20"/>
                <w:szCs w:val="20"/>
                <w:color w:val="auto"/>
              </w:rPr>
            </w:pPr>
            <w:r>
              <w:rPr>
                <w:rFonts w:ascii="Arial" w:cs="Arial" w:eastAsia="Arial" w:hAnsi="Arial"/>
                <w:sz w:val="16"/>
                <w:szCs w:val="16"/>
                <w:color w:val="005CB8"/>
                <w:w w:val="94"/>
              </w:rPr>
              <w:t>Yes</w:t>
            </w:r>
          </w:p>
        </w:tc>
      </w:tr>
      <w:tr>
        <w:trPr>
          <w:trHeight w:val="324"/>
        </w:trPr>
        <w:tc>
          <w:tcPr>
            <w:tcW w:w="2200" w:type="dxa"/>
            <w:vAlign w:val="bottom"/>
            <w:shd w:val="clear" w:color="auto" w:fill="E5EFFD"/>
          </w:tcPr>
          <w:p>
            <w:pPr>
              <w:ind w:left="40"/>
              <w:spacing w:after="0"/>
              <w:rPr>
                <w:sz w:val="20"/>
                <w:szCs w:val="20"/>
                <w:color w:val="auto"/>
              </w:rPr>
            </w:pPr>
            <w:r>
              <w:rPr>
                <w:rFonts w:ascii="Arial" w:cs="Arial" w:eastAsia="Arial" w:hAnsi="Arial"/>
                <w:sz w:val="16"/>
                <w:szCs w:val="16"/>
                <w:color w:val="005CB8"/>
              </w:rPr>
              <w:t>Paul E. Jacobs</w:t>
            </w:r>
            <w:r>
              <w:rPr>
                <w:rFonts w:ascii="Arial" w:cs="Arial" w:eastAsia="Arial" w:hAnsi="Arial"/>
                <w:sz w:val="26"/>
                <w:szCs w:val="26"/>
                <w:color w:val="005CB8"/>
                <w:vertAlign w:val="superscript"/>
              </w:rPr>
              <w:t>(3)(10)</w:t>
            </w:r>
          </w:p>
        </w:tc>
        <w:tc>
          <w:tcPr>
            <w:tcW w:w="950" w:type="dxa"/>
            <w:vAlign w:val="bottom"/>
            <w:shd w:val="clear" w:color="auto" w:fill="E5EFFD"/>
          </w:tcPr>
          <w:p>
            <w:pPr>
              <w:jc w:val="right"/>
              <w:ind w:right="210"/>
              <w:spacing w:after="0"/>
              <w:rPr>
                <w:sz w:val="20"/>
                <w:szCs w:val="20"/>
                <w:color w:val="auto"/>
              </w:rPr>
            </w:pPr>
            <w:r>
              <w:rPr>
                <w:rFonts w:ascii="Arial" w:cs="Arial" w:eastAsia="Arial" w:hAnsi="Arial"/>
                <w:sz w:val="16"/>
                <w:szCs w:val="16"/>
                <w:color w:val="005CB8"/>
              </w:rPr>
              <w:t>57</w:t>
            </w:r>
          </w:p>
        </w:tc>
        <w:tc>
          <w:tcPr>
            <w:tcW w:w="3690" w:type="dxa"/>
            <w:vAlign w:val="bottom"/>
            <w:shd w:val="clear" w:color="auto" w:fill="E5EFFD"/>
          </w:tcPr>
          <w:p>
            <w:pPr>
              <w:ind w:left="90"/>
              <w:spacing w:after="0"/>
              <w:rPr>
                <w:sz w:val="20"/>
                <w:szCs w:val="20"/>
                <w:color w:val="auto"/>
              </w:rPr>
            </w:pPr>
            <w:r>
              <w:rPr>
                <w:rFonts w:ascii="Arial" w:cs="Arial" w:eastAsia="Arial" w:hAnsi="Arial"/>
                <w:sz w:val="16"/>
                <w:szCs w:val="16"/>
                <w:color w:val="005CB8"/>
              </w:rPr>
              <w:t>Director</w:t>
            </w:r>
          </w:p>
        </w:tc>
        <w:tc>
          <w:tcPr>
            <w:tcW w:w="1560" w:type="dxa"/>
            <w:vAlign w:val="bottom"/>
            <w:shd w:val="clear" w:color="auto" w:fill="E5EFFD"/>
          </w:tcPr>
          <w:p>
            <w:pPr>
              <w:jc w:val="center"/>
              <w:ind w:left="120"/>
              <w:spacing w:after="0"/>
              <w:rPr>
                <w:sz w:val="20"/>
                <w:szCs w:val="20"/>
                <w:color w:val="auto"/>
              </w:rPr>
            </w:pPr>
            <w:r>
              <w:rPr>
                <w:rFonts w:ascii="Arial" w:cs="Arial" w:eastAsia="Arial" w:hAnsi="Arial"/>
                <w:sz w:val="16"/>
                <w:szCs w:val="16"/>
                <w:color w:val="005CB8"/>
              </w:rPr>
              <w:t>2016</w:t>
            </w:r>
          </w:p>
        </w:tc>
        <w:tc>
          <w:tcPr>
            <w:tcW w:w="1160" w:type="dxa"/>
            <w:vAlign w:val="bottom"/>
            <w:shd w:val="clear" w:color="auto" w:fill="E5EFFD"/>
          </w:tcPr>
          <w:p>
            <w:pPr>
              <w:jc w:val="center"/>
              <w:ind w:left="60"/>
              <w:spacing w:after="0"/>
              <w:rPr>
                <w:sz w:val="20"/>
                <w:szCs w:val="20"/>
                <w:color w:val="auto"/>
              </w:rPr>
            </w:pPr>
            <w:r>
              <w:rPr>
                <w:rFonts w:ascii="Arial" w:cs="Arial" w:eastAsia="Arial" w:hAnsi="Arial"/>
                <w:sz w:val="16"/>
                <w:szCs w:val="16"/>
                <w:color w:val="005CB8"/>
                <w:w w:val="94"/>
              </w:rPr>
              <w:t>Yes</w:t>
            </w:r>
          </w:p>
        </w:tc>
      </w:tr>
      <w:tr>
        <w:trPr>
          <w:trHeight w:val="324"/>
        </w:trPr>
        <w:tc>
          <w:tcPr>
            <w:tcW w:w="2200" w:type="dxa"/>
            <w:vAlign w:val="bottom"/>
            <w:shd w:val="clear" w:color="auto" w:fill="E5EFFD"/>
          </w:tcPr>
          <w:p>
            <w:pPr>
              <w:ind w:left="40"/>
              <w:spacing w:after="0"/>
              <w:rPr>
                <w:sz w:val="20"/>
                <w:szCs w:val="20"/>
                <w:color w:val="auto"/>
              </w:rPr>
            </w:pPr>
            <w:r>
              <w:rPr>
                <w:rFonts w:ascii="Arial" w:cs="Arial" w:eastAsia="Arial" w:hAnsi="Arial"/>
                <w:sz w:val="16"/>
                <w:szCs w:val="16"/>
                <w:color w:val="005CB8"/>
              </w:rPr>
              <w:t>Robert J. Mylod, Jr.</w:t>
            </w:r>
            <w:r>
              <w:rPr>
                <w:rFonts w:ascii="Arial" w:cs="Arial" w:eastAsia="Arial" w:hAnsi="Arial"/>
                <w:sz w:val="26"/>
                <w:szCs w:val="26"/>
                <w:color w:val="005CB8"/>
                <w:vertAlign w:val="superscript"/>
              </w:rPr>
              <w:t>(2)(5)(8)</w:t>
            </w:r>
          </w:p>
        </w:tc>
        <w:tc>
          <w:tcPr>
            <w:tcW w:w="950" w:type="dxa"/>
            <w:vAlign w:val="bottom"/>
            <w:shd w:val="clear" w:color="auto" w:fill="E5EFFD"/>
          </w:tcPr>
          <w:p>
            <w:pPr>
              <w:jc w:val="right"/>
              <w:ind w:right="210"/>
              <w:spacing w:after="0"/>
              <w:rPr>
                <w:sz w:val="20"/>
                <w:szCs w:val="20"/>
                <w:color w:val="auto"/>
              </w:rPr>
            </w:pPr>
            <w:r>
              <w:rPr>
                <w:rFonts w:ascii="Arial" w:cs="Arial" w:eastAsia="Arial" w:hAnsi="Arial"/>
                <w:sz w:val="16"/>
                <w:szCs w:val="16"/>
                <w:color w:val="005CB8"/>
              </w:rPr>
              <w:t>53</w:t>
            </w:r>
          </w:p>
        </w:tc>
        <w:tc>
          <w:tcPr>
            <w:tcW w:w="3690" w:type="dxa"/>
            <w:vAlign w:val="bottom"/>
            <w:shd w:val="clear" w:color="auto" w:fill="E5EFFD"/>
          </w:tcPr>
          <w:p>
            <w:pPr>
              <w:ind w:left="90"/>
              <w:spacing w:after="0"/>
              <w:rPr>
                <w:sz w:val="20"/>
                <w:szCs w:val="20"/>
                <w:color w:val="auto"/>
              </w:rPr>
            </w:pPr>
            <w:r>
              <w:rPr>
                <w:rFonts w:ascii="Arial" w:cs="Arial" w:eastAsia="Arial" w:hAnsi="Arial"/>
                <w:sz w:val="16"/>
                <w:szCs w:val="16"/>
                <w:color w:val="005CB8"/>
              </w:rPr>
              <w:t>Director</w:t>
            </w:r>
          </w:p>
        </w:tc>
        <w:tc>
          <w:tcPr>
            <w:tcW w:w="1560" w:type="dxa"/>
            <w:vAlign w:val="bottom"/>
            <w:shd w:val="clear" w:color="auto" w:fill="E5EFFD"/>
          </w:tcPr>
          <w:p>
            <w:pPr>
              <w:jc w:val="center"/>
              <w:ind w:left="120"/>
              <w:spacing w:after="0"/>
              <w:rPr>
                <w:sz w:val="20"/>
                <w:szCs w:val="20"/>
                <w:color w:val="auto"/>
              </w:rPr>
            </w:pPr>
            <w:r>
              <w:rPr>
                <w:rFonts w:ascii="Arial" w:cs="Arial" w:eastAsia="Arial" w:hAnsi="Arial"/>
                <w:sz w:val="16"/>
                <w:szCs w:val="16"/>
                <w:color w:val="005CB8"/>
              </w:rPr>
              <w:t>2014</w:t>
            </w:r>
          </w:p>
        </w:tc>
        <w:tc>
          <w:tcPr>
            <w:tcW w:w="1160" w:type="dxa"/>
            <w:vAlign w:val="bottom"/>
            <w:shd w:val="clear" w:color="auto" w:fill="E5EFFD"/>
          </w:tcPr>
          <w:p>
            <w:pPr>
              <w:jc w:val="center"/>
              <w:ind w:left="60"/>
              <w:spacing w:after="0"/>
              <w:rPr>
                <w:sz w:val="20"/>
                <w:szCs w:val="20"/>
                <w:color w:val="auto"/>
              </w:rPr>
            </w:pPr>
            <w:r>
              <w:rPr>
                <w:rFonts w:ascii="Arial" w:cs="Arial" w:eastAsia="Arial" w:hAnsi="Arial"/>
                <w:sz w:val="16"/>
                <w:szCs w:val="16"/>
                <w:color w:val="005CB8"/>
                <w:w w:val="94"/>
              </w:rPr>
              <w:t>Yes</w:t>
            </w:r>
          </w:p>
        </w:tc>
      </w:tr>
      <w:tr>
        <w:trPr>
          <w:trHeight w:val="324"/>
        </w:trPr>
        <w:tc>
          <w:tcPr>
            <w:tcW w:w="2200" w:type="dxa"/>
            <w:vAlign w:val="bottom"/>
            <w:shd w:val="clear" w:color="auto" w:fill="E5EFFD"/>
          </w:tcPr>
          <w:p>
            <w:pPr>
              <w:ind w:left="40"/>
              <w:spacing w:after="0"/>
              <w:rPr>
                <w:sz w:val="20"/>
                <w:szCs w:val="20"/>
                <w:color w:val="auto"/>
              </w:rPr>
            </w:pPr>
            <w:r>
              <w:rPr>
                <w:rFonts w:ascii="Arial" w:cs="Arial" w:eastAsia="Arial" w:hAnsi="Arial"/>
                <w:sz w:val="16"/>
                <w:szCs w:val="16"/>
                <w:color w:val="005CB8"/>
              </w:rPr>
              <w:t>Karen Peacock</w:t>
            </w:r>
            <w:r>
              <w:rPr>
                <w:rFonts w:ascii="Arial" w:cs="Arial" w:eastAsia="Arial" w:hAnsi="Arial"/>
                <w:sz w:val="26"/>
                <w:szCs w:val="26"/>
                <w:color w:val="005CB8"/>
                <w:vertAlign w:val="superscript"/>
              </w:rPr>
              <w:t>(2)</w:t>
            </w:r>
          </w:p>
        </w:tc>
        <w:tc>
          <w:tcPr>
            <w:tcW w:w="950" w:type="dxa"/>
            <w:vAlign w:val="bottom"/>
            <w:shd w:val="clear" w:color="auto" w:fill="E5EFFD"/>
          </w:tcPr>
          <w:p>
            <w:pPr>
              <w:jc w:val="right"/>
              <w:ind w:right="210"/>
              <w:spacing w:after="0"/>
              <w:rPr>
                <w:sz w:val="20"/>
                <w:szCs w:val="20"/>
                <w:color w:val="auto"/>
              </w:rPr>
            </w:pPr>
            <w:r>
              <w:rPr>
                <w:rFonts w:ascii="Arial" w:cs="Arial" w:eastAsia="Arial" w:hAnsi="Arial"/>
                <w:sz w:val="16"/>
                <w:szCs w:val="16"/>
                <w:color w:val="005CB8"/>
              </w:rPr>
              <w:t>47</w:t>
            </w:r>
          </w:p>
        </w:tc>
        <w:tc>
          <w:tcPr>
            <w:tcW w:w="3690" w:type="dxa"/>
            <w:vAlign w:val="bottom"/>
            <w:shd w:val="clear" w:color="auto" w:fill="E5EFFD"/>
          </w:tcPr>
          <w:p>
            <w:pPr>
              <w:ind w:left="90"/>
              <w:spacing w:after="0"/>
              <w:rPr>
                <w:sz w:val="20"/>
                <w:szCs w:val="20"/>
                <w:color w:val="auto"/>
              </w:rPr>
            </w:pPr>
            <w:r>
              <w:rPr>
                <w:rFonts w:ascii="Arial" w:cs="Arial" w:eastAsia="Arial" w:hAnsi="Arial"/>
                <w:sz w:val="16"/>
                <w:szCs w:val="16"/>
                <w:color w:val="005CB8"/>
              </w:rPr>
              <w:t>Director</w:t>
            </w:r>
          </w:p>
        </w:tc>
        <w:tc>
          <w:tcPr>
            <w:tcW w:w="1560" w:type="dxa"/>
            <w:vAlign w:val="bottom"/>
            <w:shd w:val="clear" w:color="auto" w:fill="E5EFFD"/>
          </w:tcPr>
          <w:p>
            <w:pPr>
              <w:jc w:val="center"/>
              <w:ind w:left="120"/>
              <w:spacing w:after="0"/>
              <w:rPr>
                <w:sz w:val="20"/>
                <w:szCs w:val="20"/>
                <w:color w:val="auto"/>
              </w:rPr>
            </w:pPr>
            <w:r>
              <w:rPr>
                <w:rFonts w:ascii="Arial" w:cs="Arial" w:eastAsia="Arial" w:hAnsi="Arial"/>
                <w:sz w:val="16"/>
                <w:szCs w:val="16"/>
                <w:color w:val="005CB8"/>
              </w:rPr>
              <w:t>2019</w:t>
            </w:r>
          </w:p>
        </w:tc>
        <w:tc>
          <w:tcPr>
            <w:tcW w:w="1160" w:type="dxa"/>
            <w:vAlign w:val="bottom"/>
            <w:shd w:val="clear" w:color="auto" w:fill="E5EFFD"/>
          </w:tcPr>
          <w:p>
            <w:pPr>
              <w:jc w:val="center"/>
              <w:ind w:left="60"/>
              <w:spacing w:after="0"/>
              <w:rPr>
                <w:sz w:val="20"/>
                <w:szCs w:val="20"/>
                <w:color w:val="auto"/>
              </w:rPr>
            </w:pPr>
            <w:r>
              <w:rPr>
                <w:rFonts w:ascii="Arial" w:cs="Arial" w:eastAsia="Arial" w:hAnsi="Arial"/>
                <w:sz w:val="16"/>
                <w:szCs w:val="16"/>
                <w:color w:val="005CB8"/>
                <w:w w:val="94"/>
              </w:rPr>
              <w:t>Yes</w:t>
            </w:r>
          </w:p>
        </w:tc>
      </w:tr>
      <w:tr>
        <w:trPr>
          <w:trHeight w:val="324"/>
        </w:trPr>
        <w:tc>
          <w:tcPr>
            <w:tcW w:w="2200" w:type="dxa"/>
            <w:vAlign w:val="bottom"/>
            <w:shd w:val="clear" w:color="auto" w:fill="E5EFFD"/>
          </w:tcPr>
          <w:p>
            <w:pPr>
              <w:ind w:left="40"/>
              <w:spacing w:after="0"/>
              <w:rPr>
                <w:sz w:val="20"/>
                <w:szCs w:val="20"/>
                <w:color w:val="auto"/>
              </w:rPr>
            </w:pPr>
            <w:r>
              <w:rPr>
                <w:rFonts w:ascii="Arial" w:cs="Arial" w:eastAsia="Arial" w:hAnsi="Arial"/>
                <w:sz w:val="16"/>
                <w:szCs w:val="16"/>
                <w:color w:val="005CB8"/>
              </w:rPr>
              <w:t>Condoleezza Rice</w:t>
            </w:r>
            <w:r>
              <w:rPr>
                <w:rFonts w:ascii="Arial" w:cs="Arial" w:eastAsia="Arial" w:hAnsi="Arial"/>
                <w:sz w:val="26"/>
                <w:szCs w:val="26"/>
                <w:color w:val="005CB8"/>
                <w:vertAlign w:val="superscript"/>
              </w:rPr>
              <w:t>(4)(6)(9)</w:t>
            </w:r>
          </w:p>
        </w:tc>
        <w:tc>
          <w:tcPr>
            <w:tcW w:w="950" w:type="dxa"/>
            <w:vAlign w:val="bottom"/>
            <w:shd w:val="clear" w:color="auto" w:fill="E5EFFD"/>
          </w:tcPr>
          <w:p>
            <w:pPr>
              <w:jc w:val="right"/>
              <w:ind w:right="210"/>
              <w:spacing w:after="0"/>
              <w:rPr>
                <w:sz w:val="20"/>
                <w:szCs w:val="20"/>
                <w:color w:val="auto"/>
              </w:rPr>
            </w:pPr>
            <w:r>
              <w:rPr>
                <w:rFonts w:ascii="Arial" w:cs="Arial" w:eastAsia="Arial" w:hAnsi="Arial"/>
                <w:sz w:val="16"/>
                <w:szCs w:val="16"/>
                <w:color w:val="005CB8"/>
              </w:rPr>
              <w:t>65</w:t>
            </w:r>
          </w:p>
        </w:tc>
        <w:tc>
          <w:tcPr>
            <w:tcW w:w="3690" w:type="dxa"/>
            <w:vAlign w:val="bottom"/>
            <w:shd w:val="clear" w:color="auto" w:fill="E5EFFD"/>
          </w:tcPr>
          <w:p>
            <w:pPr>
              <w:ind w:left="90"/>
              <w:spacing w:after="0"/>
              <w:rPr>
                <w:sz w:val="20"/>
                <w:szCs w:val="20"/>
                <w:color w:val="auto"/>
              </w:rPr>
            </w:pPr>
            <w:r>
              <w:rPr>
                <w:rFonts w:ascii="Arial" w:cs="Arial" w:eastAsia="Arial" w:hAnsi="Arial"/>
                <w:sz w:val="16"/>
                <w:szCs w:val="16"/>
                <w:color w:val="005CB8"/>
              </w:rPr>
              <w:t>Director</w:t>
            </w:r>
          </w:p>
        </w:tc>
        <w:tc>
          <w:tcPr>
            <w:tcW w:w="1560" w:type="dxa"/>
            <w:vAlign w:val="bottom"/>
            <w:shd w:val="clear" w:color="auto" w:fill="E5EFFD"/>
          </w:tcPr>
          <w:p>
            <w:pPr>
              <w:jc w:val="center"/>
              <w:ind w:left="120"/>
              <w:spacing w:after="0"/>
              <w:rPr>
                <w:sz w:val="20"/>
                <w:szCs w:val="20"/>
                <w:color w:val="auto"/>
              </w:rPr>
            </w:pPr>
            <w:r>
              <w:rPr>
                <w:rFonts w:ascii="Arial" w:cs="Arial" w:eastAsia="Arial" w:hAnsi="Arial"/>
                <w:sz w:val="16"/>
                <w:szCs w:val="16"/>
                <w:color w:val="005CB8"/>
              </w:rPr>
              <w:t>2014</w:t>
            </w:r>
          </w:p>
        </w:tc>
        <w:tc>
          <w:tcPr>
            <w:tcW w:w="1160" w:type="dxa"/>
            <w:vAlign w:val="bottom"/>
            <w:shd w:val="clear" w:color="auto" w:fill="E5EFFD"/>
          </w:tcPr>
          <w:p>
            <w:pPr>
              <w:jc w:val="center"/>
              <w:ind w:left="60"/>
              <w:spacing w:after="0"/>
              <w:rPr>
                <w:sz w:val="20"/>
                <w:szCs w:val="20"/>
                <w:color w:val="auto"/>
              </w:rPr>
            </w:pPr>
            <w:r>
              <w:rPr>
                <w:rFonts w:ascii="Arial" w:cs="Arial" w:eastAsia="Arial" w:hAnsi="Arial"/>
                <w:sz w:val="16"/>
                <w:szCs w:val="16"/>
                <w:color w:val="005CB8"/>
                <w:w w:val="94"/>
              </w:rPr>
              <w:t>Yes</w:t>
            </w:r>
          </w:p>
        </w:tc>
      </w:tr>
      <w:tr>
        <w:trPr>
          <w:trHeight w:val="324"/>
        </w:trPr>
        <w:tc>
          <w:tcPr>
            <w:tcW w:w="2200" w:type="dxa"/>
            <w:vAlign w:val="bottom"/>
            <w:shd w:val="clear" w:color="auto" w:fill="E5EFFD"/>
          </w:tcPr>
          <w:p>
            <w:pPr>
              <w:ind w:left="40"/>
              <w:spacing w:after="0"/>
              <w:rPr>
                <w:sz w:val="20"/>
                <w:szCs w:val="20"/>
                <w:color w:val="auto"/>
              </w:rPr>
            </w:pPr>
            <w:r>
              <w:rPr>
                <w:rFonts w:ascii="Arial" w:cs="Arial" w:eastAsia="Arial" w:hAnsi="Arial"/>
                <w:sz w:val="16"/>
                <w:szCs w:val="16"/>
                <w:color w:val="005CB8"/>
              </w:rPr>
              <w:t>R. Bryan Schreier</w:t>
            </w:r>
            <w:r>
              <w:rPr>
                <w:rFonts w:ascii="Arial" w:cs="Arial" w:eastAsia="Arial" w:hAnsi="Arial"/>
                <w:sz w:val="26"/>
                <w:szCs w:val="26"/>
                <w:color w:val="005CB8"/>
                <w:vertAlign w:val="superscript"/>
              </w:rPr>
              <w:t>(2)</w:t>
            </w:r>
          </w:p>
        </w:tc>
        <w:tc>
          <w:tcPr>
            <w:tcW w:w="950" w:type="dxa"/>
            <w:vAlign w:val="bottom"/>
            <w:shd w:val="clear" w:color="auto" w:fill="E5EFFD"/>
          </w:tcPr>
          <w:p>
            <w:pPr>
              <w:jc w:val="right"/>
              <w:ind w:right="210"/>
              <w:spacing w:after="0"/>
              <w:rPr>
                <w:sz w:val="20"/>
                <w:szCs w:val="20"/>
                <w:color w:val="auto"/>
              </w:rPr>
            </w:pPr>
            <w:r>
              <w:rPr>
                <w:rFonts w:ascii="Arial" w:cs="Arial" w:eastAsia="Arial" w:hAnsi="Arial"/>
                <w:sz w:val="16"/>
                <w:szCs w:val="16"/>
                <w:color w:val="005CB8"/>
              </w:rPr>
              <w:t>41</w:t>
            </w:r>
          </w:p>
        </w:tc>
        <w:tc>
          <w:tcPr>
            <w:tcW w:w="3690" w:type="dxa"/>
            <w:vAlign w:val="bottom"/>
            <w:shd w:val="clear" w:color="auto" w:fill="E5EFFD"/>
          </w:tcPr>
          <w:p>
            <w:pPr>
              <w:ind w:left="90"/>
              <w:spacing w:after="0"/>
              <w:rPr>
                <w:sz w:val="20"/>
                <w:szCs w:val="20"/>
                <w:color w:val="auto"/>
              </w:rPr>
            </w:pPr>
            <w:r>
              <w:rPr>
                <w:rFonts w:ascii="Arial" w:cs="Arial" w:eastAsia="Arial" w:hAnsi="Arial"/>
                <w:sz w:val="16"/>
                <w:szCs w:val="16"/>
                <w:color w:val="005CB8"/>
              </w:rPr>
              <w:t>Director</w:t>
            </w:r>
          </w:p>
        </w:tc>
        <w:tc>
          <w:tcPr>
            <w:tcW w:w="1560" w:type="dxa"/>
            <w:vAlign w:val="bottom"/>
            <w:shd w:val="clear" w:color="auto" w:fill="E5EFFD"/>
          </w:tcPr>
          <w:p>
            <w:pPr>
              <w:jc w:val="center"/>
              <w:ind w:left="120"/>
              <w:spacing w:after="0"/>
              <w:rPr>
                <w:sz w:val="20"/>
                <w:szCs w:val="20"/>
                <w:color w:val="auto"/>
              </w:rPr>
            </w:pPr>
            <w:r>
              <w:rPr>
                <w:rFonts w:ascii="Arial" w:cs="Arial" w:eastAsia="Arial" w:hAnsi="Arial"/>
                <w:sz w:val="16"/>
                <w:szCs w:val="16"/>
                <w:color w:val="005CB8"/>
              </w:rPr>
              <w:t>2009</w:t>
            </w:r>
          </w:p>
        </w:tc>
        <w:tc>
          <w:tcPr>
            <w:tcW w:w="1160" w:type="dxa"/>
            <w:vAlign w:val="bottom"/>
            <w:shd w:val="clear" w:color="auto" w:fill="E5EFFD"/>
          </w:tcPr>
          <w:p>
            <w:pPr>
              <w:jc w:val="center"/>
              <w:ind w:left="60"/>
              <w:spacing w:after="0"/>
              <w:rPr>
                <w:sz w:val="20"/>
                <w:szCs w:val="20"/>
                <w:color w:val="auto"/>
              </w:rPr>
            </w:pPr>
            <w:r>
              <w:rPr>
                <w:rFonts w:ascii="Arial" w:cs="Arial" w:eastAsia="Arial" w:hAnsi="Arial"/>
                <w:sz w:val="16"/>
                <w:szCs w:val="16"/>
                <w:color w:val="005CB8"/>
                <w:w w:val="94"/>
              </w:rPr>
              <w:t>Yes</w:t>
            </w:r>
          </w:p>
        </w:tc>
      </w:tr>
      <w:tr>
        <w:trPr>
          <w:trHeight w:val="264"/>
        </w:trPr>
        <w:tc>
          <w:tcPr>
            <w:tcW w:w="2200" w:type="dxa"/>
            <w:vAlign w:val="bottom"/>
            <w:shd w:val="clear" w:color="auto" w:fill="E5EFFD"/>
          </w:tcPr>
          <w:p>
            <w:pPr>
              <w:ind w:left="40"/>
              <w:spacing w:after="0"/>
              <w:rPr>
                <w:sz w:val="20"/>
                <w:szCs w:val="20"/>
                <w:color w:val="auto"/>
              </w:rPr>
            </w:pPr>
            <w:r>
              <w:rPr>
                <w:rFonts w:ascii="Arial" w:cs="Arial" w:eastAsia="Arial" w:hAnsi="Arial"/>
                <w:sz w:val="16"/>
                <w:szCs w:val="16"/>
                <w:b w:val="1"/>
                <w:bCs w:val="1"/>
                <w:color w:val="005CB8"/>
              </w:rPr>
              <w:t>Non-Continuing Directors</w:t>
            </w:r>
          </w:p>
        </w:tc>
        <w:tc>
          <w:tcPr>
            <w:tcW w:w="950" w:type="dxa"/>
            <w:vAlign w:val="bottom"/>
            <w:shd w:val="clear" w:color="auto" w:fill="E5EFFD"/>
          </w:tcPr>
          <w:p>
            <w:pPr>
              <w:spacing w:after="0"/>
              <w:rPr>
                <w:sz w:val="22"/>
                <w:szCs w:val="22"/>
                <w:color w:val="auto"/>
              </w:rPr>
            </w:pPr>
          </w:p>
        </w:tc>
        <w:tc>
          <w:tcPr>
            <w:tcW w:w="3690" w:type="dxa"/>
            <w:vAlign w:val="bottom"/>
            <w:shd w:val="clear" w:color="auto" w:fill="E5EFFD"/>
          </w:tcPr>
          <w:p>
            <w:pPr>
              <w:spacing w:after="0"/>
              <w:rPr>
                <w:sz w:val="22"/>
                <w:szCs w:val="22"/>
                <w:color w:val="auto"/>
              </w:rPr>
            </w:pPr>
          </w:p>
        </w:tc>
        <w:tc>
          <w:tcPr>
            <w:tcW w:w="1560" w:type="dxa"/>
            <w:vAlign w:val="bottom"/>
            <w:shd w:val="clear" w:color="auto" w:fill="E5EFFD"/>
          </w:tcPr>
          <w:p>
            <w:pPr>
              <w:spacing w:after="0"/>
              <w:rPr>
                <w:sz w:val="22"/>
                <w:szCs w:val="22"/>
                <w:color w:val="auto"/>
              </w:rPr>
            </w:pPr>
          </w:p>
        </w:tc>
        <w:tc>
          <w:tcPr>
            <w:tcW w:w="1160" w:type="dxa"/>
            <w:vAlign w:val="bottom"/>
            <w:shd w:val="clear" w:color="auto" w:fill="E5EFFD"/>
          </w:tcPr>
          <w:p>
            <w:pPr>
              <w:spacing w:after="0"/>
              <w:rPr>
                <w:sz w:val="22"/>
                <w:szCs w:val="22"/>
                <w:color w:val="auto"/>
              </w:rPr>
            </w:pPr>
          </w:p>
        </w:tc>
      </w:tr>
      <w:tr>
        <w:trPr>
          <w:trHeight w:val="324"/>
        </w:trPr>
        <w:tc>
          <w:tcPr>
            <w:tcW w:w="2200" w:type="dxa"/>
            <w:vAlign w:val="bottom"/>
            <w:shd w:val="clear" w:color="auto" w:fill="E5EFFD"/>
          </w:tcPr>
          <w:p>
            <w:pPr>
              <w:ind w:left="40"/>
              <w:spacing w:after="0"/>
              <w:rPr>
                <w:sz w:val="20"/>
                <w:szCs w:val="20"/>
                <w:color w:val="auto"/>
              </w:rPr>
            </w:pPr>
            <w:r>
              <w:rPr>
                <w:rFonts w:ascii="Arial" w:cs="Arial" w:eastAsia="Arial" w:hAnsi="Arial"/>
                <w:sz w:val="16"/>
                <w:szCs w:val="16"/>
                <w:color w:val="005CB8"/>
              </w:rPr>
              <w:t>Arash Ferdowsi</w:t>
            </w:r>
          </w:p>
        </w:tc>
        <w:tc>
          <w:tcPr>
            <w:tcW w:w="950" w:type="dxa"/>
            <w:vAlign w:val="bottom"/>
            <w:shd w:val="clear" w:color="auto" w:fill="E5EFFD"/>
          </w:tcPr>
          <w:p>
            <w:pPr>
              <w:jc w:val="right"/>
              <w:ind w:right="210"/>
              <w:spacing w:after="0"/>
              <w:rPr>
                <w:sz w:val="20"/>
                <w:szCs w:val="20"/>
                <w:color w:val="auto"/>
              </w:rPr>
            </w:pPr>
            <w:r>
              <w:rPr>
                <w:rFonts w:ascii="Arial" w:cs="Arial" w:eastAsia="Arial" w:hAnsi="Arial"/>
                <w:sz w:val="16"/>
                <w:szCs w:val="16"/>
                <w:color w:val="005CB8"/>
              </w:rPr>
              <w:t>34</w:t>
            </w:r>
          </w:p>
        </w:tc>
        <w:tc>
          <w:tcPr>
            <w:tcW w:w="3690" w:type="dxa"/>
            <w:vAlign w:val="bottom"/>
            <w:shd w:val="clear" w:color="auto" w:fill="E5EFFD"/>
          </w:tcPr>
          <w:p>
            <w:pPr>
              <w:ind w:left="90"/>
              <w:spacing w:after="0"/>
              <w:rPr>
                <w:sz w:val="20"/>
                <w:szCs w:val="20"/>
                <w:color w:val="auto"/>
              </w:rPr>
            </w:pPr>
            <w:r>
              <w:rPr>
                <w:rFonts w:ascii="Arial" w:cs="Arial" w:eastAsia="Arial" w:hAnsi="Arial"/>
                <w:sz w:val="16"/>
                <w:szCs w:val="16"/>
                <w:color w:val="005CB8"/>
              </w:rPr>
              <w:t>Co-Founder and Director</w:t>
            </w:r>
          </w:p>
        </w:tc>
        <w:tc>
          <w:tcPr>
            <w:tcW w:w="1560" w:type="dxa"/>
            <w:vAlign w:val="bottom"/>
            <w:shd w:val="clear" w:color="auto" w:fill="E5EFFD"/>
          </w:tcPr>
          <w:p>
            <w:pPr>
              <w:jc w:val="center"/>
              <w:ind w:left="120"/>
              <w:spacing w:after="0"/>
              <w:rPr>
                <w:sz w:val="20"/>
                <w:szCs w:val="20"/>
                <w:color w:val="auto"/>
              </w:rPr>
            </w:pPr>
            <w:r>
              <w:rPr>
                <w:rFonts w:ascii="Arial" w:cs="Arial" w:eastAsia="Arial" w:hAnsi="Arial"/>
                <w:sz w:val="16"/>
                <w:szCs w:val="16"/>
                <w:color w:val="005CB8"/>
              </w:rPr>
              <w:t>2007</w:t>
            </w:r>
          </w:p>
        </w:tc>
        <w:tc>
          <w:tcPr>
            <w:tcW w:w="1160" w:type="dxa"/>
            <w:vAlign w:val="bottom"/>
            <w:shd w:val="clear" w:color="auto" w:fill="E5EFFD"/>
          </w:tcPr>
          <w:p>
            <w:pPr>
              <w:jc w:val="center"/>
              <w:ind w:left="60"/>
              <w:spacing w:after="0"/>
              <w:rPr>
                <w:sz w:val="20"/>
                <w:szCs w:val="20"/>
                <w:color w:val="auto"/>
              </w:rPr>
            </w:pPr>
            <w:r>
              <w:rPr>
                <w:rFonts w:ascii="Arial" w:cs="Arial" w:eastAsia="Arial" w:hAnsi="Arial"/>
                <w:sz w:val="16"/>
                <w:szCs w:val="16"/>
                <w:color w:val="005CB8"/>
              </w:rPr>
              <w:t>No</w:t>
            </w:r>
          </w:p>
        </w:tc>
      </w:tr>
      <w:tr>
        <w:trPr>
          <w:trHeight w:val="330"/>
        </w:trPr>
        <w:tc>
          <w:tcPr>
            <w:tcW w:w="2200" w:type="dxa"/>
            <w:vAlign w:val="bottom"/>
            <w:shd w:val="clear" w:color="auto" w:fill="E5EFFD"/>
          </w:tcPr>
          <w:p>
            <w:pPr>
              <w:ind w:left="40"/>
              <w:spacing w:after="0"/>
              <w:rPr>
                <w:sz w:val="20"/>
                <w:szCs w:val="20"/>
                <w:color w:val="auto"/>
              </w:rPr>
            </w:pPr>
            <w:r>
              <w:rPr>
                <w:rFonts w:ascii="Arial" w:cs="Arial" w:eastAsia="Arial" w:hAnsi="Arial"/>
                <w:sz w:val="16"/>
                <w:szCs w:val="16"/>
                <w:color w:val="005CB8"/>
              </w:rPr>
              <w:t>Margaret C. Whitman</w:t>
            </w:r>
            <w:r>
              <w:rPr>
                <w:rFonts w:ascii="Arial" w:cs="Arial" w:eastAsia="Arial" w:hAnsi="Arial"/>
                <w:sz w:val="26"/>
                <w:szCs w:val="26"/>
                <w:color w:val="005CB8"/>
                <w:vertAlign w:val="superscript"/>
              </w:rPr>
              <w:t>(7)(10)</w:t>
            </w:r>
          </w:p>
        </w:tc>
        <w:tc>
          <w:tcPr>
            <w:tcW w:w="950" w:type="dxa"/>
            <w:vAlign w:val="bottom"/>
            <w:shd w:val="clear" w:color="auto" w:fill="E5EFFD"/>
          </w:tcPr>
          <w:p>
            <w:pPr>
              <w:jc w:val="right"/>
              <w:ind w:right="210"/>
              <w:spacing w:after="0"/>
              <w:rPr>
                <w:sz w:val="20"/>
                <w:szCs w:val="20"/>
                <w:color w:val="auto"/>
              </w:rPr>
            </w:pPr>
            <w:r>
              <w:rPr>
                <w:rFonts w:ascii="Arial" w:cs="Arial" w:eastAsia="Arial" w:hAnsi="Arial"/>
                <w:sz w:val="16"/>
                <w:szCs w:val="16"/>
                <w:color w:val="005CB8"/>
              </w:rPr>
              <w:t>63</w:t>
            </w:r>
          </w:p>
        </w:tc>
        <w:tc>
          <w:tcPr>
            <w:tcW w:w="3690" w:type="dxa"/>
            <w:vAlign w:val="bottom"/>
            <w:shd w:val="clear" w:color="auto" w:fill="E5EFFD"/>
          </w:tcPr>
          <w:p>
            <w:pPr>
              <w:ind w:left="90"/>
              <w:spacing w:after="0"/>
              <w:rPr>
                <w:sz w:val="20"/>
                <w:szCs w:val="20"/>
                <w:color w:val="auto"/>
              </w:rPr>
            </w:pPr>
            <w:r>
              <w:rPr>
                <w:rFonts w:ascii="Arial" w:cs="Arial" w:eastAsia="Arial" w:hAnsi="Arial"/>
                <w:sz w:val="16"/>
                <w:szCs w:val="16"/>
                <w:color w:val="005CB8"/>
              </w:rPr>
              <w:t>Director</w:t>
            </w:r>
          </w:p>
        </w:tc>
        <w:tc>
          <w:tcPr>
            <w:tcW w:w="1560" w:type="dxa"/>
            <w:vAlign w:val="bottom"/>
            <w:shd w:val="clear" w:color="auto" w:fill="E5EFFD"/>
          </w:tcPr>
          <w:p>
            <w:pPr>
              <w:jc w:val="center"/>
              <w:ind w:left="120"/>
              <w:spacing w:after="0"/>
              <w:rPr>
                <w:sz w:val="20"/>
                <w:szCs w:val="20"/>
                <w:color w:val="auto"/>
              </w:rPr>
            </w:pPr>
            <w:r>
              <w:rPr>
                <w:rFonts w:ascii="Arial" w:cs="Arial" w:eastAsia="Arial" w:hAnsi="Arial"/>
                <w:sz w:val="16"/>
                <w:szCs w:val="16"/>
                <w:color w:val="005CB8"/>
              </w:rPr>
              <w:t>2017</w:t>
            </w:r>
          </w:p>
        </w:tc>
        <w:tc>
          <w:tcPr>
            <w:tcW w:w="1160" w:type="dxa"/>
            <w:vAlign w:val="bottom"/>
            <w:shd w:val="clear" w:color="auto" w:fill="E5EFFD"/>
          </w:tcPr>
          <w:p>
            <w:pPr>
              <w:jc w:val="center"/>
              <w:ind w:left="60"/>
              <w:spacing w:after="0"/>
              <w:rPr>
                <w:sz w:val="20"/>
                <w:szCs w:val="20"/>
                <w:color w:val="auto"/>
              </w:rPr>
            </w:pPr>
            <w:r>
              <w:rPr>
                <w:rFonts w:ascii="Arial" w:cs="Arial" w:eastAsia="Arial" w:hAnsi="Arial"/>
                <w:sz w:val="16"/>
                <w:szCs w:val="16"/>
                <w:color w:val="005CB8"/>
                <w:w w:val="94"/>
              </w:rPr>
              <w:t>Yes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-2357120</wp:posOffset>
            </wp:positionV>
            <wp:extent cx="6077585" cy="2357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7585" cy="2357755"/>
                    </a:xfrm>
                    <a:prstGeom prst="rect">
                      <a:avLst/>
                    </a:prstGeom>
                    <a:noFill/>
                  </pic:spPr>
                </pic:pic>
              </a:graphicData>
            </a:graphic>
          </wp:anchor>
        </w:drawing>
      </w:r>
    </w:p>
    <w:p>
      <w:pPr>
        <w:ind w:left="960" w:hanging="244"/>
        <w:spacing w:after="0"/>
        <w:tabs>
          <w:tab w:leader="none" w:pos="96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Member of our audit committee.</w:t>
      </w:r>
    </w:p>
    <w:p>
      <w:pPr>
        <w:spacing w:after="0" w:line="16" w:lineRule="exact"/>
        <w:rPr>
          <w:rFonts w:ascii="Arial" w:cs="Arial" w:eastAsia="Arial" w:hAnsi="Arial"/>
          <w:sz w:val="22"/>
          <w:szCs w:val="22"/>
          <w:color w:val="auto"/>
          <w:vertAlign w:val="superscript"/>
        </w:rPr>
      </w:pPr>
    </w:p>
    <w:p>
      <w:pPr>
        <w:ind w:left="960" w:hanging="244"/>
        <w:spacing w:after="0" w:line="199" w:lineRule="auto"/>
        <w:tabs>
          <w:tab w:leader="none" w:pos="9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Member of our compensation committee</w:t>
      </w:r>
    </w:p>
    <w:p>
      <w:pPr>
        <w:spacing w:after="0" w:line="3" w:lineRule="exact"/>
        <w:rPr>
          <w:rFonts w:ascii="Arial" w:cs="Arial" w:eastAsia="Arial" w:hAnsi="Arial"/>
          <w:sz w:val="18"/>
          <w:szCs w:val="18"/>
          <w:color w:val="auto"/>
          <w:vertAlign w:val="superscript"/>
        </w:rPr>
      </w:pPr>
    </w:p>
    <w:p>
      <w:pPr>
        <w:ind w:left="960" w:hanging="244"/>
        <w:spacing w:after="0" w:line="199" w:lineRule="auto"/>
        <w:tabs>
          <w:tab w:leader="none" w:pos="9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Member of our nominating and corporate governance committee</w:t>
      </w:r>
    </w:p>
    <w:p>
      <w:pPr>
        <w:spacing w:after="0" w:line="3" w:lineRule="exact"/>
        <w:rPr>
          <w:rFonts w:ascii="Arial" w:cs="Arial" w:eastAsia="Arial" w:hAnsi="Arial"/>
          <w:sz w:val="18"/>
          <w:szCs w:val="18"/>
          <w:color w:val="auto"/>
          <w:vertAlign w:val="superscript"/>
        </w:rPr>
      </w:pPr>
    </w:p>
    <w:p>
      <w:pPr>
        <w:ind w:left="960" w:hanging="244"/>
        <w:spacing w:after="0" w:line="199" w:lineRule="auto"/>
        <w:tabs>
          <w:tab w:leader="none" w:pos="9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Lead independent director</w:t>
      </w:r>
    </w:p>
    <w:p>
      <w:pPr>
        <w:spacing w:after="0" w:line="17" w:lineRule="exact"/>
        <w:rPr>
          <w:rFonts w:ascii="Arial" w:cs="Arial" w:eastAsia="Arial" w:hAnsi="Arial"/>
          <w:sz w:val="18"/>
          <w:szCs w:val="18"/>
          <w:color w:val="auto"/>
          <w:vertAlign w:val="superscript"/>
        </w:rPr>
      </w:pPr>
    </w:p>
    <w:p>
      <w:pPr>
        <w:ind w:left="960" w:hanging="244"/>
        <w:spacing w:after="0" w:line="199" w:lineRule="auto"/>
        <w:tabs>
          <w:tab w:leader="none" w:pos="9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Chair of our audit committee</w:t>
      </w:r>
    </w:p>
    <w:p>
      <w:pPr>
        <w:spacing w:after="0" w:line="3" w:lineRule="exact"/>
        <w:rPr>
          <w:rFonts w:ascii="Arial" w:cs="Arial" w:eastAsia="Arial" w:hAnsi="Arial"/>
          <w:sz w:val="18"/>
          <w:szCs w:val="18"/>
          <w:color w:val="auto"/>
          <w:vertAlign w:val="superscript"/>
        </w:rPr>
      </w:pPr>
    </w:p>
    <w:p>
      <w:pPr>
        <w:ind w:left="960" w:hanging="244"/>
        <w:spacing w:after="0" w:line="199" w:lineRule="auto"/>
        <w:tabs>
          <w:tab w:leader="none" w:pos="9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Chair of our compensation committee</w:t>
      </w:r>
    </w:p>
    <w:p>
      <w:pPr>
        <w:spacing w:after="0" w:line="3" w:lineRule="exact"/>
        <w:rPr>
          <w:rFonts w:ascii="Arial" w:cs="Arial" w:eastAsia="Arial" w:hAnsi="Arial"/>
          <w:sz w:val="18"/>
          <w:szCs w:val="18"/>
          <w:color w:val="auto"/>
          <w:vertAlign w:val="superscript"/>
        </w:rPr>
      </w:pPr>
    </w:p>
    <w:p>
      <w:pPr>
        <w:ind w:left="960" w:hanging="244"/>
        <w:spacing w:after="0" w:line="199" w:lineRule="auto"/>
        <w:tabs>
          <w:tab w:leader="none" w:pos="9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Chair of our nominating and corporate governance committee</w:t>
      </w:r>
    </w:p>
    <w:p>
      <w:pPr>
        <w:spacing w:after="0" w:line="17" w:lineRule="exact"/>
        <w:rPr>
          <w:rFonts w:ascii="Arial" w:cs="Arial" w:eastAsia="Arial" w:hAnsi="Arial"/>
          <w:sz w:val="18"/>
          <w:szCs w:val="18"/>
          <w:color w:val="auto"/>
          <w:vertAlign w:val="superscript"/>
        </w:rPr>
      </w:pPr>
    </w:p>
    <w:p>
      <w:pPr>
        <w:ind w:left="960" w:right="1200" w:hanging="244"/>
        <w:spacing w:after="0" w:line="217" w:lineRule="auto"/>
        <w:tabs>
          <w:tab w:leader="none" w:pos="9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On March 27, 2020, Mr. Mylod stepped down as chairperson of the audit committee and the board of directors selected Mr. Blair to succeed Mr. Mylod. Mr. Mylod remains a member of the audit committee.</w:t>
      </w:r>
    </w:p>
    <w:p>
      <w:pPr>
        <w:spacing w:after="0" w:line="4" w:lineRule="exact"/>
        <w:rPr>
          <w:rFonts w:ascii="Arial" w:cs="Arial" w:eastAsia="Arial" w:hAnsi="Arial"/>
          <w:sz w:val="18"/>
          <w:szCs w:val="18"/>
          <w:color w:val="auto"/>
          <w:vertAlign w:val="superscript"/>
        </w:rPr>
      </w:pPr>
    </w:p>
    <w:p>
      <w:pPr>
        <w:ind w:left="960" w:right="900" w:hanging="244"/>
        <w:spacing w:after="0" w:line="207" w:lineRule="auto"/>
        <w:tabs>
          <w:tab w:leader="none" w:pos="9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On March 27, 2020, Dr. Rice stepped down as lead independent director and the board of directors selected Mr. Blair to succeed Dr. Rice as our lead independent director.</w:t>
      </w:r>
    </w:p>
    <w:p>
      <w:pPr>
        <w:spacing w:after="0" w:line="20" w:lineRule="exact"/>
        <w:rPr>
          <w:rFonts w:ascii="Arial" w:cs="Arial" w:eastAsia="Arial" w:hAnsi="Arial"/>
          <w:sz w:val="18"/>
          <w:szCs w:val="18"/>
          <w:color w:val="auto"/>
          <w:vertAlign w:val="superscript"/>
        </w:rPr>
      </w:pPr>
    </w:p>
    <w:p>
      <w:pPr>
        <w:ind w:left="960" w:right="760" w:hanging="244"/>
        <w:spacing w:after="0" w:line="225" w:lineRule="auto"/>
        <w:tabs>
          <w:tab w:leader="none" w:pos="9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On March 27, 2020, Ms. Whitman, who will not be standing for re-election as a director at the Annual Meeting, stepped down as chairperson of the nominating and corporate governance committee, and the board of directors selected Dr. Jacobs to succeed Ms. Whitman. Ms. Whitman will remain a member of the nominating and corporate governance committee until the Annual Meeting.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80" w:type="dxa"/>
            <w:vAlign w:val="bottom"/>
          </w:tcPr>
          <w:p>
            <w:pPr>
              <w:ind w:left="440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040" w:type="dxa"/>
            <w:vAlign w:val="bottom"/>
          </w:tcPr>
          <w:p>
            <w:pPr>
              <w:jc w:val="right"/>
              <w:ind w:right="648"/>
              <w:spacing w:after="0"/>
              <w:rPr>
                <w:sz w:val="20"/>
                <w:szCs w:val="20"/>
                <w:color w:val="auto"/>
              </w:rPr>
            </w:pPr>
            <w:r>
              <w:rPr>
                <w:rFonts w:ascii="Arial" w:cs="Arial" w:eastAsia="Arial" w:hAnsi="Arial"/>
                <w:sz w:val="14"/>
                <w:szCs w:val="14"/>
                <w:b w:val="1"/>
                <w:bCs w:val="1"/>
                <w:color w:val="auto"/>
              </w:rPr>
              <w:t>7</w:t>
            </w:r>
          </w:p>
        </w:tc>
      </w:tr>
      <w:tr>
        <w:trPr>
          <w:trHeight w:val="181"/>
        </w:trPr>
        <w:tc>
          <w:tcPr>
            <w:tcW w:w="99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1" w:name="page12"/>
    <w:bookmarkEnd w:id="11"/>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79" w:lineRule="exact"/>
        <w:rPr>
          <w:sz w:val="20"/>
          <w:szCs w:val="20"/>
          <w:color w:val="auto"/>
        </w:rPr>
      </w:pPr>
    </w:p>
    <w:p>
      <w:pPr>
        <w:ind w:left="4"/>
        <w:spacing w:after="0"/>
        <w:rPr>
          <w:sz w:val="20"/>
          <w:szCs w:val="20"/>
          <w:color w:val="auto"/>
        </w:rPr>
      </w:pPr>
      <w:r>
        <w:rPr>
          <w:rFonts w:ascii="Arial" w:cs="Arial" w:eastAsia="Arial" w:hAnsi="Arial"/>
          <w:sz w:val="26"/>
          <w:szCs w:val="26"/>
          <w:color w:val="005CB8"/>
        </w:rPr>
        <w:t>Nominees for Director</w:t>
      </w:r>
    </w:p>
    <w:p>
      <w:pPr>
        <w:spacing w:after="0" w:line="169" w:lineRule="exact"/>
        <w:rPr>
          <w:sz w:val="20"/>
          <w:szCs w:val="20"/>
          <w:color w:val="auto"/>
        </w:rPr>
      </w:pPr>
    </w:p>
    <w:p>
      <w:pPr>
        <w:ind w:left="4" w:right="380"/>
        <w:spacing w:after="0" w:line="246" w:lineRule="auto"/>
        <w:rPr>
          <w:sz w:val="20"/>
          <w:szCs w:val="20"/>
          <w:color w:val="auto"/>
        </w:rPr>
      </w:pPr>
      <w:r>
        <w:rPr>
          <w:rFonts w:ascii="Arial" w:cs="Arial" w:eastAsia="Arial" w:hAnsi="Arial"/>
          <w:sz w:val="16"/>
          <w:szCs w:val="16"/>
          <w:color w:val="005CB8"/>
        </w:rPr>
        <w:t xml:space="preserve">Andrew W. Houston. </w:t>
      </w:r>
      <w:r>
        <w:rPr>
          <w:rFonts w:ascii="Arial" w:cs="Arial" w:eastAsia="Arial" w:hAnsi="Arial"/>
          <w:sz w:val="16"/>
          <w:szCs w:val="16"/>
          <w:color w:val="000000"/>
        </w:rPr>
        <w:t>Mr. Houston is one of our co-founders and has served as a member of our board of directors and our Chief</w:t>
      </w:r>
      <w:r>
        <w:rPr>
          <w:rFonts w:ascii="Arial" w:cs="Arial" w:eastAsia="Arial" w:hAnsi="Arial"/>
          <w:sz w:val="16"/>
          <w:szCs w:val="16"/>
          <w:color w:val="005CB8"/>
        </w:rPr>
        <w:t xml:space="preserve"> </w:t>
      </w:r>
      <w:r>
        <w:rPr>
          <w:rFonts w:ascii="Arial" w:cs="Arial" w:eastAsia="Arial" w:hAnsi="Arial"/>
          <w:sz w:val="16"/>
          <w:szCs w:val="16"/>
          <w:color w:val="000000"/>
        </w:rPr>
        <w:t>Executive Officer since June 2007. Mr. Houston also currently serves as a member of the board of directors of Facebook, Inc. Mr. Houston holds a B.S. in Electrical Engineering and Computer Science from the Massachusetts Institute of Technology.</w:t>
      </w:r>
    </w:p>
    <w:p>
      <w:pPr>
        <w:spacing w:after="0" w:line="1" w:lineRule="exact"/>
        <w:rPr>
          <w:sz w:val="20"/>
          <w:szCs w:val="20"/>
          <w:color w:val="auto"/>
        </w:rPr>
      </w:pPr>
    </w:p>
    <w:p>
      <w:pPr>
        <w:ind w:left="4" w:right="500"/>
        <w:spacing w:after="0" w:line="260" w:lineRule="auto"/>
        <w:rPr>
          <w:sz w:val="20"/>
          <w:szCs w:val="20"/>
          <w:color w:val="auto"/>
        </w:rPr>
      </w:pPr>
      <w:r>
        <w:rPr>
          <w:rFonts w:ascii="Arial" w:cs="Arial" w:eastAsia="Arial" w:hAnsi="Arial"/>
          <w:sz w:val="16"/>
          <w:szCs w:val="16"/>
          <w:color w:val="auto"/>
        </w:rPr>
        <w:t>Mr. Houston was selected to serve on our board of directors because of the perspective and experience he brings as our Chief Executive Officer and as one of our co-founders.</w:t>
      </w:r>
    </w:p>
    <w:p>
      <w:pPr>
        <w:spacing w:after="0" w:line="141"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005CB8"/>
        </w:rPr>
        <w:t xml:space="preserve">Donald W. Blair. </w:t>
      </w:r>
      <w:r>
        <w:rPr>
          <w:rFonts w:ascii="Arial" w:cs="Arial" w:eastAsia="Arial" w:hAnsi="Arial"/>
          <w:sz w:val="16"/>
          <w:szCs w:val="16"/>
          <w:color w:val="000000"/>
        </w:rPr>
        <w:t>Mr. Blair has served as a member of our board of directors since December 2017. From November 1999 to October</w:t>
      </w:r>
      <w:r>
        <w:rPr>
          <w:rFonts w:ascii="Arial" w:cs="Arial" w:eastAsia="Arial" w:hAnsi="Arial"/>
          <w:sz w:val="16"/>
          <w:szCs w:val="16"/>
          <w:color w:val="005CB8"/>
        </w:rPr>
        <w:t xml:space="preserve"> </w:t>
      </w:r>
      <w:r>
        <w:rPr>
          <w:rFonts w:ascii="Arial" w:cs="Arial" w:eastAsia="Arial" w:hAnsi="Arial"/>
          <w:sz w:val="16"/>
          <w:szCs w:val="16"/>
          <w:color w:val="000000"/>
        </w:rPr>
        <w:t>2015, Mr. Blair served as Executive Vice President and Chief Financial Officer for NIKE, Inc., or NIKE, a global footwear and apparel company. Prior to joining NIKE, for fifteen years, Mr. Blair served in a number of senior executive-level corporate and operating unit financial assignments for PepsiCo, Inc., or PepsiCo, a food and beverage company, including Chief Financial Officer for PepsiCo Japan (based in Tokyo) and Pepsi-Cola International’s Asia Division (based in Hong Kong). Mr. Blair currently serves as a member of the board of directors for Corning Incorporated, a global manufacturing company. Mr. Blair holds an M.B.A. and a B.S. in Economics from the University of Pennsylvania. Mr. Blair was selected to serve on our board of directors because of his extensive financial expertise, and business management and governance experience.</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6"/>
          <w:szCs w:val="16"/>
          <w:color w:val="005CB8"/>
        </w:rPr>
        <w:t xml:space="preserve">Lisa Campbell. </w:t>
      </w:r>
      <w:r>
        <w:rPr>
          <w:rFonts w:ascii="Arial" w:cs="Arial" w:eastAsia="Arial" w:hAnsi="Arial"/>
          <w:sz w:val="16"/>
          <w:szCs w:val="16"/>
          <w:color w:val="000000"/>
        </w:rPr>
        <w:t>Ms. Campbell has served as a member of our board of directors since August 2019. Since August 2017,</w:t>
      </w:r>
    </w:p>
    <w:p>
      <w:pPr>
        <w:spacing w:after="0" w:line="5" w:lineRule="exact"/>
        <w:rPr>
          <w:sz w:val="20"/>
          <w:szCs w:val="20"/>
          <w:color w:val="auto"/>
        </w:rPr>
      </w:pPr>
    </w:p>
    <w:p>
      <w:pPr>
        <w:ind w:left="4" w:right="40"/>
        <w:spacing w:after="0" w:line="246" w:lineRule="auto"/>
        <w:rPr>
          <w:sz w:val="20"/>
          <w:szCs w:val="20"/>
          <w:color w:val="auto"/>
        </w:rPr>
      </w:pPr>
      <w:r>
        <w:rPr>
          <w:rFonts w:ascii="Arial" w:cs="Arial" w:eastAsia="Arial" w:hAnsi="Arial"/>
          <w:sz w:val="16"/>
          <w:szCs w:val="16"/>
          <w:color w:val="auto"/>
        </w:rPr>
        <w:t>Ms. Campbell has served as Chief Marketing Officer and Senior Vice President of Business Strategy for Autodesk, Inc., or Autodesk, a multinational software corporation that makes software services for the architecture, engineering, construction, manufacturing, media, education, and entertainment industries. From January 2015 to August 2017, Ms. Campbell served as Vice President, Industry Strategy and Marketing – Manufacturing at Autodesk, and she served as its Vice President, Industry Strategy and Marketing</w:t>
      </w:r>
    </w:p>
    <w:p>
      <w:pPr>
        <w:spacing w:after="0" w:line="2" w:lineRule="exact"/>
        <w:rPr>
          <w:sz w:val="20"/>
          <w:szCs w:val="20"/>
          <w:color w:val="auto"/>
        </w:rPr>
      </w:pPr>
    </w:p>
    <w:p>
      <w:pPr>
        <w:ind w:left="4" w:right="20"/>
        <w:spacing w:after="0" w:line="249" w:lineRule="auto"/>
        <w:rPr>
          <w:sz w:val="20"/>
          <w:szCs w:val="20"/>
          <w:color w:val="auto"/>
        </w:rPr>
      </w:pPr>
      <w:r>
        <w:rPr>
          <w:rFonts w:ascii="Arial" w:cs="Arial" w:eastAsia="Arial" w:hAnsi="Arial"/>
          <w:sz w:val="16"/>
          <w:szCs w:val="16"/>
          <w:color w:val="auto"/>
        </w:rPr>
        <w:t>– Architecture, Engineering and Construction from February 2012 through January 2015. She has also held other senior positions at Autodesk, including managing its Global eCommerce business and Autodesk.com, and managing its Geospatial Business and infrastructure business. Prior to joining Autodesk in 2003, Ms. Campbell served in executive-level marketing positions at Evolve (now Oracle), Sterling Software Inc., and Digital Equipment Corporation. Ms. Campbell holds an M.B.A. from Babson College and a B.A. in Mathematics and Computer Science from Boston College. She was selected to serve on our board of directors because of her valuable expertise in business, industry, and marketing strategy.</w:t>
      </w:r>
    </w:p>
    <w:p>
      <w:pPr>
        <w:spacing w:after="0" w:line="151" w:lineRule="exact"/>
        <w:rPr>
          <w:sz w:val="20"/>
          <w:szCs w:val="20"/>
          <w:color w:val="auto"/>
        </w:rPr>
      </w:pPr>
    </w:p>
    <w:p>
      <w:pPr>
        <w:ind w:left="4" w:right="160"/>
        <w:spacing w:after="0" w:line="248" w:lineRule="auto"/>
        <w:rPr>
          <w:sz w:val="20"/>
          <w:szCs w:val="20"/>
          <w:color w:val="auto"/>
        </w:rPr>
      </w:pPr>
      <w:r>
        <w:rPr>
          <w:rFonts w:ascii="Arial" w:cs="Arial" w:eastAsia="Arial" w:hAnsi="Arial"/>
          <w:sz w:val="16"/>
          <w:szCs w:val="16"/>
          <w:color w:val="005CB8"/>
        </w:rPr>
        <w:t xml:space="preserve">Paul E. Jacobs, Ph.D. </w:t>
      </w:r>
      <w:r>
        <w:rPr>
          <w:rFonts w:ascii="Arial" w:cs="Arial" w:eastAsia="Arial" w:hAnsi="Arial"/>
          <w:sz w:val="16"/>
          <w:szCs w:val="16"/>
          <w:color w:val="000000"/>
        </w:rPr>
        <w:t>Dr. Jacobs has served as a member of our board of directors since April 2016. Since April 2018, Dr. Jacobs</w:t>
      </w:r>
      <w:r>
        <w:rPr>
          <w:rFonts w:ascii="Arial" w:cs="Arial" w:eastAsia="Arial" w:hAnsi="Arial"/>
          <w:sz w:val="16"/>
          <w:szCs w:val="16"/>
          <w:color w:val="005CB8"/>
        </w:rPr>
        <w:t xml:space="preserve"> </w:t>
      </w:r>
      <w:r>
        <w:rPr>
          <w:rFonts w:ascii="Arial" w:cs="Arial" w:eastAsia="Arial" w:hAnsi="Arial"/>
          <w:sz w:val="16"/>
          <w:szCs w:val="16"/>
          <w:color w:val="000000"/>
        </w:rPr>
        <w:t>has served as Chairman and Chief Executive Officer of XCOM Labs, Inc., a wireless technology company. From March 2014 to March 2018, Dr. Jacobs served as Executive Chairman for Qualcomm Incorporated, a semiconductor and telecommunications equipment company, or Qualcomm. From March 2009 to March 2018, Dr. Jacobs served as Chairman of the board of directors for Qualcomm. From July 2005 to March 2014, Dr. Jacobs served as Chief Executive Officer for Qualcomm. Dr. Jacobs also currently serves as a member of the board of directors for a number of private companies. Dr. Jacobs holds a Ph.D. in Electrical Engineering and Computer Science, an M.S. in Electrical Engineering, and a B.S. in Electrical Engineering and Computer Science from the University of California, Berkeley. Dr. Jacobs was selected to serve on our board of directors because of his extensive business, operations, and management experience.</w:t>
      </w:r>
    </w:p>
    <w:p>
      <w:pPr>
        <w:spacing w:after="0" w:line="152"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005CB8"/>
        </w:rPr>
        <w:t xml:space="preserve">Robert J. Mylod Jr. </w:t>
      </w:r>
      <w:r>
        <w:rPr>
          <w:rFonts w:ascii="Arial" w:cs="Arial" w:eastAsia="Arial" w:hAnsi="Arial"/>
          <w:sz w:val="16"/>
          <w:szCs w:val="16"/>
          <w:color w:val="000000"/>
        </w:rPr>
        <w:t>Mr. Mylod has served as a member of our board of directors since September 2014. Mr. Mylod served as</w:t>
      </w:r>
      <w:r>
        <w:rPr>
          <w:rFonts w:ascii="Arial" w:cs="Arial" w:eastAsia="Arial" w:hAnsi="Arial"/>
          <w:sz w:val="16"/>
          <w:szCs w:val="16"/>
          <w:color w:val="005CB8"/>
        </w:rPr>
        <w:t xml:space="preserve"> </w:t>
      </w:r>
      <w:r>
        <w:rPr>
          <w:rFonts w:ascii="Arial" w:cs="Arial" w:eastAsia="Arial" w:hAnsi="Arial"/>
          <w:sz w:val="16"/>
          <w:szCs w:val="16"/>
          <w:color w:val="000000"/>
        </w:rPr>
        <w:t>Managing Partner for Annox Capital Management, a venture capital firm that Mr. Mylod founded, since January 2013. Mr. Mylod served as Head of Worldwide Strategy &amp; Planning and Vice Chairman for Bookings Holdings, Inc. (f/k/a The Priceline Group), an online travel services provider, from January 2009 to March 2011 and as its Chief Financial Officer and Vice Chairman from November 2000 to January 2009. Mr. Mylod currently serves as the Chairman of the board of directors for Redfin Corporation, a real estate company that provides web-based real estate database and brokerage services, and as a member of the board of directors for Bookings Holdings, Inc. and a number of private companies. Mr. Mylod holds an MBA from the University of Chicago Booth School of Business and an A.B. in English from the University of Michigan. Mr. Mylod was selected to serve on our board of directors because of his financial expertise and global business experience.</w:t>
      </w:r>
    </w:p>
    <w:p>
      <w:pPr>
        <w:spacing w:after="0" w:line="152"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005CB8"/>
        </w:rPr>
        <w:t xml:space="preserve">Karen Peacock. </w:t>
      </w:r>
      <w:r>
        <w:rPr>
          <w:rFonts w:ascii="Arial" w:cs="Arial" w:eastAsia="Arial" w:hAnsi="Arial"/>
          <w:sz w:val="16"/>
          <w:szCs w:val="16"/>
          <w:color w:val="000000"/>
        </w:rPr>
        <w:t>Ms. Peacock has served as a member of our board of directors since August 2019. Since May 2017, Ms. Peacock</w:t>
      </w:r>
      <w:r>
        <w:rPr>
          <w:rFonts w:ascii="Arial" w:cs="Arial" w:eastAsia="Arial" w:hAnsi="Arial"/>
          <w:sz w:val="16"/>
          <w:szCs w:val="16"/>
          <w:color w:val="005CB8"/>
        </w:rPr>
        <w:t xml:space="preserve"> </w:t>
      </w:r>
      <w:r>
        <w:rPr>
          <w:rFonts w:ascii="Arial" w:cs="Arial" w:eastAsia="Arial" w:hAnsi="Arial"/>
          <w:sz w:val="16"/>
          <w:szCs w:val="16"/>
          <w:color w:val="000000"/>
        </w:rPr>
        <w:t>has served as Chief Operating Officer for Intercom, Inc., or Intercom, a corporation that develops and markets business messaging and communication software. From January 2016 to March 2017, Ms. Peacock served as Senior Vice President, Small Business at Intuit Inc., or Intuit, and from 2014 to January 2016, she served as VP, General Manager of Intuit’s Employee Management Solutions division. Ms. Peacock has also held other senior roles at Intuit, including Vice President of Marketing and Product Management. Prior to joining Intuit in 2002, Ms. Peacock was Director of Product Management at Allegis Corporation and prior to that, was a management consultant with the Boston Consulting Group. Ms. Peacock holds an M.B.A. from the Stanford Graduate School of Business and a B.A. in Applied Mathematics from Harvard University. She was selected to serve on our board of directors because of her valuable expertise in business, industry, and her extensive experience in executive-level operational roles.</w:t>
      </w:r>
    </w:p>
    <w:p>
      <w:pPr>
        <w:spacing w:after="0" w:line="191" w:lineRule="exact"/>
        <w:rPr>
          <w:sz w:val="20"/>
          <w:szCs w:val="20"/>
          <w:color w:val="auto"/>
        </w:rPr>
      </w:pPr>
    </w:p>
    <w:p>
      <w:pPr>
        <w:ind w:left="544" w:hanging="544"/>
        <w:spacing w:after="0"/>
        <w:tabs>
          <w:tab w:leader="none" w:pos="544"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4"/>
          </w:cols>
          <w:pgMar w:left="1156" w:top="265" w:right="1199" w:bottom="1440" w:gutter="0" w:footer="0" w:header="0"/>
        </w:sectPr>
      </w:pPr>
    </w:p>
    <w:bookmarkStart w:id="12" w:name="page13"/>
    <w:bookmarkEnd w:id="12"/>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1340"/>
        <w:spacing w:after="0" w:line="260" w:lineRule="auto"/>
        <w:rPr>
          <w:sz w:val="20"/>
          <w:szCs w:val="20"/>
          <w:color w:val="auto"/>
        </w:rPr>
      </w:pPr>
      <w:r>
        <w:rPr>
          <w:rFonts w:ascii="Arial" w:cs="Arial" w:eastAsia="Arial" w:hAnsi="Arial"/>
          <w:sz w:val="32"/>
          <w:szCs w:val="32"/>
          <w:color w:val="005CB8"/>
        </w:rPr>
        <w:t>BOARD OF DIRECTORS AND CORPORATE GOVERNANCE (continued)</w:t>
      </w:r>
    </w:p>
    <w:p>
      <w:pPr>
        <w:spacing w:after="0" w:line="335" w:lineRule="exact"/>
        <w:rPr>
          <w:sz w:val="20"/>
          <w:szCs w:val="20"/>
          <w:color w:val="auto"/>
        </w:rPr>
      </w:pPr>
    </w:p>
    <w:p>
      <w:pPr>
        <w:ind w:left="720" w:right="740"/>
        <w:spacing w:after="0" w:line="247" w:lineRule="auto"/>
        <w:rPr>
          <w:sz w:val="20"/>
          <w:szCs w:val="20"/>
          <w:color w:val="auto"/>
        </w:rPr>
      </w:pPr>
      <w:r>
        <w:rPr>
          <w:rFonts w:ascii="Arial" w:cs="Arial" w:eastAsia="Arial" w:hAnsi="Arial"/>
          <w:sz w:val="16"/>
          <w:szCs w:val="16"/>
          <w:color w:val="005CB8"/>
        </w:rPr>
        <w:t xml:space="preserve">Condoleezza Rice, Ph.D. </w:t>
      </w:r>
      <w:r>
        <w:rPr>
          <w:rFonts w:ascii="Arial" w:cs="Arial" w:eastAsia="Arial" w:hAnsi="Arial"/>
          <w:sz w:val="16"/>
          <w:szCs w:val="16"/>
          <w:color w:val="000000"/>
        </w:rPr>
        <w:t>Dr. Rice has served as a member of our board of directors since April 2014. Since September 2010, Dr.</w:t>
      </w:r>
      <w:r>
        <w:rPr>
          <w:rFonts w:ascii="Arial" w:cs="Arial" w:eastAsia="Arial" w:hAnsi="Arial"/>
          <w:sz w:val="16"/>
          <w:szCs w:val="16"/>
          <w:color w:val="005CB8"/>
        </w:rPr>
        <w:t xml:space="preserve"> </w:t>
      </w:r>
      <w:r>
        <w:rPr>
          <w:rFonts w:ascii="Arial" w:cs="Arial" w:eastAsia="Arial" w:hAnsi="Arial"/>
          <w:sz w:val="16"/>
          <w:szCs w:val="16"/>
          <w:color w:val="000000"/>
        </w:rPr>
        <w:t>Rice has served as the Denning Professor of Global Business and the Economy for the Stanford Graduate School of Business. Since March 2009, Dr. Rice has served as a Senior Fellow of Public Policy for the Hoover Institution, Stanford University, as a Senior Fellow for the Freeman Spogli Institute for International Studies, Stanford University, and as a Professor of Political Science for Stanford University. Dr. Rice has served as a partner at RiceHadleyGates LLC, an international strategic consulting firm that Dr. Rice founded, since November 2009. From January 2005 to January 2009, Dr. Rice served as the Secretary of State of the United States of America. From January 2001 to January 2005, Dr. Rice served as Chief National Security Advisor to President George W. Bush. Beginning in 1981, she served in various roles at Stanford University, including serving as Provost from 1993-1999. Dr. Rice previously served as a member of the board of directors of Charles Schwab Corporation, a bank and brokerage firm, Chevron Corporation, a multinational energy corporation, Transamerica Corporation, a life insurance and investment company, and KiOR, Inc., a renewable fuels company. Dr. Rice currently serves as an advisor for a number of other public companies, and as a member of the board directors for a number of private companies, including C3IoT and Makena Capital Management, LLC. Dr. Rice holds a Ph.D. in Political Science from the University of Denver, an M.A. in Political Science from the University of Notre Dame and a B.A. in Political Science from the University of Denver. Dr. Rice was selected to serve on our board of directors because of her deep global expertise and business experience from her prior roles as a director of multiple public companies and her background in policymaking, education, and innovation.</w:t>
      </w:r>
    </w:p>
    <w:p>
      <w:pPr>
        <w:spacing w:after="0" w:line="346" w:lineRule="exact"/>
        <w:rPr>
          <w:sz w:val="20"/>
          <w:szCs w:val="20"/>
          <w:color w:val="auto"/>
        </w:rPr>
      </w:pPr>
    </w:p>
    <w:p>
      <w:pPr>
        <w:ind w:left="720" w:right="860"/>
        <w:spacing w:after="0" w:line="249" w:lineRule="auto"/>
        <w:rPr>
          <w:sz w:val="20"/>
          <w:szCs w:val="20"/>
          <w:color w:val="auto"/>
        </w:rPr>
      </w:pPr>
      <w:r>
        <w:rPr>
          <w:rFonts w:ascii="Arial" w:cs="Arial" w:eastAsia="Arial" w:hAnsi="Arial"/>
          <w:sz w:val="16"/>
          <w:szCs w:val="16"/>
          <w:color w:val="005CB8"/>
        </w:rPr>
        <w:t xml:space="preserve">R. Bryan Schreier. </w:t>
      </w:r>
      <w:r>
        <w:rPr>
          <w:rFonts w:ascii="Arial" w:cs="Arial" w:eastAsia="Arial" w:hAnsi="Arial"/>
          <w:sz w:val="16"/>
          <w:szCs w:val="16"/>
          <w:color w:val="000000"/>
        </w:rPr>
        <w:t>Mr. Schreier has served as a member of our board of directors since July 2009. Since March 2008, Mr. Schreier</w:t>
      </w:r>
      <w:r>
        <w:rPr>
          <w:rFonts w:ascii="Arial" w:cs="Arial" w:eastAsia="Arial" w:hAnsi="Arial"/>
          <w:sz w:val="16"/>
          <w:szCs w:val="16"/>
          <w:color w:val="005CB8"/>
        </w:rPr>
        <w:t xml:space="preserve"> </w:t>
      </w:r>
      <w:r>
        <w:rPr>
          <w:rFonts w:ascii="Arial" w:cs="Arial" w:eastAsia="Arial" w:hAnsi="Arial"/>
          <w:sz w:val="16"/>
          <w:szCs w:val="16"/>
          <w:color w:val="000000"/>
        </w:rPr>
        <w:t>has served as a partner for Sequoia Capital, a venture capital firm. Mr. Schreier currently serves as a member of the board of directors for a number of private companies, including Clever, Domino Data Lab, Front, Hearsay Systems, Thumbtack, and Zūm. He previously served on the board of directors of Qualtrics until it was acquired by SAP in January 2019. Mr. Schreier holds a B.A. in Computer Science from Princeton University. Mr. Schreier was selected to serve on our board of directors because of his financial and managerial experience.</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26"/>
          <w:szCs w:val="26"/>
          <w:color w:val="005CB8"/>
        </w:rPr>
        <w:t>Non-Continuing Directors</w:t>
      </w:r>
    </w:p>
    <w:p>
      <w:pPr>
        <w:spacing w:after="0" w:line="169" w:lineRule="exact"/>
        <w:rPr>
          <w:sz w:val="20"/>
          <w:szCs w:val="20"/>
          <w:color w:val="auto"/>
        </w:rPr>
      </w:pPr>
    </w:p>
    <w:p>
      <w:pPr>
        <w:ind w:left="720" w:right="920"/>
        <w:spacing w:after="0" w:line="251" w:lineRule="auto"/>
        <w:rPr>
          <w:sz w:val="20"/>
          <w:szCs w:val="20"/>
          <w:color w:val="auto"/>
        </w:rPr>
      </w:pPr>
      <w:r>
        <w:rPr>
          <w:rFonts w:ascii="Arial" w:cs="Arial" w:eastAsia="Arial" w:hAnsi="Arial"/>
          <w:sz w:val="16"/>
          <w:szCs w:val="16"/>
          <w:color w:val="005CB8"/>
        </w:rPr>
        <w:t xml:space="preserve">Arash Ferdowsi. </w:t>
      </w:r>
      <w:r>
        <w:rPr>
          <w:rFonts w:ascii="Arial" w:cs="Arial" w:eastAsia="Arial" w:hAnsi="Arial"/>
          <w:sz w:val="16"/>
          <w:szCs w:val="16"/>
          <w:color w:val="000000"/>
        </w:rPr>
        <w:t>Mr. Ferdowsi is one of our co-founders and has served as a member of our board of directors since June 2007.</w:t>
      </w:r>
      <w:r>
        <w:rPr>
          <w:rFonts w:ascii="Arial" w:cs="Arial" w:eastAsia="Arial" w:hAnsi="Arial"/>
          <w:sz w:val="16"/>
          <w:szCs w:val="16"/>
          <w:color w:val="005CB8"/>
        </w:rPr>
        <w:t xml:space="preserve"> </w:t>
      </w:r>
      <w:r>
        <w:rPr>
          <w:rFonts w:ascii="Arial" w:cs="Arial" w:eastAsia="Arial" w:hAnsi="Arial"/>
          <w:sz w:val="16"/>
          <w:szCs w:val="16"/>
          <w:color w:val="000000"/>
        </w:rPr>
        <w:t>From June 2007 to October 2016, Mr. Ferdowsi served as our chief technology officer. Mr. Ferdowsi attended the Massachusetts Institute of Technology. Mr. Ferdowsi was selected to serve on our board of directors because of the perspective and experience he brings as one of our co-founders.</w:t>
      </w:r>
    </w:p>
    <w:p>
      <w:pPr>
        <w:spacing w:after="0" w:line="148" w:lineRule="exact"/>
        <w:rPr>
          <w:sz w:val="20"/>
          <w:szCs w:val="20"/>
          <w:color w:val="auto"/>
        </w:rPr>
      </w:pPr>
    </w:p>
    <w:p>
      <w:pPr>
        <w:ind w:left="720" w:right="760"/>
        <w:spacing w:after="0" w:line="246" w:lineRule="auto"/>
        <w:rPr>
          <w:sz w:val="20"/>
          <w:szCs w:val="20"/>
          <w:color w:val="auto"/>
        </w:rPr>
      </w:pPr>
      <w:r>
        <w:rPr>
          <w:rFonts w:ascii="Arial" w:cs="Arial" w:eastAsia="Arial" w:hAnsi="Arial"/>
          <w:sz w:val="16"/>
          <w:szCs w:val="16"/>
          <w:color w:val="005CB8"/>
        </w:rPr>
        <w:t xml:space="preserve">Margaret C. Whitman. </w:t>
      </w:r>
      <w:r>
        <w:rPr>
          <w:rFonts w:ascii="Arial" w:cs="Arial" w:eastAsia="Arial" w:hAnsi="Arial"/>
          <w:sz w:val="16"/>
          <w:szCs w:val="16"/>
          <w:color w:val="000000"/>
        </w:rPr>
        <w:t>Ms. Whitman has served as a member of our board of directors since September 2017. Since March 2018,</w:t>
      </w:r>
      <w:r>
        <w:rPr>
          <w:rFonts w:ascii="Arial" w:cs="Arial" w:eastAsia="Arial" w:hAnsi="Arial"/>
          <w:sz w:val="16"/>
          <w:szCs w:val="16"/>
          <w:color w:val="005CB8"/>
        </w:rPr>
        <w:t xml:space="preserve"> </w:t>
      </w:r>
      <w:r>
        <w:rPr>
          <w:rFonts w:ascii="Arial" w:cs="Arial" w:eastAsia="Arial" w:hAnsi="Arial"/>
          <w:sz w:val="16"/>
          <w:szCs w:val="16"/>
          <w:color w:val="000000"/>
        </w:rPr>
        <w:t>Ms. Whitman has served as Chief Executive Officer for Quibi, Inc., a mobile media company. From June 2017 to February 2018, Ms. Whitman served as Chief Executive Officer for Hewlett Packard Enterprise Company, or HPE, a multinational enterprise information technology company, and as its President and Chief Executive Officer from November 2015 to June 2017. From July 2014 to November 2015, Ms. Whitman served as President, Chief Executive Officer, and Chairman for Hewlett-Packard Company (now known as HP Inc.), the former parent of HPE, and as its President and Chief Executive Officer from September 2011 to November 2015. Prior to joining HP Inc., Ms. Whitman was the Republican Party’s nominee for the 2010 gubernatorial race in California. From March 2011 to September 2011, Ms. Whitman served as a part-time strategic advisor to Kleiner Perkins Caufield &amp; Byers, a private equity firm. From 1998 to 2008, Ms. Whitman served as President and Chief Executive Officer of eBay Inc., an online marketplace and payments company. Ms. Whitman also currently serves as a member of the board of directors for The Procter &amp; Gamble Company, a consumer goods company. Ms. Whitman previously served as a member of the board of directors for HPE, as well as HP Inc., DXC Technology Company, an information technology and consulting services company, and for a number of private companies. Ms. Whitman holds an M.B.A. from Harvard Business School and an A.B. in Economics from Princeton University.</w:t>
      </w:r>
    </w:p>
    <w:p>
      <w:pPr>
        <w:spacing w:after="0" w:line="5" w:lineRule="exact"/>
        <w:rPr>
          <w:sz w:val="20"/>
          <w:szCs w:val="20"/>
          <w:color w:val="auto"/>
        </w:rPr>
      </w:pPr>
    </w:p>
    <w:p>
      <w:pPr>
        <w:ind w:left="720" w:right="960"/>
        <w:spacing w:after="0" w:line="260" w:lineRule="auto"/>
        <w:rPr>
          <w:sz w:val="20"/>
          <w:szCs w:val="20"/>
          <w:color w:val="auto"/>
        </w:rPr>
      </w:pPr>
      <w:r>
        <w:rPr>
          <w:rFonts w:ascii="Arial" w:cs="Arial" w:eastAsia="Arial" w:hAnsi="Arial"/>
          <w:sz w:val="16"/>
          <w:szCs w:val="16"/>
          <w:color w:val="auto"/>
        </w:rPr>
        <w:t>Ms. Whitman was selected to serve on our board of directors because of her extensive leadership, strategy, risk management, and consumer industry experience.</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26"/>
          <w:szCs w:val="26"/>
          <w:color w:val="005CB8"/>
        </w:rPr>
        <w:t>Director Independence</w:t>
      </w:r>
    </w:p>
    <w:p>
      <w:pPr>
        <w:spacing w:after="0" w:line="169" w:lineRule="exact"/>
        <w:rPr>
          <w:sz w:val="20"/>
          <w:szCs w:val="20"/>
          <w:color w:val="auto"/>
        </w:rPr>
      </w:pPr>
    </w:p>
    <w:p>
      <w:pPr>
        <w:ind w:left="720" w:right="1040"/>
        <w:spacing w:after="0" w:line="250" w:lineRule="auto"/>
        <w:rPr>
          <w:sz w:val="20"/>
          <w:szCs w:val="20"/>
          <w:color w:val="auto"/>
        </w:rPr>
      </w:pPr>
      <w:r>
        <w:rPr>
          <w:rFonts w:ascii="Arial" w:cs="Arial" w:eastAsia="Arial" w:hAnsi="Arial"/>
          <w:sz w:val="16"/>
          <w:szCs w:val="16"/>
          <w:color w:val="auto"/>
        </w:rPr>
        <w:t>Under the listing rules of Nasdaq, independent directors must comprise a majority of a listed company’s board of directors.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the company’s board of directors, the director does not have a relationship that would interfere with the exercise of independent judgment in carrying out the responsibilities of a director.</w:t>
      </w:r>
    </w:p>
    <w:p>
      <w:pPr>
        <w:spacing w:after="0" w:line="149" w:lineRule="exact"/>
        <w:rPr>
          <w:sz w:val="20"/>
          <w:szCs w:val="20"/>
          <w:color w:val="auto"/>
        </w:rPr>
      </w:pPr>
    </w:p>
    <w:p>
      <w:pPr>
        <w:ind w:left="720" w:right="760"/>
        <w:spacing w:after="0" w:line="260"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 her background, employment, and affiliations, our board of directors has determined that Drs. Rice and Jacobs,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80" w:type="dxa"/>
            <w:vAlign w:val="bottom"/>
          </w:tcPr>
          <w:p>
            <w:pPr>
              <w:ind w:left="440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040" w:type="dxa"/>
            <w:vAlign w:val="bottom"/>
          </w:tcPr>
          <w:p>
            <w:pPr>
              <w:jc w:val="right"/>
              <w:ind w:right="648"/>
              <w:spacing w:after="0"/>
              <w:rPr>
                <w:sz w:val="20"/>
                <w:szCs w:val="20"/>
                <w:color w:val="auto"/>
              </w:rPr>
            </w:pPr>
            <w:r>
              <w:rPr>
                <w:rFonts w:ascii="Arial" w:cs="Arial" w:eastAsia="Arial" w:hAnsi="Arial"/>
                <w:sz w:val="14"/>
                <w:szCs w:val="14"/>
                <w:b w:val="1"/>
                <w:bCs w:val="1"/>
                <w:color w:val="auto"/>
              </w:rPr>
              <w:t>9</w:t>
            </w:r>
          </w:p>
        </w:tc>
      </w:tr>
      <w:tr>
        <w:trPr>
          <w:trHeight w:val="167"/>
        </w:trPr>
        <w:tc>
          <w:tcPr>
            <w:tcW w:w="9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13" w:name="page14"/>
    <w:bookmarkEnd w:id="13"/>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600"/>
        <w:spacing w:after="0" w:line="260" w:lineRule="auto"/>
        <w:rPr>
          <w:sz w:val="20"/>
          <w:szCs w:val="20"/>
          <w:color w:val="auto"/>
        </w:rPr>
      </w:pPr>
      <w:r>
        <w:rPr>
          <w:rFonts w:ascii="Arial" w:cs="Arial" w:eastAsia="Arial" w:hAnsi="Arial"/>
          <w:sz w:val="32"/>
          <w:szCs w:val="32"/>
          <w:color w:val="005CB8"/>
        </w:rPr>
        <w:t>BOARD OF DIRECTORS AND CORPORATE GOVERNANCE (continued)</w:t>
      </w:r>
    </w:p>
    <w:p>
      <w:pPr>
        <w:spacing w:after="0" w:line="335" w:lineRule="exact"/>
        <w:rPr>
          <w:sz w:val="20"/>
          <w:szCs w:val="20"/>
          <w:color w:val="auto"/>
        </w:rPr>
      </w:pPr>
    </w:p>
    <w:p>
      <w:pPr>
        <w:ind w:left="4"/>
        <w:spacing w:after="0" w:line="249" w:lineRule="auto"/>
        <w:rPr>
          <w:sz w:val="20"/>
          <w:szCs w:val="20"/>
          <w:color w:val="auto"/>
        </w:rPr>
      </w:pPr>
      <w:r>
        <w:rPr>
          <w:rFonts w:ascii="Arial" w:cs="Arial" w:eastAsia="Arial" w:hAnsi="Arial"/>
          <w:sz w:val="16"/>
          <w:szCs w:val="16"/>
          <w:color w:val="auto"/>
        </w:rPr>
        <w:t>Messrs. Blair, Mylod, and Schreier, and Mss. Campbell, Peacock and Whitman do not have a relationship that would interfere with the exercise of independent judgment in carrying out the responsibilities of a director and that each of these directors is “independent” as that term is defined under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w:t>
      </w:r>
      <w:r>
        <w:rPr>
          <w:rFonts w:ascii="Arial" w:cs="Arial" w:eastAsia="Arial" w:hAnsi="Arial"/>
          <w:sz w:val="16"/>
          <w:szCs w:val="16"/>
          <w:i w:val="1"/>
          <w:iCs w:val="1"/>
          <w:color w:val="auto"/>
        </w:rPr>
        <w:t>Certain Relationships and Related Party Transactions</w:t>
      </w:r>
      <w:r>
        <w:rPr>
          <w:rFonts w:ascii="Arial" w:cs="Arial" w:eastAsia="Arial" w:hAnsi="Arial"/>
          <w:sz w:val="16"/>
          <w:szCs w:val="16"/>
          <w:color w:val="auto"/>
        </w:rPr>
        <w:t>.”</w:t>
      </w:r>
    </w:p>
    <w:p>
      <w:pPr>
        <w:spacing w:after="0" w:line="358" w:lineRule="exact"/>
        <w:rPr>
          <w:sz w:val="20"/>
          <w:szCs w:val="20"/>
          <w:color w:val="auto"/>
        </w:rPr>
      </w:pPr>
    </w:p>
    <w:p>
      <w:pPr>
        <w:ind w:left="4"/>
        <w:spacing w:after="0"/>
        <w:rPr>
          <w:sz w:val="20"/>
          <w:szCs w:val="20"/>
          <w:color w:val="auto"/>
        </w:rPr>
      </w:pPr>
      <w:r>
        <w:rPr>
          <w:rFonts w:ascii="Arial" w:cs="Arial" w:eastAsia="Arial" w:hAnsi="Arial"/>
          <w:sz w:val="26"/>
          <w:szCs w:val="26"/>
          <w:color w:val="005CB8"/>
        </w:rPr>
        <w:t>Board Leadership Structure and Role of the Lead Independent Director</w:t>
      </w:r>
    </w:p>
    <w:p>
      <w:pPr>
        <w:spacing w:after="0" w:line="169" w:lineRule="exact"/>
        <w:rPr>
          <w:sz w:val="20"/>
          <w:szCs w:val="20"/>
          <w:color w:val="auto"/>
        </w:rPr>
      </w:pPr>
    </w:p>
    <w:p>
      <w:pPr>
        <w:ind w:left="4" w:right="360"/>
        <w:spacing w:after="0" w:line="260" w:lineRule="auto"/>
        <w:rPr>
          <w:sz w:val="20"/>
          <w:szCs w:val="20"/>
          <w:color w:val="auto"/>
        </w:rPr>
      </w:pPr>
      <w:r>
        <w:rPr>
          <w:rFonts w:ascii="Arial" w:cs="Arial" w:eastAsia="Arial" w:hAnsi="Arial"/>
          <w:sz w:val="16"/>
          <w:szCs w:val="16"/>
          <w:color w:val="auto"/>
        </w:rPr>
        <w:t>Mr. Houston currently serves as both the chairman of our board of directors and as our chief executive officer. As our co-founder, Mr. Houston is best positioned to identify strategic priorities, lead critical discussion, and execute our business plans.</w:t>
      </w:r>
    </w:p>
    <w:p>
      <w:pPr>
        <w:spacing w:after="0" w:line="141" w:lineRule="exact"/>
        <w:rPr>
          <w:sz w:val="20"/>
          <w:szCs w:val="20"/>
          <w:color w:val="auto"/>
        </w:rPr>
      </w:pPr>
    </w:p>
    <w:p>
      <w:pPr>
        <w:ind w:left="4"/>
        <w:spacing w:after="0" w:line="247" w:lineRule="auto"/>
        <w:rPr>
          <w:sz w:val="20"/>
          <w:szCs w:val="20"/>
          <w:color w:val="auto"/>
        </w:rPr>
      </w:pPr>
      <w:r>
        <w:rPr>
          <w:rFonts w:ascii="Arial" w:cs="Arial" w:eastAsia="Arial" w:hAnsi="Arial"/>
          <w:sz w:val="16"/>
          <w:szCs w:val="16"/>
          <w:color w:val="auto"/>
        </w:rPr>
        <w:t>Our board of directors has adopted Corporate Governance Guidelines that provide that one of our independent directors should serve as our lead independent director at any time when the chairman of our board of directors is not independent, including when our chief executive officer serves as the chairman of our board of directors. Because Mr. Houston is our chairman and is not an “independent” director as defined in Nasdaq’s listing standards, our board of directors previously appointed Dr. Rice to serve as our lead independent director in June 2018. On March 27, 2020, Dr. Rice stepped down as lead independent director and our board of directors selected Mr. Blair to succeed Dr. Rice. Dr. Rice remains a member of our board, and will continue to serve as chairperson of our compensation committee. The board of directors considered Mr. Blair’s demonstrated leadership during his tenure as a member of the board and also his contributions as a member of the audit committee, and believes that Mr. Blair’s ability to act as a strong lead independent director provides balance in our leadership structure and will be in the best interest of Dropbox and its stockholders. As our lead independent director, Mr. Blair will preside over periodic meetings of our independent directors, serve as a liaison between Mr. Houston and our independent directors, and perform such additional duties as our board of directors may otherwise determine and delegate.</w:t>
      </w:r>
    </w:p>
    <w:p>
      <w:pPr>
        <w:spacing w:after="0" w:line="347" w:lineRule="exact"/>
        <w:rPr>
          <w:sz w:val="20"/>
          <w:szCs w:val="20"/>
          <w:color w:val="auto"/>
        </w:rPr>
      </w:pPr>
    </w:p>
    <w:p>
      <w:pPr>
        <w:ind w:left="4" w:right="180"/>
        <w:spacing w:after="0" w:line="251" w:lineRule="auto"/>
        <w:rPr>
          <w:sz w:val="20"/>
          <w:szCs w:val="20"/>
          <w:color w:val="auto"/>
        </w:rPr>
      </w:pPr>
      <w:r>
        <w:rPr>
          <w:rFonts w:ascii="Arial" w:cs="Arial" w:eastAsia="Arial" w:hAnsi="Arial"/>
          <w:sz w:val="16"/>
          <w:szCs w:val="16"/>
          <w:color w:val="auto"/>
        </w:rPr>
        <w:t>Only independent directors serve on the audit committee, the compensation committee, and the nominating and corporate governance committee of our board of directors. Our independent directors meet at least quarterly in executive sessions chaired by the lead independent director, which include discussions and recommendations regarding guidance to be provided to the chief executive officer, and such topics as the independent directors may determine.</w:t>
      </w:r>
    </w:p>
    <w:p>
      <w:pPr>
        <w:spacing w:after="0" w:line="148"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As a result of the board of directors’ committee system and the existence of a majority of independent directors, the board of directors believes it maintains effective oversight of our business operations, including independent oversight of our financial statements, executive compensation, selection of director candidates, and corporate governance programs. We believe that the leadership structure of our board of directors, including Mr. Blair’s role as lead independent director, as well as the strong independent committees of our board of directors is appropriate and enhances our board of directors’ ability to effectively carry out its roles and responsibilities on behalf of our stockholders, while Mr. Houston’s combined role enables strong leadership, creates clear accountability and enhances our ability to communicate our message and strategy clearly and consistently to stockholders.</w:t>
      </w:r>
    </w:p>
    <w:p>
      <w:pPr>
        <w:spacing w:after="0" w:line="193" w:lineRule="exact"/>
        <w:rPr>
          <w:sz w:val="20"/>
          <w:szCs w:val="20"/>
          <w:color w:val="auto"/>
        </w:rPr>
      </w:pPr>
    </w:p>
    <w:p>
      <w:pPr>
        <w:ind w:left="524" w:hanging="524"/>
        <w:spacing w:after="0"/>
        <w:tabs>
          <w:tab w:leader="none" w:pos="524"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14" w:name="page15"/>
    <w:bookmarkEnd w:id="14"/>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1340"/>
        <w:spacing w:after="0" w:line="260" w:lineRule="auto"/>
        <w:rPr>
          <w:sz w:val="20"/>
          <w:szCs w:val="20"/>
          <w:color w:val="auto"/>
        </w:rPr>
      </w:pPr>
      <w:r>
        <w:rPr>
          <w:rFonts w:ascii="Arial" w:cs="Arial" w:eastAsia="Arial" w:hAnsi="Arial"/>
          <w:sz w:val="32"/>
          <w:szCs w:val="32"/>
          <w:color w:val="005CB8"/>
        </w:rPr>
        <w:t>BOARD OF DIRECTORS AND CORPORATE GOVERNANCE (continued)</w:t>
      </w:r>
    </w:p>
    <w:p>
      <w:pPr>
        <w:spacing w:after="0" w:line="326" w:lineRule="exact"/>
        <w:rPr>
          <w:sz w:val="20"/>
          <w:szCs w:val="20"/>
          <w:color w:val="auto"/>
        </w:rPr>
      </w:pPr>
    </w:p>
    <w:p>
      <w:pPr>
        <w:ind w:left="720"/>
        <w:spacing w:after="0"/>
        <w:rPr>
          <w:sz w:val="20"/>
          <w:szCs w:val="20"/>
          <w:color w:val="auto"/>
        </w:rPr>
      </w:pPr>
      <w:r>
        <w:rPr>
          <w:rFonts w:ascii="Arial" w:cs="Arial" w:eastAsia="Arial" w:hAnsi="Arial"/>
          <w:sz w:val="26"/>
          <w:szCs w:val="26"/>
          <w:color w:val="005CB8"/>
        </w:rPr>
        <w:t>Board Committees</w:t>
      </w:r>
    </w:p>
    <w:p>
      <w:pPr>
        <w:spacing w:after="0" w:line="169" w:lineRule="exact"/>
        <w:rPr>
          <w:sz w:val="20"/>
          <w:szCs w:val="20"/>
          <w:color w:val="auto"/>
        </w:rPr>
      </w:pPr>
    </w:p>
    <w:p>
      <w:pPr>
        <w:jc w:val="both"/>
        <w:ind w:left="720" w:right="780"/>
        <w:spacing w:after="0" w:line="253"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289"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Audit Committee</w:t>
      </w:r>
    </w:p>
    <w:p>
      <w:pPr>
        <w:spacing w:after="0" w:line="52" w:lineRule="exact"/>
        <w:rPr>
          <w:sz w:val="20"/>
          <w:szCs w:val="20"/>
          <w:color w:val="auto"/>
        </w:rPr>
      </w:pPr>
    </w:p>
    <w:p>
      <w:pPr>
        <w:ind w:left="720" w:right="780"/>
        <w:spacing w:after="0" w:line="248" w:lineRule="auto"/>
        <w:rPr>
          <w:sz w:val="20"/>
          <w:szCs w:val="20"/>
          <w:color w:val="auto"/>
        </w:rPr>
      </w:pPr>
      <w:r>
        <w:rPr>
          <w:rFonts w:ascii="Arial" w:cs="Arial" w:eastAsia="Arial" w:hAnsi="Arial"/>
          <w:sz w:val="16"/>
          <w:szCs w:val="16"/>
          <w:color w:val="auto"/>
        </w:rPr>
        <w:t>Our audit committee consists of Messrs. Blair and Mylod, and Ms. Campbell, with Mr. Blair serving as chairperson. Ms. Whitman served as a member of our audit committee until February 2019, and Mr. Schreier served as a member of our audit committee from February 2019 until August 2019. In August 2019, Ms. Campbell was appointed to the audit committee, replacing Mr. Schreier. In March 2020, Mr. Mylod stepped down as chairperson of the audit committee and the board of directors selected Mr. Blair to serve as chairperson, replacing Mr. Mylod, who remains a member of the audit committee. Each of the members of the audit committee meets the requirements for independence of audit committee members under Nasdaq listing standards and SEC rules and regulations and also meets the financial literacy and sophistication requirements of the Nasdaq listing standards. Our board of directors has determined that Messrs. Blair and Mylod are audit committee financial experts within the meaning of Item 407(d) of Regulation S-K. Our audit committee is responsible for, among other things:</w:t>
      </w:r>
    </w:p>
    <w:p>
      <w:pPr>
        <w:spacing w:after="0" w:line="152" w:lineRule="exact"/>
        <w:rPr>
          <w:sz w:val="20"/>
          <w:szCs w:val="20"/>
          <w:color w:val="auto"/>
        </w:rPr>
      </w:pPr>
    </w:p>
    <w:p>
      <w:pPr>
        <w:ind w:left="1000" w:hanging="284"/>
        <w:spacing w:after="0"/>
        <w:tabs>
          <w:tab w:leader="none" w:pos="1000" w:val="left"/>
        </w:tabs>
        <w:numPr>
          <w:ilvl w:val="0"/>
          <w:numId w:val="24"/>
        </w:numPr>
        <w:rPr>
          <w:rFonts w:ascii="Arial" w:cs="Arial" w:eastAsia="Arial" w:hAnsi="Arial"/>
          <w:sz w:val="16"/>
          <w:szCs w:val="16"/>
          <w:color w:val="005CB8"/>
        </w:rPr>
      </w:pPr>
      <w:r>
        <w:rPr>
          <w:rFonts w:ascii="Arial" w:cs="Arial" w:eastAsia="Arial" w:hAnsi="Arial"/>
          <w:sz w:val="16"/>
          <w:szCs w:val="16"/>
          <w:color w:val="auto"/>
        </w:rPr>
        <w:t>selecting a qualified firm to serve as the independent registered public accounting firm to audit our financial statements;</w:t>
      </w:r>
    </w:p>
    <w:p>
      <w:pPr>
        <w:spacing w:after="0" w:line="167" w:lineRule="exact"/>
        <w:rPr>
          <w:rFonts w:ascii="Arial" w:cs="Arial" w:eastAsia="Arial" w:hAnsi="Arial"/>
          <w:sz w:val="16"/>
          <w:szCs w:val="16"/>
          <w:color w:val="005CB8"/>
        </w:rPr>
      </w:pPr>
    </w:p>
    <w:p>
      <w:pPr>
        <w:ind w:left="1000" w:hanging="284"/>
        <w:spacing w:after="0"/>
        <w:tabs>
          <w:tab w:leader="none" w:pos="1000" w:val="left"/>
        </w:tabs>
        <w:numPr>
          <w:ilvl w:val="0"/>
          <w:numId w:val="24"/>
        </w:numPr>
        <w:rPr>
          <w:rFonts w:ascii="Arial" w:cs="Arial" w:eastAsia="Arial" w:hAnsi="Arial"/>
          <w:sz w:val="16"/>
          <w:szCs w:val="16"/>
          <w:color w:val="005CB8"/>
        </w:rPr>
      </w:pPr>
      <w:r>
        <w:rPr>
          <w:rFonts w:ascii="Arial" w:cs="Arial" w:eastAsia="Arial" w:hAnsi="Arial"/>
          <w:sz w:val="16"/>
          <w:szCs w:val="16"/>
          <w:color w:val="auto"/>
        </w:rPr>
        <w:t>helping to ensure the independence and overseeing performance of the independent registered public accounting firm;</w:t>
      </w:r>
    </w:p>
    <w:p>
      <w:pPr>
        <w:spacing w:after="0" w:line="167" w:lineRule="exact"/>
        <w:rPr>
          <w:rFonts w:ascii="Arial" w:cs="Arial" w:eastAsia="Arial" w:hAnsi="Arial"/>
          <w:sz w:val="16"/>
          <w:szCs w:val="16"/>
          <w:color w:val="005CB8"/>
        </w:rPr>
      </w:pPr>
    </w:p>
    <w:p>
      <w:pPr>
        <w:ind w:left="1000" w:right="740" w:hanging="284"/>
        <w:spacing w:after="0" w:line="260" w:lineRule="auto"/>
        <w:tabs>
          <w:tab w:leader="none" w:pos="1000" w:val="left"/>
        </w:tabs>
        <w:numPr>
          <w:ilvl w:val="0"/>
          <w:numId w:val="24"/>
        </w:numPr>
        <w:rPr>
          <w:rFonts w:ascii="Arial" w:cs="Arial" w:eastAsia="Arial" w:hAnsi="Arial"/>
          <w:sz w:val="16"/>
          <w:szCs w:val="16"/>
          <w:color w:val="005CB8"/>
        </w:rPr>
      </w:pPr>
      <w:r>
        <w:rPr>
          <w:rFonts w:ascii="Arial" w:cs="Arial" w:eastAsia="Arial" w:hAnsi="Arial"/>
          <w:sz w:val="16"/>
          <w:szCs w:val="16"/>
          <w:color w:val="auto"/>
        </w:rPr>
        <w:t>reviewing and discussing the scope and results of the audit with the independent registered public accounting firm, and reviewing, with management and the independent registered public accounting firm, our interim and year-end operating results;</w:t>
      </w:r>
    </w:p>
    <w:p>
      <w:pPr>
        <w:spacing w:after="0" w:line="141" w:lineRule="exact"/>
        <w:rPr>
          <w:rFonts w:ascii="Arial" w:cs="Arial" w:eastAsia="Arial" w:hAnsi="Arial"/>
          <w:sz w:val="16"/>
          <w:szCs w:val="16"/>
          <w:color w:val="005CB8"/>
        </w:rPr>
      </w:pPr>
    </w:p>
    <w:p>
      <w:pPr>
        <w:ind w:left="1000" w:hanging="284"/>
        <w:spacing w:after="0"/>
        <w:tabs>
          <w:tab w:leader="none" w:pos="1000" w:val="left"/>
        </w:tabs>
        <w:numPr>
          <w:ilvl w:val="0"/>
          <w:numId w:val="24"/>
        </w:numPr>
        <w:rPr>
          <w:rFonts w:ascii="Arial" w:cs="Arial" w:eastAsia="Arial" w:hAnsi="Arial"/>
          <w:sz w:val="16"/>
          <w:szCs w:val="16"/>
          <w:color w:val="005CB8"/>
        </w:rPr>
      </w:pPr>
      <w:r>
        <w:rPr>
          <w:rFonts w:ascii="Arial" w:cs="Arial" w:eastAsia="Arial" w:hAnsi="Arial"/>
          <w:sz w:val="16"/>
          <w:szCs w:val="16"/>
          <w:color w:val="auto"/>
        </w:rPr>
        <w:t>reviewing our financial statements and our critical accounting policies and estimates;</w:t>
      </w:r>
    </w:p>
    <w:p>
      <w:pPr>
        <w:spacing w:after="0" w:line="167" w:lineRule="exact"/>
        <w:rPr>
          <w:rFonts w:ascii="Arial" w:cs="Arial" w:eastAsia="Arial" w:hAnsi="Arial"/>
          <w:sz w:val="16"/>
          <w:szCs w:val="16"/>
          <w:color w:val="005CB8"/>
        </w:rPr>
      </w:pPr>
    </w:p>
    <w:p>
      <w:pPr>
        <w:ind w:left="1000" w:right="820" w:hanging="284"/>
        <w:spacing w:after="0" w:line="260" w:lineRule="auto"/>
        <w:tabs>
          <w:tab w:leader="none" w:pos="1000" w:val="left"/>
        </w:tabs>
        <w:numPr>
          <w:ilvl w:val="0"/>
          <w:numId w:val="24"/>
        </w:numPr>
        <w:rPr>
          <w:rFonts w:ascii="Arial" w:cs="Arial" w:eastAsia="Arial" w:hAnsi="Arial"/>
          <w:sz w:val="16"/>
          <w:szCs w:val="16"/>
          <w:color w:val="005CB8"/>
        </w:rPr>
      </w:pPr>
      <w:r>
        <w:rPr>
          <w:rFonts w:ascii="Arial" w:cs="Arial" w:eastAsia="Arial" w:hAnsi="Arial"/>
          <w:sz w:val="16"/>
          <w:szCs w:val="16"/>
          <w:color w:val="auto"/>
        </w:rPr>
        <w:t>overseeing and monitoring the integrity of our financial statements and our compliance with legal and regulatory requirements as they relate to financial statements or accounting matters;</w:t>
      </w:r>
    </w:p>
    <w:p>
      <w:pPr>
        <w:spacing w:after="0" w:line="141" w:lineRule="exact"/>
        <w:rPr>
          <w:rFonts w:ascii="Arial" w:cs="Arial" w:eastAsia="Arial" w:hAnsi="Arial"/>
          <w:sz w:val="16"/>
          <w:szCs w:val="16"/>
          <w:color w:val="005CB8"/>
        </w:rPr>
      </w:pPr>
    </w:p>
    <w:p>
      <w:pPr>
        <w:ind w:left="1000" w:hanging="284"/>
        <w:spacing w:after="0"/>
        <w:tabs>
          <w:tab w:leader="none" w:pos="1000" w:val="left"/>
        </w:tabs>
        <w:numPr>
          <w:ilvl w:val="0"/>
          <w:numId w:val="24"/>
        </w:numPr>
        <w:rPr>
          <w:rFonts w:ascii="Arial" w:cs="Arial" w:eastAsia="Arial" w:hAnsi="Arial"/>
          <w:sz w:val="16"/>
          <w:szCs w:val="16"/>
          <w:color w:val="005CB8"/>
        </w:rPr>
      </w:pPr>
      <w:r>
        <w:rPr>
          <w:rFonts w:ascii="Arial" w:cs="Arial" w:eastAsia="Arial" w:hAnsi="Arial"/>
          <w:sz w:val="16"/>
          <w:szCs w:val="16"/>
          <w:color w:val="auto"/>
        </w:rPr>
        <w:t>reviewing the design, implementation, adequacy, and effectiveness of our internal controls;</w:t>
      </w:r>
    </w:p>
    <w:p>
      <w:pPr>
        <w:spacing w:after="0" w:line="167" w:lineRule="exact"/>
        <w:rPr>
          <w:rFonts w:ascii="Arial" w:cs="Arial" w:eastAsia="Arial" w:hAnsi="Arial"/>
          <w:sz w:val="16"/>
          <w:szCs w:val="16"/>
          <w:color w:val="005CB8"/>
        </w:rPr>
      </w:pPr>
    </w:p>
    <w:p>
      <w:pPr>
        <w:ind w:left="1000" w:right="1220" w:hanging="284"/>
        <w:spacing w:after="0" w:line="260" w:lineRule="auto"/>
        <w:tabs>
          <w:tab w:leader="none" w:pos="1000" w:val="left"/>
        </w:tabs>
        <w:numPr>
          <w:ilvl w:val="0"/>
          <w:numId w:val="24"/>
        </w:numPr>
        <w:rPr>
          <w:rFonts w:ascii="Arial" w:cs="Arial" w:eastAsia="Arial" w:hAnsi="Arial"/>
          <w:sz w:val="16"/>
          <w:szCs w:val="16"/>
          <w:color w:val="005CB8"/>
        </w:rPr>
      </w:pPr>
      <w:r>
        <w:rPr>
          <w:rFonts w:ascii="Arial" w:cs="Arial" w:eastAsia="Arial" w:hAnsi="Arial"/>
          <w:sz w:val="16"/>
          <w:szCs w:val="16"/>
          <w:color w:val="auto"/>
        </w:rPr>
        <w:t>developing procedures for employees to submit concerns anonymously about questionable accounting, internal accounting controls, or audit matters;</w:t>
      </w:r>
    </w:p>
    <w:p>
      <w:pPr>
        <w:spacing w:after="0" w:line="141" w:lineRule="exact"/>
        <w:rPr>
          <w:rFonts w:ascii="Arial" w:cs="Arial" w:eastAsia="Arial" w:hAnsi="Arial"/>
          <w:sz w:val="16"/>
          <w:szCs w:val="16"/>
          <w:color w:val="005CB8"/>
        </w:rPr>
      </w:pPr>
    </w:p>
    <w:p>
      <w:pPr>
        <w:ind w:left="1000" w:hanging="284"/>
        <w:spacing w:after="0"/>
        <w:tabs>
          <w:tab w:leader="none" w:pos="1000" w:val="left"/>
        </w:tabs>
        <w:numPr>
          <w:ilvl w:val="0"/>
          <w:numId w:val="24"/>
        </w:numPr>
        <w:rPr>
          <w:rFonts w:ascii="Arial" w:cs="Arial" w:eastAsia="Arial" w:hAnsi="Arial"/>
          <w:sz w:val="16"/>
          <w:szCs w:val="16"/>
          <w:color w:val="005CB8"/>
        </w:rPr>
      </w:pPr>
      <w:r>
        <w:rPr>
          <w:rFonts w:ascii="Arial" w:cs="Arial" w:eastAsia="Arial" w:hAnsi="Arial"/>
          <w:sz w:val="16"/>
          <w:szCs w:val="16"/>
          <w:color w:val="auto"/>
        </w:rPr>
        <w:t>overseeing management’s assessment and mitigation of enterprise risks;</w:t>
      </w:r>
    </w:p>
    <w:p>
      <w:pPr>
        <w:spacing w:after="0" w:line="167" w:lineRule="exact"/>
        <w:rPr>
          <w:rFonts w:ascii="Arial" w:cs="Arial" w:eastAsia="Arial" w:hAnsi="Arial"/>
          <w:sz w:val="16"/>
          <w:szCs w:val="16"/>
          <w:color w:val="005CB8"/>
        </w:rPr>
      </w:pPr>
    </w:p>
    <w:p>
      <w:pPr>
        <w:ind w:left="1000" w:hanging="284"/>
        <w:spacing w:after="0"/>
        <w:tabs>
          <w:tab w:leader="none" w:pos="1000" w:val="left"/>
        </w:tabs>
        <w:numPr>
          <w:ilvl w:val="0"/>
          <w:numId w:val="24"/>
        </w:numPr>
        <w:rPr>
          <w:rFonts w:ascii="Arial" w:cs="Arial" w:eastAsia="Arial" w:hAnsi="Arial"/>
          <w:sz w:val="16"/>
          <w:szCs w:val="16"/>
          <w:color w:val="005CB8"/>
        </w:rPr>
      </w:pPr>
      <w:r>
        <w:rPr>
          <w:rFonts w:ascii="Arial" w:cs="Arial" w:eastAsia="Arial" w:hAnsi="Arial"/>
          <w:sz w:val="16"/>
          <w:szCs w:val="16"/>
          <w:color w:val="auto"/>
        </w:rPr>
        <w:t>overseeing compliance with our code of business conduct and ethics;</w:t>
      </w:r>
    </w:p>
    <w:p>
      <w:pPr>
        <w:spacing w:after="0" w:line="167" w:lineRule="exact"/>
        <w:rPr>
          <w:rFonts w:ascii="Arial" w:cs="Arial" w:eastAsia="Arial" w:hAnsi="Arial"/>
          <w:sz w:val="16"/>
          <w:szCs w:val="16"/>
          <w:color w:val="005CB8"/>
        </w:rPr>
      </w:pPr>
    </w:p>
    <w:p>
      <w:pPr>
        <w:ind w:left="1000" w:hanging="284"/>
        <w:spacing w:after="0"/>
        <w:tabs>
          <w:tab w:leader="none" w:pos="1000" w:val="left"/>
        </w:tabs>
        <w:numPr>
          <w:ilvl w:val="0"/>
          <w:numId w:val="24"/>
        </w:numPr>
        <w:rPr>
          <w:rFonts w:ascii="Arial" w:cs="Arial" w:eastAsia="Arial" w:hAnsi="Arial"/>
          <w:sz w:val="16"/>
          <w:szCs w:val="16"/>
          <w:color w:val="005CB8"/>
        </w:rPr>
      </w:pPr>
      <w:r>
        <w:rPr>
          <w:rFonts w:ascii="Arial" w:cs="Arial" w:eastAsia="Arial" w:hAnsi="Arial"/>
          <w:sz w:val="16"/>
          <w:szCs w:val="16"/>
          <w:color w:val="auto"/>
        </w:rPr>
        <w:t>reviewing and approving related party transactions; and</w:t>
      </w:r>
    </w:p>
    <w:p>
      <w:pPr>
        <w:spacing w:after="0" w:line="167" w:lineRule="exact"/>
        <w:rPr>
          <w:rFonts w:ascii="Arial" w:cs="Arial" w:eastAsia="Arial" w:hAnsi="Arial"/>
          <w:sz w:val="16"/>
          <w:szCs w:val="16"/>
          <w:color w:val="005CB8"/>
        </w:rPr>
      </w:pPr>
    </w:p>
    <w:p>
      <w:pPr>
        <w:ind w:left="1000" w:right="1000" w:hanging="284"/>
        <w:spacing w:after="0" w:line="260" w:lineRule="auto"/>
        <w:tabs>
          <w:tab w:leader="none" w:pos="1000" w:val="left"/>
        </w:tabs>
        <w:numPr>
          <w:ilvl w:val="0"/>
          <w:numId w:val="24"/>
        </w:numPr>
        <w:rPr>
          <w:rFonts w:ascii="Arial" w:cs="Arial" w:eastAsia="Arial" w:hAnsi="Arial"/>
          <w:sz w:val="16"/>
          <w:szCs w:val="16"/>
          <w:color w:val="005CB8"/>
        </w:rPr>
      </w:pPr>
      <w:r>
        <w:rPr>
          <w:rFonts w:ascii="Arial" w:cs="Arial" w:eastAsia="Arial" w:hAnsi="Arial"/>
          <w:sz w:val="16"/>
          <w:szCs w:val="16"/>
          <w:color w:val="auto"/>
        </w:rPr>
        <w:t>pre-approving all audit and all permissible non-audit services to be performed by the independent registered public accounting firm.</w:t>
      </w:r>
    </w:p>
    <w:p>
      <w:pPr>
        <w:spacing w:after="0" w:line="141" w:lineRule="exact"/>
        <w:rPr>
          <w:sz w:val="20"/>
          <w:szCs w:val="20"/>
          <w:color w:val="auto"/>
        </w:rPr>
      </w:pPr>
    </w:p>
    <w:p>
      <w:pPr>
        <w:jc w:val="both"/>
        <w:ind w:left="720" w:right="1100"/>
        <w:spacing w:after="0" w:line="253" w:lineRule="auto"/>
        <w:rPr>
          <w:sz w:val="20"/>
          <w:szCs w:val="20"/>
          <w:color w:val="auto"/>
        </w:rPr>
      </w:pPr>
      <w:r>
        <w:rPr>
          <w:rFonts w:ascii="Arial" w:cs="Arial" w:eastAsia="Arial" w:hAnsi="Arial"/>
          <w:sz w:val="16"/>
          <w:szCs w:val="16"/>
          <w:color w:val="auto"/>
        </w:rPr>
        <w:t>Our audit committee operates under a written charter that satisfies the applicable rules and regulations of the SEC and the listing standards of Nasdaq. A copy of the charter for our audit committee is available on our website at investors.dropbox.com. During 2019, our audit committee held seven meetings.</w:t>
      </w:r>
    </w:p>
    <w:p>
      <w:pPr>
        <w:spacing w:after="0" w:line="30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Compensation Committee</w:t>
      </w:r>
    </w:p>
    <w:p>
      <w:pPr>
        <w:spacing w:after="0" w:line="66" w:lineRule="exact"/>
        <w:rPr>
          <w:sz w:val="20"/>
          <w:szCs w:val="20"/>
          <w:color w:val="auto"/>
        </w:rPr>
      </w:pPr>
    </w:p>
    <w:p>
      <w:pPr>
        <w:ind w:left="720" w:right="760"/>
        <w:spacing w:after="0" w:line="249" w:lineRule="auto"/>
        <w:rPr>
          <w:sz w:val="20"/>
          <w:szCs w:val="20"/>
          <w:color w:val="auto"/>
        </w:rPr>
      </w:pPr>
      <w:r>
        <w:rPr>
          <w:rFonts w:ascii="Arial" w:cs="Arial" w:eastAsia="Arial" w:hAnsi="Arial"/>
          <w:sz w:val="16"/>
          <w:szCs w:val="16"/>
          <w:color w:val="auto"/>
        </w:rPr>
        <w:t>Our compensation committee consists of Dr. Rice, Ms. Peacock and Messrs. Mylod and Schreier, with Dr. Rice serving as chairperson. In August 2019, Ms. Peacock was appointed to the compensation committee. Each member of the compensation committee meets the requirements for independence for compensation committee members under the listing standards of Nasdaq. Each member of our compensation committee is also a non-employee director, as defined pursuant to Rule 16b-3 promulgated under the Securities Exchange Act of 1934, as amended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or Rule 16b-3. Our compensation committee is responsible for, among other things:</w:t>
      </w:r>
    </w:p>
    <w:p>
      <w:pPr>
        <w:spacing w:after="0" w:line="151" w:lineRule="exact"/>
        <w:rPr>
          <w:sz w:val="20"/>
          <w:szCs w:val="20"/>
          <w:color w:val="auto"/>
        </w:rPr>
      </w:pPr>
    </w:p>
    <w:p>
      <w:pPr>
        <w:ind w:left="1000" w:right="820" w:hanging="284"/>
        <w:spacing w:after="0" w:line="260" w:lineRule="auto"/>
        <w:tabs>
          <w:tab w:leader="none" w:pos="1000" w:val="left"/>
        </w:tabs>
        <w:numPr>
          <w:ilvl w:val="0"/>
          <w:numId w:val="25"/>
        </w:numPr>
        <w:rPr>
          <w:rFonts w:ascii="Arial" w:cs="Arial" w:eastAsia="Arial" w:hAnsi="Arial"/>
          <w:sz w:val="16"/>
          <w:szCs w:val="16"/>
          <w:color w:val="005CB8"/>
        </w:rPr>
      </w:pPr>
      <w:r>
        <w:rPr>
          <w:rFonts w:ascii="Arial" w:cs="Arial" w:eastAsia="Arial" w:hAnsi="Arial"/>
          <w:sz w:val="16"/>
          <w:szCs w:val="16"/>
          <w:color w:val="auto"/>
        </w:rPr>
        <w:t>reviewing, approving, and determining, or making recommendations to our board of directors regarding, the compensation of our executive officers, including our chief executive officer;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38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11</w:t>
            </w:r>
          </w:p>
        </w:tc>
      </w:tr>
      <w:tr>
        <w:trPr>
          <w:trHeight w:val="167"/>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15" w:name="page16"/>
    <w:bookmarkEnd w:id="15"/>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600"/>
        <w:spacing w:after="0" w:line="260" w:lineRule="auto"/>
        <w:rPr>
          <w:sz w:val="20"/>
          <w:szCs w:val="20"/>
          <w:color w:val="auto"/>
        </w:rPr>
      </w:pPr>
      <w:r>
        <w:rPr>
          <w:rFonts w:ascii="Arial" w:cs="Arial" w:eastAsia="Arial" w:hAnsi="Arial"/>
          <w:sz w:val="32"/>
          <w:szCs w:val="32"/>
          <w:color w:val="005CB8"/>
        </w:rPr>
        <w:t>BOARD OF DIRECTORS AND CORPORATE GOVERNANCE (continued)</w:t>
      </w:r>
    </w:p>
    <w:p>
      <w:pPr>
        <w:spacing w:after="0" w:line="335" w:lineRule="exact"/>
        <w:rPr>
          <w:sz w:val="20"/>
          <w:szCs w:val="20"/>
          <w:color w:val="auto"/>
        </w:rPr>
      </w:pPr>
    </w:p>
    <w:p>
      <w:pPr>
        <w:ind w:left="284" w:hanging="284"/>
        <w:spacing w:after="0"/>
        <w:tabs>
          <w:tab w:leader="none" w:pos="284" w:val="left"/>
        </w:tabs>
        <w:numPr>
          <w:ilvl w:val="0"/>
          <w:numId w:val="26"/>
        </w:numPr>
        <w:rPr>
          <w:rFonts w:ascii="Arial" w:cs="Arial" w:eastAsia="Arial" w:hAnsi="Arial"/>
          <w:sz w:val="16"/>
          <w:szCs w:val="16"/>
          <w:color w:val="005CB8"/>
        </w:rPr>
      </w:pPr>
      <w:r>
        <w:rPr>
          <w:rFonts w:ascii="Arial" w:cs="Arial" w:eastAsia="Arial" w:hAnsi="Arial"/>
          <w:sz w:val="16"/>
          <w:szCs w:val="16"/>
          <w:color w:val="auto"/>
        </w:rPr>
        <w:t>administering our equity compensation plans;</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26"/>
        </w:numPr>
        <w:rPr>
          <w:rFonts w:ascii="Arial" w:cs="Arial" w:eastAsia="Arial" w:hAnsi="Arial"/>
          <w:sz w:val="16"/>
          <w:szCs w:val="16"/>
          <w:color w:val="005CB8"/>
        </w:rPr>
      </w:pPr>
      <w:r>
        <w:rPr>
          <w:rFonts w:ascii="Arial" w:cs="Arial" w:eastAsia="Arial" w:hAnsi="Arial"/>
          <w:sz w:val="16"/>
          <w:szCs w:val="16"/>
          <w:color w:val="auto"/>
        </w:rPr>
        <w:t>reviewing, approving, and administering incentive compensation and equity compensation plans;</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26"/>
        </w:numPr>
        <w:rPr>
          <w:rFonts w:ascii="Arial" w:cs="Arial" w:eastAsia="Arial" w:hAnsi="Arial"/>
          <w:sz w:val="16"/>
          <w:szCs w:val="16"/>
          <w:color w:val="005CB8"/>
        </w:rPr>
      </w:pPr>
      <w:r>
        <w:rPr>
          <w:rFonts w:ascii="Arial" w:cs="Arial" w:eastAsia="Arial" w:hAnsi="Arial"/>
          <w:sz w:val="16"/>
          <w:szCs w:val="16"/>
          <w:color w:val="auto"/>
        </w:rPr>
        <w:t>reviewing and approving our overall compensation philosophy; and</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26"/>
        </w:numPr>
        <w:rPr>
          <w:rFonts w:ascii="Arial" w:cs="Arial" w:eastAsia="Arial" w:hAnsi="Arial"/>
          <w:sz w:val="16"/>
          <w:szCs w:val="16"/>
          <w:color w:val="005CB8"/>
        </w:rPr>
      </w:pPr>
      <w:r>
        <w:rPr>
          <w:rFonts w:ascii="Arial" w:cs="Arial" w:eastAsia="Arial" w:hAnsi="Arial"/>
          <w:sz w:val="16"/>
          <w:szCs w:val="16"/>
          <w:color w:val="auto"/>
        </w:rPr>
        <w:t>making recommendations regarding non-employee director compensation to our full board of directors.</w:t>
      </w:r>
    </w:p>
    <w:p>
      <w:pPr>
        <w:spacing w:after="0" w:line="167" w:lineRule="exact"/>
        <w:rPr>
          <w:sz w:val="20"/>
          <w:szCs w:val="20"/>
          <w:color w:val="auto"/>
        </w:rPr>
      </w:pPr>
    </w:p>
    <w:p>
      <w:pPr>
        <w:ind w:left="4" w:right="160"/>
        <w:spacing w:after="0" w:line="253" w:lineRule="auto"/>
        <w:rPr>
          <w:sz w:val="20"/>
          <w:szCs w:val="20"/>
          <w:color w:val="auto"/>
        </w:rPr>
      </w:pPr>
      <w:r>
        <w:rPr>
          <w:rFonts w:ascii="Arial" w:cs="Arial" w:eastAsia="Arial" w:hAnsi="Arial"/>
          <w:sz w:val="16"/>
          <w:szCs w:val="16"/>
          <w:color w:val="auto"/>
        </w:rPr>
        <w:t>Our compensation committee operates under a written charter that satisfies the applicable rules and regulations of the SEC and the listing standards of Nasdaq. A copy of the charter for our compensation committee is available on our website at investors.dropbox.com. During 2019, our compensation committee held five meetings.</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Nominating and Corporate Governance Committee</w:t>
      </w:r>
    </w:p>
    <w:p>
      <w:pPr>
        <w:spacing w:after="0" w:line="66" w:lineRule="exact"/>
        <w:rPr>
          <w:sz w:val="20"/>
          <w:szCs w:val="20"/>
          <w:color w:val="auto"/>
        </w:rPr>
      </w:pPr>
    </w:p>
    <w:p>
      <w:pPr>
        <w:ind w:left="4" w:right="60"/>
        <w:spacing w:after="0" w:line="248" w:lineRule="auto"/>
        <w:rPr>
          <w:sz w:val="20"/>
          <w:szCs w:val="20"/>
          <w:color w:val="auto"/>
        </w:rPr>
      </w:pPr>
      <w:r>
        <w:rPr>
          <w:rFonts w:ascii="Arial" w:cs="Arial" w:eastAsia="Arial" w:hAnsi="Arial"/>
          <w:sz w:val="16"/>
          <w:szCs w:val="16"/>
          <w:color w:val="auto"/>
        </w:rPr>
        <w:t>Our nominating and corporate governance committee consists of Mss. Campbell and Whitman and Dr. Jacobs, with Dr. Jacobs serving as chairperson. In February 2020, Ms. Campbell was appointed to the nominating and corporate governance committee. In March 2020, Ms. Whitman, who will not be standing for re-election as a director at the Annual Meeting, stepped down as chairperson of the nominating and corporate governance committee, and the board of directors selected Dr. Jacobs to succeed Ms. Whitman. Ms. Whitman will remain a member of the nominating and corporate governance committee until the Annual Meeting. Each member of the nominating and corporate governance committee meets the requirements for independence under the listing standards of Nasdaq. Our nominating and corporate governance committee is responsible for, among other things:</w:t>
      </w:r>
    </w:p>
    <w:p>
      <w:pPr>
        <w:spacing w:after="0" w:line="154" w:lineRule="exact"/>
        <w:rPr>
          <w:sz w:val="20"/>
          <w:szCs w:val="20"/>
          <w:color w:val="auto"/>
        </w:rPr>
      </w:pPr>
    </w:p>
    <w:p>
      <w:pPr>
        <w:ind w:left="284" w:hanging="284"/>
        <w:spacing w:after="0" w:line="260" w:lineRule="auto"/>
        <w:tabs>
          <w:tab w:leader="none" w:pos="284" w:val="left"/>
        </w:tabs>
        <w:numPr>
          <w:ilvl w:val="0"/>
          <w:numId w:val="27"/>
        </w:numPr>
        <w:rPr>
          <w:rFonts w:ascii="Arial" w:cs="Arial" w:eastAsia="Arial" w:hAnsi="Arial"/>
          <w:sz w:val="16"/>
          <w:szCs w:val="16"/>
          <w:color w:val="005CB8"/>
        </w:rPr>
      </w:pPr>
      <w:r>
        <w:rPr>
          <w:rFonts w:ascii="Arial" w:cs="Arial" w:eastAsia="Arial" w:hAnsi="Arial"/>
          <w:sz w:val="16"/>
          <w:szCs w:val="16"/>
          <w:color w:val="auto"/>
        </w:rPr>
        <w:t>identifying, evaluating, and selecting, or making recommendations to our board of directors regarding nominees for election to our board of directors and its committees;</w:t>
      </w:r>
    </w:p>
    <w:p>
      <w:pPr>
        <w:spacing w:after="0" w:line="141" w:lineRule="exact"/>
        <w:rPr>
          <w:rFonts w:ascii="Arial" w:cs="Arial" w:eastAsia="Arial" w:hAnsi="Arial"/>
          <w:sz w:val="16"/>
          <w:szCs w:val="16"/>
          <w:color w:val="005CB8"/>
        </w:rPr>
      </w:pPr>
    </w:p>
    <w:p>
      <w:pPr>
        <w:ind w:left="284" w:hanging="284"/>
        <w:spacing w:after="0"/>
        <w:tabs>
          <w:tab w:leader="none" w:pos="284" w:val="left"/>
        </w:tabs>
        <w:numPr>
          <w:ilvl w:val="0"/>
          <w:numId w:val="27"/>
        </w:numPr>
        <w:rPr>
          <w:rFonts w:ascii="Arial" w:cs="Arial" w:eastAsia="Arial" w:hAnsi="Arial"/>
          <w:sz w:val="16"/>
          <w:szCs w:val="16"/>
          <w:color w:val="005CB8"/>
        </w:rPr>
      </w:pPr>
      <w:r>
        <w:rPr>
          <w:rFonts w:ascii="Arial" w:cs="Arial" w:eastAsia="Arial" w:hAnsi="Arial"/>
          <w:sz w:val="16"/>
          <w:szCs w:val="16"/>
          <w:color w:val="auto"/>
        </w:rPr>
        <w:t>overseeing the evaluation of the performance of our board of directors and of individual directors;</w:t>
      </w:r>
    </w:p>
    <w:p>
      <w:pPr>
        <w:spacing w:after="0" w:line="167" w:lineRule="exact"/>
        <w:rPr>
          <w:rFonts w:ascii="Arial" w:cs="Arial" w:eastAsia="Arial" w:hAnsi="Arial"/>
          <w:sz w:val="16"/>
          <w:szCs w:val="16"/>
          <w:color w:val="005CB8"/>
        </w:rPr>
      </w:pPr>
    </w:p>
    <w:p>
      <w:pPr>
        <w:ind w:left="284" w:right="280" w:hanging="284"/>
        <w:spacing w:after="0" w:line="260" w:lineRule="auto"/>
        <w:tabs>
          <w:tab w:leader="none" w:pos="284" w:val="left"/>
        </w:tabs>
        <w:numPr>
          <w:ilvl w:val="0"/>
          <w:numId w:val="27"/>
        </w:numPr>
        <w:rPr>
          <w:rFonts w:ascii="Arial" w:cs="Arial" w:eastAsia="Arial" w:hAnsi="Arial"/>
          <w:sz w:val="16"/>
          <w:szCs w:val="16"/>
          <w:color w:val="005CB8"/>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41" w:lineRule="exact"/>
        <w:rPr>
          <w:rFonts w:ascii="Arial" w:cs="Arial" w:eastAsia="Arial" w:hAnsi="Arial"/>
          <w:sz w:val="16"/>
          <w:szCs w:val="16"/>
          <w:color w:val="005CB8"/>
        </w:rPr>
      </w:pPr>
    </w:p>
    <w:p>
      <w:pPr>
        <w:ind w:left="284" w:hanging="284"/>
        <w:spacing w:after="0"/>
        <w:tabs>
          <w:tab w:leader="none" w:pos="284" w:val="left"/>
        </w:tabs>
        <w:numPr>
          <w:ilvl w:val="0"/>
          <w:numId w:val="27"/>
        </w:numPr>
        <w:rPr>
          <w:rFonts w:ascii="Arial" w:cs="Arial" w:eastAsia="Arial" w:hAnsi="Arial"/>
          <w:sz w:val="16"/>
          <w:szCs w:val="16"/>
          <w:color w:val="005CB8"/>
        </w:rPr>
      </w:pPr>
      <w:r>
        <w:rPr>
          <w:rFonts w:ascii="Arial" w:cs="Arial" w:eastAsia="Arial" w:hAnsi="Arial"/>
          <w:sz w:val="16"/>
          <w:szCs w:val="16"/>
          <w:color w:val="auto"/>
        </w:rPr>
        <w:t>overseeing our corporate governance practices;</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27"/>
        </w:numPr>
        <w:rPr>
          <w:rFonts w:ascii="Arial" w:cs="Arial" w:eastAsia="Arial" w:hAnsi="Arial"/>
          <w:sz w:val="16"/>
          <w:szCs w:val="16"/>
          <w:color w:val="005CB8"/>
        </w:rPr>
      </w:pPr>
      <w:r>
        <w:rPr>
          <w:rFonts w:ascii="Arial" w:cs="Arial" w:eastAsia="Arial" w:hAnsi="Arial"/>
          <w:sz w:val="16"/>
          <w:szCs w:val="16"/>
          <w:color w:val="auto"/>
        </w:rPr>
        <w:t>contributing to succession planning; and</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27"/>
        </w:numPr>
        <w:rPr>
          <w:rFonts w:ascii="Arial" w:cs="Arial" w:eastAsia="Arial" w:hAnsi="Arial"/>
          <w:sz w:val="16"/>
          <w:szCs w:val="16"/>
          <w:color w:val="005CB8"/>
        </w:rPr>
      </w:pPr>
      <w:r>
        <w:rPr>
          <w:rFonts w:ascii="Arial" w:cs="Arial" w:eastAsia="Arial" w:hAnsi="Arial"/>
          <w:sz w:val="16"/>
          <w:szCs w:val="16"/>
          <w:color w:val="auto"/>
        </w:rPr>
        <w:t>developing and making recommendations to our board of directors regarding corporate governance guidelines and matters.</w:t>
      </w:r>
    </w:p>
    <w:p>
      <w:pPr>
        <w:spacing w:after="0" w:line="167" w:lineRule="exact"/>
        <w:rPr>
          <w:sz w:val="20"/>
          <w:szCs w:val="20"/>
          <w:color w:val="auto"/>
        </w:rPr>
      </w:pPr>
    </w:p>
    <w:p>
      <w:pPr>
        <w:ind w:left="4" w:right="340"/>
        <w:spacing w:after="0" w:line="253" w:lineRule="auto"/>
        <w:rPr>
          <w:sz w:val="20"/>
          <w:szCs w:val="20"/>
          <w:color w:val="auto"/>
        </w:rPr>
      </w:pPr>
      <w:r>
        <w:rPr>
          <w:rFonts w:ascii="Arial" w:cs="Arial" w:eastAsia="Arial" w:hAnsi="Arial"/>
          <w:sz w:val="16"/>
          <w:szCs w:val="16"/>
          <w:color w:val="auto"/>
        </w:rPr>
        <w:t>Our nominating and corporate governance committee operates under a written charter that satisfies the applicable Nasdaq listing standards. A copy of the charter for our nominating and corporate governance committee is available on our website at investors.dropbox.com. During 2019, our nominating and corporate governance committee held four meetings.</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26"/>
          <w:szCs w:val="26"/>
          <w:color w:val="005CB8"/>
        </w:rPr>
        <w:t>Attendance at Board and Stockholder Meetings</w:t>
      </w:r>
    </w:p>
    <w:p>
      <w:pPr>
        <w:spacing w:after="0" w:line="169"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color w:val="auto"/>
        </w:rPr>
        <w:t>During our fiscal year ended December 31, 2019, our board of directors held eight meetings (including regularly scheduled and special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148" w:lineRule="exact"/>
        <w:rPr>
          <w:sz w:val="20"/>
          <w:szCs w:val="20"/>
          <w:color w:val="auto"/>
        </w:rPr>
      </w:pPr>
    </w:p>
    <w:p>
      <w:pPr>
        <w:ind w:left="4" w:right="100"/>
        <w:spacing w:after="0" w:line="253" w:lineRule="auto"/>
        <w:rPr>
          <w:sz w:val="20"/>
          <w:szCs w:val="20"/>
          <w:color w:val="auto"/>
        </w:rPr>
      </w:pPr>
      <w:r>
        <w:rPr>
          <w:rFonts w:ascii="Arial" w:cs="Arial" w:eastAsia="Arial" w:hAnsi="Arial"/>
          <w:sz w:val="16"/>
          <w:szCs w:val="16"/>
          <w:color w:val="auto"/>
        </w:rPr>
        <w:t>Although we do not have a formal policy regarding attendance by members of our board of directors at annual meetings of stockholders, we strongly encourage, but do not require, our directors to attend. All directors who then served on the board attended our 2019 annual meeting of our stockholders.</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26"/>
          <w:szCs w:val="26"/>
          <w:color w:val="005CB8"/>
        </w:rPr>
        <w:t>Compensation Committee Interlocks and Insider Participation</w:t>
      </w:r>
    </w:p>
    <w:p>
      <w:pPr>
        <w:spacing w:after="0" w:line="169" w:lineRule="exact"/>
        <w:rPr>
          <w:sz w:val="20"/>
          <w:szCs w:val="20"/>
          <w:color w:val="auto"/>
        </w:rPr>
      </w:pPr>
    </w:p>
    <w:p>
      <w:pPr>
        <w:jc w:val="both"/>
        <w:ind w:left="4" w:right="140"/>
        <w:spacing w:after="0" w:line="251" w:lineRule="auto"/>
        <w:rPr>
          <w:sz w:val="20"/>
          <w:szCs w:val="20"/>
          <w:color w:val="auto"/>
        </w:rPr>
      </w:pPr>
      <w:r>
        <w:rPr>
          <w:rFonts w:ascii="Arial" w:cs="Arial" w:eastAsia="Arial" w:hAnsi="Arial"/>
          <w:sz w:val="16"/>
          <w:szCs w:val="16"/>
          <w:color w:val="auto"/>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187" w:lineRule="exact"/>
        <w:rPr>
          <w:sz w:val="20"/>
          <w:szCs w:val="20"/>
          <w:color w:val="auto"/>
        </w:rPr>
      </w:pPr>
    </w:p>
    <w:p>
      <w:pPr>
        <w:ind w:left="524" w:hanging="524"/>
        <w:spacing w:after="0"/>
        <w:tabs>
          <w:tab w:leader="none" w:pos="524"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16" w:name="page17"/>
    <w:bookmarkEnd w:id="16"/>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1340"/>
        <w:spacing w:after="0" w:line="260" w:lineRule="auto"/>
        <w:rPr>
          <w:sz w:val="20"/>
          <w:szCs w:val="20"/>
          <w:color w:val="auto"/>
        </w:rPr>
      </w:pPr>
      <w:r>
        <w:rPr>
          <w:rFonts w:ascii="Arial" w:cs="Arial" w:eastAsia="Arial" w:hAnsi="Arial"/>
          <w:sz w:val="32"/>
          <w:szCs w:val="32"/>
          <w:color w:val="005CB8"/>
        </w:rPr>
        <w:t>BOARD OF DIRECTORS AND CORPORATE GOVERNANCE (continued)</w:t>
      </w:r>
    </w:p>
    <w:p>
      <w:pPr>
        <w:spacing w:after="0" w:line="326" w:lineRule="exact"/>
        <w:rPr>
          <w:sz w:val="20"/>
          <w:szCs w:val="20"/>
          <w:color w:val="auto"/>
        </w:rPr>
      </w:pPr>
    </w:p>
    <w:p>
      <w:pPr>
        <w:ind w:left="720"/>
        <w:spacing w:after="0"/>
        <w:rPr>
          <w:sz w:val="20"/>
          <w:szCs w:val="20"/>
          <w:color w:val="auto"/>
        </w:rPr>
      </w:pPr>
      <w:r>
        <w:rPr>
          <w:rFonts w:ascii="Arial" w:cs="Arial" w:eastAsia="Arial" w:hAnsi="Arial"/>
          <w:sz w:val="26"/>
          <w:szCs w:val="26"/>
          <w:color w:val="005CB8"/>
        </w:rPr>
        <w:t>Considerations in Evaluating Director Nominees</w:t>
      </w:r>
    </w:p>
    <w:p>
      <w:pPr>
        <w:spacing w:after="0" w:line="169" w:lineRule="exact"/>
        <w:rPr>
          <w:sz w:val="20"/>
          <w:szCs w:val="20"/>
          <w:color w:val="auto"/>
        </w:rPr>
      </w:pPr>
    </w:p>
    <w:p>
      <w:pPr>
        <w:ind w:left="720" w:right="740"/>
        <w:spacing w:after="0" w:line="247" w:lineRule="auto"/>
        <w:rPr>
          <w:sz w:val="20"/>
          <w:szCs w:val="20"/>
          <w:color w:val="auto"/>
        </w:rPr>
      </w:pPr>
      <w:r>
        <w:rPr>
          <w:rFonts w:ascii="Arial" w:cs="Arial" w:eastAsia="Arial" w:hAnsi="Arial"/>
          <w:sz w:val="16"/>
          <w:szCs w:val="16"/>
          <w:color w:val="auto"/>
        </w:rPr>
        <w:t>Our nominating and corporate governance committee uses a variety of methods, including engaging the services of outside consultants and search firms, to identify and evaluate director nominees. In its evaluation of director candidates, our nominating and corporate governance committee considers the current size and composition, organization, and governance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business experience, and diversity, and with respect to diversity, such factors as gender, race, ethnicity, differences in professional background, education, skill and other individual qualities and attributes that contribute to the total mix of viewpoints and experience represented on the board of directors, potential conflicts of interest and other commitments. Nominees must also have the highest personal and professional ethics and the ability to offer advice and guidance to our chief executive officer and other members of management based on proven achievement and leadership in the companies or institutions with which they are affiliated. Director candidates must understand the fiduciary responsibilities that are required of a member of our board of directors and have sufficient time available, in the judgment of our nominating and corporate governance committee, to perform all board of director and applicable committee responsibilities. Members of our board of directors are expected to prepare for, attend, and participate in all board of directors and applicable committee meetings. Our nominating and corporate governance committee may also consider such other factors as it may deem, from time to time, are in our and our stockholders’ best interests.</w:t>
      </w:r>
    </w:p>
    <w:p>
      <w:pPr>
        <w:spacing w:after="0" w:line="157" w:lineRule="exact"/>
        <w:rPr>
          <w:sz w:val="20"/>
          <w:szCs w:val="20"/>
          <w:color w:val="auto"/>
        </w:rPr>
      </w:pPr>
    </w:p>
    <w:p>
      <w:pPr>
        <w:ind w:left="720" w:right="820"/>
        <w:spacing w:after="0" w:line="248" w:lineRule="auto"/>
        <w:rPr>
          <w:sz w:val="20"/>
          <w:szCs w:val="20"/>
          <w:color w:val="auto"/>
        </w:rPr>
      </w:pPr>
      <w:r>
        <w:rPr>
          <w:rFonts w:ascii="Arial" w:cs="Arial" w:eastAsia="Arial" w:hAnsi="Arial"/>
          <w:sz w:val="16"/>
          <w:szCs w:val="16"/>
          <w:color w:val="auto"/>
        </w:rPr>
        <w:t>The nominating and corporate governance committee considers the suitability of each director candidate, including current directors, in light of the current size and composition of our board. Although we do not maintain a specific policy with respect to board diversity, our board of directors believes that our board of directors should be a diverse body, and our nominating and corporate governance committee considers a broad range of backgrounds and experiences. In making determinations regarding nominations of directors, our nominating and corporate governance committee may take into account the benefits of diverse viewpoints. After completing its review and evaluation of director candidates, including incumbent directors, our nominating and corporate governance committee recommends to our full board of directors the director nominees for selection.</w:t>
      </w:r>
    </w:p>
    <w:p>
      <w:pPr>
        <w:spacing w:after="0" w:line="154" w:lineRule="exact"/>
        <w:rPr>
          <w:sz w:val="20"/>
          <w:szCs w:val="20"/>
          <w:color w:val="auto"/>
        </w:rPr>
      </w:pPr>
    </w:p>
    <w:p>
      <w:pPr>
        <w:ind w:left="720" w:right="760"/>
        <w:spacing w:after="0" w:line="249" w:lineRule="auto"/>
        <w:rPr>
          <w:sz w:val="20"/>
          <w:szCs w:val="20"/>
          <w:color w:val="auto"/>
        </w:rPr>
      </w:pPr>
      <w:r>
        <w:rPr>
          <w:rFonts w:ascii="Arial" w:cs="Arial" w:eastAsia="Arial" w:hAnsi="Arial"/>
          <w:sz w:val="16"/>
          <w:szCs w:val="16"/>
          <w:color w:val="auto"/>
        </w:rPr>
        <w:t>Our board of directors conducts an annual evaluation of the performance of individual directors, the board as a whole, and each of the board’s standing committees, including an evaluation of the qualifications of individual members of the board and its committees. The evaluation is conducted via oral interviews by our lead independent director in close partnership with our in-house legal team, using as a basis for discussion a list of questions that are provided to each director in advance. The results of the evaluation and any recommendations for improvement are provided orally to our board of directors and the other standing committees of the board either by the lead independent director or a member of our in-house legal team.</w:t>
      </w:r>
    </w:p>
    <w:p>
      <w:pPr>
        <w:spacing w:after="0" w:line="358" w:lineRule="exact"/>
        <w:rPr>
          <w:sz w:val="20"/>
          <w:szCs w:val="20"/>
          <w:color w:val="auto"/>
        </w:rPr>
      </w:pPr>
    </w:p>
    <w:p>
      <w:pPr>
        <w:ind w:left="720"/>
        <w:spacing w:after="0"/>
        <w:rPr>
          <w:sz w:val="20"/>
          <w:szCs w:val="20"/>
          <w:color w:val="auto"/>
        </w:rPr>
      </w:pPr>
      <w:r>
        <w:rPr>
          <w:rFonts w:ascii="Arial" w:cs="Arial" w:eastAsia="Arial" w:hAnsi="Arial"/>
          <w:sz w:val="26"/>
          <w:szCs w:val="26"/>
          <w:color w:val="005CB8"/>
        </w:rPr>
        <w:t>Stockholder Recommendations and Nominations to the Board of Directors</w:t>
      </w:r>
    </w:p>
    <w:p>
      <w:pPr>
        <w:spacing w:after="0" w:line="169" w:lineRule="exact"/>
        <w:rPr>
          <w:sz w:val="20"/>
          <w:szCs w:val="20"/>
          <w:color w:val="auto"/>
        </w:rPr>
      </w:pPr>
    </w:p>
    <w:p>
      <w:pPr>
        <w:ind w:left="720" w:right="740"/>
        <w:spacing w:after="0" w:line="247" w:lineRule="auto"/>
        <w:rPr>
          <w:sz w:val="20"/>
          <w:szCs w:val="20"/>
          <w:color w:val="auto"/>
        </w:rPr>
      </w:pPr>
      <w:r>
        <w:rPr>
          <w:rFonts w:ascii="Arial" w:cs="Arial" w:eastAsia="Arial" w:hAnsi="Arial"/>
          <w:sz w:val="16"/>
          <w:szCs w:val="16"/>
          <w:color w:val="auto"/>
        </w:rPr>
        <w:t>Our nominating and corporate governance committee will consider director candidates recommended by stockholders holding at least one percent (1%) of the fully diluted capitalization of Dropbox, Inc. continuously for at least 12 months prior to the date of the submission of the recommendation, so long as such recommendations comply with our amended and restated certificate of incorporation, amended and restated bylaws, and applicable laws, rules and regulations, including those promulgated by the SEC. Our nominating and corporate governance committee will evaluate such recommendations in accordance with its charter, our amended and restated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or legal department in writing. Such recommendations must include information about the candidate, a statement of support by the recommending stockholder, evidence of the recommending stockholder’s ownership of our capital stock, a signed letter from the candidate confirming willingness to serve on our board of directors and any additional information required by our amended and restated bylaws. Our nominating and corporate governance committee has discretion to decide which individuals to recommend for nomination as directors.</w:t>
      </w:r>
    </w:p>
    <w:p>
      <w:pPr>
        <w:spacing w:after="0" w:line="157" w:lineRule="exact"/>
        <w:rPr>
          <w:sz w:val="20"/>
          <w:szCs w:val="20"/>
          <w:color w:val="auto"/>
        </w:rPr>
      </w:pPr>
    </w:p>
    <w:p>
      <w:pPr>
        <w:ind w:left="720" w:right="760"/>
        <w:spacing w:after="0" w:line="260" w:lineRule="auto"/>
        <w:rPr>
          <w:sz w:val="20"/>
          <w:szCs w:val="20"/>
          <w:color w:val="auto"/>
        </w:rPr>
      </w:pPr>
      <w:r>
        <w:rPr>
          <w:rFonts w:ascii="Arial" w:cs="Arial" w:eastAsia="Arial" w:hAnsi="Arial"/>
          <w:sz w:val="16"/>
          <w:szCs w:val="16"/>
          <w:color w:val="auto"/>
        </w:rPr>
        <w:t>Under our amended and restated bylaws, stockholders may also directly nominate persons for our board of directors. Any nomination must comply with the requirements set forth in our amended and restated bylaws and should be sent in writing to our Corporate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38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13</w:t>
            </w:r>
          </w:p>
        </w:tc>
      </w:tr>
      <w:tr>
        <w:trPr>
          <w:trHeight w:val="181"/>
        </w:trPr>
        <w:tc>
          <w:tcPr>
            <w:tcW w:w="9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7" w:name="page18"/>
    <w:bookmarkEnd w:id="17"/>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600"/>
        <w:spacing w:after="0" w:line="260" w:lineRule="auto"/>
        <w:rPr>
          <w:sz w:val="20"/>
          <w:szCs w:val="20"/>
          <w:color w:val="auto"/>
        </w:rPr>
      </w:pPr>
      <w:r>
        <w:rPr>
          <w:rFonts w:ascii="Arial" w:cs="Arial" w:eastAsia="Arial" w:hAnsi="Arial"/>
          <w:sz w:val="32"/>
          <w:szCs w:val="32"/>
          <w:color w:val="005CB8"/>
        </w:rPr>
        <w:t>BOARD OF DIRECTORS AND CORPORATE GOVERNANCE (continued)</w:t>
      </w:r>
    </w:p>
    <w:p>
      <w:pPr>
        <w:spacing w:after="0" w:line="335" w:lineRule="exact"/>
        <w:rPr>
          <w:sz w:val="20"/>
          <w:szCs w:val="20"/>
          <w:color w:val="auto"/>
        </w:rPr>
      </w:pPr>
    </w:p>
    <w:p>
      <w:pPr>
        <w:ind w:left="4" w:right="100"/>
        <w:spacing w:after="0" w:line="251" w:lineRule="auto"/>
        <w:rPr>
          <w:sz w:val="20"/>
          <w:szCs w:val="20"/>
          <w:color w:val="auto"/>
        </w:rPr>
      </w:pPr>
      <w:r>
        <w:rPr>
          <w:rFonts w:ascii="Arial" w:cs="Arial" w:eastAsia="Arial" w:hAnsi="Arial"/>
          <w:sz w:val="16"/>
          <w:szCs w:val="16"/>
          <w:color w:val="auto"/>
        </w:rPr>
        <w:t>Secretary at Dropbox, Inc., 1800 Owens Street San Francisco, California 94158. To be timely for the 2021 annual meeting of stockholders, nominations must be received by our Secretary observing the same deadlines for stockholder proposals discussed above under “</w:t>
      </w:r>
      <w:r>
        <w:rPr>
          <w:rFonts w:ascii="Arial" w:cs="Arial" w:eastAsia="Arial" w:hAnsi="Arial"/>
          <w:sz w:val="16"/>
          <w:szCs w:val="16"/>
          <w:i w:val="1"/>
          <w:iCs w:val="1"/>
          <w:color w:val="auto"/>
        </w:rPr>
        <w:t>What is the deadline to propose actions for consideration at next year’s annual meeting of stockholders or to nominate</w:t>
      </w:r>
      <w:r>
        <w:rPr>
          <w:rFonts w:ascii="Arial" w:cs="Arial" w:eastAsia="Arial" w:hAnsi="Arial"/>
          <w:sz w:val="16"/>
          <w:szCs w:val="16"/>
          <w:color w:val="auto"/>
        </w:rPr>
        <w:t xml:space="preserve"> </w:t>
      </w:r>
      <w:r>
        <w:rPr>
          <w:rFonts w:ascii="Arial" w:cs="Arial" w:eastAsia="Arial" w:hAnsi="Arial"/>
          <w:sz w:val="16"/>
          <w:szCs w:val="16"/>
          <w:i w:val="1"/>
          <w:iCs w:val="1"/>
          <w:color w:val="auto"/>
        </w:rPr>
        <w:t>individuals to serve as directors? – Stockholder Proposals.</w:t>
      </w:r>
      <w:r>
        <w:rPr>
          <w:rFonts w:ascii="Arial" w:cs="Arial" w:eastAsia="Arial" w:hAnsi="Arial"/>
          <w:sz w:val="16"/>
          <w:szCs w:val="16"/>
          <w:color w:val="auto"/>
        </w:rPr>
        <w:t>”</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26"/>
          <w:szCs w:val="26"/>
          <w:color w:val="005CB8"/>
        </w:rPr>
        <w:t>Communications with the Board of Directors</w:t>
      </w:r>
    </w:p>
    <w:p>
      <w:pPr>
        <w:spacing w:after="0" w:line="169" w:lineRule="exact"/>
        <w:rPr>
          <w:sz w:val="20"/>
          <w:szCs w:val="20"/>
          <w:color w:val="auto"/>
        </w:rPr>
      </w:pPr>
    </w:p>
    <w:p>
      <w:pPr>
        <w:ind w:left="4" w:right="20"/>
        <w:spacing w:after="0" w:line="250" w:lineRule="auto"/>
        <w:rPr>
          <w:sz w:val="20"/>
          <w:szCs w:val="20"/>
          <w:color w:val="auto"/>
        </w:rPr>
      </w:pPr>
      <w:r>
        <w:rPr>
          <w:rFonts w:ascii="Arial" w:cs="Arial" w:eastAsia="Arial" w:hAnsi="Arial"/>
          <w:sz w:val="16"/>
          <w:szCs w:val="16"/>
          <w:color w:val="auto"/>
        </w:rPr>
        <w:t>Interested parties wishing to communicate with non-management members of our board of directors may do so by writing and mailing the correspondence to our Corporate Secretary at Dropbox, Inc., 1800 Owens Street, San Francisco, California 94158. Each communication should set forth (i) the name and address of the stockholder, as it appears on our books, and if the shares of our common stock are held by a broker, bank or nominee, the name and address of the beneficial owner of such shares, and (ii) the class and number of shares of our common stock that are owned of record by the record holder and beneficially by the beneficial owner.</w:t>
      </w:r>
    </w:p>
    <w:p>
      <w:pPr>
        <w:spacing w:after="0" w:line="149" w:lineRule="exact"/>
        <w:rPr>
          <w:sz w:val="20"/>
          <w:szCs w:val="20"/>
          <w:color w:val="auto"/>
        </w:rPr>
      </w:pPr>
    </w:p>
    <w:p>
      <w:pPr>
        <w:ind w:left="4" w:right="240"/>
        <w:spacing w:after="0" w:line="253" w:lineRule="auto"/>
        <w:rPr>
          <w:sz w:val="20"/>
          <w:szCs w:val="20"/>
          <w:color w:val="auto"/>
        </w:rPr>
      </w:pPr>
      <w:r>
        <w:rPr>
          <w:rFonts w:ascii="Arial" w:cs="Arial" w:eastAsia="Arial" w:hAnsi="Arial"/>
          <w:sz w:val="16"/>
          <w:szCs w:val="16"/>
          <w:color w:val="auto"/>
        </w:rPr>
        <w:t>Our Corporate Secretary or legal department, in consultation with appropriate members of our board of directors as necessary, will review all incoming communications and, if appropriate, such communications will be forwarded to the appropriate member or members of our board of directors, or if none are specified, to the chairman of our board of directors.</w:t>
      </w:r>
    </w:p>
    <w:p>
      <w:pPr>
        <w:spacing w:after="0" w:line="147"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This procedure does not apply to (i) communications to non-management directors from our officers or directors who are stockholders or (ii) stockholder proposals submitted pursuant to Rule 14a-8 under the Exchange Act, which are discussed further in the section titled “</w:t>
      </w:r>
      <w:r>
        <w:rPr>
          <w:rFonts w:ascii="Arial" w:cs="Arial" w:eastAsia="Arial" w:hAnsi="Arial"/>
          <w:sz w:val="16"/>
          <w:szCs w:val="16"/>
          <w:i w:val="1"/>
          <w:iCs w:val="1"/>
          <w:color w:val="auto"/>
        </w:rPr>
        <w:t>What is the deadline to propose actions for consideration at next year’s annual meeting of stockholders or to nominate</w:t>
      </w:r>
      <w:r>
        <w:rPr>
          <w:rFonts w:ascii="Arial" w:cs="Arial" w:eastAsia="Arial" w:hAnsi="Arial"/>
          <w:sz w:val="16"/>
          <w:szCs w:val="16"/>
          <w:color w:val="auto"/>
        </w:rPr>
        <w:t xml:space="preserve"> </w:t>
      </w:r>
      <w:r>
        <w:rPr>
          <w:rFonts w:ascii="Arial" w:cs="Arial" w:eastAsia="Arial" w:hAnsi="Arial"/>
          <w:sz w:val="16"/>
          <w:szCs w:val="16"/>
          <w:i w:val="1"/>
          <w:iCs w:val="1"/>
          <w:color w:val="auto"/>
        </w:rPr>
        <w:t>individuals to serve as directors?—Stockholder Proposals</w:t>
      </w:r>
      <w:r>
        <w:rPr>
          <w:rFonts w:ascii="Arial" w:cs="Arial" w:eastAsia="Arial" w:hAnsi="Arial"/>
          <w:sz w:val="16"/>
          <w:szCs w:val="16"/>
          <w:color w:val="auto"/>
        </w:rPr>
        <w:t>” described above in this proxy statement.</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26"/>
          <w:szCs w:val="26"/>
          <w:color w:val="005CB8"/>
        </w:rPr>
        <w:t>Corporate Governance Guidelines and Code of Business Conduct and Ethics</w:t>
      </w:r>
    </w:p>
    <w:p>
      <w:pPr>
        <w:spacing w:after="0" w:line="169" w:lineRule="exact"/>
        <w:rPr>
          <w:sz w:val="20"/>
          <w:szCs w:val="20"/>
          <w:color w:val="auto"/>
        </w:rPr>
      </w:pPr>
    </w:p>
    <w:p>
      <w:pPr>
        <w:ind w:left="4" w:right="120"/>
        <w:spacing w:after="0" w:line="248" w:lineRule="auto"/>
        <w:rPr>
          <w:sz w:val="20"/>
          <w:szCs w:val="20"/>
          <w:color w:val="auto"/>
        </w:rPr>
      </w:pPr>
      <w:r>
        <w:rPr>
          <w:rFonts w:ascii="Arial" w:cs="Arial" w:eastAsia="Arial" w:hAnsi="Arial"/>
          <w:sz w:val="16"/>
          <w:szCs w:val="16"/>
          <w:color w:val="auto"/>
        </w:rPr>
        <w:t>Our board of directors has adopted Corporate Governance Guidelines that address items such as the qualifications and responsibilities of our directors and director candidates, including independence standards,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our Code of Business Conduct and Ethics is posted on our website at investors.dropbox.com. We will post amendments to our Code of Business Conduct and Ethics or any waivers of our Code of Business Conduct and Ethics for directors and executive officers on the same website or in filings under the Exchange Act.</w:t>
      </w:r>
    </w:p>
    <w:p>
      <w:pPr>
        <w:spacing w:after="0" w:line="266" w:lineRule="exact"/>
        <w:rPr>
          <w:sz w:val="20"/>
          <w:szCs w:val="20"/>
          <w:color w:val="auto"/>
        </w:rPr>
      </w:pPr>
    </w:p>
    <w:p>
      <w:pPr>
        <w:ind w:left="4"/>
        <w:spacing w:after="0"/>
        <w:rPr>
          <w:sz w:val="20"/>
          <w:szCs w:val="20"/>
          <w:color w:val="auto"/>
        </w:rPr>
      </w:pPr>
      <w:r>
        <w:rPr>
          <w:rFonts w:ascii="Arial" w:cs="Arial" w:eastAsia="Arial" w:hAnsi="Arial"/>
          <w:sz w:val="26"/>
          <w:szCs w:val="26"/>
          <w:color w:val="005CB8"/>
        </w:rPr>
        <w:t>Role of Board in Risk Oversight Process</w:t>
      </w:r>
    </w:p>
    <w:p>
      <w:pPr>
        <w:spacing w:after="0" w:line="169"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Risk is inherent with every business, and we face a number of risks, including strategic, financial, business and operational, legal and compliance, and reputational, in the pursuit and achievement of our strategic objectives. We have designed and implemented processes to manage risk in our operations. Management is responsible for the day-to-day oversight and management of strategic, operational, legal and compliance, cybersecurity, and financial risks, while our board of directors, as a whole and assisted by its committees, has responsibility for the oversight of our risk management framework, which is designed to identify, assess, and manage risks to which our company is exposed, as well as to foster a corporate culture of integrity. Consistent with this approach, our board regularly reviews our strategic and operational risks in the context of discussions with management, question and answer sessions, and reports from the management team at each regular board meeting. Our board also receives regular reports on all significant committee activities at each regular board meeting, and evaluates the risks inherent in significant transactions.</w:t>
      </w:r>
    </w:p>
    <w:p>
      <w:pPr>
        <w:spacing w:after="0" w:line="152"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In addition, our board has tasked designated standing committees with oversight of certain categories of risk management. Our audit committee assists our board in fulfilling its oversight responsibilities with respect to risk management in the areas of internal control over financial reporting and disclosure controls and procedures, legal and regulatory compliance. The audit committee further oversees our initiatives related to cybersecurity, including prevention and monitoring, as well as oversight of our enterprise-risk management program. Our audit committee also, among other things, discusses with management and the independent auditor guidelines and policies with respect to risk assessment and risk management. Our compensation committee assesses risks relating to our executive compensation plans and arrangements, and whether our compensation policies and programs have the potential to encourage excessive risk-taking. Our nominating and corporate governance committee assesses risks relating to our corporate governance practices, the independence of the board, and potential conflicts of interest. These committees provide regular reports on our risk management efforts to the full board.</w:t>
      </w:r>
    </w:p>
    <w:p>
      <w:pPr>
        <w:spacing w:after="0" w:line="190" w:lineRule="exact"/>
        <w:rPr>
          <w:sz w:val="20"/>
          <w:szCs w:val="20"/>
          <w:color w:val="auto"/>
        </w:rPr>
      </w:pPr>
    </w:p>
    <w:p>
      <w:pPr>
        <w:ind w:left="524" w:hanging="524"/>
        <w:spacing w:after="0"/>
        <w:tabs>
          <w:tab w:leader="none" w:pos="524"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18" w:name="page19"/>
    <w:bookmarkEnd w:id="18"/>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1340"/>
        <w:spacing w:after="0" w:line="260" w:lineRule="auto"/>
        <w:rPr>
          <w:sz w:val="20"/>
          <w:szCs w:val="20"/>
          <w:color w:val="auto"/>
        </w:rPr>
      </w:pPr>
      <w:r>
        <w:rPr>
          <w:rFonts w:ascii="Arial" w:cs="Arial" w:eastAsia="Arial" w:hAnsi="Arial"/>
          <w:sz w:val="32"/>
          <w:szCs w:val="32"/>
          <w:color w:val="005CB8"/>
        </w:rPr>
        <w:t>BOARD OF DIRECTORS AND CORPORATE GOVERNANCE (continued)</w:t>
      </w:r>
    </w:p>
    <w:p>
      <w:pPr>
        <w:spacing w:after="0" w:line="33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board of director believes its current leadership structure supports the risk oversight function of the board.</w:t>
      </w:r>
    </w:p>
    <w:p>
      <w:pPr>
        <w:spacing w:after="0" w:line="374" w:lineRule="exact"/>
        <w:rPr>
          <w:sz w:val="20"/>
          <w:szCs w:val="20"/>
          <w:color w:val="auto"/>
        </w:rPr>
      </w:pPr>
    </w:p>
    <w:p>
      <w:pPr>
        <w:ind w:left="720"/>
        <w:spacing w:after="0"/>
        <w:rPr>
          <w:sz w:val="20"/>
          <w:szCs w:val="20"/>
          <w:color w:val="auto"/>
        </w:rPr>
      </w:pPr>
      <w:r>
        <w:rPr>
          <w:rFonts w:ascii="Arial" w:cs="Arial" w:eastAsia="Arial" w:hAnsi="Arial"/>
          <w:sz w:val="26"/>
          <w:szCs w:val="26"/>
          <w:color w:val="005CB8"/>
        </w:rPr>
        <w:t>Director Compensation</w:t>
      </w:r>
    </w:p>
    <w:p>
      <w:pPr>
        <w:spacing w:after="0" w:line="169" w:lineRule="exact"/>
        <w:rPr>
          <w:sz w:val="20"/>
          <w:szCs w:val="20"/>
          <w:color w:val="auto"/>
        </w:rPr>
      </w:pPr>
    </w:p>
    <w:p>
      <w:pPr>
        <w:ind w:left="720" w:right="740"/>
        <w:spacing w:after="0" w:line="248" w:lineRule="auto"/>
        <w:rPr>
          <w:sz w:val="20"/>
          <w:szCs w:val="20"/>
          <w:color w:val="auto"/>
        </w:rPr>
      </w:pPr>
      <w:r>
        <w:rPr>
          <w:rFonts w:ascii="Arial" w:cs="Arial" w:eastAsia="Arial" w:hAnsi="Arial"/>
          <w:sz w:val="16"/>
          <w:szCs w:val="16"/>
          <w:color w:val="auto"/>
        </w:rPr>
        <w:t>In connection with our initial public offering, we adopted a compensation policy for our non-employee directors. Under this director compensation policy, each non-employee director receives the cash and equity compensation for board services described below. We also reimburse our non-employee directors for reasonable, customary, and documented travel expenses to board meetings. The director compensation policy was developed in consultation with Compensia, Inc., or Compensia, an independent national compensation consulting firm. Compensia provided recommendations and competitive non-employee director compensation data and analyses. We considered and discussed these recommendations and data, and considered the specific duties and committee responsibilities of particular directors. We adopted Compensia’s recommendations when we approved the director compensation policy, which we believe provides our non-employee directors with reasonable and appropriate compensation that is commensurate with the services they provide and competitive with compensation paid by our peer group companies to their non-employee directors. Compensia also advised on the subsequent decrease in equity compensation described below.</w:t>
      </w:r>
    </w:p>
    <w:p>
      <w:pPr>
        <w:spacing w:after="0" w:line="151" w:lineRule="exact"/>
        <w:rPr>
          <w:sz w:val="20"/>
          <w:szCs w:val="20"/>
          <w:color w:val="auto"/>
        </w:rPr>
      </w:pPr>
    </w:p>
    <w:p>
      <w:pPr>
        <w:ind w:left="720" w:right="840"/>
        <w:spacing w:after="0" w:line="249" w:lineRule="auto"/>
        <w:rPr>
          <w:sz w:val="20"/>
          <w:szCs w:val="20"/>
          <w:color w:val="auto"/>
        </w:rPr>
      </w:pPr>
      <w:r>
        <w:rPr>
          <w:rFonts w:ascii="Arial" w:cs="Arial" w:eastAsia="Arial" w:hAnsi="Arial"/>
          <w:sz w:val="16"/>
          <w:szCs w:val="16"/>
          <w:color w:val="auto"/>
        </w:rPr>
        <w:t>The director compensation policy includes a maximum annual limit of $1,200,000 of cash compensation and equity awards that may be paid, issued, or granted to a non-employee director in any fiscal year. For purposes of this limitation, the value of equity awards is based on the grant date fair value (determined in accordance with U.S. Generally Accepted Accounting Principles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 Any cash compensation paid or equity awards granted to a person for his or her services as an employee, or for his or her services as a consultant (other than as a non-employee director), will not count for purposes of the limitation. The maximum limit does not reflect the intended size of any potential compensation or equity awards to our non-employee directors.</w:t>
      </w:r>
    </w:p>
    <w:p>
      <w:pPr>
        <w:spacing w:after="0" w:line="36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Equity Compensation</w:t>
      </w:r>
    </w:p>
    <w:p>
      <w:pPr>
        <w:spacing w:after="0" w:line="66" w:lineRule="exact"/>
        <w:rPr>
          <w:sz w:val="20"/>
          <w:szCs w:val="20"/>
          <w:color w:val="auto"/>
        </w:rPr>
      </w:pPr>
    </w:p>
    <w:p>
      <w:pPr>
        <w:ind w:left="720" w:right="740"/>
        <w:spacing w:after="0" w:line="247" w:lineRule="auto"/>
        <w:rPr>
          <w:sz w:val="20"/>
          <w:szCs w:val="20"/>
          <w:color w:val="auto"/>
        </w:rPr>
      </w:pPr>
      <w:r>
        <w:rPr>
          <w:rFonts w:ascii="Arial" w:cs="Arial" w:eastAsia="Arial" w:hAnsi="Arial"/>
          <w:sz w:val="16"/>
          <w:szCs w:val="16"/>
          <w:color w:val="005CB8"/>
        </w:rPr>
        <w:t xml:space="preserve">Initial Award. </w:t>
      </w:r>
      <w:r>
        <w:rPr>
          <w:rFonts w:ascii="Arial" w:cs="Arial" w:eastAsia="Arial" w:hAnsi="Arial"/>
          <w:sz w:val="16"/>
          <w:szCs w:val="16"/>
          <w:color w:val="000000"/>
        </w:rPr>
        <w:t>Each person who first becomes a non-employee director receives, on the first trading date or after the date on which the</w:t>
      </w:r>
      <w:r>
        <w:rPr>
          <w:rFonts w:ascii="Arial" w:cs="Arial" w:eastAsia="Arial" w:hAnsi="Arial"/>
          <w:sz w:val="16"/>
          <w:szCs w:val="16"/>
          <w:color w:val="005CB8"/>
        </w:rPr>
        <w:t xml:space="preserve"> </w:t>
      </w:r>
      <w:r>
        <w:rPr>
          <w:rFonts w:ascii="Arial" w:cs="Arial" w:eastAsia="Arial" w:hAnsi="Arial"/>
          <w:sz w:val="16"/>
          <w:szCs w:val="16"/>
          <w:color w:val="000000"/>
        </w:rPr>
        <w:t>person first becomes a non-employee director, an initial award of restricted stock units (“</w:t>
      </w:r>
      <w:r>
        <w:rPr>
          <w:rFonts w:ascii="Arial" w:cs="Arial" w:eastAsia="Arial" w:hAnsi="Arial"/>
          <w:sz w:val="16"/>
          <w:szCs w:val="16"/>
          <w:b w:val="1"/>
          <w:bCs w:val="1"/>
          <w:i w:val="1"/>
          <w:iCs w:val="1"/>
          <w:color w:val="000000"/>
        </w:rPr>
        <w:t>RSUs</w:t>
      </w:r>
      <w:r>
        <w:rPr>
          <w:rFonts w:ascii="Arial" w:cs="Arial" w:eastAsia="Arial" w:hAnsi="Arial"/>
          <w:sz w:val="16"/>
          <w:szCs w:val="16"/>
          <w:color w:val="000000"/>
        </w:rPr>
        <w:t>”), or the Initial Award. The Initial Award covers a number of shares of our Class A common stock having a grant date fair value (determined in accordance with GAAP) equal to $300,000 (the “</w:t>
      </w:r>
      <w:r>
        <w:rPr>
          <w:rFonts w:ascii="Arial" w:cs="Arial" w:eastAsia="Arial" w:hAnsi="Arial"/>
          <w:sz w:val="16"/>
          <w:szCs w:val="16"/>
          <w:b w:val="1"/>
          <w:bCs w:val="1"/>
          <w:i w:val="1"/>
          <w:iCs w:val="1"/>
          <w:color w:val="000000"/>
        </w:rPr>
        <w:t>Initial Award Value</w:t>
      </w:r>
      <w:r>
        <w:rPr>
          <w:rFonts w:ascii="Arial" w:cs="Arial" w:eastAsia="Arial" w:hAnsi="Arial"/>
          <w:sz w:val="16"/>
          <w:szCs w:val="16"/>
          <w:color w:val="000000"/>
        </w:rPr>
        <w:t>”) multiplied by the fraction obtained by dividing (a) the number of full months during the period beginning on the date the person first becomes a non-employee director and ending on the one-year anniversary of the date of the then-most recent annual meeting of the company’s stockholders, or the Initial Award Vesting Period by (b) 12, rounded to the nearest whole share. In December 2019, we amended our director compensation policy to decrease the Initial Award Value from $300,000 to $250,000. The Initial Award vests on the last day of the Initial Award Vesting Period or, if earlier, on the day before the annual meeting of our stockholders that follows the grant date of the Initial Award, subject to the non-employee director continuing to provide services to us through the applicable vesting date. If the person was a member of the board of directors and also an employee, becoming a non-employee director due to termination of employment will not entitle the non-employee director to an Initial Award.</w:t>
      </w:r>
    </w:p>
    <w:p>
      <w:pPr>
        <w:spacing w:after="0" w:line="158" w:lineRule="exact"/>
        <w:rPr>
          <w:sz w:val="20"/>
          <w:szCs w:val="20"/>
          <w:color w:val="auto"/>
        </w:rPr>
      </w:pPr>
    </w:p>
    <w:p>
      <w:pPr>
        <w:ind w:left="720" w:right="920"/>
        <w:spacing w:after="0" w:line="248" w:lineRule="auto"/>
        <w:rPr>
          <w:sz w:val="20"/>
          <w:szCs w:val="20"/>
          <w:color w:val="auto"/>
        </w:rPr>
      </w:pPr>
      <w:r>
        <w:rPr>
          <w:rFonts w:ascii="Arial" w:cs="Arial" w:eastAsia="Arial" w:hAnsi="Arial"/>
          <w:sz w:val="16"/>
          <w:szCs w:val="16"/>
          <w:color w:val="005CB8"/>
        </w:rPr>
        <w:t xml:space="preserve">Annual Award. </w:t>
      </w:r>
      <w:r>
        <w:rPr>
          <w:rFonts w:ascii="Arial" w:cs="Arial" w:eastAsia="Arial" w:hAnsi="Arial"/>
          <w:sz w:val="16"/>
          <w:szCs w:val="16"/>
          <w:color w:val="000000"/>
        </w:rPr>
        <w:t>Each non-employee director will automatically receive, on the date of each annual meeting of stockholders following</w:t>
      </w:r>
      <w:r>
        <w:rPr>
          <w:rFonts w:ascii="Arial" w:cs="Arial" w:eastAsia="Arial" w:hAnsi="Arial"/>
          <w:sz w:val="16"/>
          <w:szCs w:val="16"/>
          <w:color w:val="005CB8"/>
        </w:rPr>
        <w:t xml:space="preserve"> </w:t>
      </w:r>
      <w:r>
        <w:rPr>
          <w:rFonts w:ascii="Arial" w:cs="Arial" w:eastAsia="Arial" w:hAnsi="Arial"/>
          <w:sz w:val="16"/>
          <w:szCs w:val="16"/>
          <w:color w:val="000000"/>
        </w:rPr>
        <w:t>the effective date of the policy, an annual award of RSUs, each of which we refer to as an Annual Award, covering a number of shares of our Class A common stock having a grant date fair value (determined in accordance with GAAP) of $300,000, rounded to the nearest whole share. In December 2019, we amended our director compensation policy to lower the Annual Award amount to cover a number of shares of our Class A common stock with a grant date fair value of $250,000.The Annual Award will vest on the one-year anniversary of the grant date of the Annual Award or, if earlier, the day before our annual meeting of stockholders that follows the grant date of the Annual Award, subject to the non-employee director continuing to provide services to us through the applicable vesting date.</w:t>
      </w:r>
    </w:p>
    <w:p>
      <w:pPr>
        <w:spacing w:after="0" w:line="153" w:lineRule="exact"/>
        <w:rPr>
          <w:sz w:val="20"/>
          <w:szCs w:val="20"/>
          <w:color w:val="auto"/>
        </w:rPr>
      </w:pPr>
    </w:p>
    <w:p>
      <w:pPr>
        <w:ind w:left="720" w:right="960"/>
        <w:spacing w:after="0" w:line="253" w:lineRule="auto"/>
        <w:rPr>
          <w:sz w:val="20"/>
          <w:szCs w:val="20"/>
          <w:color w:val="auto"/>
        </w:rPr>
      </w:pPr>
      <w:r>
        <w:rPr>
          <w:rFonts w:ascii="Arial" w:cs="Arial" w:eastAsia="Arial" w:hAnsi="Arial"/>
          <w:sz w:val="16"/>
          <w:szCs w:val="16"/>
          <w:color w:val="auto"/>
        </w:rPr>
        <w:t>Each non-employee director may elect to defer the delivery of the settlement of any Initial Award or Annual Award that would otherwise be delivered to such non-employee director on or following the date such award vests pursuant to the terms of a deferral election such non-employee director makes in accordance with the policy.</w:t>
      </w:r>
    </w:p>
    <w:p>
      <w:pPr>
        <w:spacing w:after="0" w:line="147" w:lineRule="exact"/>
        <w:rPr>
          <w:sz w:val="20"/>
          <w:szCs w:val="20"/>
          <w:color w:val="auto"/>
        </w:rPr>
      </w:pPr>
    </w:p>
    <w:p>
      <w:pPr>
        <w:ind w:left="720" w:right="780"/>
        <w:spacing w:after="0" w:line="253" w:lineRule="auto"/>
        <w:rPr>
          <w:sz w:val="20"/>
          <w:szCs w:val="20"/>
          <w:color w:val="auto"/>
        </w:rPr>
      </w:pPr>
      <w:r>
        <w:rPr>
          <w:rFonts w:ascii="Arial" w:cs="Arial" w:eastAsia="Arial" w:hAnsi="Arial"/>
          <w:sz w:val="16"/>
          <w:szCs w:val="16"/>
          <w:color w:val="auto"/>
        </w:rPr>
        <w:t>In the event of a “change in control” (as defined in our 2018 Equity Incentive Plan), each non-employee director will fully vest in his or her outstanding company equity awards, including any Initial Award or Annual Award, provided that the non-employee director continues to be a non-employee director through such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38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15</w:t>
            </w:r>
          </w:p>
        </w:tc>
      </w:tr>
      <w:tr>
        <w:trPr>
          <w:trHeight w:val="167"/>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19" w:name="page20"/>
    <w:bookmarkEnd w:id="19"/>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600"/>
        <w:spacing w:after="0" w:line="260" w:lineRule="auto"/>
        <w:rPr>
          <w:sz w:val="20"/>
          <w:szCs w:val="20"/>
          <w:color w:val="auto"/>
        </w:rPr>
      </w:pPr>
      <w:r>
        <w:rPr>
          <w:rFonts w:ascii="Arial" w:cs="Arial" w:eastAsia="Arial" w:hAnsi="Arial"/>
          <w:sz w:val="32"/>
          <w:szCs w:val="32"/>
          <w:color w:val="005CB8"/>
        </w:rPr>
        <w:t>BOARD OF DIRECTORS AND CORPORATE GOVERNANCE (continued)</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Cash Compensation</w:t>
      </w:r>
    </w:p>
    <w:p>
      <w:pPr>
        <w:spacing w:after="0" w:line="52" w:lineRule="exact"/>
        <w:rPr>
          <w:sz w:val="20"/>
          <w:szCs w:val="20"/>
          <w:color w:val="auto"/>
        </w:rPr>
      </w:pPr>
    </w:p>
    <w:p>
      <w:pPr>
        <w:ind w:left="4" w:right="580"/>
        <w:spacing w:after="0" w:line="260" w:lineRule="auto"/>
        <w:rPr>
          <w:sz w:val="20"/>
          <w:szCs w:val="20"/>
          <w:color w:val="auto"/>
        </w:rPr>
      </w:pPr>
      <w:r>
        <w:rPr>
          <w:rFonts w:ascii="Arial" w:cs="Arial" w:eastAsia="Arial" w:hAnsi="Arial"/>
          <w:sz w:val="16"/>
          <w:szCs w:val="16"/>
          <w:color w:val="auto"/>
        </w:rPr>
        <w:t>Under our director compensation policy, each non-employee director is paid an annual cash retainer of $50,000, which is paid quarterly in arrears on a prorated basis. There are no per-meeting attendance fees for attending board meetings.</w:t>
      </w:r>
    </w:p>
    <w:p>
      <w:pPr>
        <w:spacing w:after="0" w:line="141" w:lineRule="exact"/>
        <w:rPr>
          <w:sz w:val="20"/>
          <w:szCs w:val="20"/>
          <w:color w:val="auto"/>
        </w:rPr>
      </w:pPr>
    </w:p>
    <w:p>
      <w:pPr>
        <w:ind w:left="4" w:right="680"/>
        <w:spacing w:after="0" w:line="260" w:lineRule="auto"/>
        <w:rPr>
          <w:sz w:val="20"/>
          <w:szCs w:val="20"/>
          <w:color w:val="auto"/>
        </w:rPr>
      </w:pPr>
      <w:r>
        <w:rPr>
          <w:rFonts w:ascii="Arial" w:cs="Arial" w:eastAsia="Arial" w:hAnsi="Arial"/>
          <w:sz w:val="16"/>
          <w:szCs w:val="16"/>
          <w:color w:val="auto"/>
        </w:rPr>
        <w:t>Under the policy in fiscal 2019, each non-employee director was entitled to receive the following cash compensation for their additional services:</w:t>
      </w:r>
    </w:p>
    <w:p>
      <w:pPr>
        <w:spacing w:after="0" w:line="141" w:lineRule="exact"/>
        <w:rPr>
          <w:sz w:val="20"/>
          <w:szCs w:val="20"/>
          <w:color w:val="auto"/>
        </w:rPr>
      </w:pPr>
    </w:p>
    <w:p>
      <w:pPr>
        <w:ind w:left="284" w:hanging="284"/>
        <w:spacing w:after="0"/>
        <w:tabs>
          <w:tab w:leader="none" w:pos="284" w:val="left"/>
        </w:tabs>
        <w:numPr>
          <w:ilvl w:val="0"/>
          <w:numId w:val="30"/>
        </w:numPr>
        <w:rPr>
          <w:rFonts w:ascii="Arial" w:cs="Arial" w:eastAsia="Arial" w:hAnsi="Arial"/>
          <w:sz w:val="16"/>
          <w:szCs w:val="16"/>
          <w:color w:val="005CB8"/>
        </w:rPr>
      </w:pPr>
      <w:r>
        <w:rPr>
          <w:rFonts w:ascii="Arial" w:cs="Arial" w:eastAsia="Arial" w:hAnsi="Arial"/>
          <w:sz w:val="16"/>
          <w:szCs w:val="16"/>
          <w:color w:val="auto"/>
        </w:rPr>
        <w:t>$35,000 per year for service as a lead independent director;</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30"/>
        </w:numPr>
        <w:rPr>
          <w:rFonts w:ascii="Arial" w:cs="Arial" w:eastAsia="Arial" w:hAnsi="Arial"/>
          <w:sz w:val="16"/>
          <w:szCs w:val="16"/>
          <w:color w:val="005CB8"/>
        </w:rPr>
      </w:pPr>
      <w:r>
        <w:rPr>
          <w:rFonts w:ascii="Arial" w:cs="Arial" w:eastAsia="Arial" w:hAnsi="Arial"/>
          <w:sz w:val="16"/>
          <w:szCs w:val="16"/>
          <w:color w:val="auto"/>
        </w:rPr>
        <w:t>$30,000 per year for service as chair of the audit committee;</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30"/>
        </w:numPr>
        <w:rPr>
          <w:rFonts w:ascii="Arial" w:cs="Arial" w:eastAsia="Arial" w:hAnsi="Arial"/>
          <w:sz w:val="16"/>
          <w:szCs w:val="16"/>
          <w:color w:val="005CB8"/>
        </w:rPr>
      </w:pPr>
      <w:r>
        <w:rPr>
          <w:rFonts w:ascii="Arial" w:cs="Arial" w:eastAsia="Arial" w:hAnsi="Arial"/>
          <w:sz w:val="16"/>
          <w:szCs w:val="16"/>
          <w:color w:val="auto"/>
        </w:rPr>
        <w:t>$12,500 per year for service as a member of the audit committee;</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30"/>
        </w:numPr>
        <w:rPr>
          <w:rFonts w:ascii="Arial" w:cs="Arial" w:eastAsia="Arial" w:hAnsi="Arial"/>
          <w:sz w:val="16"/>
          <w:szCs w:val="16"/>
          <w:color w:val="005CB8"/>
        </w:rPr>
      </w:pPr>
      <w:r>
        <w:rPr>
          <w:rFonts w:ascii="Arial" w:cs="Arial" w:eastAsia="Arial" w:hAnsi="Arial"/>
          <w:sz w:val="16"/>
          <w:szCs w:val="16"/>
          <w:color w:val="auto"/>
        </w:rPr>
        <w:t>$20,000 per year for service as chair of the compensation committee;</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30"/>
        </w:numPr>
        <w:rPr>
          <w:rFonts w:ascii="Arial" w:cs="Arial" w:eastAsia="Arial" w:hAnsi="Arial"/>
          <w:sz w:val="16"/>
          <w:szCs w:val="16"/>
          <w:color w:val="005CB8"/>
        </w:rPr>
      </w:pPr>
      <w:r>
        <w:rPr>
          <w:rFonts w:ascii="Arial" w:cs="Arial" w:eastAsia="Arial" w:hAnsi="Arial"/>
          <w:sz w:val="16"/>
          <w:szCs w:val="16"/>
          <w:color w:val="auto"/>
        </w:rPr>
        <w:t>$10,000 per year for service as a member of the compensation committee;</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30"/>
        </w:numPr>
        <w:rPr>
          <w:rFonts w:ascii="Arial" w:cs="Arial" w:eastAsia="Arial" w:hAnsi="Arial"/>
          <w:sz w:val="16"/>
          <w:szCs w:val="16"/>
          <w:color w:val="005CB8"/>
        </w:rPr>
      </w:pPr>
      <w:r>
        <w:rPr>
          <w:rFonts w:ascii="Arial" w:cs="Arial" w:eastAsia="Arial" w:hAnsi="Arial"/>
          <w:sz w:val="16"/>
          <w:szCs w:val="16"/>
          <w:color w:val="auto"/>
        </w:rPr>
        <w:t>$15,000 per year for service as chair of the nominating and corporate governance committee; and</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30"/>
        </w:numPr>
        <w:rPr>
          <w:rFonts w:ascii="Arial" w:cs="Arial" w:eastAsia="Arial" w:hAnsi="Arial"/>
          <w:sz w:val="16"/>
          <w:szCs w:val="16"/>
          <w:color w:val="005CB8"/>
        </w:rPr>
      </w:pPr>
      <w:r>
        <w:rPr>
          <w:rFonts w:ascii="Arial" w:cs="Arial" w:eastAsia="Arial" w:hAnsi="Arial"/>
          <w:sz w:val="16"/>
          <w:szCs w:val="16"/>
          <w:color w:val="auto"/>
        </w:rPr>
        <w:t>$5,000 per year for service as a member of the nominating and corporate governance committee.</w:t>
      </w:r>
    </w:p>
    <w:p>
      <w:pPr>
        <w:spacing w:after="0" w:line="167" w:lineRule="exact"/>
        <w:rPr>
          <w:sz w:val="20"/>
          <w:szCs w:val="20"/>
          <w:color w:val="auto"/>
        </w:rPr>
      </w:pPr>
    </w:p>
    <w:p>
      <w:pPr>
        <w:jc w:val="both"/>
        <w:ind w:left="4" w:right="140"/>
        <w:spacing w:after="0" w:line="260" w:lineRule="auto"/>
        <w:rPr>
          <w:sz w:val="20"/>
          <w:szCs w:val="20"/>
          <w:color w:val="auto"/>
        </w:rPr>
      </w:pPr>
      <w:r>
        <w:rPr>
          <w:rFonts w:ascii="Arial" w:cs="Arial" w:eastAsia="Arial" w:hAnsi="Arial"/>
          <w:sz w:val="16"/>
          <w:szCs w:val="16"/>
          <w:color w:val="auto"/>
        </w:rPr>
        <w:t>Directors who serve as the chair of a committee will receive only the annual fee as the chair of the committee and not any additional fees for serving as a member of that committee.</w:t>
      </w:r>
    </w:p>
    <w:p>
      <w:pPr>
        <w:spacing w:after="0" w:line="35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2019 Compensation</w:t>
      </w:r>
    </w:p>
    <w:p>
      <w:pPr>
        <w:spacing w:after="0" w:line="66" w:lineRule="exact"/>
        <w:rPr>
          <w:sz w:val="20"/>
          <w:szCs w:val="20"/>
          <w:color w:val="auto"/>
        </w:rPr>
      </w:pPr>
    </w:p>
    <w:p>
      <w:pPr>
        <w:ind w:left="4" w:right="140"/>
        <w:spacing w:after="0" w:line="250" w:lineRule="auto"/>
        <w:rPr>
          <w:sz w:val="20"/>
          <w:szCs w:val="20"/>
          <w:color w:val="auto"/>
        </w:rPr>
      </w:pPr>
      <w:r>
        <w:rPr>
          <w:rFonts w:ascii="Arial" w:cs="Arial" w:eastAsia="Arial" w:hAnsi="Arial"/>
          <w:sz w:val="16"/>
          <w:szCs w:val="16"/>
          <w:color w:val="auto"/>
        </w:rPr>
        <w:t>The following table provides information regarding compensation of our non-employee directors for service as directors, for the year ended December 31, 2019. Directors who are also our employees receive no additional compensation for their service as directors. During 2019, Messrs. Houston and Ferdowsi were employees and executive officers of the Company and therefore, did not receive compensation as directors. See “</w:t>
      </w:r>
      <w:r>
        <w:rPr>
          <w:rFonts w:ascii="Arial" w:cs="Arial" w:eastAsia="Arial" w:hAnsi="Arial"/>
          <w:sz w:val="16"/>
          <w:szCs w:val="16"/>
          <w:i w:val="1"/>
          <w:iCs w:val="1"/>
          <w:color w:val="auto"/>
        </w:rPr>
        <w:t>Executive Compensation</w:t>
      </w:r>
      <w:r>
        <w:rPr>
          <w:rFonts w:ascii="Arial" w:cs="Arial" w:eastAsia="Arial" w:hAnsi="Arial"/>
          <w:sz w:val="16"/>
          <w:szCs w:val="16"/>
          <w:color w:val="auto"/>
        </w:rPr>
        <w:t>” for additional information regarding Mr. Houston’s compensation. Mr. Ferdowsi was not a named executive officer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6077585" cy="2305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7585" cy="2305685"/>
                    </a:xfrm>
                    <a:prstGeom prst="rect">
                      <a:avLst/>
                    </a:prstGeom>
                    <a:noFill/>
                  </pic:spPr>
                </pic:pic>
              </a:graphicData>
            </a:graphic>
          </wp:anchor>
        </w:drawing>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270"/>
        </w:trPr>
        <w:tc>
          <w:tcPr>
            <w:tcW w:w="3060" w:type="dxa"/>
            <w:vAlign w:val="bottom"/>
            <w:shd w:val="clear" w:color="auto" w:fill="0060EC"/>
          </w:tcPr>
          <w:p>
            <w:pPr>
              <w:spacing w:after="0"/>
              <w:rPr>
                <w:sz w:val="23"/>
                <w:szCs w:val="23"/>
                <w:color w:val="auto"/>
              </w:rPr>
            </w:pPr>
          </w:p>
        </w:tc>
        <w:tc>
          <w:tcPr>
            <w:tcW w:w="1640" w:type="dxa"/>
            <w:vAlign w:val="bottom"/>
            <w:shd w:val="clear" w:color="auto" w:fill="0060EC"/>
          </w:tcPr>
          <w:p>
            <w:pPr>
              <w:jc w:val="center"/>
              <w:ind w:left="701"/>
              <w:spacing w:after="0"/>
              <w:rPr>
                <w:sz w:val="20"/>
                <w:szCs w:val="20"/>
                <w:color w:val="auto"/>
              </w:rPr>
            </w:pPr>
            <w:r>
              <w:rPr>
                <w:rFonts w:ascii="Arial" w:cs="Arial" w:eastAsia="Arial" w:hAnsi="Arial"/>
                <w:sz w:val="14"/>
                <w:szCs w:val="14"/>
                <w:b w:val="1"/>
                <w:bCs w:val="1"/>
                <w:color w:val="FFFFFF"/>
              </w:rPr>
              <w:t>Fees Paid or</w:t>
            </w:r>
          </w:p>
        </w:tc>
        <w:tc>
          <w:tcPr>
            <w:tcW w:w="2080" w:type="dxa"/>
            <w:vAlign w:val="bottom"/>
            <w:shd w:val="clear" w:color="auto" w:fill="0060EC"/>
          </w:tcPr>
          <w:p>
            <w:pPr>
              <w:jc w:val="center"/>
              <w:ind w:left="284"/>
              <w:spacing w:after="0"/>
              <w:rPr>
                <w:sz w:val="20"/>
                <w:szCs w:val="20"/>
                <w:color w:val="auto"/>
              </w:rPr>
            </w:pPr>
            <w:r>
              <w:rPr>
                <w:rFonts w:ascii="Arial" w:cs="Arial" w:eastAsia="Arial" w:hAnsi="Arial"/>
                <w:sz w:val="14"/>
                <w:szCs w:val="14"/>
                <w:b w:val="1"/>
                <w:bCs w:val="1"/>
                <w:color w:val="FFFFFF"/>
              </w:rPr>
              <w:t>Stock</w:t>
            </w:r>
          </w:p>
        </w:tc>
        <w:tc>
          <w:tcPr>
            <w:tcW w:w="1740" w:type="dxa"/>
            <w:vAlign w:val="bottom"/>
            <w:shd w:val="clear" w:color="auto" w:fill="0060EC"/>
          </w:tcPr>
          <w:p>
            <w:pPr>
              <w:spacing w:after="0"/>
              <w:rPr>
                <w:sz w:val="23"/>
                <w:szCs w:val="23"/>
                <w:color w:val="auto"/>
              </w:rPr>
            </w:pPr>
          </w:p>
        </w:tc>
        <w:tc>
          <w:tcPr>
            <w:tcW w:w="1040" w:type="dxa"/>
            <w:vAlign w:val="bottom"/>
            <w:shd w:val="clear" w:color="auto" w:fill="0060EC"/>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3060" w:type="dxa"/>
            <w:vAlign w:val="bottom"/>
            <w:vMerge w:val="restart"/>
            <w:shd w:val="clear" w:color="auto" w:fill="0060EC"/>
          </w:tcPr>
          <w:p>
            <w:pPr>
              <w:ind w:left="1360"/>
              <w:spacing w:after="0"/>
              <w:rPr>
                <w:sz w:val="20"/>
                <w:szCs w:val="20"/>
                <w:color w:val="auto"/>
              </w:rPr>
            </w:pPr>
            <w:r>
              <w:rPr>
                <w:rFonts w:ascii="Arial" w:cs="Arial" w:eastAsia="Arial" w:hAnsi="Arial"/>
                <w:sz w:val="14"/>
                <w:szCs w:val="14"/>
                <w:b w:val="1"/>
                <w:bCs w:val="1"/>
                <w:color w:val="FFFFFF"/>
              </w:rPr>
              <w:t>Name</w:t>
            </w:r>
          </w:p>
        </w:tc>
        <w:tc>
          <w:tcPr>
            <w:tcW w:w="1640" w:type="dxa"/>
            <w:vAlign w:val="bottom"/>
            <w:shd w:val="clear" w:color="auto" w:fill="0060EC"/>
          </w:tcPr>
          <w:p>
            <w:pPr>
              <w:jc w:val="center"/>
              <w:ind w:left="661"/>
              <w:spacing w:after="0"/>
              <w:rPr>
                <w:sz w:val="20"/>
                <w:szCs w:val="20"/>
                <w:color w:val="auto"/>
              </w:rPr>
            </w:pPr>
            <w:r>
              <w:rPr>
                <w:rFonts w:ascii="Arial" w:cs="Arial" w:eastAsia="Arial" w:hAnsi="Arial"/>
                <w:sz w:val="14"/>
                <w:szCs w:val="14"/>
                <w:b w:val="1"/>
                <w:bCs w:val="1"/>
                <w:color w:val="FFFFFF"/>
              </w:rPr>
              <w:t>Earned in</w:t>
            </w:r>
          </w:p>
        </w:tc>
        <w:tc>
          <w:tcPr>
            <w:tcW w:w="2080" w:type="dxa"/>
            <w:vAlign w:val="bottom"/>
            <w:shd w:val="clear" w:color="auto" w:fill="0060EC"/>
          </w:tcPr>
          <w:p>
            <w:pPr>
              <w:jc w:val="center"/>
              <w:ind w:left="324"/>
              <w:spacing w:after="0" w:line="162" w:lineRule="exact"/>
              <w:rPr>
                <w:sz w:val="20"/>
                <w:szCs w:val="20"/>
                <w:color w:val="auto"/>
              </w:rPr>
            </w:pPr>
            <w:r>
              <w:rPr>
                <w:rFonts w:ascii="Arial" w:cs="Arial" w:eastAsia="Arial" w:hAnsi="Arial"/>
                <w:sz w:val="12"/>
                <w:szCs w:val="12"/>
                <w:b w:val="1"/>
                <w:bCs w:val="1"/>
                <w:color w:val="FFFFFF"/>
              </w:rPr>
              <w:t>Awards($)</w:t>
            </w:r>
            <w:r>
              <w:rPr>
                <w:rFonts w:ascii="Arial" w:cs="Arial" w:eastAsia="Arial" w:hAnsi="Arial"/>
                <w:sz w:val="18"/>
                <w:szCs w:val="18"/>
                <w:b w:val="1"/>
                <w:bCs w:val="1"/>
                <w:color w:val="FFFFFF"/>
                <w:vertAlign w:val="superscript"/>
              </w:rPr>
              <w:t>(1)</w:t>
            </w:r>
          </w:p>
        </w:tc>
        <w:tc>
          <w:tcPr>
            <w:tcW w:w="1740" w:type="dxa"/>
            <w:vAlign w:val="bottom"/>
            <w:shd w:val="clear" w:color="auto" w:fill="0060EC"/>
          </w:tcPr>
          <w:p>
            <w:pPr>
              <w:jc w:val="right"/>
              <w:ind w:right="501"/>
              <w:spacing w:after="0"/>
              <w:rPr>
                <w:sz w:val="20"/>
                <w:szCs w:val="20"/>
                <w:color w:val="auto"/>
              </w:rPr>
            </w:pPr>
            <w:r>
              <w:rPr>
                <w:rFonts w:ascii="Arial" w:cs="Arial" w:eastAsia="Arial" w:hAnsi="Arial"/>
                <w:sz w:val="14"/>
                <w:szCs w:val="14"/>
                <w:b w:val="1"/>
                <w:bCs w:val="1"/>
                <w:color w:val="FFFFFF"/>
              </w:rPr>
              <w:t>All Other</w:t>
            </w:r>
          </w:p>
        </w:tc>
        <w:tc>
          <w:tcPr>
            <w:tcW w:w="1040" w:type="dxa"/>
            <w:vAlign w:val="bottom"/>
            <w:vMerge w:val="restart"/>
            <w:shd w:val="clear" w:color="auto" w:fill="0060EC"/>
          </w:tcPr>
          <w:p>
            <w:pPr>
              <w:jc w:val="right"/>
              <w:ind w:right="2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90"/>
        </w:trPr>
        <w:tc>
          <w:tcPr>
            <w:tcW w:w="3060" w:type="dxa"/>
            <w:vAlign w:val="bottom"/>
            <w:vMerge w:val="continue"/>
            <w:shd w:val="clear" w:color="auto" w:fill="0060EC"/>
          </w:tcPr>
          <w:p>
            <w:pPr>
              <w:spacing w:after="0"/>
              <w:rPr>
                <w:sz w:val="16"/>
                <w:szCs w:val="16"/>
                <w:color w:val="auto"/>
              </w:rPr>
            </w:pPr>
          </w:p>
        </w:tc>
        <w:tc>
          <w:tcPr>
            <w:tcW w:w="1640" w:type="dxa"/>
            <w:vAlign w:val="bottom"/>
            <w:shd w:val="clear" w:color="auto" w:fill="0060EC"/>
          </w:tcPr>
          <w:p>
            <w:pPr>
              <w:jc w:val="center"/>
              <w:ind w:left="701"/>
              <w:spacing w:after="0"/>
              <w:rPr>
                <w:sz w:val="20"/>
                <w:szCs w:val="20"/>
                <w:color w:val="auto"/>
              </w:rPr>
            </w:pPr>
            <w:r>
              <w:rPr>
                <w:rFonts w:ascii="Arial" w:cs="Arial" w:eastAsia="Arial" w:hAnsi="Arial"/>
                <w:sz w:val="14"/>
                <w:szCs w:val="14"/>
                <w:b w:val="1"/>
                <w:bCs w:val="1"/>
                <w:color w:val="FFFFFF"/>
              </w:rPr>
              <w:t>Cash($)</w:t>
            </w:r>
          </w:p>
        </w:tc>
        <w:tc>
          <w:tcPr>
            <w:tcW w:w="2080" w:type="dxa"/>
            <w:vAlign w:val="bottom"/>
            <w:shd w:val="clear" w:color="auto" w:fill="0060EC"/>
          </w:tcPr>
          <w:p>
            <w:pPr>
              <w:jc w:val="center"/>
              <w:ind w:left="304"/>
              <w:spacing w:after="0"/>
              <w:rPr>
                <w:sz w:val="20"/>
                <w:szCs w:val="20"/>
                <w:color w:val="auto"/>
              </w:rPr>
            </w:pPr>
            <w:r>
              <w:rPr>
                <w:rFonts w:ascii="Arial" w:cs="Arial" w:eastAsia="Arial" w:hAnsi="Arial"/>
                <w:sz w:val="12"/>
                <w:szCs w:val="12"/>
                <w:b w:val="1"/>
                <w:bCs w:val="1"/>
                <w:color w:val="FFFFFF"/>
                <w:w w:val="95"/>
              </w:rPr>
              <w:t>(2)</w:t>
            </w:r>
          </w:p>
        </w:tc>
        <w:tc>
          <w:tcPr>
            <w:tcW w:w="1740" w:type="dxa"/>
            <w:vAlign w:val="bottom"/>
            <w:shd w:val="clear" w:color="auto" w:fill="0060EC"/>
          </w:tcPr>
          <w:p>
            <w:pPr>
              <w:jc w:val="right"/>
              <w:ind w:right="281"/>
              <w:spacing w:after="0"/>
              <w:rPr>
                <w:sz w:val="20"/>
                <w:szCs w:val="20"/>
                <w:color w:val="auto"/>
              </w:rPr>
            </w:pPr>
            <w:r>
              <w:rPr>
                <w:rFonts w:ascii="Arial" w:cs="Arial" w:eastAsia="Arial" w:hAnsi="Arial"/>
                <w:sz w:val="14"/>
                <w:szCs w:val="14"/>
                <w:b w:val="1"/>
                <w:bCs w:val="1"/>
                <w:color w:val="FFFFFF"/>
              </w:rPr>
              <w:t>Compensation</w:t>
            </w:r>
          </w:p>
        </w:tc>
        <w:tc>
          <w:tcPr>
            <w:tcW w:w="1040" w:type="dxa"/>
            <w:vAlign w:val="bottom"/>
            <w:vMerge w:val="continue"/>
            <w:shd w:val="clear" w:color="auto" w:fill="0060EC"/>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060" w:type="dxa"/>
            <w:vAlign w:val="bottom"/>
            <w:shd w:val="clear" w:color="auto" w:fill="0060EC"/>
          </w:tcPr>
          <w:p>
            <w:pPr>
              <w:spacing w:after="0"/>
              <w:rPr>
                <w:sz w:val="5"/>
                <w:szCs w:val="5"/>
                <w:color w:val="auto"/>
              </w:rPr>
            </w:pPr>
          </w:p>
        </w:tc>
        <w:tc>
          <w:tcPr>
            <w:tcW w:w="1640" w:type="dxa"/>
            <w:vAlign w:val="bottom"/>
            <w:shd w:val="clear" w:color="auto" w:fill="0060EC"/>
          </w:tcPr>
          <w:p>
            <w:pPr>
              <w:spacing w:after="0"/>
              <w:rPr>
                <w:sz w:val="5"/>
                <w:szCs w:val="5"/>
                <w:color w:val="auto"/>
              </w:rPr>
            </w:pPr>
          </w:p>
        </w:tc>
        <w:tc>
          <w:tcPr>
            <w:tcW w:w="2080" w:type="dxa"/>
            <w:vAlign w:val="bottom"/>
            <w:shd w:val="clear" w:color="auto" w:fill="0060EC"/>
          </w:tcPr>
          <w:p>
            <w:pPr>
              <w:spacing w:after="0"/>
              <w:rPr>
                <w:sz w:val="5"/>
                <w:szCs w:val="5"/>
                <w:color w:val="auto"/>
              </w:rPr>
            </w:pPr>
          </w:p>
        </w:tc>
        <w:tc>
          <w:tcPr>
            <w:tcW w:w="1740" w:type="dxa"/>
            <w:vAlign w:val="bottom"/>
            <w:shd w:val="clear" w:color="auto" w:fill="0060EC"/>
          </w:tcPr>
          <w:p>
            <w:pPr>
              <w:spacing w:after="0"/>
              <w:rPr>
                <w:sz w:val="5"/>
                <w:szCs w:val="5"/>
                <w:color w:val="auto"/>
              </w:rPr>
            </w:pPr>
          </w:p>
        </w:tc>
        <w:tc>
          <w:tcPr>
            <w:tcW w:w="1040" w:type="dxa"/>
            <w:vAlign w:val="bottom"/>
            <w:shd w:val="clear" w:color="auto" w:fill="0060EC"/>
          </w:tcPr>
          <w:p>
            <w:pPr>
              <w:spacing w:after="0"/>
              <w:rPr>
                <w:sz w:val="5"/>
                <w:szCs w:val="5"/>
                <w:color w:val="auto"/>
              </w:rPr>
            </w:pPr>
          </w:p>
        </w:tc>
        <w:tc>
          <w:tcPr>
            <w:tcW w:w="0" w:type="dxa"/>
            <w:vAlign w:val="bottom"/>
          </w:tcPr>
          <w:p>
            <w:pPr>
              <w:spacing w:after="0"/>
              <w:rPr>
                <w:sz w:val="1"/>
                <w:szCs w:val="1"/>
                <w:color w:val="auto"/>
              </w:rPr>
            </w:pPr>
          </w:p>
        </w:tc>
      </w:tr>
      <w:tr>
        <w:trPr>
          <w:trHeight w:val="378"/>
        </w:trPr>
        <w:tc>
          <w:tcPr>
            <w:tcW w:w="306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Lisa Campbell</w:t>
            </w:r>
            <w:r>
              <w:rPr>
                <w:rFonts w:ascii="Arial" w:cs="Arial" w:eastAsia="Arial" w:hAnsi="Arial"/>
                <w:sz w:val="26"/>
                <w:szCs w:val="26"/>
                <w:color w:val="005CB8"/>
                <w:vertAlign w:val="superscript"/>
              </w:rPr>
              <w:t>(3)</w:t>
            </w:r>
          </w:p>
        </w:tc>
        <w:tc>
          <w:tcPr>
            <w:tcW w:w="1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22,249</w:t>
            </w:r>
          </w:p>
        </w:tc>
        <w:tc>
          <w:tcPr>
            <w:tcW w:w="2080" w:type="dxa"/>
            <w:vAlign w:val="bottom"/>
            <w:shd w:val="clear" w:color="auto" w:fill="E5EFFD"/>
          </w:tcPr>
          <w:p>
            <w:pPr>
              <w:jc w:val="right"/>
              <w:ind w:right="304"/>
              <w:spacing w:after="0"/>
              <w:rPr>
                <w:sz w:val="20"/>
                <w:szCs w:val="20"/>
                <w:color w:val="auto"/>
              </w:rPr>
            </w:pPr>
            <w:r>
              <w:rPr>
                <w:rFonts w:ascii="Arial" w:cs="Arial" w:eastAsia="Arial" w:hAnsi="Arial"/>
                <w:sz w:val="16"/>
                <w:szCs w:val="16"/>
                <w:color w:val="005CB8"/>
              </w:rPr>
              <w:t>225,001</w:t>
            </w:r>
          </w:p>
        </w:tc>
        <w:tc>
          <w:tcPr>
            <w:tcW w:w="1740" w:type="dxa"/>
            <w:vAlign w:val="bottom"/>
            <w:shd w:val="clear" w:color="auto" w:fill="E5EFFD"/>
          </w:tcPr>
          <w:p>
            <w:pPr>
              <w:jc w:val="right"/>
              <w:ind w:right="281"/>
              <w:spacing w:after="0"/>
              <w:rPr>
                <w:sz w:val="20"/>
                <w:szCs w:val="20"/>
                <w:color w:val="auto"/>
              </w:rPr>
            </w:pPr>
            <w:r>
              <w:rPr>
                <w:rFonts w:ascii="Arial" w:cs="Arial" w:eastAsia="Arial" w:hAnsi="Arial"/>
                <w:sz w:val="16"/>
                <w:szCs w:val="16"/>
                <w:color w:val="005CB8"/>
              </w:rPr>
              <w:t>—</w:t>
            </w:r>
          </w:p>
        </w:tc>
        <w:tc>
          <w:tcPr>
            <w:tcW w:w="10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247,250</w:t>
            </w:r>
          </w:p>
        </w:tc>
        <w:tc>
          <w:tcPr>
            <w:tcW w:w="0" w:type="dxa"/>
            <w:vAlign w:val="bottom"/>
          </w:tcPr>
          <w:p>
            <w:pPr>
              <w:spacing w:after="0"/>
              <w:rPr>
                <w:sz w:val="1"/>
                <w:szCs w:val="1"/>
                <w:color w:val="auto"/>
              </w:rPr>
            </w:pPr>
          </w:p>
        </w:tc>
      </w:tr>
      <w:tr>
        <w:trPr>
          <w:trHeight w:val="291"/>
        </w:trPr>
        <w:tc>
          <w:tcPr>
            <w:tcW w:w="306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Donald W. Blair</w:t>
            </w:r>
          </w:p>
        </w:tc>
        <w:tc>
          <w:tcPr>
            <w:tcW w:w="1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62,500</w:t>
            </w:r>
          </w:p>
        </w:tc>
        <w:tc>
          <w:tcPr>
            <w:tcW w:w="2080" w:type="dxa"/>
            <w:vAlign w:val="bottom"/>
            <w:shd w:val="clear" w:color="auto" w:fill="E5EFFD"/>
          </w:tcPr>
          <w:p>
            <w:pPr>
              <w:jc w:val="right"/>
              <w:ind w:right="304"/>
              <w:spacing w:after="0"/>
              <w:rPr>
                <w:sz w:val="20"/>
                <w:szCs w:val="20"/>
                <w:color w:val="auto"/>
              </w:rPr>
            </w:pPr>
            <w:r>
              <w:rPr>
                <w:rFonts w:ascii="Arial" w:cs="Arial" w:eastAsia="Arial" w:hAnsi="Arial"/>
                <w:sz w:val="16"/>
                <w:szCs w:val="16"/>
                <w:color w:val="005CB8"/>
              </w:rPr>
              <w:t>300,003</w:t>
            </w:r>
          </w:p>
        </w:tc>
        <w:tc>
          <w:tcPr>
            <w:tcW w:w="1740" w:type="dxa"/>
            <w:vAlign w:val="bottom"/>
            <w:shd w:val="clear" w:color="auto" w:fill="E5EFFD"/>
          </w:tcPr>
          <w:p>
            <w:pPr>
              <w:jc w:val="right"/>
              <w:ind w:right="281"/>
              <w:spacing w:after="0"/>
              <w:rPr>
                <w:sz w:val="20"/>
                <w:szCs w:val="20"/>
                <w:color w:val="auto"/>
              </w:rPr>
            </w:pPr>
            <w:r>
              <w:rPr>
                <w:rFonts w:ascii="Arial" w:cs="Arial" w:eastAsia="Arial" w:hAnsi="Arial"/>
                <w:sz w:val="16"/>
                <w:szCs w:val="16"/>
                <w:color w:val="005CB8"/>
              </w:rPr>
              <w:t>—</w:t>
            </w:r>
          </w:p>
        </w:tc>
        <w:tc>
          <w:tcPr>
            <w:tcW w:w="10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362,503</w:t>
            </w:r>
          </w:p>
        </w:tc>
        <w:tc>
          <w:tcPr>
            <w:tcW w:w="0" w:type="dxa"/>
            <w:vAlign w:val="bottom"/>
          </w:tcPr>
          <w:p>
            <w:pPr>
              <w:spacing w:after="0"/>
              <w:rPr>
                <w:sz w:val="1"/>
                <w:szCs w:val="1"/>
                <w:color w:val="auto"/>
              </w:rPr>
            </w:pPr>
          </w:p>
        </w:tc>
      </w:tr>
      <w:tr>
        <w:trPr>
          <w:trHeight w:val="378"/>
        </w:trPr>
        <w:tc>
          <w:tcPr>
            <w:tcW w:w="306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Paul E. Jacobs</w:t>
            </w:r>
          </w:p>
        </w:tc>
        <w:tc>
          <w:tcPr>
            <w:tcW w:w="1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55,000</w:t>
            </w:r>
          </w:p>
        </w:tc>
        <w:tc>
          <w:tcPr>
            <w:tcW w:w="2080" w:type="dxa"/>
            <w:vAlign w:val="bottom"/>
            <w:shd w:val="clear" w:color="auto" w:fill="E5EFFD"/>
          </w:tcPr>
          <w:p>
            <w:pPr>
              <w:jc w:val="right"/>
              <w:ind w:right="304"/>
              <w:spacing w:after="0"/>
              <w:rPr>
                <w:sz w:val="20"/>
                <w:szCs w:val="20"/>
                <w:color w:val="auto"/>
              </w:rPr>
            </w:pPr>
            <w:r>
              <w:rPr>
                <w:rFonts w:ascii="Arial" w:cs="Arial" w:eastAsia="Arial" w:hAnsi="Arial"/>
                <w:sz w:val="16"/>
                <w:szCs w:val="16"/>
                <w:color w:val="005CB8"/>
              </w:rPr>
              <w:t>300,003</w:t>
            </w:r>
          </w:p>
        </w:tc>
        <w:tc>
          <w:tcPr>
            <w:tcW w:w="1740" w:type="dxa"/>
            <w:vAlign w:val="bottom"/>
            <w:shd w:val="clear" w:color="auto" w:fill="E5EFFD"/>
          </w:tcPr>
          <w:p>
            <w:pPr>
              <w:jc w:val="right"/>
              <w:ind w:right="281"/>
              <w:spacing w:after="0"/>
              <w:rPr>
                <w:sz w:val="20"/>
                <w:szCs w:val="20"/>
                <w:color w:val="auto"/>
              </w:rPr>
            </w:pPr>
            <w:r>
              <w:rPr>
                <w:rFonts w:ascii="Arial" w:cs="Arial" w:eastAsia="Arial" w:hAnsi="Arial"/>
                <w:sz w:val="16"/>
                <w:szCs w:val="16"/>
                <w:color w:val="005CB8"/>
              </w:rPr>
              <w:t>—</w:t>
            </w:r>
          </w:p>
        </w:tc>
        <w:tc>
          <w:tcPr>
            <w:tcW w:w="10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355,003</w:t>
            </w:r>
          </w:p>
        </w:tc>
        <w:tc>
          <w:tcPr>
            <w:tcW w:w="0" w:type="dxa"/>
            <w:vAlign w:val="bottom"/>
          </w:tcPr>
          <w:p>
            <w:pPr>
              <w:spacing w:after="0"/>
              <w:rPr>
                <w:sz w:val="1"/>
                <w:szCs w:val="1"/>
                <w:color w:val="auto"/>
              </w:rPr>
            </w:pPr>
          </w:p>
        </w:tc>
      </w:tr>
      <w:tr>
        <w:trPr>
          <w:trHeight w:val="378"/>
        </w:trPr>
        <w:tc>
          <w:tcPr>
            <w:tcW w:w="306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Robert J. Mylod, Jr.</w:t>
            </w:r>
          </w:p>
        </w:tc>
        <w:tc>
          <w:tcPr>
            <w:tcW w:w="1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90,000</w:t>
            </w:r>
          </w:p>
        </w:tc>
        <w:tc>
          <w:tcPr>
            <w:tcW w:w="2080" w:type="dxa"/>
            <w:vAlign w:val="bottom"/>
            <w:shd w:val="clear" w:color="auto" w:fill="E5EFFD"/>
          </w:tcPr>
          <w:p>
            <w:pPr>
              <w:jc w:val="right"/>
              <w:ind w:right="304"/>
              <w:spacing w:after="0"/>
              <w:rPr>
                <w:sz w:val="20"/>
                <w:szCs w:val="20"/>
                <w:color w:val="auto"/>
              </w:rPr>
            </w:pPr>
            <w:r>
              <w:rPr>
                <w:rFonts w:ascii="Arial" w:cs="Arial" w:eastAsia="Arial" w:hAnsi="Arial"/>
                <w:sz w:val="16"/>
                <w:szCs w:val="16"/>
                <w:color w:val="005CB8"/>
              </w:rPr>
              <w:t>300,003</w:t>
            </w:r>
          </w:p>
        </w:tc>
        <w:tc>
          <w:tcPr>
            <w:tcW w:w="1740" w:type="dxa"/>
            <w:vAlign w:val="bottom"/>
            <w:shd w:val="clear" w:color="auto" w:fill="E5EFFD"/>
          </w:tcPr>
          <w:p>
            <w:pPr>
              <w:jc w:val="right"/>
              <w:ind w:right="281"/>
              <w:spacing w:after="0"/>
              <w:rPr>
                <w:sz w:val="20"/>
                <w:szCs w:val="20"/>
                <w:color w:val="auto"/>
              </w:rPr>
            </w:pPr>
            <w:r>
              <w:rPr>
                <w:rFonts w:ascii="Arial" w:cs="Arial" w:eastAsia="Arial" w:hAnsi="Arial"/>
                <w:sz w:val="16"/>
                <w:szCs w:val="16"/>
                <w:color w:val="005CB8"/>
              </w:rPr>
              <w:t>—</w:t>
            </w:r>
          </w:p>
        </w:tc>
        <w:tc>
          <w:tcPr>
            <w:tcW w:w="10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390,003</w:t>
            </w:r>
          </w:p>
        </w:tc>
        <w:tc>
          <w:tcPr>
            <w:tcW w:w="0" w:type="dxa"/>
            <w:vAlign w:val="bottom"/>
          </w:tcPr>
          <w:p>
            <w:pPr>
              <w:spacing w:after="0"/>
              <w:rPr>
                <w:sz w:val="1"/>
                <w:szCs w:val="1"/>
                <w:color w:val="auto"/>
              </w:rPr>
            </w:pPr>
          </w:p>
        </w:tc>
      </w:tr>
      <w:tr>
        <w:trPr>
          <w:trHeight w:val="465"/>
        </w:trPr>
        <w:tc>
          <w:tcPr>
            <w:tcW w:w="306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Karen Peacock</w:t>
            </w:r>
            <w:r>
              <w:rPr>
                <w:rFonts w:ascii="Arial" w:cs="Arial" w:eastAsia="Arial" w:hAnsi="Arial"/>
                <w:sz w:val="26"/>
                <w:szCs w:val="26"/>
                <w:color w:val="005CB8"/>
                <w:vertAlign w:val="superscript"/>
              </w:rPr>
              <w:t>(3)</w:t>
            </w:r>
          </w:p>
        </w:tc>
        <w:tc>
          <w:tcPr>
            <w:tcW w:w="1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21,359</w:t>
            </w:r>
          </w:p>
        </w:tc>
        <w:tc>
          <w:tcPr>
            <w:tcW w:w="2080" w:type="dxa"/>
            <w:vAlign w:val="bottom"/>
            <w:shd w:val="clear" w:color="auto" w:fill="E5EFFD"/>
          </w:tcPr>
          <w:p>
            <w:pPr>
              <w:jc w:val="right"/>
              <w:ind w:right="304"/>
              <w:spacing w:after="0"/>
              <w:rPr>
                <w:sz w:val="20"/>
                <w:szCs w:val="20"/>
                <w:color w:val="auto"/>
              </w:rPr>
            </w:pPr>
            <w:r>
              <w:rPr>
                <w:rFonts w:ascii="Arial" w:cs="Arial" w:eastAsia="Arial" w:hAnsi="Arial"/>
                <w:sz w:val="16"/>
                <w:szCs w:val="16"/>
                <w:color w:val="005CB8"/>
              </w:rPr>
              <w:t>225,001</w:t>
            </w:r>
          </w:p>
        </w:tc>
        <w:tc>
          <w:tcPr>
            <w:tcW w:w="1740" w:type="dxa"/>
            <w:vAlign w:val="bottom"/>
            <w:shd w:val="clear" w:color="auto" w:fill="E5EFFD"/>
          </w:tcPr>
          <w:p>
            <w:pPr>
              <w:jc w:val="right"/>
              <w:ind w:right="281"/>
              <w:spacing w:after="0"/>
              <w:rPr>
                <w:sz w:val="20"/>
                <w:szCs w:val="20"/>
                <w:color w:val="auto"/>
              </w:rPr>
            </w:pPr>
            <w:r>
              <w:rPr>
                <w:rFonts w:ascii="Arial" w:cs="Arial" w:eastAsia="Arial" w:hAnsi="Arial"/>
                <w:sz w:val="16"/>
                <w:szCs w:val="16"/>
                <w:color w:val="005CB8"/>
              </w:rPr>
              <w:t>—</w:t>
            </w:r>
          </w:p>
        </w:tc>
        <w:tc>
          <w:tcPr>
            <w:tcW w:w="10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246,360</w:t>
            </w:r>
          </w:p>
        </w:tc>
        <w:tc>
          <w:tcPr>
            <w:tcW w:w="0" w:type="dxa"/>
            <w:vAlign w:val="bottom"/>
          </w:tcPr>
          <w:p>
            <w:pPr>
              <w:spacing w:after="0"/>
              <w:rPr>
                <w:sz w:val="1"/>
                <w:szCs w:val="1"/>
                <w:color w:val="auto"/>
              </w:rPr>
            </w:pPr>
          </w:p>
        </w:tc>
      </w:tr>
      <w:tr>
        <w:trPr>
          <w:trHeight w:val="291"/>
        </w:trPr>
        <w:tc>
          <w:tcPr>
            <w:tcW w:w="306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Condoleezza Rice</w:t>
            </w:r>
          </w:p>
        </w:tc>
        <w:tc>
          <w:tcPr>
            <w:tcW w:w="1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105,000</w:t>
            </w:r>
          </w:p>
        </w:tc>
        <w:tc>
          <w:tcPr>
            <w:tcW w:w="2080" w:type="dxa"/>
            <w:vAlign w:val="bottom"/>
            <w:shd w:val="clear" w:color="auto" w:fill="E5EFFD"/>
          </w:tcPr>
          <w:p>
            <w:pPr>
              <w:jc w:val="right"/>
              <w:ind w:right="304"/>
              <w:spacing w:after="0"/>
              <w:rPr>
                <w:sz w:val="20"/>
                <w:szCs w:val="20"/>
                <w:color w:val="auto"/>
              </w:rPr>
            </w:pPr>
            <w:r>
              <w:rPr>
                <w:rFonts w:ascii="Arial" w:cs="Arial" w:eastAsia="Arial" w:hAnsi="Arial"/>
                <w:sz w:val="16"/>
                <w:szCs w:val="16"/>
                <w:color w:val="005CB8"/>
              </w:rPr>
              <w:t>300,003</w:t>
            </w:r>
          </w:p>
        </w:tc>
        <w:tc>
          <w:tcPr>
            <w:tcW w:w="1740" w:type="dxa"/>
            <w:vAlign w:val="bottom"/>
            <w:shd w:val="clear" w:color="auto" w:fill="E5EFFD"/>
          </w:tcPr>
          <w:p>
            <w:pPr>
              <w:jc w:val="right"/>
              <w:ind w:right="281"/>
              <w:spacing w:after="0"/>
              <w:rPr>
                <w:sz w:val="20"/>
                <w:szCs w:val="20"/>
                <w:color w:val="auto"/>
              </w:rPr>
            </w:pPr>
            <w:r>
              <w:rPr>
                <w:rFonts w:ascii="Arial" w:cs="Arial" w:eastAsia="Arial" w:hAnsi="Arial"/>
                <w:sz w:val="16"/>
                <w:szCs w:val="16"/>
                <w:color w:val="005CB8"/>
              </w:rPr>
              <w:t>—</w:t>
            </w:r>
          </w:p>
        </w:tc>
        <w:tc>
          <w:tcPr>
            <w:tcW w:w="10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405,003</w:t>
            </w:r>
          </w:p>
        </w:tc>
        <w:tc>
          <w:tcPr>
            <w:tcW w:w="0" w:type="dxa"/>
            <w:vAlign w:val="bottom"/>
          </w:tcPr>
          <w:p>
            <w:pPr>
              <w:spacing w:after="0"/>
              <w:rPr>
                <w:sz w:val="1"/>
                <w:szCs w:val="1"/>
                <w:color w:val="auto"/>
              </w:rPr>
            </w:pPr>
          </w:p>
        </w:tc>
      </w:tr>
      <w:tr>
        <w:trPr>
          <w:trHeight w:val="378"/>
        </w:trPr>
        <w:tc>
          <w:tcPr>
            <w:tcW w:w="306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R. Bryan Schreier</w:t>
            </w:r>
          </w:p>
        </w:tc>
        <w:tc>
          <w:tcPr>
            <w:tcW w:w="1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66,522</w:t>
            </w:r>
          </w:p>
        </w:tc>
        <w:tc>
          <w:tcPr>
            <w:tcW w:w="2080" w:type="dxa"/>
            <w:vAlign w:val="bottom"/>
            <w:shd w:val="clear" w:color="auto" w:fill="E5EFFD"/>
          </w:tcPr>
          <w:p>
            <w:pPr>
              <w:jc w:val="right"/>
              <w:ind w:right="304"/>
              <w:spacing w:after="0"/>
              <w:rPr>
                <w:sz w:val="20"/>
                <w:szCs w:val="20"/>
                <w:color w:val="auto"/>
              </w:rPr>
            </w:pPr>
            <w:r>
              <w:rPr>
                <w:rFonts w:ascii="Arial" w:cs="Arial" w:eastAsia="Arial" w:hAnsi="Arial"/>
                <w:sz w:val="16"/>
                <w:szCs w:val="16"/>
                <w:color w:val="005CB8"/>
              </w:rPr>
              <w:t>300,003</w:t>
            </w:r>
          </w:p>
        </w:tc>
        <w:tc>
          <w:tcPr>
            <w:tcW w:w="1740" w:type="dxa"/>
            <w:vAlign w:val="bottom"/>
            <w:shd w:val="clear" w:color="auto" w:fill="E5EFFD"/>
          </w:tcPr>
          <w:p>
            <w:pPr>
              <w:jc w:val="right"/>
              <w:ind w:right="281"/>
              <w:spacing w:after="0"/>
              <w:rPr>
                <w:sz w:val="20"/>
                <w:szCs w:val="20"/>
                <w:color w:val="auto"/>
              </w:rPr>
            </w:pPr>
            <w:r>
              <w:rPr>
                <w:rFonts w:ascii="Arial" w:cs="Arial" w:eastAsia="Arial" w:hAnsi="Arial"/>
                <w:sz w:val="16"/>
                <w:szCs w:val="16"/>
                <w:color w:val="005CB8"/>
              </w:rPr>
              <w:t>—</w:t>
            </w:r>
          </w:p>
        </w:tc>
        <w:tc>
          <w:tcPr>
            <w:tcW w:w="10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366,525</w:t>
            </w:r>
          </w:p>
        </w:tc>
        <w:tc>
          <w:tcPr>
            <w:tcW w:w="0" w:type="dxa"/>
            <w:vAlign w:val="bottom"/>
          </w:tcPr>
          <w:p>
            <w:pPr>
              <w:spacing w:after="0"/>
              <w:rPr>
                <w:sz w:val="1"/>
                <w:szCs w:val="1"/>
                <w:color w:val="auto"/>
              </w:rPr>
            </w:pPr>
          </w:p>
        </w:tc>
      </w:tr>
      <w:tr>
        <w:trPr>
          <w:trHeight w:val="384"/>
        </w:trPr>
        <w:tc>
          <w:tcPr>
            <w:tcW w:w="306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Margaret C. Whitman</w:t>
            </w:r>
          </w:p>
        </w:tc>
        <w:tc>
          <w:tcPr>
            <w:tcW w:w="1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66,563</w:t>
            </w:r>
          </w:p>
        </w:tc>
        <w:tc>
          <w:tcPr>
            <w:tcW w:w="2080" w:type="dxa"/>
            <w:vAlign w:val="bottom"/>
            <w:shd w:val="clear" w:color="auto" w:fill="E5EFFD"/>
          </w:tcPr>
          <w:p>
            <w:pPr>
              <w:jc w:val="right"/>
              <w:ind w:right="304"/>
              <w:spacing w:after="0"/>
              <w:rPr>
                <w:sz w:val="20"/>
                <w:szCs w:val="20"/>
                <w:color w:val="auto"/>
              </w:rPr>
            </w:pPr>
            <w:r>
              <w:rPr>
                <w:rFonts w:ascii="Arial" w:cs="Arial" w:eastAsia="Arial" w:hAnsi="Arial"/>
                <w:sz w:val="16"/>
                <w:szCs w:val="16"/>
                <w:color w:val="005CB8"/>
              </w:rPr>
              <w:t>300,003</w:t>
            </w:r>
          </w:p>
        </w:tc>
        <w:tc>
          <w:tcPr>
            <w:tcW w:w="1740" w:type="dxa"/>
            <w:vAlign w:val="bottom"/>
            <w:shd w:val="clear" w:color="auto" w:fill="E5EFFD"/>
          </w:tcPr>
          <w:p>
            <w:pPr>
              <w:jc w:val="right"/>
              <w:ind w:right="281"/>
              <w:spacing w:after="0"/>
              <w:rPr>
                <w:sz w:val="20"/>
                <w:szCs w:val="20"/>
                <w:color w:val="auto"/>
              </w:rPr>
            </w:pPr>
            <w:r>
              <w:rPr>
                <w:rFonts w:ascii="Arial" w:cs="Arial" w:eastAsia="Arial" w:hAnsi="Arial"/>
                <w:sz w:val="16"/>
                <w:szCs w:val="16"/>
                <w:color w:val="005CB8"/>
              </w:rPr>
              <w:t>—</w:t>
            </w:r>
          </w:p>
        </w:tc>
        <w:tc>
          <w:tcPr>
            <w:tcW w:w="10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366,566</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44" w:right="20" w:hanging="244"/>
        <w:spacing w:after="0" w:line="207" w:lineRule="auto"/>
        <w:tabs>
          <w:tab w:leader="none" w:pos="244"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Amounts shown do not reflect compensation actually received by the director, and there can be no assurance that these amounts will ever be realized by the non-employee directors. Instead, the amount shown is the grant date fair value of the RSU awards granted in fiscal 2019 computed in accordance with ASC Topic 718 — Compensation — Stock Compensation (“</w:t>
      </w:r>
      <w:r>
        <w:rPr>
          <w:rFonts w:ascii="Arial" w:cs="Arial" w:eastAsia="Arial" w:hAnsi="Arial"/>
          <w:sz w:val="14"/>
          <w:szCs w:val="14"/>
          <w:b w:val="1"/>
          <w:bCs w:val="1"/>
          <w:i w:val="1"/>
          <w:iCs w:val="1"/>
          <w:color w:val="auto"/>
        </w:rPr>
        <w:t>ASC Topic 718</w:t>
      </w:r>
      <w:r>
        <w:rPr>
          <w:rFonts w:ascii="Arial" w:cs="Arial" w:eastAsia="Arial" w:hAnsi="Arial"/>
          <w:sz w:val="14"/>
          <w:szCs w:val="14"/>
          <w:color w:val="auto"/>
        </w:rPr>
        <w:t>”), disregarding forfeiture assumptions.</w:t>
      </w:r>
    </w:p>
    <w:p>
      <w:pPr>
        <w:spacing w:after="0" w:line="17" w:lineRule="exact"/>
        <w:rPr>
          <w:rFonts w:ascii="Arial" w:cs="Arial" w:eastAsia="Arial" w:hAnsi="Arial"/>
          <w:sz w:val="22"/>
          <w:szCs w:val="22"/>
          <w:color w:val="auto"/>
          <w:vertAlign w:val="superscript"/>
        </w:rPr>
      </w:pPr>
    </w:p>
    <w:p>
      <w:pPr>
        <w:ind w:left="244" w:right="300" w:hanging="244"/>
        <w:spacing w:after="0" w:line="217" w:lineRule="auto"/>
        <w:tabs>
          <w:tab w:leader="none" w:pos="244"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100% of the shares of our Class A common stock underlying the RSUs vest on May 23, 2020 or the day before the next annual meeting of our stockholders, if earlier, subject to the director’s continued service with us. See “</w:t>
      </w:r>
      <w:r>
        <w:rPr>
          <w:rFonts w:ascii="Arial" w:cs="Arial" w:eastAsia="Arial" w:hAnsi="Arial"/>
          <w:sz w:val="14"/>
          <w:szCs w:val="14"/>
          <w:i w:val="1"/>
          <w:iCs w:val="1"/>
          <w:color w:val="auto"/>
        </w:rPr>
        <w:t>Director Compensation—Equity Compensation</w:t>
      </w:r>
      <w:r>
        <w:rPr>
          <w:rFonts w:ascii="Arial" w:cs="Arial" w:eastAsia="Arial" w:hAnsi="Arial"/>
          <w:sz w:val="14"/>
          <w:szCs w:val="14"/>
          <w:color w:val="auto"/>
        </w:rPr>
        <w:t>” above.</w:t>
      </w:r>
    </w:p>
    <w:p>
      <w:pPr>
        <w:spacing w:after="0" w:line="4" w:lineRule="exact"/>
        <w:rPr>
          <w:rFonts w:ascii="Arial" w:cs="Arial" w:eastAsia="Arial" w:hAnsi="Arial"/>
          <w:sz w:val="18"/>
          <w:szCs w:val="18"/>
          <w:color w:val="auto"/>
          <w:vertAlign w:val="superscript"/>
        </w:rPr>
      </w:pPr>
    </w:p>
    <w:p>
      <w:pPr>
        <w:ind w:left="244" w:right="240" w:hanging="244"/>
        <w:spacing w:after="0" w:line="217" w:lineRule="auto"/>
        <w:tabs>
          <w:tab w:leader="none" w:pos="244"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Mss. Campbell and Peacock joined our board of directors in August 2019, and therefore their respective fees and equity awards set forth in the table above were prorated for the portion of 2019 in which they served as directors.</w:t>
      </w:r>
    </w:p>
    <w:p>
      <w:pPr>
        <w:spacing w:after="0" w:line="189" w:lineRule="exact"/>
        <w:rPr>
          <w:sz w:val="20"/>
          <w:szCs w:val="20"/>
          <w:color w:val="auto"/>
        </w:rPr>
      </w:pPr>
    </w:p>
    <w:p>
      <w:pPr>
        <w:ind w:left="524" w:hanging="524"/>
        <w:spacing w:after="0"/>
        <w:tabs>
          <w:tab w:leader="none" w:pos="524"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0" w:name="page21"/>
    <w:bookmarkEnd w:id="20"/>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1340"/>
        <w:spacing w:after="0" w:line="260" w:lineRule="auto"/>
        <w:rPr>
          <w:sz w:val="20"/>
          <w:szCs w:val="20"/>
          <w:color w:val="auto"/>
        </w:rPr>
      </w:pPr>
      <w:r>
        <w:rPr>
          <w:rFonts w:ascii="Arial" w:cs="Arial" w:eastAsia="Arial" w:hAnsi="Arial"/>
          <w:sz w:val="32"/>
          <w:szCs w:val="32"/>
          <w:color w:val="005CB8"/>
        </w:rPr>
        <w:t>BOARD OF DIRECTORS AND CORPORATE GOVERNANCE (continued)</w:t>
      </w:r>
    </w:p>
    <w:p>
      <w:pPr>
        <w:spacing w:after="0" w:line="33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lists all outstanding equity awards held by non-employee directors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139065</wp:posOffset>
            </wp:positionV>
            <wp:extent cx="6077585" cy="22028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7585" cy="2202815"/>
                    </a:xfrm>
                    <a:prstGeom prst="rect">
                      <a:avLst/>
                    </a:prstGeom>
                    <a:noFill/>
                  </pic:spPr>
                </pic:pic>
              </a:graphicData>
            </a:graphic>
          </wp:anchor>
        </w:drawing>
      </w:r>
    </w:p>
    <w:p>
      <w:pPr>
        <w:spacing w:after="0" w:line="199" w:lineRule="exact"/>
        <w:rPr>
          <w:sz w:val="20"/>
          <w:szCs w:val="20"/>
          <w:color w:val="auto"/>
        </w:rPr>
      </w:pPr>
    </w:p>
    <w:tbl>
      <w:tblPr>
        <w:tblLayout w:type="fixed"/>
        <w:tblInd w:w="720" w:type="dxa"/>
        <w:tblCellMar>
          <w:top w:w="0" w:type="dxa"/>
          <w:left w:w="0" w:type="dxa"/>
          <w:bottom w:w="0" w:type="dxa"/>
          <w:right w:w="0" w:type="dxa"/>
        </w:tblCellMar>
      </w:tblPr>
      <w:tr>
        <w:trPr>
          <w:trHeight w:val="243"/>
        </w:trPr>
        <w:tc>
          <w:tcPr>
            <w:tcW w:w="5100" w:type="dxa"/>
            <w:vAlign w:val="bottom"/>
            <w:shd w:val="clear" w:color="auto" w:fill="0060EC"/>
          </w:tcPr>
          <w:p>
            <w:pPr>
              <w:spacing w:after="0"/>
              <w:rPr>
                <w:sz w:val="21"/>
                <w:szCs w:val="21"/>
                <w:color w:val="auto"/>
              </w:rPr>
            </w:pPr>
          </w:p>
        </w:tc>
        <w:tc>
          <w:tcPr>
            <w:tcW w:w="1620" w:type="dxa"/>
            <w:vAlign w:val="bottom"/>
            <w:shd w:val="clear" w:color="auto" w:fill="0060EC"/>
          </w:tcPr>
          <w:p>
            <w:pPr>
              <w:ind w:left="920"/>
              <w:spacing w:after="0"/>
              <w:rPr>
                <w:sz w:val="20"/>
                <w:szCs w:val="20"/>
                <w:color w:val="auto"/>
              </w:rPr>
            </w:pPr>
            <w:r>
              <w:rPr>
                <w:rFonts w:ascii="Arial" w:cs="Arial" w:eastAsia="Arial" w:hAnsi="Arial"/>
                <w:sz w:val="14"/>
                <w:szCs w:val="14"/>
                <w:b w:val="1"/>
                <w:bCs w:val="1"/>
                <w:color w:val="FFFFFF"/>
              </w:rPr>
              <w:t>Date of</w:t>
            </w:r>
          </w:p>
        </w:tc>
        <w:tc>
          <w:tcPr>
            <w:tcW w:w="2840" w:type="dxa"/>
            <w:vAlign w:val="bottom"/>
            <w:shd w:val="clear" w:color="auto" w:fill="0060EC"/>
          </w:tcPr>
          <w:p>
            <w:pPr>
              <w:jc w:val="right"/>
              <w:spacing w:after="0"/>
              <w:rPr>
                <w:sz w:val="20"/>
                <w:szCs w:val="20"/>
                <w:color w:val="auto"/>
              </w:rPr>
            </w:pPr>
            <w:r>
              <w:rPr>
                <w:rFonts w:ascii="Arial" w:cs="Arial" w:eastAsia="Arial" w:hAnsi="Arial"/>
                <w:sz w:val="14"/>
                <w:szCs w:val="14"/>
                <w:b w:val="1"/>
                <w:bCs w:val="1"/>
                <w:color w:val="FFFFFF"/>
              </w:rPr>
              <w:t>Number of Shares Underlying</w:t>
            </w:r>
          </w:p>
        </w:tc>
      </w:tr>
      <w:tr>
        <w:trPr>
          <w:trHeight w:val="284"/>
        </w:trPr>
        <w:tc>
          <w:tcPr>
            <w:tcW w:w="5100" w:type="dxa"/>
            <w:vAlign w:val="bottom"/>
            <w:shd w:val="clear" w:color="auto" w:fill="0060EC"/>
          </w:tcPr>
          <w:p>
            <w:pPr>
              <w:ind w:left="2360"/>
              <w:spacing w:after="0"/>
              <w:rPr>
                <w:sz w:val="20"/>
                <w:szCs w:val="20"/>
                <w:color w:val="auto"/>
              </w:rPr>
            </w:pPr>
            <w:r>
              <w:rPr>
                <w:rFonts w:ascii="Arial" w:cs="Arial" w:eastAsia="Arial" w:hAnsi="Arial"/>
                <w:sz w:val="14"/>
                <w:szCs w:val="14"/>
                <w:b w:val="1"/>
                <w:bCs w:val="1"/>
                <w:color w:val="FFFFFF"/>
              </w:rPr>
              <w:t>Name</w:t>
            </w:r>
          </w:p>
        </w:tc>
        <w:tc>
          <w:tcPr>
            <w:tcW w:w="1620" w:type="dxa"/>
            <w:vAlign w:val="bottom"/>
            <w:shd w:val="clear" w:color="auto" w:fill="0060EC"/>
          </w:tcPr>
          <w:p>
            <w:pPr>
              <w:ind w:left="920"/>
              <w:spacing w:after="0"/>
              <w:rPr>
                <w:sz w:val="20"/>
                <w:szCs w:val="20"/>
                <w:color w:val="auto"/>
              </w:rPr>
            </w:pPr>
            <w:r>
              <w:rPr>
                <w:rFonts w:ascii="Arial" w:cs="Arial" w:eastAsia="Arial" w:hAnsi="Arial"/>
                <w:sz w:val="14"/>
                <w:szCs w:val="14"/>
                <w:b w:val="1"/>
                <w:bCs w:val="1"/>
                <w:color w:val="FFFFFF"/>
              </w:rPr>
              <w:t>Grant</w:t>
            </w:r>
            <w:r>
              <w:rPr>
                <w:rFonts w:ascii="Arial" w:cs="Arial" w:eastAsia="Arial" w:hAnsi="Arial"/>
                <w:sz w:val="23"/>
                <w:szCs w:val="23"/>
                <w:b w:val="1"/>
                <w:bCs w:val="1"/>
                <w:color w:val="FFFFFF"/>
                <w:vertAlign w:val="superscript"/>
              </w:rPr>
              <w:t>(1)</w:t>
            </w:r>
          </w:p>
        </w:tc>
        <w:tc>
          <w:tcPr>
            <w:tcW w:w="2840" w:type="dxa"/>
            <w:vAlign w:val="bottom"/>
            <w:shd w:val="clear" w:color="auto" w:fill="0060EC"/>
          </w:tcPr>
          <w:p>
            <w:pPr>
              <w:jc w:val="right"/>
              <w:ind w:right="161"/>
              <w:spacing w:after="0"/>
              <w:rPr>
                <w:sz w:val="20"/>
                <w:szCs w:val="20"/>
                <w:color w:val="auto"/>
              </w:rPr>
            </w:pPr>
            <w:r>
              <w:rPr>
                <w:rFonts w:ascii="Arial" w:cs="Arial" w:eastAsia="Arial" w:hAnsi="Arial"/>
                <w:sz w:val="14"/>
                <w:szCs w:val="14"/>
                <w:b w:val="1"/>
                <w:bCs w:val="1"/>
                <w:color w:val="FFFFFF"/>
              </w:rPr>
              <w:t>Unvested Stock Awards</w:t>
            </w:r>
          </w:p>
        </w:tc>
      </w:tr>
      <w:tr>
        <w:trPr>
          <w:trHeight w:val="378"/>
        </w:trPr>
        <w:tc>
          <w:tcPr>
            <w:tcW w:w="510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Lisa Campbell</w:t>
            </w:r>
          </w:p>
        </w:tc>
        <w:tc>
          <w:tcPr>
            <w:tcW w:w="1620" w:type="dxa"/>
            <w:vAlign w:val="bottom"/>
            <w:shd w:val="clear" w:color="auto" w:fill="E5EFFD"/>
          </w:tcPr>
          <w:p>
            <w:pPr>
              <w:ind w:left="740"/>
              <w:spacing w:after="0"/>
              <w:rPr>
                <w:sz w:val="20"/>
                <w:szCs w:val="20"/>
                <w:color w:val="auto"/>
              </w:rPr>
            </w:pPr>
            <w:r>
              <w:rPr>
                <w:rFonts w:ascii="Arial" w:cs="Arial" w:eastAsia="Arial" w:hAnsi="Arial"/>
                <w:sz w:val="16"/>
                <w:szCs w:val="16"/>
                <w:color w:val="005CB8"/>
                <w:w w:val="93"/>
              </w:rPr>
              <w:t>8/23/2019</w:t>
            </w:r>
            <w:r>
              <w:rPr>
                <w:rFonts w:ascii="Arial" w:cs="Arial" w:eastAsia="Arial" w:hAnsi="Arial"/>
                <w:sz w:val="26"/>
                <w:szCs w:val="26"/>
                <w:color w:val="005CB8"/>
                <w:w w:val="93"/>
                <w:vertAlign w:val="superscript"/>
              </w:rPr>
              <w:t>(2)</w:t>
            </w:r>
          </w:p>
        </w:tc>
        <w:tc>
          <w:tcPr>
            <w:tcW w:w="284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12,669</w:t>
            </w:r>
          </w:p>
        </w:tc>
      </w:tr>
      <w:tr>
        <w:trPr>
          <w:trHeight w:val="291"/>
        </w:trPr>
        <w:tc>
          <w:tcPr>
            <w:tcW w:w="510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Donald W. Blair</w:t>
            </w:r>
          </w:p>
        </w:tc>
        <w:tc>
          <w:tcPr>
            <w:tcW w:w="1620" w:type="dxa"/>
            <w:vAlign w:val="bottom"/>
            <w:shd w:val="clear" w:color="auto" w:fill="E5EFFD"/>
          </w:tcPr>
          <w:p>
            <w:pPr>
              <w:ind w:left="740"/>
              <w:spacing w:after="0"/>
              <w:rPr>
                <w:sz w:val="20"/>
                <w:szCs w:val="20"/>
                <w:color w:val="auto"/>
              </w:rPr>
            </w:pPr>
            <w:r>
              <w:rPr>
                <w:rFonts w:ascii="Arial" w:cs="Arial" w:eastAsia="Arial" w:hAnsi="Arial"/>
                <w:sz w:val="16"/>
                <w:szCs w:val="16"/>
                <w:color w:val="005CB8"/>
              </w:rPr>
              <w:t>5/23/2019</w:t>
            </w:r>
          </w:p>
        </w:tc>
        <w:tc>
          <w:tcPr>
            <w:tcW w:w="284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13,298</w:t>
            </w:r>
          </w:p>
        </w:tc>
      </w:tr>
      <w:tr>
        <w:trPr>
          <w:trHeight w:val="378"/>
        </w:trPr>
        <w:tc>
          <w:tcPr>
            <w:tcW w:w="510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Paul E. Jacobs</w:t>
            </w:r>
          </w:p>
        </w:tc>
        <w:tc>
          <w:tcPr>
            <w:tcW w:w="1620" w:type="dxa"/>
            <w:vAlign w:val="bottom"/>
            <w:shd w:val="clear" w:color="auto" w:fill="E5EFFD"/>
          </w:tcPr>
          <w:p>
            <w:pPr>
              <w:ind w:left="740"/>
              <w:spacing w:after="0"/>
              <w:rPr>
                <w:sz w:val="20"/>
                <w:szCs w:val="20"/>
                <w:color w:val="auto"/>
              </w:rPr>
            </w:pPr>
            <w:r>
              <w:rPr>
                <w:rFonts w:ascii="Arial" w:cs="Arial" w:eastAsia="Arial" w:hAnsi="Arial"/>
                <w:sz w:val="16"/>
                <w:szCs w:val="16"/>
                <w:color w:val="005CB8"/>
              </w:rPr>
              <w:t>5/23/2019</w:t>
            </w:r>
          </w:p>
        </w:tc>
        <w:tc>
          <w:tcPr>
            <w:tcW w:w="284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13,298</w:t>
            </w:r>
          </w:p>
        </w:tc>
      </w:tr>
      <w:tr>
        <w:trPr>
          <w:trHeight w:val="378"/>
        </w:trPr>
        <w:tc>
          <w:tcPr>
            <w:tcW w:w="510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Robert J. Mylod, Jr.</w:t>
            </w:r>
          </w:p>
        </w:tc>
        <w:tc>
          <w:tcPr>
            <w:tcW w:w="1620" w:type="dxa"/>
            <w:vAlign w:val="bottom"/>
            <w:shd w:val="clear" w:color="auto" w:fill="E5EFFD"/>
          </w:tcPr>
          <w:p>
            <w:pPr>
              <w:ind w:left="740"/>
              <w:spacing w:after="0"/>
              <w:rPr>
                <w:sz w:val="20"/>
                <w:szCs w:val="20"/>
                <w:color w:val="auto"/>
              </w:rPr>
            </w:pPr>
            <w:r>
              <w:rPr>
                <w:rFonts w:ascii="Arial" w:cs="Arial" w:eastAsia="Arial" w:hAnsi="Arial"/>
                <w:sz w:val="16"/>
                <w:szCs w:val="16"/>
                <w:color w:val="005CB8"/>
              </w:rPr>
              <w:t>5/23/2019</w:t>
            </w:r>
          </w:p>
        </w:tc>
        <w:tc>
          <w:tcPr>
            <w:tcW w:w="284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13,298</w:t>
            </w:r>
          </w:p>
        </w:tc>
      </w:tr>
      <w:tr>
        <w:trPr>
          <w:trHeight w:val="465"/>
        </w:trPr>
        <w:tc>
          <w:tcPr>
            <w:tcW w:w="510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Karen Peacock</w:t>
            </w:r>
          </w:p>
        </w:tc>
        <w:tc>
          <w:tcPr>
            <w:tcW w:w="1620" w:type="dxa"/>
            <w:vAlign w:val="bottom"/>
            <w:shd w:val="clear" w:color="auto" w:fill="E5EFFD"/>
          </w:tcPr>
          <w:p>
            <w:pPr>
              <w:ind w:left="740"/>
              <w:spacing w:after="0"/>
              <w:rPr>
                <w:sz w:val="20"/>
                <w:szCs w:val="20"/>
                <w:color w:val="auto"/>
              </w:rPr>
            </w:pPr>
            <w:r>
              <w:rPr>
                <w:rFonts w:ascii="Arial" w:cs="Arial" w:eastAsia="Arial" w:hAnsi="Arial"/>
                <w:sz w:val="16"/>
                <w:szCs w:val="16"/>
                <w:color w:val="005CB8"/>
                <w:w w:val="93"/>
              </w:rPr>
              <w:t>8/23/2019</w:t>
            </w:r>
            <w:r>
              <w:rPr>
                <w:rFonts w:ascii="Arial" w:cs="Arial" w:eastAsia="Arial" w:hAnsi="Arial"/>
                <w:sz w:val="26"/>
                <w:szCs w:val="26"/>
                <w:color w:val="005CB8"/>
                <w:w w:val="93"/>
                <w:vertAlign w:val="superscript"/>
              </w:rPr>
              <w:t>(2)</w:t>
            </w:r>
          </w:p>
        </w:tc>
        <w:tc>
          <w:tcPr>
            <w:tcW w:w="284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12,669</w:t>
            </w:r>
          </w:p>
        </w:tc>
      </w:tr>
      <w:tr>
        <w:trPr>
          <w:trHeight w:val="291"/>
        </w:trPr>
        <w:tc>
          <w:tcPr>
            <w:tcW w:w="510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Condoleezza Rice</w:t>
            </w:r>
          </w:p>
        </w:tc>
        <w:tc>
          <w:tcPr>
            <w:tcW w:w="1620" w:type="dxa"/>
            <w:vAlign w:val="bottom"/>
            <w:shd w:val="clear" w:color="auto" w:fill="E5EFFD"/>
          </w:tcPr>
          <w:p>
            <w:pPr>
              <w:ind w:left="740"/>
              <w:spacing w:after="0"/>
              <w:rPr>
                <w:sz w:val="20"/>
                <w:szCs w:val="20"/>
                <w:color w:val="auto"/>
              </w:rPr>
            </w:pPr>
            <w:r>
              <w:rPr>
                <w:rFonts w:ascii="Arial" w:cs="Arial" w:eastAsia="Arial" w:hAnsi="Arial"/>
                <w:sz w:val="16"/>
                <w:szCs w:val="16"/>
                <w:color w:val="005CB8"/>
              </w:rPr>
              <w:t>5/23/2019</w:t>
            </w:r>
          </w:p>
        </w:tc>
        <w:tc>
          <w:tcPr>
            <w:tcW w:w="284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13,298</w:t>
            </w:r>
          </w:p>
        </w:tc>
      </w:tr>
      <w:tr>
        <w:trPr>
          <w:trHeight w:val="378"/>
        </w:trPr>
        <w:tc>
          <w:tcPr>
            <w:tcW w:w="510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R. Bryan Schreier</w:t>
            </w:r>
          </w:p>
        </w:tc>
        <w:tc>
          <w:tcPr>
            <w:tcW w:w="1620" w:type="dxa"/>
            <w:vAlign w:val="bottom"/>
            <w:shd w:val="clear" w:color="auto" w:fill="E5EFFD"/>
          </w:tcPr>
          <w:p>
            <w:pPr>
              <w:ind w:left="740"/>
              <w:spacing w:after="0"/>
              <w:rPr>
                <w:sz w:val="20"/>
                <w:szCs w:val="20"/>
                <w:color w:val="auto"/>
              </w:rPr>
            </w:pPr>
            <w:r>
              <w:rPr>
                <w:rFonts w:ascii="Arial" w:cs="Arial" w:eastAsia="Arial" w:hAnsi="Arial"/>
                <w:sz w:val="16"/>
                <w:szCs w:val="16"/>
                <w:color w:val="005CB8"/>
              </w:rPr>
              <w:t>5/23/2019</w:t>
            </w:r>
          </w:p>
        </w:tc>
        <w:tc>
          <w:tcPr>
            <w:tcW w:w="284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13,298</w:t>
            </w:r>
          </w:p>
        </w:tc>
      </w:tr>
      <w:tr>
        <w:trPr>
          <w:trHeight w:val="384"/>
        </w:trPr>
        <w:tc>
          <w:tcPr>
            <w:tcW w:w="510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Margaret C. Whitman</w:t>
            </w:r>
          </w:p>
        </w:tc>
        <w:tc>
          <w:tcPr>
            <w:tcW w:w="1620" w:type="dxa"/>
            <w:vAlign w:val="bottom"/>
            <w:shd w:val="clear" w:color="auto" w:fill="E5EFFD"/>
          </w:tcPr>
          <w:p>
            <w:pPr>
              <w:ind w:left="740"/>
              <w:spacing w:after="0"/>
              <w:rPr>
                <w:sz w:val="20"/>
                <w:szCs w:val="20"/>
                <w:color w:val="auto"/>
              </w:rPr>
            </w:pPr>
            <w:r>
              <w:rPr>
                <w:rFonts w:ascii="Arial" w:cs="Arial" w:eastAsia="Arial" w:hAnsi="Arial"/>
                <w:sz w:val="16"/>
                <w:szCs w:val="16"/>
                <w:color w:val="005CB8"/>
              </w:rPr>
              <w:t>5/23/2019</w:t>
            </w:r>
          </w:p>
        </w:tc>
        <w:tc>
          <w:tcPr>
            <w:tcW w:w="284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13,298</w:t>
            </w:r>
          </w:p>
        </w:tc>
      </w:tr>
    </w:tbl>
    <w:p>
      <w:pPr>
        <w:spacing w:after="0" w:line="86" w:lineRule="exact"/>
        <w:rPr>
          <w:sz w:val="20"/>
          <w:szCs w:val="20"/>
          <w:color w:val="auto"/>
        </w:rPr>
      </w:pPr>
    </w:p>
    <w:p>
      <w:pPr>
        <w:ind w:left="960" w:right="1040" w:hanging="244"/>
        <w:spacing w:after="0" w:line="193" w:lineRule="auto"/>
        <w:tabs>
          <w:tab w:leader="none" w:pos="96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100% of the shares of our Class A common stock underlying the RSUs vest on May 23, 2020 or the day before the next annual meeting of our stockholders, if earlier, subject to the director’s continued service with us. See “</w:t>
      </w:r>
      <w:r>
        <w:rPr>
          <w:rFonts w:ascii="Arial" w:cs="Arial" w:eastAsia="Arial" w:hAnsi="Arial"/>
          <w:sz w:val="14"/>
          <w:szCs w:val="14"/>
          <w:i w:val="1"/>
          <w:iCs w:val="1"/>
          <w:color w:val="auto"/>
        </w:rPr>
        <w:t>Director Compensation—Equity Compensation</w:t>
      </w:r>
      <w:r>
        <w:rPr>
          <w:rFonts w:ascii="Arial" w:cs="Arial" w:eastAsia="Arial" w:hAnsi="Arial"/>
          <w:sz w:val="14"/>
          <w:szCs w:val="14"/>
          <w:color w:val="auto"/>
        </w:rPr>
        <w:t>” above.</w:t>
      </w:r>
    </w:p>
    <w:p>
      <w:pPr>
        <w:spacing w:after="0" w:line="18" w:lineRule="exact"/>
        <w:rPr>
          <w:rFonts w:ascii="Arial" w:cs="Arial" w:eastAsia="Arial" w:hAnsi="Arial"/>
          <w:sz w:val="22"/>
          <w:szCs w:val="22"/>
          <w:color w:val="auto"/>
          <w:vertAlign w:val="superscript"/>
        </w:rPr>
      </w:pPr>
    </w:p>
    <w:p>
      <w:pPr>
        <w:ind w:left="960" w:right="800" w:hanging="244"/>
        <w:spacing w:after="0" w:line="217" w:lineRule="auto"/>
        <w:tabs>
          <w:tab w:leader="none" w:pos="9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Mss. Campbell and Peacock joined our board of directors in August 2019, and therefore their respective equity awards set forth in the table above were prorated for the portion of 2019 in which they served as directors.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38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17</w:t>
            </w:r>
          </w:p>
        </w:tc>
      </w:tr>
      <w:tr>
        <w:trPr>
          <w:trHeight w:val="167"/>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1" w:name="page22"/>
    <w:bookmarkEnd w:id="21"/>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5CB8"/>
        </w:rPr>
        <w:t>PROPOSAL NO. 1—ELECTION OF DIRECTORS</w:t>
      </w:r>
    </w:p>
    <w:p>
      <w:pPr>
        <w:spacing w:after="0" w:line="170" w:lineRule="exact"/>
        <w:rPr>
          <w:sz w:val="20"/>
          <w:szCs w:val="20"/>
          <w:color w:val="auto"/>
        </w:rPr>
      </w:pPr>
    </w:p>
    <w:p>
      <w:pPr>
        <w:ind w:left="4" w:right="40"/>
        <w:spacing w:after="0" w:line="248" w:lineRule="auto"/>
        <w:rPr>
          <w:sz w:val="20"/>
          <w:szCs w:val="20"/>
          <w:color w:val="auto"/>
        </w:rPr>
      </w:pPr>
      <w:r>
        <w:rPr>
          <w:rFonts w:ascii="Arial" w:cs="Arial" w:eastAsia="Arial" w:hAnsi="Arial"/>
          <w:sz w:val="16"/>
          <w:szCs w:val="16"/>
          <w:color w:val="auto"/>
        </w:rPr>
        <w:t>As of March 13, 2020, our board of directors consisted of ten directors. On August 23, 2019, the board of directors increased the size of the board from eight directors to ten directors and appointed Lisa Campbell and Karen Peacock to fill the vacancies created by the increase in the size of the board. As previously noted, Ms. Whitman has notified the board of directors that she will not stand for reelection at the Annual Meeting and will no longer serve on our board of directors following the Annual Meeting, and Mr. Ferdowsi has resigned as a member of the board and as an officer of the company, effective March 19, 2020. Accordingly, following the Annual Meeting, our board of directors will consist of eight directors. Until the outstanding shares of our Class B common stock represent less than a majority of the combined voting power of our common stock, we will have a single class of directors with each director elected for a one-year term and until their successor is duly elected and qualified, or until their earlier resignation or removal.</w:t>
      </w:r>
    </w:p>
    <w:p>
      <w:pPr>
        <w:spacing w:after="0" w:line="360" w:lineRule="exact"/>
        <w:rPr>
          <w:sz w:val="20"/>
          <w:szCs w:val="20"/>
          <w:color w:val="auto"/>
        </w:rPr>
      </w:pPr>
    </w:p>
    <w:p>
      <w:pPr>
        <w:ind w:left="4"/>
        <w:spacing w:after="0"/>
        <w:rPr>
          <w:sz w:val="20"/>
          <w:szCs w:val="20"/>
          <w:color w:val="auto"/>
        </w:rPr>
      </w:pPr>
      <w:r>
        <w:rPr>
          <w:rFonts w:ascii="Arial" w:cs="Arial" w:eastAsia="Arial" w:hAnsi="Arial"/>
          <w:sz w:val="26"/>
          <w:szCs w:val="26"/>
          <w:color w:val="005CB8"/>
        </w:rPr>
        <w:t>Nominees</w:t>
      </w:r>
    </w:p>
    <w:p>
      <w:pPr>
        <w:spacing w:after="0" w:line="169"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Our nominating and corporate governance committee has recommended, and our board of directors has approved, Andrew W. Houston, Lisa Campbell, Donald W. Blair, Paul E. Jacobs, Robert J. Mylod, Jr., Karen Peacock, Condoleezza Rice and R. Bryan Schreier as nominees for election as directors at the Annual Meeting. If elected, each of Drs. Rice and Jacobs, Messrs. Houston, Blair, Mylod, and Schreier, and Mss. Campbell and Peacock will serve as directors until the 2021 annual meeting of stockholders and until their successors are duly elected and qualified. Each of the nominees is currently a director of our company. For information concerning the nominees, please see “</w:t>
      </w:r>
      <w:r>
        <w:rPr>
          <w:rFonts w:ascii="Arial" w:cs="Arial" w:eastAsia="Arial" w:hAnsi="Arial"/>
          <w:sz w:val="16"/>
          <w:szCs w:val="16"/>
          <w:i w:val="1"/>
          <w:iCs w:val="1"/>
          <w:color w:val="auto"/>
        </w:rPr>
        <w:t>Board of Directors and Corporate Governance</w:t>
      </w:r>
      <w:r>
        <w:rPr>
          <w:rFonts w:ascii="Arial" w:cs="Arial" w:eastAsia="Arial" w:hAnsi="Arial"/>
          <w:sz w:val="16"/>
          <w:szCs w:val="16"/>
          <w:color w:val="auto"/>
        </w:rPr>
        <w:t>.” We expect that each of Drs. Rice and Jacobs, Messrs. Houston, Blair, Mylod, and Schreier, and Mss. Campbell and Peacock will accept such nomination; however, in the event that a director nominee is unable or declines to serve as a director at the time of the Annual Meeting, the proxies will be voted for any nominee designated by our board of directors to fill such vacancy.</w:t>
      </w:r>
    </w:p>
    <w:p>
      <w:pPr>
        <w:spacing w:after="0" w:line="152"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color w:val="auto"/>
        </w:rPr>
        <w:t>If you are a stockholder of record and you sign your proxy card or vote by telephone or over the Internet but do not give instructions with respect to the voting of directors, your shares will be voted “FOR” the election of Drs. Rice and Jacobs, Messrs. Houston, Blair, Mylod, and Schreier, and Mss. Campbell and Peacock. If you are a street name stockholder and you do not give voting instructions to your broker or nominee, your broker will leave your shares unvoted on this matter.</w:t>
      </w:r>
    </w:p>
    <w:p>
      <w:pPr>
        <w:spacing w:after="0" w:line="369" w:lineRule="exact"/>
        <w:rPr>
          <w:sz w:val="20"/>
          <w:szCs w:val="20"/>
          <w:color w:val="auto"/>
        </w:rPr>
      </w:pPr>
    </w:p>
    <w:p>
      <w:pPr>
        <w:ind w:left="4"/>
        <w:spacing w:after="0"/>
        <w:rPr>
          <w:sz w:val="20"/>
          <w:szCs w:val="20"/>
          <w:color w:val="auto"/>
        </w:rPr>
      </w:pPr>
      <w:r>
        <w:rPr>
          <w:rFonts w:ascii="Arial" w:cs="Arial" w:eastAsia="Arial" w:hAnsi="Arial"/>
          <w:sz w:val="26"/>
          <w:szCs w:val="26"/>
          <w:color w:val="005CB8"/>
        </w:rPr>
        <w:t>Vote Required</w:t>
      </w:r>
    </w:p>
    <w:p>
      <w:pPr>
        <w:spacing w:after="0" w:line="169" w:lineRule="exact"/>
        <w:rPr>
          <w:sz w:val="20"/>
          <w:szCs w:val="20"/>
          <w:color w:val="auto"/>
        </w:rPr>
      </w:pPr>
    </w:p>
    <w:p>
      <w:pPr>
        <w:ind w:left="4"/>
        <w:spacing w:after="0" w:line="250" w:lineRule="auto"/>
        <w:rPr>
          <w:sz w:val="20"/>
          <w:szCs w:val="20"/>
          <w:color w:val="auto"/>
        </w:rPr>
      </w:pPr>
      <w:r>
        <w:rPr>
          <w:rFonts w:ascii="Arial" w:cs="Arial" w:eastAsia="Arial" w:hAnsi="Arial"/>
          <w:sz w:val="16"/>
          <w:szCs w:val="16"/>
          <w:color w:val="auto"/>
        </w:rPr>
        <w:t>Each director is elected by a plurality of the votes of the shares present virtually or represented by proxy at the meeting and entitled to vote on the election of directors at the Annual Meeting. “Plurality” means that the eight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w:t>
      </w:r>
    </w:p>
    <w:p>
      <w:pPr>
        <w:spacing w:after="0" w:line="3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THE BOARD OF DIRECTORS RECOMMENDS A VOTE “FOR” EACH OF THE NOMINEES NAMED ABOVE.</w:t>
      </w:r>
    </w:p>
    <w:p>
      <w:pPr>
        <w:spacing w:after="0" w:line="226" w:lineRule="exact"/>
        <w:rPr>
          <w:sz w:val="20"/>
          <w:szCs w:val="20"/>
          <w:color w:val="auto"/>
        </w:rPr>
      </w:pPr>
    </w:p>
    <w:p>
      <w:pPr>
        <w:ind w:left="524" w:hanging="524"/>
        <w:spacing w:after="0"/>
        <w:tabs>
          <w:tab w:leader="none" w:pos="524"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2" w:name="page23"/>
    <w:bookmarkEnd w:id="22"/>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1380"/>
        <w:spacing w:after="0" w:line="260" w:lineRule="auto"/>
        <w:rPr>
          <w:sz w:val="20"/>
          <w:szCs w:val="20"/>
          <w:color w:val="auto"/>
        </w:rPr>
      </w:pPr>
      <w:r>
        <w:rPr>
          <w:rFonts w:ascii="Arial" w:cs="Arial" w:eastAsia="Arial" w:hAnsi="Arial"/>
          <w:sz w:val="32"/>
          <w:szCs w:val="32"/>
          <w:color w:val="005CB8"/>
        </w:rPr>
        <w:t>PROPOSAL NO. 2—RATIFICATION OF APPOINTMENT OF INDEPENDENT REGISTERED PUBLIC ACCOUNTING FIRM</w:t>
      </w:r>
    </w:p>
    <w:p>
      <w:pPr>
        <w:spacing w:after="0" w:line="119" w:lineRule="exact"/>
        <w:rPr>
          <w:sz w:val="20"/>
          <w:szCs w:val="20"/>
          <w:color w:val="auto"/>
        </w:rPr>
      </w:pPr>
    </w:p>
    <w:p>
      <w:pPr>
        <w:ind w:left="720" w:right="960"/>
        <w:spacing w:after="0" w:line="253" w:lineRule="auto"/>
        <w:rPr>
          <w:sz w:val="20"/>
          <w:szCs w:val="20"/>
          <w:color w:val="auto"/>
        </w:rPr>
      </w:pPr>
      <w:r>
        <w:rPr>
          <w:rFonts w:ascii="Arial" w:cs="Arial" w:eastAsia="Arial" w:hAnsi="Arial"/>
          <w:sz w:val="16"/>
          <w:szCs w:val="16"/>
          <w:color w:val="auto"/>
        </w:rPr>
        <w:t>Our audit committee has appointed Ernst &amp; Young LLP, an independent registered public accounting firm, to audit our consolidated financial statements for our fiscal year ending December 31, 2020. Ernst &amp; Young LLP has served as our independent registered public accounting firm since 2013.</w:t>
      </w:r>
    </w:p>
    <w:p>
      <w:pPr>
        <w:spacing w:after="0" w:line="147" w:lineRule="exact"/>
        <w:rPr>
          <w:sz w:val="20"/>
          <w:szCs w:val="20"/>
          <w:color w:val="auto"/>
        </w:rPr>
      </w:pPr>
    </w:p>
    <w:p>
      <w:pPr>
        <w:ind w:left="720" w:right="760"/>
        <w:spacing w:after="0" w:line="248" w:lineRule="auto"/>
        <w:rPr>
          <w:sz w:val="20"/>
          <w:szCs w:val="20"/>
          <w:color w:val="auto"/>
        </w:rPr>
      </w:pPr>
      <w:r>
        <w:rPr>
          <w:rFonts w:ascii="Arial" w:cs="Arial" w:eastAsia="Arial" w:hAnsi="Arial"/>
          <w:sz w:val="16"/>
          <w:szCs w:val="16"/>
          <w:color w:val="auto"/>
        </w:rPr>
        <w:t>At the Annual Meeting, our stockholders are being asked to ratify the appointment of Ernst &amp; Young LLP as our independent registered public accounting firm for our fiscal year ending December 31, 2020.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Ernst &amp; Young LLP, our board of directors may reconsider the appointment. Representatives of Ernst &amp; Young LLP will be present at the Annual Meeting, and they will have an opportunity to make a statement and will be available to respond to appropriate questions from our stockholders.</w:t>
      </w:r>
    </w:p>
    <w:p>
      <w:pPr>
        <w:spacing w:after="0" w:line="359" w:lineRule="exact"/>
        <w:rPr>
          <w:sz w:val="20"/>
          <w:szCs w:val="20"/>
          <w:color w:val="auto"/>
        </w:rPr>
      </w:pPr>
    </w:p>
    <w:p>
      <w:pPr>
        <w:ind w:left="720"/>
        <w:spacing w:after="0"/>
        <w:rPr>
          <w:sz w:val="20"/>
          <w:szCs w:val="20"/>
          <w:color w:val="auto"/>
        </w:rPr>
      </w:pPr>
      <w:r>
        <w:rPr>
          <w:rFonts w:ascii="Arial" w:cs="Arial" w:eastAsia="Arial" w:hAnsi="Arial"/>
          <w:sz w:val="26"/>
          <w:szCs w:val="26"/>
          <w:color w:val="005CB8"/>
        </w:rPr>
        <w:t>Fees Paid to the Independent Registered Public Accounting Firm</w:t>
      </w:r>
    </w:p>
    <w:p>
      <w:pPr>
        <w:spacing w:after="0" w:line="169" w:lineRule="exact"/>
        <w:rPr>
          <w:sz w:val="20"/>
          <w:szCs w:val="20"/>
          <w:color w:val="auto"/>
        </w:rPr>
      </w:pPr>
    </w:p>
    <w:p>
      <w:pPr>
        <w:ind w:left="720" w:right="900"/>
        <w:spacing w:after="0" w:line="260" w:lineRule="auto"/>
        <w:rPr>
          <w:sz w:val="20"/>
          <w:szCs w:val="20"/>
          <w:color w:val="auto"/>
        </w:rPr>
      </w:pPr>
      <w:r>
        <w:rPr>
          <w:rFonts w:ascii="Arial" w:cs="Arial" w:eastAsia="Arial" w:hAnsi="Arial"/>
          <w:sz w:val="16"/>
          <w:szCs w:val="16"/>
          <w:color w:val="auto"/>
        </w:rPr>
        <w:t>The following table presents fees for professional audit services and other services rendered to our company by Ernst &amp; Young LLP for our fiscal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122555</wp:posOffset>
            </wp:positionV>
            <wp:extent cx="6077585" cy="13970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7585" cy="1397000"/>
                    </a:xfrm>
                    <a:prstGeom prst="rect">
                      <a:avLst/>
                    </a:prstGeom>
                    <a:noFill/>
                  </pic:spPr>
                </pic:pic>
              </a:graphicData>
            </a:graphic>
          </wp:anchor>
        </w:drawing>
      </w:r>
    </w:p>
    <w:p>
      <w:pPr>
        <w:spacing w:after="0" w:line="173" w:lineRule="exact"/>
        <w:rPr>
          <w:sz w:val="20"/>
          <w:szCs w:val="20"/>
          <w:color w:val="auto"/>
        </w:rPr>
      </w:pPr>
    </w:p>
    <w:tbl>
      <w:tblPr>
        <w:tblLayout w:type="fixed"/>
        <w:tblInd w:w="720" w:type="dxa"/>
        <w:tblCellMar>
          <w:top w:w="0" w:type="dxa"/>
          <w:left w:w="0" w:type="dxa"/>
          <w:bottom w:w="0" w:type="dxa"/>
          <w:right w:w="0" w:type="dxa"/>
        </w:tblCellMar>
      </w:tblPr>
      <w:tr>
        <w:trPr>
          <w:trHeight w:val="285"/>
        </w:trPr>
        <w:tc>
          <w:tcPr>
            <w:tcW w:w="6100" w:type="dxa"/>
            <w:vAlign w:val="bottom"/>
            <w:shd w:val="clear" w:color="auto" w:fill="0060EC"/>
          </w:tcPr>
          <w:p>
            <w:pPr>
              <w:spacing w:after="0"/>
              <w:rPr>
                <w:sz w:val="24"/>
                <w:szCs w:val="24"/>
                <w:color w:val="auto"/>
              </w:rPr>
            </w:pPr>
          </w:p>
        </w:tc>
        <w:tc>
          <w:tcPr>
            <w:tcW w:w="600" w:type="dxa"/>
            <w:vAlign w:val="bottom"/>
            <w:shd w:val="clear" w:color="auto" w:fill="0060EC"/>
          </w:tcPr>
          <w:p>
            <w:pPr>
              <w:spacing w:after="0"/>
              <w:rPr>
                <w:sz w:val="24"/>
                <w:szCs w:val="24"/>
                <w:color w:val="auto"/>
              </w:rPr>
            </w:pPr>
          </w:p>
        </w:tc>
        <w:tc>
          <w:tcPr>
            <w:tcW w:w="1180" w:type="dxa"/>
            <w:vAlign w:val="bottom"/>
            <w:shd w:val="clear" w:color="auto" w:fill="0060EC"/>
          </w:tcPr>
          <w:p>
            <w:pPr>
              <w:jc w:val="right"/>
              <w:ind w:right="1"/>
              <w:spacing w:after="0"/>
              <w:rPr>
                <w:sz w:val="20"/>
                <w:szCs w:val="20"/>
                <w:color w:val="auto"/>
              </w:rPr>
            </w:pPr>
            <w:r>
              <w:rPr>
                <w:rFonts w:ascii="Arial" w:cs="Arial" w:eastAsia="Arial" w:hAnsi="Arial"/>
                <w:sz w:val="14"/>
                <w:szCs w:val="14"/>
                <w:b w:val="1"/>
                <w:bCs w:val="1"/>
                <w:color w:val="FFFFFF"/>
              </w:rPr>
              <w:t>2019</w:t>
            </w:r>
          </w:p>
        </w:tc>
        <w:tc>
          <w:tcPr>
            <w:tcW w:w="520" w:type="dxa"/>
            <w:vAlign w:val="bottom"/>
            <w:shd w:val="clear" w:color="auto" w:fill="0060EC"/>
          </w:tcPr>
          <w:p>
            <w:pPr>
              <w:spacing w:after="0"/>
              <w:rPr>
                <w:sz w:val="24"/>
                <w:szCs w:val="24"/>
                <w:color w:val="auto"/>
              </w:rPr>
            </w:pPr>
          </w:p>
        </w:tc>
        <w:tc>
          <w:tcPr>
            <w:tcW w:w="1160" w:type="dxa"/>
            <w:vAlign w:val="bottom"/>
            <w:shd w:val="clear" w:color="auto" w:fill="0060EC"/>
          </w:tcPr>
          <w:p>
            <w:pPr>
              <w:jc w:val="right"/>
              <w:spacing w:after="0"/>
              <w:rPr>
                <w:sz w:val="20"/>
                <w:szCs w:val="20"/>
                <w:color w:val="auto"/>
              </w:rPr>
            </w:pPr>
            <w:r>
              <w:rPr>
                <w:rFonts w:ascii="Arial" w:cs="Arial" w:eastAsia="Arial" w:hAnsi="Arial"/>
                <w:sz w:val="14"/>
                <w:szCs w:val="14"/>
                <w:b w:val="1"/>
                <w:bCs w:val="1"/>
                <w:color w:val="FFFFFF"/>
              </w:rPr>
              <w:t>2018</w:t>
            </w:r>
          </w:p>
        </w:tc>
      </w:tr>
      <w:tr>
        <w:trPr>
          <w:trHeight w:val="80"/>
        </w:trPr>
        <w:tc>
          <w:tcPr>
            <w:tcW w:w="6100" w:type="dxa"/>
            <w:vAlign w:val="bottom"/>
            <w:shd w:val="clear" w:color="auto" w:fill="0060EC"/>
          </w:tcPr>
          <w:p>
            <w:pPr>
              <w:spacing w:after="0"/>
              <w:rPr>
                <w:sz w:val="6"/>
                <w:szCs w:val="6"/>
                <w:color w:val="auto"/>
              </w:rPr>
            </w:pPr>
          </w:p>
        </w:tc>
        <w:tc>
          <w:tcPr>
            <w:tcW w:w="600" w:type="dxa"/>
            <w:vAlign w:val="bottom"/>
            <w:shd w:val="clear" w:color="auto" w:fill="0060EC"/>
          </w:tcPr>
          <w:p>
            <w:pPr>
              <w:spacing w:after="0"/>
              <w:rPr>
                <w:sz w:val="6"/>
                <w:szCs w:val="6"/>
                <w:color w:val="auto"/>
              </w:rPr>
            </w:pPr>
          </w:p>
        </w:tc>
        <w:tc>
          <w:tcPr>
            <w:tcW w:w="1180" w:type="dxa"/>
            <w:vAlign w:val="bottom"/>
            <w:shd w:val="clear" w:color="auto" w:fill="0060EC"/>
          </w:tcPr>
          <w:p>
            <w:pPr>
              <w:spacing w:after="0"/>
              <w:rPr>
                <w:sz w:val="6"/>
                <w:szCs w:val="6"/>
                <w:color w:val="auto"/>
              </w:rPr>
            </w:pPr>
          </w:p>
        </w:tc>
        <w:tc>
          <w:tcPr>
            <w:tcW w:w="520" w:type="dxa"/>
            <w:vAlign w:val="bottom"/>
            <w:shd w:val="clear" w:color="auto" w:fill="0060EC"/>
          </w:tcPr>
          <w:p>
            <w:pPr>
              <w:spacing w:after="0"/>
              <w:rPr>
                <w:sz w:val="6"/>
                <w:szCs w:val="6"/>
                <w:color w:val="auto"/>
              </w:rPr>
            </w:pPr>
          </w:p>
        </w:tc>
        <w:tc>
          <w:tcPr>
            <w:tcW w:w="1160" w:type="dxa"/>
            <w:vAlign w:val="bottom"/>
            <w:shd w:val="clear" w:color="auto" w:fill="0060EC"/>
          </w:tcPr>
          <w:p>
            <w:pPr>
              <w:spacing w:after="0"/>
              <w:rPr>
                <w:sz w:val="6"/>
                <w:szCs w:val="6"/>
                <w:color w:val="auto"/>
              </w:rPr>
            </w:pPr>
          </w:p>
        </w:tc>
      </w:tr>
      <w:tr>
        <w:trPr>
          <w:trHeight w:val="378"/>
        </w:trPr>
        <w:tc>
          <w:tcPr>
            <w:tcW w:w="610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Audit Fees</w:t>
            </w:r>
            <w:r>
              <w:rPr>
                <w:rFonts w:ascii="Arial" w:cs="Arial" w:eastAsia="Arial" w:hAnsi="Arial"/>
                <w:sz w:val="26"/>
                <w:szCs w:val="26"/>
                <w:color w:val="005CB8"/>
                <w:vertAlign w:val="superscript"/>
              </w:rPr>
              <w:t>(1)</w:t>
            </w:r>
          </w:p>
        </w:tc>
        <w:tc>
          <w:tcPr>
            <w:tcW w:w="600" w:type="dxa"/>
            <w:vAlign w:val="bottom"/>
            <w:shd w:val="clear" w:color="auto" w:fill="E5EFFD"/>
          </w:tcPr>
          <w:p>
            <w:pPr>
              <w:jc w:val="right"/>
              <w:ind w:right="259"/>
              <w:spacing w:after="0"/>
              <w:rPr>
                <w:sz w:val="20"/>
                <w:szCs w:val="20"/>
                <w:color w:val="auto"/>
              </w:rPr>
            </w:pPr>
            <w:r>
              <w:rPr>
                <w:rFonts w:ascii="Arial" w:cs="Arial" w:eastAsia="Arial" w:hAnsi="Arial"/>
                <w:sz w:val="16"/>
                <w:szCs w:val="16"/>
                <w:color w:val="005CB8"/>
              </w:rPr>
              <w:t>$</w:t>
            </w:r>
          </w:p>
        </w:tc>
        <w:tc>
          <w:tcPr>
            <w:tcW w:w="118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3,203,000</w:t>
            </w:r>
          </w:p>
        </w:tc>
        <w:tc>
          <w:tcPr>
            <w:tcW w:w="520" w:type="dxa"/>
            <w:vAlign w:val="bottom"/>
            <w:shd w:val="clear" w:color="auto" w:fill="E5EFFD"/>
          </w:tcPr>
          <w:p>
            <w:pPr>
              <w:jc w:val="right"/>
              <w:ind w:right="259"/>
              <w:spacing w:after="0"/>
              <w:rPr>
                <w:sz w:val="20"/>
                <w:szCs w:val="20"/>
                <w:color w:val="auto"/>
              </w:rPr>
            </w:pPr>
            <w:r>
              <w:rPr>
                <w:rFonts w:ascii="Arial" w:cs="Arial" w:eastAsia="Arial" w:hAnsi="Arial"/>
                <w:sz w:val="16"/>
                <w:szCs w:val="16"/>
                <w:color w:val="005CB8"/>
              </w:rPr>
              <w:t>$</w:t>
            </w:r>
          </w:p>
        </w:tc>
        <w:tc>
          <w:tcPr>
            <w:tcW w:w="116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2,749,000</w:t>
            </w:r>
          </w:p>
        </w:tc>
      </w:tr>
      <w:tr>
        <w:trPr>
          <w:trHeight w:val="378"/>
        </w:trPr>
        <w:tc>
          <w:tcPr>
            <w:tcW w:w="610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Audit-Related Fees</w:t>
            </w:r>
            <w:r>
              <w:rPr>
                <w:rFonts w:ascii="Arial" w:cs="Arial" w:eastAsia="Arial" w:hAnsi="Arial"/>
                <w:sz w:val="26"/>
                <w:szCs w:val="26"/>
                <w:color w:val="005CB8"/>
                <w:vertAlign w:val="superscript"/>
              </w:rPr>
              <w:t>(2)</w:t>
            </w:r>
          </w:p>
        </w:tc>
        <w:tc>
          <w:tcPr>
            <w:tcW w:w="600" w:type="dxa"/>
            <w:vAlign w:val="bottom"/>
            <w:shd w:val="clear" w:color="auto" w:fill="E5EFFD"/>
          </w:tcPr>
          <w:p>
            <w:pPr>
              <w:jc w:val="right"/>
              <w:ind w:right="259"/>
              <w:spacing w:after="0"/>
              <w:rPr>
                <w:sz w:val="20"/>
                <w:szCs w:val="20"/>
                <w:color w:val="auto"/>
              </w:rPr>
            </w:pPr>
            <w:r>
              <w:rPr>
                <w:rFonts w:ascii="Arial" w:cs="Arial" w:eastAsia="Arial" w:hAnsi="Arial"/>
                <w:sz w:val="16"/>
                <w:szCs w:val="16"/>
                <w:color w:val="005CB8"/>
              </w:rPr>
              <w:t>$</w:t>
            </w:r>
          </w:p>
        </w:tc>
        <w:tc>
          <w:tcPr>
            <w:tcW w:w="118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571,000</w:t>
            </w:r>
          </w:p>
        </w:tc>
        <w:tc>
          <w:tcPr>
            <w:tcW w:w="520" w:type="dxa"/>
            <w:vAlign w:val="bottom"/>
            <w:shd w:val="clear" w:color="auto" w:fill="E5EFFD"/>
          </w:tcPr>
          <w:p>
            <w:pPr>
              <w:jc w:val="right"/>
              <w:ind w:right="259"/>
              <w:spacing w:after="0"/>
              <w:rPr>
                <w:sz w:val="20"/>
                <w:szCs w:val="20"/>
                <w:color w:val="auto"/>
              </w:rPr>
            </w:pPr>
            <w:r>
              <w:rPr>
                <w:rFonts w:ascii="Arial" w:cs="Arial" w:eastAsia="Arial" w:hAnsi="Arial"/>
                <w:sz w:val="16"/>
                <w:szCs w:val="16"/>
                <w:color w:val="005CB8"/>
              </w:rPr>
              <w:t>$</w:t>
            </w:r>
          </w:p>
        </w:tc>
        <w:tc>
          <w:tcPr>
            <w:tcW w:w="116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856,000</w:t>
            </w:r>
          </w:p>
        </w:tc>
      </w:tr>
      <w:tr>
        <w:trPr>
          <w:trHeight w:val="378"/>
        </w:trPr>
        <w:tc>
          <w:tcPr>
            <w:tcW w:w="610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Tax Fees</w:t>
            </w:r>
            <w:r>
              <w:rPr>
                <w:rFonts w:ascii="Arial" w:cs="Arial" w:eastAsia="Arial" w:hAnsi="Arial"/>
                <w:sz w:val="26"/>
                <w:szCs w:val="26"/>
                <w:color w:val="005CB8"/>
                <w:vertAlign w:val="superscript"/>
              </w:rPr>
              <w:t>(3)</w:t>
            </w:r>
          </w:p>
        </w:tc>
        <w:tc>
          <w:tcPr>
            <w:tcW w:w="600" w:type="dxa"/>
            <w:vAlign w:val="bottom"/>
            <w:shd w:val="clear" w:color="auto" w:fill="E5EFFD"/>
          </w:tcPr>
          <w:p>
            <w:pPr>
              <w:jc w:val="right"/>
              <w:ind w:right="259"/>
              <w:spacing w:after="0"/>
              <w:rPr>
                <w:sz w:val="20"/>
                <w:szCs w:val="20"/>
                <w:color w:val="auto"/>
              </w:rPr>
            </w:pPr>
            <w:r>
              <w:rPr>
                <w:rFonts w:ascii="Arial" w:cs="Arial" w:eastAsia="Arial" w:hAnsi="Arial"/>
                <w:sz w:val="16"/>
                <w:szCs w:val="16"/>
                <w:color w:val="005CB8"/>
              </w:rPr>
              <w:t>$</w:t>
            </w:r>
          </w:p>
        </w:tc>
        <w:tc>
          <w:tcPr>
            <w:tcW w:w="118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321,000</w:t>
            </w:r>
          </w:p>
        </w:tc>
        <w:tc>
          <w:tcPr>
            <w:tcW w:w="520" w:type="dxa"/>
            <w:vAlign w:val="bottom"/>
            <w:shd w:val="clear" w:color="auto" w:fill="E5EFFD"/>
          </w:tcPr>
          <w:p>
            <w:pPr>
              <w:jc w:val="right"/>
              <w:ind w:right="259"/>
              <w:spacing w:after="0"/>
              <w:rPr>
                <w:sz w:val="20"/>
                <w:szCs w:val="20"/>
                <w:color w:val="auto"/>
              </w:rPr>
            </w:pPr>
            <w:r>
              <w:rPr>
                <w:rFonts w:ascii="Arial" w:cs="Arial" w:eastAsia="Arial" w:hAnsi="Arial"/>
                <w:sz w:val="16"/>
                <w:szCs w:val="16"/>
                <w:color w:val="005CB8"/>
              </w:rPr>
              <w:t>$</w:t>
            </w:r>
          </w:p>
        </w:tc>
        <w:tc>
          <w:tcPr>
            <w:tcW w:w="116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81,000</w:t>
            </w:r>
          </w:p>
        </w:tc>
      </w:tr>
      <w:tr>
        <w:trPr>
          <w:trHeight w:val="378"/>
        </w:trPr>
        <w:tc>
          <w:tcPr>
            <w:tcW w:w="610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All Other Fees</w:t>
            </w:r>
            <w:r>
              <w:rPr>
                <w:rFonts w:ascii="Arial" w:cs="Arial" w:eastAsia="Arial" w:hAnsi="Arial"/>
                <w:sz w:val="26"/>
                <w:szCs w:val="26"/>
                <w:color w:val="005CB8"/>
                <w:vertAlign w:val="superscript"/>
              </w:rPr>
              <w:t>(4)</w:t>
            </w:r>
          </w:p>
        </w:tc>
        <w:tc>
          <w:tcPr>
            <w:tcW w:w="600" w:type="dxa"/>
            <w:vAlign w:val="bottom"/>
            <w:shd w:val="clear" w:color="auto" w:fill="E5EFFD"/>
          </w:tcPr>
          <w:p>
            <w:pPr>
              <w:jc w:val="right"/>
              <w:ind w:right="259"/>
              <w:spacing w:after="0"/>
              <w:rPr>
                <w:sz w:val="20"/>
                <w:szCs w:val="20"/>
                <w:color w:val="auto"/>
              </w:rPr>
            </w:pPr>
            <w:r>
              <w:rPr>
                <w:rFonts w:ascii="Arial" w:cs="Arial" w:eastAsia="Arial" w:hAnsi="Arial"/>
                <w:sz w:val="16"/>
                <w:szCs w:val="16"/>
                <w:color w:val="005CB8"/>
              </w:rPr>
              <w:t>$</w:t>
            </w:r>
          </w:p>
        </w:tc>
        <w:tc>
          <w:tcPr>
            <w:tcW w:w="118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6,000</w:t>
            </w:r>
          </w:p>
        </w:tc>
        <w:tc>
          <w:tcPr>
            <w:tcW w:w="520" w:type="dxa"/>
            <w:vAlign w:val="bottom"/>
            <w:shd w:val="clear" w:color="auto" w:fill="E5EFFD"/>
          </w:tcPr>
          <w:p>
            <w:pPr>
              <w:jc w:val="right"/>
              <w:ind w:right="259"/>
              <w:spacing w:after="0"/>
              <w:rPr>
                <w:sz w:val="20"/>
                <w:szCs w:val="20"/>
                <w:color w:val="auto"/>
              </w:rPr>
            </w:pPr>
            <w:r>
              <w:rPr>
                <w:rFonts w:ascii="Arial" w:cs="Arial" w:eastAsia="Arial" w:hAnsi="Arial"/>
                <w:sz w:val="16"/>
                <w:szCs w:val="16"/>
                <w:color w:val="005CB8"/>
              </w:rPr>
              <w:t>$</w:t>
            </w:r>
          </w:p>
        </w:tc>
        <w:tc>
          <w:tcPr>
            <w:tcW w:w="116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2,950</w:t>
            </w:r>
          </w:p>
        </w:tc>
      </w:tr>
      <w:tr>
        <w:trPr>
          <w:trHeight w:val="310"/>
        </w:trPr>
        <w:tc>
          <w:tcPr>
            <w:tcW w:w="610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Total Fees</w:t>
            </w:r>
          </w:p>
        </w:tc>
        <w:tc>
          <w:tcPr>
            <w:tcW w:w="600" w:type="dxa"/>
            <w:vAlign w:val="bottom"/>
            <w:shd w:val="clear" w:color="auto" w:fill="E5EFFD"/>
          </w:tcPr>
          <w:p>
            <w:pPr>
              <w:jc w:val="right"/>
              <w:ind w:right="259"/>
              <w:spacing w:after="0"/>
              <w:rPr>
                <w:sz w:val="20"/>
                <w:szCs w:val="20"/>
                <w:color w:val="auto"/>
              </w:rPr>
            </w:pPr>
            <w:r>
              <w:rPr>
                <w:rFonts w:ascii="Arial" w:cs="Arial" w:eastAsia="Arial" w:hAnsi="Arial"/>
                <w:sz w:val="16"/>
                <w:szCs w:val="16"/>
                <w:color w:val="005CB8"/>
              </w:rPr>
              <w:t>$</w:t>
            </w:r>
          </w:p>
        </w:tc>
        <w:tc>
          <w:tcPr>
            <w:tcW w:w="118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4,101,000</w:t>
            </w:r>
          </w:p>
        </w:tc>
        <w:tc>
          <w:tcPr>
            <w:tcW w:w="520" w:type="dxa"/>
            <w:vAlign w:val="bottom"/>
            <w:shd w:val="clear" w:color="auto" w:fill="E5EFFD"/>
          </w:tcPr>
          <w:p>
            <w:pPr>
              <w:jc w:val="right"/>
              <w:ind w:right="259"/>
              <w:spacing w:after="0"/>
              <w:rPr>
                <w:sz w:val="20"/>
                <w:szCs w:val="20"/>
                <w:color w:val="auto"/>
              </w:rPr>
            </w:pPr>
            <w:r>
              <w:rPr>
                <w:rFonts w:ascii="Arial" w:cs="Arial" w:eastAsia="Arial" w:hAnsi="Arial"/>
                <w:sz w:val="16"/>
                <w:szCs w:val="16"/>
                <w:color w:val="005CB8"/>
              </w:rPr>
              <w:t>$</w:t>
            </w:r>
          </w:p>
        </w:tc>
        <w:tc>
          <w:tcPr>
            <w:tcW w:w="116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3,688,950</w:t>
            </w:r>
          </w:p>
        </w:tc>
      </w:tr>
    </w:tbl>
    <w:p>
      <w:pPr>
        <w:spacing w:after="0" w:line="113" w:lineRule="exact"/>
        <w:rPr>
          <w:sz w:val="20"/>
          <w:szCs w:val="20"/>
          <w:color w:val="auto"/>
        </w:rPr>
      </w:pPr>
    </w:p>
    <w:p>
      <w:pPr>
        <w:ind w:left="960" w:right="800" w:hanging="244"/>
        <w:spacing w:after="0" w:line="207" w:lineRule="auto"/>
        <w:tabs>
          <w:tab w:leader="none" w:pos="960"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Consists of fees billed for professional services rendered in connection with the audit of our consolidated financial statements, audit of our internal controls over financial reporting, reviews of our quarterly consolidated financial statements, related accounting consultations, and statutory audits of our international subsidiaries. This category also includes fees for services incurred in connection with our initial public offering.</w:t>
      </w:r>
    </w:p>
    <w:p>
      <w:pPr>
        <w:spacing w:after="0" w:line="3" w:lineRule="exact"/>
        <w:rPr>
          <w:rFonts w:ascii="Arial" w:cs="Arial" w:eastAsia="Arial" w:hAnsi="Arial"/>
          <w:sz w:val="22"/>
          <w:szCs w:val="22"/>
          <w:color w:val="auto"/>
          <w:vertAlign w:val="superscript"/>
        </w:rPr>
      </w:pPr>
    </w:p>
    <w:p>
      <w:pPr>
        <w:ind w:left="960" w:right="740" w:hanging="244"/>
        <w:spacing w:after="0" w:line="231" w:lineRule="auto"/>
        <w:tabs>
          <w:tab w:leader="none" w:pos="96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Consists of fees billed for assurance and related services that are reasonably related to the performance of the audit or review of our consolidated financial statements, audit of our internal controls over financial reporting, and not reported under “</w:t>
      </w:r>
      <w:r>
        <w:rPr>
          <w:rFonts w:ascii="Arial" w:cs="Arial" w:eastAsia="Arial" w:hAnsi="Arial"/>
          <w:sz w:val="14"/>
          <w:szCs w:val="14"/>
          <w:i w:val="1"/>
          <w:iCs w:val="1"/>
          <w:color w:val="auto"/>
        </w:rPr>
        <w:t>Audit Fees</w:t>
      </w:r>
      <w:r>
        <w:rPr>
          <w:rFonts w:ascii="Arial" w:cs="Arial" w:eastAsia="Arial" w:hAnsi="Arial"/>
          <w:sz w:val="14"/>
          <w:szCs w:val="14"/>
          <w:color w:val="auto"/>
        </w:rPr>
        <w:t>”. For fiscal 2018 and fiscal 2019, this includes fees for professional services with respect to the Statement on Standards for Attestation Engagements (SSAE) No. 16 and other service organization control related examinations, certifications, and assessments, as well as due diligence services related to mergers and acquisitions. Fiscal 2018 also includes fees for services in connection with preparation for compliance with Section 404 of the Sarbanes-Oxley Act of 2002.</w:t>
      </w:r>
    </w:p>
    <w:p>
      <w:pPr>
        <w:spacing w:after="0" w:line="1" w:lineRule="exact"/>
        <w:rPr>
          <w:rFonts w:ascii="Arial" w:cs="Arial" w:eastAsia="Arial" w:hAnsi="Arial"/>
          <w:sz w:val="18"/>
          <w:szCs w:val="18"/>
          <w:color w:val="auto"/>
          <w:vertAlign w:val="superscript"/>
        </w:rPr>
      </w:pPr>
    </w:p>
    <w:p>
      <w:pPr>
        <w:ind w:left="960" w:hanging="244"/>
        <w:spacing w:after="0" w:line="219" w:lineRule="auto"/>
        <w:tabs>
          <w:tab w:leader="none" w:pos="96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Tax Fees consist of fees for professional services for domestic and international tax advisory services.</w:t>
      </w:r>
    </w:p>
    <w:p>
      <w:pPr>
        <w:spacing w:after="0" w:line="3" w:lineRule="exact"/>
        <w:rPr>
          <w:rFonts w:ascii="Arial" w:cs="Arial" w:eastAsia="Arial" w:hAnsi="Arial"/>
          <w:sz w:val="18"/>
          <w:szCs w:val="18"/>
          <w:color w:val="auto"/>
          <w:vertAlign w:val="superscript"/>
        </w:rPr>
      </w:pPr>
    </w:p>
    <w:p>
      <w:pPr>
        <w:ind w:left="960" w:right="1280" w:hanging="244"/>
        <w:spacing w:after="0" w:line="217" w:lineRule="auto"/>
        <w:tabs>
          <w:tab w:leader="none" w:pos="96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Consists of aggregate fees billed for products and services provided by the independent registered public accounting firm other than those disclosed above, which relate to subscription fees paid for access to online accounting research software applications.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38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19</w:t>
            </w:r>
          </w:p>
        </w:tc>
      </w:tr>
      <w:tr>
        <w:trPr>
          <w:trHeight w:val="168"/>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3" w:name="page24"/>
    <w:bookmarkEnd w:id="23"/>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jc w:val="both"/>
        <w:ind w:left="4" w:right="560"/>
        <w:spacing w:after="0" w:line="253" w:lineRule="auto"/>
        <w:rPr>
          <w:sz w:val="20"/>
          <w:szCs w:val="20"/>
          <w:color w:val="auto"/>
        </w:rPr>
      </w:pPr>
      <w:r>
        <w:rPr>
          <w:rFonts w:ascii="Arial" w:cs="Arial" w:eastAsia="Arial" w:hAnsi="Arial"/>
          <w:sz w:val="32"/>
          <w:szCs w:val="32"/>
          <w:color w:val="005CB8"/>
        </w:rPr>
        <w:t>PROPOSAL NO. 2—RATIFICATION OF APPOINTMENT OF INDEPENDENT REGISTERED PUBLIC ACCOUNTING FIRM (continued)</w:t>
      </w:r>
    </w:p>
    <w:p>
      <w:pPr>
        <w:spacing w:after="0" w:line="338" w:lineRule="exact"/>
        <w:rPr>
          <w:sz w:val="20"/>
          <w:szCs w:val="20"/>
          <w:color w:val="auto"/>
        </w:rPr>
      </w:pPr>
    </w:p>
    <w:p>
      <w:pPr>
        <w:ind w:left="4"/>
        <w:spacing w:after="0"/>
        <w:rPr>
          <w:sz w:val="20"/>
          <w:szCs w:val="20"/>
          <w:color w:val="auto"/>
        </w:rPr>
      </w:pPr>
      <w:r>
        <w:rPr>
          <w:rFonts w:ascii="Arial" w:cs="Arial" w:eastAsia="Arial" w:hAnsi="Arial"/>
          <w:sz w:val="26"/>
          <w:szCs w:val="26"/>
          <w:color w:val="005CB8"/>
        </w:rPr>
        <w:t>Auditor Independence</w:t>
      </w:r>
    </w:p>
    <w:p>
      <w:pPr>
        <w:spacing w:after="0" w:line="169" w:lineRule="exact"/>
        <w:rPr>
          <w:sz w:val="20"/>
          <w:szCs w:val="20"/>
          <w:color w:val="auto"/>
        </w:rPr>
      </w:pPr>
    </w:p>
    <w:p>
      <w:pPr>
        <w:ind w:left="4"/>
        <w:spacing w:after="0" w:line="253" w:lineRule="auto"/>
        <w:rPr>
          <w:sz w:val="20"/>
          <w:szCs w:val="20"/>
          <w:color w:val="auto"/>
        </w:rPr>
      </w:pPr>
      <w:r>
        <w:rPr>
          <w:rFonts w:ascii="Arial" w:cs="Arial" w:eastAsia="Arial" w:hAnsi="Arial"/>
          <w:sz w:val="16"/>
          <w:szCs w:val="16"/>
          <w:color w:val="auto"/>
        </w:rPr>
        <w:t>In our fiscal year ended December 31, 2019, there were no other professional services provided by Ernst &amp; Young LLP, other than those listed above, that would have required our audit committee to consider their compatibility with maintaining the independence of Ernst &amp; Young LLP.</w:t>
      </w:r>
    </w:p>
    <w:p>
      <w:pPr>
        <w:spacing w:after="0" w:line="193" w:lineRule="exact"/>
        <w:rPr>
          <w:sz w:val="20"/>
          <w:szCs w:val="20"/>
          <w:color w:val="auto"/>
        </w:rPr>
      </w:pPr>
    </w:p>
    <w:p>
      <w:pPr>
        <w:ind w:left="4" w:right="700"/>
        <w:spacing w:after="0" w:line="250" w:lineRule="auto"/>
        <w:rPr>
          <w:sz w:val="20"/>
          <w:szCs w:val="20"/>
          <w:color w:val="auto"/>
        </w:rPr>
      </w:pPr>
      <w:r>
        <w:rPr>
          <w:rFonts w:ascii="Arial" w:cs="Arial" w:eastAsia="Arial" w:hAnsi="Arial"/>
          <w:sz w:val="26"/>
          <w:szCs w:val="26"/>
          <w:color w:val="005CB8"/>
        </w:rPr>
        <w:t>Audit Committee Policy on Pre-Approval of Audit and Permissible Non-Audit Services of Independent Registered Public Accounting Firm</w:t>
      </w:r>
    </w:p>
    <w:p>
      <w:pPr>
        <w:spacing w:after="0" w:line="142" w:lineRule="exact"/>
        <w:rPr>
          <w:sz w:val="20"/>
          <w:szCs w:val="20"/>
          <w:color w:val="auto"/>
        </w:rPr>
      </w:pPr>
    </w:p>
    <w:p>
      <w:pPr>
        <w:ind w:left="4" w:right="20"/>
        <w:spacing w:after="0" w:line="250" w:lineRule="auto"/>
        <w:rPr>
          <w:sz w:val="20"/>
          <w:szCs w:val="20"/>
          <w:color w:val="auto"/>
        </w:rPr>
      </w:pPr>
      <w:r>
        <w:rPr>
          <w:rFonts w:ascii="Arial" w:cs="Arial" w:eastAsia="Arial" w:hAnsi="Arial"/>
          <w:sz w:val="16"/>
          <w:szCs w:val="16"/>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the public accountants’ independence. All services provided by Ernst &amp; Young LLP for our fiscal years ended December 31, 2018 and 2019 were pre-approved by our audit committee.</w:t>
      </w:r>
    </w:p>
    <w:p>
      <w:pPr>
        <w:spacing w:after="0" w:line="356" w:lineRule="exact"/>
        <w:rPr>
          <w:sz w:val="20"/>
          <w:szCs w:val="20"/>
          <w:color w:val="auto"/>
        </w:rPr>
      </w:pPr>
    </w:p>
    <w:p>
      <w:pPr>
        <w:ind w:left="4"/>
        <w:spacing w:after="0"/>
        <w:rPr>
          <w:sz w:val="20"/>
          <w:szCs w:val="20"/>
          <w:color w:val="auto"/>
        </w:rPr>
      </w:pPr>
      <w:r>
        <w:rPr>
          <w:rFonts w:ascii="Arial" w:cs="Arial" w:eastAsia="Arial" w:hAnsi="Arial"/>
          <w:sz w:val="26"/>
          <w:szCs w:val="26"/>
          <w:color w:val="005CB8"/>
        </w:rPr>
        <w:t>Vote Required</w:t>
      </w:r>
    </w:p>
    <w:p>
      <w:pPr>
        <w:spacing w:after="0" w:line="169" w:lineRule="exact"/>
        <w:rPr>
          <w:sz w:val="20"/>
          <w:szCs w:val="20"/>
          <w:color w:val="auto"/>
        </w:rPr>
      </w:pPr>
    </w:p>
    <w:p>
      <w:pPr>
        <w:ind w:left="4" w:right="40"/>
        <w:spacing w:after="0" w:line="251" w:lineRule="auto"/>
        <w:rPr>
          <w:sz w:val="20"/>
          <w:szCs w:val="20"/>
          <w:color w:val="auto"/>
        </w:rPr>
      </w:pPr>
      <w:r>
        <w:rPr>
          <w:rFonts w:ascii="Arial" w:cs="Arial" w:eastAsia="Arial" w:hAnsi="Arial"/>
          <w:sz w:val="16"/>
          <w:szCs w:val="16"/>
          <w:color w:val="auto"/>
        </w:rPr>
        <w:t>The ratification of the appointment of Ernst &amp; Young LLP as our independent registered public accounting firm for our fiscal year ending December 31, 2020 requires the affirmative vote of a majority of the voting power of the shares of our common stock present virtually or by proxy at the Annual Meeting and entitled to vote thereon. Abstentions will have the effect of a vote against this proposal, and broker non-votes will have no effect.</w:t>
      </w:r>
    </w:p>
    <w:p>
      <w:pPr>
        <w:spacing w:after="0" w:line="358" w:lineRule="exact"/>
        <w:rPr>
          <w:sz w:val="20"/>
          <w:szCs w:val="20"/>
          <w:color w:val="auto"/>
        </w:rPr>
      </w:pPr>
    </w:p>
    <w:p>
      <w:pPr>
        <w:ind w:left="4" w:right="400"/>
        <w:spacing w:after="0" w:line="286" w:lineRule="auto"/>
        <w:rPr>
          <w:sz w:val="20"/>
          <w:szCs w:val="20"/>
          <w:color w:val="auto"/>
        </w:rPr>
      </w:pPr>
      <w:r>
        <w:rPr>
          <w:rFonts w:ascii="Arial" w:cs="Arial" w:eastAsia="Arial" w:hAnsi="Arial"/>
          <w:sz w:val="16"/>
          <w:szCs w:val="16"/>
          <w:b w:val="1"/>
          <w:bCs w:val="1"/>
          <w:color w:val="005CB8"/>
        </w:rPr>
        <w:t>THE BOARD OF DIRECTORS RECOMMENDS A VOTE “FOR” THE RATIFICATION OF THE APPOINTMENT OF ERNST &amp; YOUNG LLP AS OUR INDEPENDENT REGISTERED PUBLIC ACCOUNTING FIRM.</w:t>
      </w:r>
    </w:p>
    <w:p>
      <w:pPr>
        <w:spacing w:after="0" w:line="160" w:lineRule="exact"/>
        <w:rPr>
          <w:sz w:val="20"/>
          <w:szCs w:val="20"/>
          <w:color w:val="auto"/>
        </w:rPr>
      </w:pPr>
    </w:p>
    <w:p>
      <w:pPr>
        <w:ind w:left="524" w:hanging="524"/>
        <w:spacing w:after="0"/>
        <w:tabs>
          <w:tab w:leader="none" w:pos="524"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84"/>
          </w:cols>
          <w:pgMar w:left="1156" w:top="265" w:right="1259" w:bottom="1440" w:gutter="0" w:footer="0" w:header="0"/>
        </w:sectPr>
      </w:pPr>
    </w:p>
    <w:bookmarkStart w:id="24" w:name="page25"/>
    <w:bookmarkEnd w:id="24"/>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REPORT OF THE AUDIT COMMITTEE</w:t>
      </w:r>
    </w:p>
    <w:p>
      <w:pPr>
        <w:spacing w:after="0" w:line="170" w:lineRule="exact"/>
        <w:rPr>
          <w:sz w:val="20"/>
          <w:szCs w:val="20"/>
          <w:color w:val="auto"/>
        </w:rPr>
      </w:pPr>
    </w:p>
    <w:p>
      <w:pPr>
        <w:ind w:left="720" w:right="820"/>
        <w:spacing w:after="0" w:line="246" w:lineRule="auto"/>
        <w:rPr>
          <w:sz w:val="20"/>
          <w:szCs w:val="20"/>
          <w:color w:val="auto"/>
        </w:rPr>
      </w:pPr>
      <w:r>
        <w:rPr>
          <w:rFonts w:ascii="Arial" w:cs="Arial" w:eastAsia="Arial" w:hAnsi="Arial"/>
          <w:sz w:val="16"/>
          <w:szCs w:val="16"/>
          <w:color w:val="auto"/>
        </w:rPr>
        <w:t>The audit committee is a committee of the board of directors comprised solely of independent directors as required by Nasdaq listing standards and SEC rules and regulations. The composition of the audit committee, the attributes of its members and the responsibilities of the audit committee, as reflected in its charter, are intended to be in accordance with applicable requirements for corporate audit committees. With respect to Dropbox’s financial reporting process, Dropbox’s management is responsible for</w:t>
      </w:r>
    </w:p>
    <w:p>
      <w:pPr>
        <w:spacing w:after="0" w:line="2" w:lineRule="exact"/>
        <w:rPr>
          <w:sz w:val="20"/>
          <w:szCs w:val="20"/>
          <w:color w:val="auto"/>
        </w:rPr>
      </w:pPr>
    </w:p>
    <w:p>
      <w:pPr>
        <w:ind w:left="720" w:right="860" w:hanging="4"/>
        <w:spacing w:after="0" w:line="249" w:lineRule="auto"/>
        <w:tabs>
          <w:tab w:leader="none" w:pos="963" w:val="left"/>
        </w:tabs>
        <w:numPr>
          <w:ilvl w:val="0"/>
          <w:numId w:val="37"/>
        </w:numPr>
        <w:rPr>
          <w:rFonts w:ascii="Arial" w:cs="Arial" w:eastAsia="Arial" w:hAnsi="Arial"/>
          <w:sz w:val="16"/>
          <w:szCs w:val="16"/>
          <w:color w:val="auto"/>
        </w:rPr>
      </w:pPr>
      <w:r>
        <w:rPr>
          <w:rFonts w:ascii="Arial" w:cs="Arial" w:eastAsia="Arial" w:hAnsi="Arial"/>
          <w:sz w:val="16"/>
          <w:szCs w:val="16"/>
          <w:color w:val="auto"/>
        </w:rPr>
        <w:t>establishing and maintaining internal controls and (2) preparing Dropbox’s consolidated financial statements. Dropbox’s independent registered public accounting firm, Ernst &amp; Young LLP (“</w:t>
      </w:r>
      <w:r>
        <w:rPr>
          <w:rFonts w:ascii="Arial" w:cs="Arial" w:eastAsia="Arial" w:hAnsi="Arial"/>
          <w:sz w:val="16"/>
          <w:szCs w:val="16"/>
          <w:b w:val="1"/>
          <w:bCs w:val="1"/>
          <w:i w:val="1"/>
          <w:iCs w:val="1"/>
          <w:color w:val="auto"/>
        </w:rPr>
        <w:t>Ernst &amp; Young</w:t>
      </w:r>
      <w:r>
        <w:rPr>
          <w:rFonts w:ascii="Arial" w:cs="Arial" w:eastAsia="Arial" w:hAnsi="Arial"/>
          <w:sz w:val="16"/>
          <w:szCs w:val="16"/>
          <w:color w:val="auto"/>
        </w:rPr>
        <w:t>”), is responsible for performing an independent audit of Dropbox’s consolidated financial statements and the effectiveness of the Company’s internal control over financial reporting. It is the responsibility of the audit committee to oversee these activities. It is not the responsibility of the audit committee to prepare Dropbox’s financial statements. These are the fundamental responsibilities of management. In the performance of its oversight function, the audit committee has:</w:t>
      </w:r>
    </w:p>
    <w:p>
      <w:pPr>
        <w:spacing w:after="0" w:line="151" w:lineRule="exact"/>
        <w:rPr>
          <w:sz w:val="20"/>
          <w:szCs w:val="20"/>
          <w:color w:val="auto"/>
        </w:rPr>
      </w:pPr>
    </w:p>
    <w:p>
      <w:pPr>
        <w:ind w:left="1000" w:hanging="284"/>
        <w:spacing w:after="0"/>
        <w:tabs>
          <w:tab w:leader="none" w:pos="1000" w:val="left"/>
        </w:tabs>
        <w:numPr>
          <w:ilvl w:val="0"/>
          <w:numId w:val="38"/>
        </w:numPr>
        <w:rPr>
          <w:rFonts w:ascii="Arial" w:cs="Arial" w:eastAsia="Arial" w:hAnsi="Arial"/>
          <w:sz w:val="16"/>
          <w:szCs w:val="16"/>
          <w:color w:val="005CB8"/>
        </w:rPr>
      </w:pPr>
      <w:r>
        <w:rPr>
          <w:rFonts w:ascii="Arial" w:cs="Arial" w:eastAsia="Arial" w:hAnsi="Arial"/>
          <w:sz w:val="16"/>
          <w:szCs w:val="16"/>
          <w:color w:val="auto"/>
        </w:rPr>
        <w:t>reviewed and discussed the audited consolidated financial statements with management and Ernst &amp; Young;</w:t>
      </w:r>
    </w:p>
    <w:p>
      <w:pPr>
        <w:spacing w:after="0" w:line="167" w:lineRule="exact"/>
        <w:rPr>
          <w:rFonts w:ascii="Arial" w:cs="Arial" w:eastAsia="Arial" w:hAnsi="Arial"/>
          <w:sz w:val="16"/>
          <w:szCs w:val="16"/>
          <w:color w:val="005CB8"/>
        </w:rPr>
      </w:pPr>
    </w:p>
    <w:p>
      <w:pPr>
        <w:ind w:left="1000" w:right="800" w:hanging="284"/>
        <w:spacing w:after="0" w:line="260" w:lineRule="auto"/>
        <w:tabs>
          <w:tab w:leader="none" w:pos="1000" w:val="left"/>
        </w:tabs>
        <w:numPr>
          <w:ilvl w:val="0"/>
          <w:numId w:val="38"/>
        </w:numPr>
        <w:rPr>
          <w:rFonts w:ascii="Arial" w:cs="Arial" w:eastAsia="Arial" w:hAnsi="Arial"/>
          <w:sz w:val="16"/>
          <w:szCs w:val="16"/>
          <w:color w:val="005CB8"/>
        </w:rPr>
      </w:pPr>
      <w:r>
        <w:rPr>
          <w:rFonts w:ascii="Arial" w:cs="Arial" w:eastAsia="Arial" w:hAnsi="Arial"/>
          <w:sz w:val="16"/>
          <w:szCs w:val="16"/>
          <w:color w:val="auto"/>
        </w:rPr>
        <w:t>discussed with Ernst &amp; Young the matters required to be discussed by Auditing Standards No. 1301, “Communications with Audit Committees” issued by the Public Company Accounting Oversight Board (“</w:t>
      </w:r>
      <w:r>
        <w:rPr>
          <w:rFonts w:ascii="Arial" w:cs="Arial" w:eastAsia="Arial" w:hAnsi="Arial"/>
          <w:sz w:val="16"/>
          <w:szCs w:val="16"/>
          <w:b w:val="1"/>
          <w:bCs w:val="1"/>
          <w:i w:val="1"/>
          <w:iCs w:val="1"/>
          <w:color w:val="auto"/>
        </w:rPr>
        <w:t>PCAOB</w:t>
      </w:r>
      <w:r>
        <w:rPr>
          <w:rFonts w:ascii="Arial" w:cs="Arial" w:eastAsia="Arial" w:hAnsi="Arial"/>
          <w:sz w:val="16"/>
          <w:szCs w:val="16"/>
          <w:color w:val="auto"/>
        </w:rPr>
        <w:t>”); and</w:t>
      </w:r>
    </w:p>
    <w:p>
      <w:pPr>
        <w:spacing w:after="0" w:line="141" w:lineRule="exact"/>
        <w:rPr>
          <w:rFonts w:ascii="Arial" w:cs="Arial" w:eastAsia="Arial" w:hAnsi="Arial"/>
          <w:sz w:val="16"/>
          <w:szCs w:val="16"/>
          <w:color w:val="005CB8"/>
        </w:rPr>
      </w:pPr>
    </w:p>
    <w:p>
      <w:pPr>
        <w:ind w:left="1000" w:right="820" w:hanging="284"/>
        <w:spacing w:after="0" w:line="253" w:lineRule="auto"/>
        <w:tabs>
          <w:tab w:leader="none" w:pos="1000" w:val="left"/>
        </w:tabs>
        <w:numPr>
          <w:ilvl w:val="0"/>
          <w:numId w:val="38"/>
        </w:numPr>
        <w:rPr>
          <w:rFonts w:ascii="Arial" w:cs="Arial" w:eastAsia="Arial" w:hAnsi="Arial"/>
          <w:sz w:val="16"/>
          <w:szCs w:val="16"/>
          <w:color w:val="005CB8"/>
        </w:rPr>
      </w:pPr>
      <w:r>
        <w:rPr>
          <w:rFonts w:ascii="Arial" w:cs="Arial" w:eastAsia="Arial" w:hAnsi="Arial"/>
          <w:sz w:val="16"/>
          <w:szCs w:val="16"/>
          <w:color w:val="auto"/>
        </w:rPr>
        <w:t>received the written disclosures and the letter from Ernst &amp; Young required by applicable requirements of the PCAOB regarding the independent accountant’s communications with the audit committee concerning independence, and has discussed with Ernst &amp; Young its independence.</w:t>
      </w:r>
    </w:p>
    <w:p>
      <w:pPr>
        <w:spacing w:after="0" w:line="147" w:lineRule="exact"/>
        <w:rPr>
          <w:sz w:val="20"/>
          <w:szCs w:val="20"/>
          <w:color w:val="auto"/>
        </w:rPr>
      </w:pPr>
    </w:p>
    <w:p>
      <w:pPr>
        <w:jc w:val="both"/>
        <w:ind w:left="720" w:right="860"/>
        <w:spacing w:after="0" w:line="253" w:lineRule="auto"/>
        <w:rPr>
          <w:sz w:val="20"/>
          <w:szCs w:val="20"/>
          <w:color w:val="auto"/>
        </w:rPr>
      </w:pPr>
      <w:r>
        <w:rPr>
          <w:rFonts w:ascii="Arial" w:cs="Arial" w:eastAsia="Arial" w:hAnsi="Arial"/>
          <w:sz w:val="16"/>
          <w:szCs w:val="16"/>
          <w:color w:val="auto"/>
        </w:rPr>
        <w:t>Based on the audit committee’s review and discussions with management and Ernst &amp; Young, the audit committee recommended to the board of directors that the audited financial statements be included in the Annual Report on Form 10-K for the fiscal year ended December 31, 2019 for filing with the SEC.</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Respectfully submitted by the members of the audit committee of the board of directors:</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Donald W. Blair (Chair)</w:t>
      </w:r>
    </w:p>
    <w:p>
      <w:pPr>
        <w:spacing w:after="0" w:line="2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Robert J. Mylod, Jr.</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Lisa Campbell</w:t>
      </w:r>
    </w:p>
    <w:p>
      <w:pPr>
        <w:spacing w:after="0" w:line="167" w:lineRule="exact"/>
        <w:rPr>
          <w:sz w:val="20"/>
          <w:szCs w:val="20"/>
          <w:color w:val="auto"/>
        </w:rPr>
      </w:pPr>
    </w:p>
    <w:p>
      <w:pPr>
        <w:ind w:left="720" w:right="780"/>
        <w:spacing w:after="0" w:line="250" w:lineRule="auto"/>
        <w:rPr>
          <w:sz w:val="20"/>
          <w:szCs w:val="20"/>
          <w:color w:val="auto"/>
        </w:rPr>
      </w:pPr>
      <w:r>
        <w:rPr>
          <w:rFonts w:ascii="Arial" w:cs="Arial" w:eastAsia="Arial" w:hAnsi="Arial"/>
          <w:sz w:val="16"/>
          <w:szCs w:val="16"/>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under the Exchange Act, except to the extent that we specifically incorporate this information by reference, and will not otherwise be deemed “soliciting material” or “filed” under either the Securities Act or the Exchange Act.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38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21</w:t>
            </w:r>
          </w:p>
        </w:tc>
      </w:tr>
      <w:tr>
        <w:trPr>
          <w:trHeight w:val="181"/>
        </w:trPr>
        <w:tc>
          <w:tcPr>
            <w:tcW w:w="9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5" w:name="page26"/>
    <w:bookmarkEnd w:id="25"/>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700"/>
        <w:spacing w:after="0" w:line="260" w:lineRule="auto"/>
        <w:rPr>
          <w:sz w:val="20"/>
          <w:szCs w:val="20"/>
          <w:color w:val="auto"/>
        </w:rPr>
      </w:pPr>
      <w:r>
        <w:rPr>
          <w:rFonts w:ascii="Arial" w:cs="Arial" w:eastAsia="Arial" w:hAnsi="Arial"/>
          <w:sz w:val="32"/>
          <w:szCs w:val="32"/>
          <w:color w:val="005CB8"/>
        </w:rPr>
        <w:t>PROPOSAL NO. 3—ADVISORY VOTE ON THE COMPENSATION OF OUR NAMED EXECUTIVE OFFICERS</w:t>
      </w:r>
    </w:p>
    <w:p>
      <w:pPr>
        <w:spacing w:after="0" w:line="99" w:lineRule="exact"/>
        <w:rPr>
          <w:sz w:val="20"/>
          <w:szCs w:val="20"/>
          <w:color w:val="auto"/>
        </w:rPr>
      </w:pPr>
    </w:p>
    <w:p>
      <w:pPr>
        <w:ind w:left="4"/>
        <w:spacing w:after="0" w:line="253" w:lineRule="auto"/>
        <w:rPr>
          <w:sz w:val="20"/>
          <w:szCs w:val="20"/>
          <w:color w:val="auto"/>
        </w:rPr>
      </w:pPr>
      <w:r>
        <w:rPr>
          <w:rFonts w:ascii="Arial" w:cs="Arial" w:eastAsia="Arial" w:hAnsi="Arial"/>
          <w:sz w:val="16"/>
          <w:szCs w:val="16"/>
          <w:color w:val="auto"/>
        </w:rPr>
        <w:t>In accordance with the Dodd-Frank Wall Street Reform and Consumer Protection Act of 2010 (the “</w:t>
      </w:r>
      <w:r>
        <w:rPr>
          <w:rFonts w:ascii="Arial" w:cs="Arial" w:eastAsia="Arial" w:hAnsi="Arial"/>
          <w:sz w:val="16"/>
          <w:szCs w:val="16"/>
          <w:b w:val="1"/>
          <w:bCs w:val="1"/>
          <w:i w:val="1"/>
          <w:iCs w:val="1"/>
          <w:color w:val="auto"/>
        </w:rPr>
        <w:t>Dodd-Frank Act</w:t>
      </w:r>
      <w:r>
        <w:rPr>
          <w:rFonts w:ascii="Arial" w:cs="Arial" w:eastAsia="Arial" w:hAnsi="Arial"/>
          <w:sz w:val="16"/>
          <w:szCs w:val="16"/>
          <w:color w:val="auto"/>
        </w:rPr>
        <w:t>”) and SEC rules, we are providing our stockholders with the opportunity to vote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147"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The Say-on-Pay vote is advisory, and therefore is not binding on us, our compensation committee, or our board of directors. The Say-on-Pay vote will, however, provide information to us regarding investor sentiment about our executive compensation philosophy, policies and practices, which our compensation committee will be able to consider when determining executive compensation for the remainder of the current fiscal year and beyond. Our board of directors and our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compensation committee will evaluate whether any actions are necessary to address those concerns.</w:t>
      </w:r>
    </w:p>
    <w:p>
      <w:pPr>
        <w:spacing w:after="0" w:line="137" w:lineRule="exact"/>
        <w:rPr>
          <w:sz w:val="20"/>
          <w:szCs w:val="20"/>
          <w:color w:val="auto"/>
        </w:rPr>
      </w:pPr>
    </w:p>
    <w:p>
      <w:pPr>
        <w:ind w:left="4" w:right="40"/>
        <w:spacing w:after="0" w:line="258" w:lineRule="auto"/>
        <w:rPr>
          <w:sz w:val="20"/>
          <w:szCs w:val="20"/>
          <w:color w:val="auto"/>
        </w:rPr>
      </w:pPr>
      <w:r>
        <w:rPr>
          <w:rFonts w:ascii="Arial" w:cs="Arial" w:eastAsia="Arial" w:hAnsi="Arial"/>
          <w:sz w:val="16"/>
          <w:szCs w:val="16"/>
          <w:color w:val="auto"/>
        </w:rPr>
        <w:t>We believe that the information provided in the section 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in particular the information discussed in the section titled “</w:t>
      </w:r>
      <w:r>
        <w:rPr>
          <w:rFonts w:ascii="Arial" w:cs="Arial" w:eastAsia="Arial" w:hAnsi="Arial"/>
          <w:sz w:val="16"/>
          <w:szCs w:val="16"/>
          <w:i w:val="1"/>
          <w:iCs w:val="1"/>
          <w:color w:val="auto"/>
        </w:rPr>
        <w:t>Executive Compensation—Compensation Philosophy</w:t>
      </w:r>
      <w:r>
        <w:rPr>
          <w:rFonts w:ascii="Arial" w:cs="Arial" w:eastAsia="Arial" w:hAnsi="Arial"/>
          <w:sz w:val="16"/>
          <w:szCs w:val="16"/>
          <w:color w:val="auto"/>
        </w:rPr>
        <w:t>,”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spacing w:after="0" w:line="143" w:lineRule="exact"/>
        <w:rPr>
          <w:sz w:val="20"/>
          <w:szCs w:val="20"/>
          <w:color w:val="auto"/>
        </w:rPr>
      </w:pPr>
    </w:p>
    <w:p>
      <w:pPr>
        <w:ind w:left="4" w:right="400"/>
        <w:spacing w:after="0" w:line="253" w:lineRule="auto"/>
        <w:rPr>
          <w:sz w:val="20"/>
          <w:szCs w:val="20"/>
          <w:color w:val="auto"/>
        </w:rPr>
      </w:pPr>
      <w:r>
        <w:rPr>
          <w:rFonts w:ascii="Arial" w:cs="Arial" w:eastAsia="Arial" w:hAnsi="Arial"/>
          <w:sz w:val="16"/>
          <w:szCs w:val="16"/>
          <w:color w:val="auto"/>
        </w:rPr>
        <w:t>“RESOLVED, that the stockholders approve, on an advisory basis, the compensation paid to our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355" w:lineRule="exact"/>
        <w:rPr>
          <w:sz w:val="20"/>
          <w:szCs w:val="20"/>
          <w:color w:val="auto"/>
        </w:rPr>
      </w:pPr>
    </w:p>
    <w:p>
      <w:pPr>
        <w:ind w:left="4"/>
        <w:spacing w:after="0"/>
        <w:rPr>
          <w:sz w:val="20"/>
          <w:szCs w:val="20"/>
          <w:color w:val="auto"/>
        </w:rPr>
      </w:pPr>
      <w:r>
        <w:rPr>
          <w:rFonts w:ascii="Arial" w:cs="Arial" w:eastAsia="Arial" w:hAnsi="Arial"/>
          <w:sz w:val="26"/>
          <w:szCs w:val="26"/>
          <w:color w:val="005CB8"/>
        </w:rPr>
        <w:t>Vote Required</w:t>
      </w:r>
    </w:p>
    <w:p>
      <w:pPr>
        <w:spacing w:after="0" w:line="169"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6"/>
          <w:szCs w:val="16"/>
          <w:color w:val="auto"/>
        </w:rPr>
        <w:t>The approval, on an advisory basis, of the compensation of our named executive officers, requires the affirmative vote of a majority of the voting power of the shares of our common stock present virtually or by proxy at the Annual Meeting and entitled to vote thereon to be approved. Abstentions will have the effect of a vote against this proposal, and broker non-votes will have no effect.</w:t>
      </w:r>
    </w:p>
    <w:p>
      <w:pPr>
        <w:spacing w:after="0" w:line="147" w:lineRule="exact"/>
        <w:rPr>
          <w:sz w:val="20"/>
          <w:szCs w:val="20"/>
          <w:color w:val="auto"/>
        </w:rPr>
      </w:pPr>
    </w:p>
    <w:p>
      <w:pPr>
        <w:jc w:val="both"/>
        <w:ind w:left="4" w:right="560"/>
        <w:spacing w:after="0" w:line="253" w:lineRule="auto"/>
        <w:rPr>
          <w:sz w:val="20"/>
          <w:szCs w:val="20"/>
          <w:color w:val="auto"/>
        </w:rPr>
      </w:pPr>
      <w:r>
        <w:rPr>
          <w:rFonts w:ascii="Arial" w:cs="Arial" w:eastAsia="Arial" w:hAnsi="Arial"/>
          <w:sz w:val="16"/>
          <w:szCs w:val="16"/>
          <w:color w:val="auto"/>
        </w:rPr>
        <w:t>As an advisory vote, the result of this proposal is non-binding. Although the vote is non-binding, our board of directors and our compensation committee value the opinions of our stockholders and will consider the outcome of the vote when making future compensation decisions for our named executive officers.</w:t>
      </w:r>
    </w:p>
    <w:p>
      <w:pPr>
        <w:spacing w:after="0" w:line="357" w:lineRule="exact"/>
        <w:rPr>
          <w:sz w:val="20"/>
          <w:szCs w:val="20"/>
          <w:color w:val="auto"/>
        </w:rPr>
      </w:pPr>
    </w:p>
    <w:p>
      <w:pPr>
        <w:ind w:left="4" w:right="880"/>
        <w:spacing w:after="0" w:line="286" w:lineRule="auto"/>
        <w:rPr>
          <w:sz w:val="20"/>
          <w:szCs w:val="20"/>
          <w:color w:val="auto"/>
        </w:rPr>
      </w:pPr>
      <w:r>
        <w:rPr>
          <w:rFonts w:ascii="Arial" w:cs="Arial" w:eastAsia="Arial" w:hAnsi="Arial"/>
          <w:sz w:val="16"/>
          <w:szCs w:val="16"/>
          <w:b w:val="1"/>
          <w:bCs w:val="1"/>
          <w:color w:val="005CB8"/>
        </w:rPr>
        <w:t>THE BOARD OF DIRECTORS RECOMMENDS A VOTE “FOR” THE APPROVAL, ON AN ADVISORY BASIS, OF THE COMPENSATION OF OUR NAMED EXECUTIVE OFFICERS.</w:t>
      </w:r>
    </w:p>
    <w:p>
      <w:pPr>
        <w:spacing w:after="0" w:line="160" w:lineRule="exact"/>
        <w:rPr>
          <w:sz w:val="20"/>
          <w:szCs w:val="20"/>
          <w:color w:val="auto"/>
        </w:rPr>
      </w:pPr>
    </w:p>
    <w:p>
      <w:pPr>
        <w:ind w:left="524" w:hanging="524"/>
        <w:spacing w:after="0"/>
        <w:tabs>
          <w:tab w:leader="none" w:pos="524"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6" w:name="page27"/>
    <w:bookmarkEnd w:id="26"/>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EXECUTIVE OFFICERS</w:t>
      </w:r>
    </w:p>
    <w:p>
      <w:pPr>
        <w:spacing w:after="0" w:line="170" w:lineRule="exact"/>
        <w:rPr>
          <w:sz w:val="20"/>
          <w:szCs w:val="20"/>
          <w:color w:val="auto"/>
        </w:rPr>
      </w:pPr>
    </w:p>
    <w:p>
      <w:pPr>
        <w:ind w:left="720" w:right="980"/>
        <w:spacing w:after="0" w:line="271" w:lineRule="auto"/>
        <w:rPr>
          <w:sz w:val="20"/>
          <w:szCs w:val="20"/>
          <w:color w:val="auto"/>
        </w:rPr>
      </w:pPr>
      <w:r>
        <w:rPr>
          <w:rFonts w:ascii="Arial" w:cs="Arial" w:eastAsia="Arial" w:hAnsi="Arial"/>
          <w:sz w:val="16"/>
          <w:szCs w:val="16"/>
          <w:color w:val="auto"/>
        </w:rPr>
        <w:t>The following table identifies certain information about our executive officers as of March 13, 2020. Our executive officers are appointed by, and serve at the discretion of, our board of directors. There are no family relationships among any of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108585</wp:posOffset>
            </wp:positionV>
            <wp:extent cx="6077585" cy="15005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7585" cy="1500505"/>
                    </a:xfrm>
                    <a:prstGeom prst="rect">
                      <a:avLst/>
                    </a:prstGeom>
                    <a:noFill/>
                  </pic:spPr>
                </pic:pic>
              </a:graphicData>
            </a:graphic>
          </wp:anchor>
        </w:drawing>
      </w:r>
    </w:p>
    <w:p>
      <w:pPr>
        <w:spacing w:after="0" w:line="151" w:lineRule="exact"/>
        <w:rPr>
          <w:sz w:val="20"/>
          <w:szCs w:val="20"/>
          <w:color w:val="auto"/>
        </w:rPr>
      </w:pPr>
    </w:p>
    <w:tbl>
      <w:tblPr>
        <w:tblLayout w:type="fixed"/>
        <w:tblInd w:w="720" w:type="dxa"/>
        <w:tblCellMar>
          <w:top w:w="0" w:type="dxa"/>
          <w:left w:w="0" w:type="dxa"/>
          <w:bottom w:w="0" w:type="dxa"/>
          <w:right w:w="0" w:type="dxa"/>
        </w:tblCellMar>
      </w:tblPr>
      <w:tr>
        <w:trPr>
          <w:trHeight w:val="304"/>
        </w:trPr>
        <w:tc>
          <w:tcPr>
            <w:tcW w:w="2020" w:type="dxa"/>
            <w:vAlign w:val="bottom"/>
            <w:tcBorders>
              <w:bottom w:val="single" w:sz="8" w:color="0060EC"/>
            </w:tcBorders>
            <w:shd w:val="clear" w:color="auto" w:fill="0060EC"/>
          </w:tcPr>
          <w:p>
            <w:pPr>
              <w:ind w:left="40"/>
              <w:spacing w:after="0"/>
              <w:rPr>
                <w:sz w:val="20"/>
                <w:szCs w:val="20"/>
                <w:color w:val="auto"/>
              </w:rPr>
            </w:pPr>
            <w:r>
              <w:rPr>
                <w:rFonts w:ascii="Arial" w:cs="Arial" w:eastAsia="Arial" w:hAnsi="Arial"/>
                <w:sz w:val="14"/>
                <w:szCs w:val="14"/>
                <w:b w:val="1"/>
                <w:bCs w:val="1"/>
                <w:color w:val="FFFFFF"/>
              </w:rPr>
              <w:t>Name</w:t>
            </w:r>
          </w:p>
        </w:tc>
        <w:tc>
          <w:tcPr>
            <w:tcW w:w="1160" w:type="dxa"/>
            <w:vAlign w:val="bottom"/>
            <w:tcBorders>
              <w:bottom w:val="single" w:sz="8" w:color="0060EC"/>
            </w:tcBorders>
            <w:shd w:val="clear" w:color="auto" w:fill="0060EC"/>
          </w:tcPr>
          <w:p>
            <w:pPr>
              <w:ind w:left="560"/>
              <w:spacing w:after="0"/>
              <w:rPr>
                <w:sz w:val="20"/>
                <w:szCs w:val="20"/>
                <w:color w:val="auto"/>
              </w:rPr>
            </w:pPr>
            <w:r>
              <w:rPr>
                <w:rFonts w:ascii="Arial" w:cs="Arial" w:eastAsia="Arial" w:hAnsi="Arial"/>
                <w:sz w:val="14"/>
                <w:szCs w:val="14"/>
                <w:b w:val="1"/>
                <w:bCs w:val="1"/>
                <w:color w:val="FFFFFF"/>
              </w:rPr>
              <w:t>Age</w:t>
            </w:r>
          </w:p>
        </w:tc>
        <w:tc>
          <w:tcPr>
            <w:tcW w:w="6380" w:type="dxa"/>
            <w:vAlign w:val="bottom"/>
            <w:tcBorders>
              <w:bottom w:val="single" w:sz="8" w:color="0060EC"/>
            </w:tcBorders>
            <w:shd w:val="clear" w:color="auto" w:fill="0060EC"/>
          </w:tcPr>
          <w:p>
            <w:pPr>
              <w:ind w:left="320"/>
              <w:spacing w:after="0"/>
              <w:rPr>
                <w:sz w:val="20"/>
                <w:szCs w:val="20"/>
                <w:color w:val="auto"/>
              </w:rPr>
            </w:pPr>
            <w:r>
              <w:rPr>
                <w:rFonts w:ascii="Arial" w:cs="Arial" w:eastAsia="Arial" w:hAnsi="Arial"/>
                <w:sz w:val="14"/>
                <w:szCs w:val="14"/>
                <w:b w:val="1"/>
                <w:bCs w:val="1"/>
                <w:color w:val="FFFFFF"/>
              </w:rPr>
              <w:t>Position</w:t>
            </w:r>
          </w:p>
        </w:tc>
      </w:tr>
      <w:tr>
        <w:trPr>
          <w:trHeight w:val="277"/>
        </w:trPr>
        <w:tc>
          <w:tcPr>
            <w:tcW w:w="2020" w:type="dxa"/>
            <w:vAlign w:val="bottom"/>
            <w:tcBorders>
              <w:bottom w:val="single" w:sz="8" w:color="E5EFFD"/>
            </w:tcBorders>
            <w:shd w:val="clear" w:color="auto" w:fill="E5EFFD"/>
          </w:tcPr>
          <w:p>
            <w:pPr>
              <w:ind w:left="40"/>
              <w:spacing w:after="0"/>
              <w:rPr>
                <w:sz w:val="20"/>
                <w:szCs w:val="20"/>
                <w:color w:val="auto"/>
              </w:rPr>
            </w:pPr>
            <w:r>
              <w:rPr>
                <w:rFonts w:ascii="Arial" w:cs="Arial" w:eastAsia="Arial" w:hAnsi="Arial"/>
                <w:sz w:val="16"/>
                <w:szCs w:val="16"/>
                <w:color w:val="auto"/>
              </w:rPr>
              <w:t>Andrew W. Houston</w:t>
            </w:r>
          </w:p>
        </w:tc>
        <w:tc>
          <w:tcPr>
            <w:tcW w:w="1160" w:type="dxa"/>
            <w:vAlign w:val="bottom"/>
            <w:tcBorders>
              <w:bottom w:val="single" w:sz="8" w:color="E5EFFD"/>
            </w:tcBorders>
            <w:shd w:val="clear" w:color="auto" w:fill="E5EFFD"/>
          </w:tcPr>
          <w:p>
            <w:pPr>
              <w:ind w:left="560"/>
              <w:spacing w:after="0"/>
              <w:rPr>
                <w:sz w:val="20"/>
                <w:szCs w:val="20"/>
                <w:color w:val="auto"/>
              </w:rPr>
            </w:pPr>
            <w:r>
              <w:rPr>
                <w:rFonts w:ascii="Arial" w:cs="Arial" w:eastAsia="Arial" w:hAnsi="Arial"/>
                <w:sz w:val="16"/>
                <w:szCs w:val="16"/>
                <w:color w:val="auto"/>
              </w:rPr>
              <w:t>37</w:t>
            </w:r>
          </w:p>
        </w:tc>
        <w:tc>
          <w:tcPr>
            <w:tcW w:w="6380" w:type="dxa"/>
            <w:vAlign w:val="bottom"/>
            <w:tcBorders>
              <w:bottom w:val="single" w:sz="8" w:color="E5EFFD"/>
            </w:tcBorders>
            <w:shd w:val="clear" w:color="auto" w:fill="E5EFFD"/>
          </w:tcPr>
          <w:p>
            <w:pPr>
              <w:ind w:left="320"/>
              <w:spacing w:after="0"/>
              <w:rPr>
                <w:sz w:val="20"/>
                <w:szCs w:val="20"/>
                <w:color w:val="auto"/>
              </w:rPr>
            </w:pPr>
            <w:r>
              <w:rPr>
                <w:rFonts w:ascii="Arial" w:cs="Arial" w:eastAsia="Arial" w:hAnsi="Arial"/>
                <w:sz w:val="16"/>
                <w:szCs w:val="16"/>
                <w:color w:val="auto"/>
              </w:rPr>
              <w:t>Chief Executive Officer, Co-Founder, and Chairman</w:t>
            </w:r>
          </w:p>
        </w:tc>
      </w:tr>
      <w:tr>
        <w:trPr>
          <w:trHeight w:val="297"/>
        </w:trPr>
        <w:tc>
          <w:tcPr>
            <w:tcW w:w="2020" w:type="dxa"/>
            <w:vAlign w:val="bottom"/>
          </w:tcPr>
          <w:p>
            <w:pPr>
              <w:ind w:left="40"/>
              <w:spacing w:after="0" w:line="297" w:lineRule="exact"/>
              <w:rPr>
                <w:sz w:val="20"/>
                <w:szCs w:val="20"/>
                <w:color w:val="auto"/>
              </w:rPr>
            </w:pPr>
            <w:r>
              <w:rPr>
                <w:rFonts w:ascii="Arial" w:cs="Arial" w:eastAsia="Arial" w:hAnsi="Arial"/>
                <w:sz w:val="16"/>
                <w:szCs w:val="16"/>
                <w:color w:val="auto"/>
              </w:rPr>
              <w:t>Arash Ferdowsi</w:t>
            </w:r>
            <w:r>
              <w:rPr>
                <w:rFonts w:ascii="Arial" w:cs="Arial" w:eastAsia="Arial" w:hAnsi="Arial"/>
                <w:sz w:val="26"/>
                <w:szCs w:val="26"/>
                <w:color w:val="auto"/>
                <w:vertAlign w:val="superscript"/>
              </w:rPr>
              <w:t>(1)</w:t>
            </w:r>
          </w:p>
        </w:tc>
        <w:tc>
          <w:tcPr>
            <w:tcW w:w="1160" w:type="dxa"/>
            <w:vAlign w:val="bottom"/>
          </w:tcPr>
          <w:p>
            <w:pPr>
              <w:ind w:left="560"/>
              <w:spacing w:after="0"/>
              <w:rPr>
                <w:sz w:val="20"/>
                <w:szCs w:val="20"/>
                <w:color w:val="auto"/>
              </w:rPr>
            </w:pPr>
            <w:r>
              <w:rPr>
                <w:rFonts w:ascii="Arial" w:cs="Arial" w:eastAsia="Arial" w:hAnsi="Arial"/>
                <w:sz w:val="16"/>
                <w:szCs w:val="16"/>
                <w:color w:val="auto"/>
              </w:rPr>
              <w:t>34</w:t>
            </w:r>
          </w:p>
        </w:tc>
        <w:tc>
          <w:tcPr>
            <w:tcW w:w="6380" w:type="dxa"/>
            <w:vAlign w:val="bottom"/>
          </w:tcPr>
          <w:p>
            <w:pPr>
              <w:ind w:left="320"/>
              <w:spacing w:after="0"/>
              <w:rPr>
                <w:sz w:val="20"/>
                <w:szCs w:val="20"/>
                <w:color w:val="auto"/>
              </w:rPr>
            </w:pPr>
            <w:r>
              <w:rPr>
                <w:rFonts w:ascii="Arial" w:cs="Arial" w:eastAsia="Arial" w:hAnsi="Arial"/>
                <w:sz w:val="16"/>
                <w:szCs w:val="16"/>
                <w:color w:val="auto"/>
              </w:rPr>
              <w:t>Co-Founder</w:t>
            </w:r>
          </w:p>
        </w:tc>
      </w:tr>
      <w:tr>
        <w:trPr>
          <w:trHeight w:val="297"/>
        </w:trPr>
        <w:tc>
          <w:tcPr>
            <w:tcW w:w="2020" w:type="dxa"/>
            <w:vAlign w:val="bottom"/>
            <w:shd w:val="clear" w:color="auto" w:fill="E5EFFD"/>
          </w:tcPr>
          <w:p>
            <w:pPr>
              <w:ind w:left="40"/>
              <w:spacing w:after="0" w:line="297" w:lineRule="exact"/>
              <w:rPr>
                <w:sz w:val="20"/>
                <w:szCs w:val="20"/>
                <w:color w:val="auto"/>
              </w:rPr>
            </w:pPr>
            <w:r>
              <w:rPr>
                <w:rFonts w:ascii="Arial" w:cs="Arial" w:eastAsia="Arial" w:hAnsi="Arial"/>
                <w:sz w:val="16"/>
                <w:szCs w:val="16"/>
                <w:color w:val="auto"/>
              </w:rPr>
              <w:t>Olivia Nottebohm</w:t>
            </w:r>
            <w:r>
              <w:rPr>
                <w:rFonts w:ascii="Arial" w:cs="Arial" w:eastAsia="Arial" w:hAnsi="Arial"/>
                <w:sz w:val="26"/>
                <w:szCs w:val="26"/>
                <w:color w:val="auto"/>
                <w:vertAlign w:val="superscript"/>
              </w:rPr>
              <w:t>(2)</w:t>
            </w:r>
          </w:p>
        </w:tc>
        <w:tc>
          <w:tcPr>
            <w:tcW w:w="1160" w:type="dxa"/>
            <w:vAlign w:val="bottom"/>
            <w:shd w:val="clear" w:color="auto" w:fill="E5EFFD"/>
          </w:tcPr>
          <w:p>
            <w:pPr>
              <w:ind w:left="560"/>
              <w:spacing w:after="0"/>
              <w:rPr>
                <w:sz w:val="20"/>
                <w:szCs w:val="20"/>
                <w:color w:val="auto"/>
              </w:rPr>
            </w:pPr>
            <w:r>
              <w:rPr>
                <w:rFonts w:ascii="Arial" w:cs="Arial" w:eastAsia="Arial" w:hAnsi="Arial"/>
                <w:sz w:val="16"/>
                <w:szCs w:val="16"/>
                <w:color w:val="auto"/>
              </w:rPr>
              <w:t>42</w:t>
            </w:r>
          </w:p>
        </w:tc>
        <w:tc>
          <w:tcPr>
            <w:tcW w:w="6380" w:type="dxa"/>
            <w:vAlign w:val="bottom"/>
            <w:shd w:val="clear" w:color="auto" w:fill="E5EFFD"/>
          </w:tcPr>
          <w:p>
            <w:pPr>
              <w:ind w:left="320"/>
              <w:spacing w:after="0"/>
              <w:rPr>
                <w:sz w:val="20"/>
                <w:szCs w:val="20"/>
                <w:color w:val="auto"/>
              </w:rPr>
            </w:pPr>
            <w:r>
              <w:rPr>
                <w:rFonts w:ascii="Arial" w:cs="Arial" w:eastAsia="Arial" w:hAnsi="Arial"/>
                <w:sz w:val="16"/>
                <w:szCs w:val="16"/>
                <w:color w:val="auto"/>
              </w:rPr>
              <w:t>Chief Operating Officer</w:t>
            </w:r>
          </w:p>
        </w:tc>
      </w:tr>
      <w:tr>
        <w:trPr>
          <w:trHeight w:val="297"/>
        </w:trPr>
        <w:tc>
          <w:tcPr>
            <w:tcW w:w="2020" w:type="dxa"/>
            <w:vAlign w:val="bottom"/>
          </w:tcPr>
          <w:p>
            <w:pPr>
              <w:ind w:left="40"/>
              <w:spacing w:after="0" w:line="297" w:lineRule="exact"/>
              <w:rPr>
                <w:sz w:val="20"/>
                <w:szCs w:val="20"/>
                <w:color w:val="auto"/>
              </w:rPr>
            </w:pPr>
            <w:r>
              <w:rPr>
                <w:rFonts w:ascii="Arial" w:cs="Arial" w:eastAsia="Arial" w:hAnsi="Arial"/>
                <w:sz w:val="16"/>
                <w:szCs w:val="16"/>
                <w:color w:val="auto"/>
              </w:rPr>
              <w:t>Bharat Mediratta</w:t>
            </w:r>
            <w:r>
              <w:rPr>
                <w:rFonts w:ascii="Arial" w:cs="Arial" w:eastAsia="Arial" w:hAnsi="Arial"/>
                <w:sz w:val="26"/>
                <w:szCs w:val="26"/>
                <w:color w:val="auto"/>
                <w:vertAlign w:val="superscript"/>
              </w:rPr>
              <w:t>(3)</w:t>
            </w:r>
          </w:p>
        </w:tc>
        <w:tc>
          <w:tcPr>
            <w:tcW w:w="1160" w:type="dxa"/>
            <w:vAlign w:val="bottom"/>
          </w:tcPr>
          <w:p>
            <w:pPr>
              <w:ind w:left="560"/>
              <w:spacing w:after="0"/>
              <w:rPr>
                <w:sz w:val="20"/>
                <w:szCs w:val="20"/>
                <w:color w:val="auto"/>
              </w:rPr>
            </w:pPr>
            <w:r>
              <w:rPr>
                <w:rFonts w:ascii="Arial" w:cs="Arial" w:eastAsia="Arial" w:hAnsi="Arial"/>
                <w:sz w:val="16"/>
                <w:szCs w:val="16"/>
                <w:color w:val="auto"/>
              </w:rPr>
              <w:t>49</w:t>
            </w:r>
          </w:p>
        </w:tc>
        <w:tc>
          <w:tcPr>
            <w:tcW w:w="6380" w:type="dxa"/>
            <w:vAlign w:val="bottom"/>
          </w:tcPr>
          <w:p>
            <w:pPr>
              <w:ind w:left="320"/>
              <w:spacing w:after="0"/>
              <w:rPr>
                <w:sz w:val="20"/>
                <w:szCs w:val="20"/>
                <w:color w:val="auto"/>
              </w:rPr>
            </w:pPr>
            <w:r>
              <w:rPr>
                <w:rFonts w:ascii="Arial" w:cs="Arial" w:eastAsia="Arial" w:hAnsi="Arial"/>
                <w:sz w:val="16"/>
                <w:szCs w:val="16"/>
                <w:color w:val="auto"/>
              </w:rPr>
              <w:t>Chief Technology Officer and Senior Vice President, Platform</w:t>
            </w:r>
          </w:p>
        </w:tc>
      </w:tr>
      <w:tr>
        <w:trPr>
          <w:trHeight w:val="277"/>
        </w:trPr>
        <w:tc>
          <w:tcPr>
            <w:tcW w:w="2020" w:type="dxa"/>
            <w:vAlign w:val="bottom"/>
            <w:tcBorders>
              <w:bottom w:val="single" w:sz="8" w:color="E5EFFD"/>
            </w:tcBorders>
            <w:shd w:val="clear" w:color="auto" w:fill="E5EFFD"/>
          </w:tcPr>
          <w:p>
            <w:pPr>
              <w:ind w:left="40"/>
              <w:spacing w:after="0"/>
              <w:rPr>
                <w:sz w:val="20"/>
                <w:szCs w:val="20"/>
                <w:color w:val="auto"/>
              </w:rPr>
            </w:pPr>
            <w:r>
              <w:rPr>
                <w:rFonts w:ascii="Arial" w:cs="Arial" w:eastAsia="Arial" w:hAnsi="Arial"/>
                <w:sz w:val="16"/>
                <w:szCs w:val="16"/>
                <w:color w:val="auto"/>
              </w:rPr>
              <w:t>Ajay V. Vashee</w:t>
            </w:r>
          </w:p>
        </w:tc>
        <w:tc>
          <w:tcPr>
            <w:tcW w:w="1160" w:type="dxa"/>
            <w:vAlign w:val="bottom"/>
            <w:tcBorders>
              <w:bottom w:val="single" w:sz="8" w:color="E5EFFD"/>
            </w:tcBorders>
            <w:shd w:val="clear" w:color="auto" w:fill="E5EFFD"/>
          </w:tcPr>
          <w:p>
            <w:pPr>
              <w:ind w:left="560"/>
              <w:spacing w:after="0"/>
              <w:rPr>
                <w:sz w:val="20"/>
                <w:szCs w:val="20"/>
                <w:color w:val="auto"/>
              </w:rPr>
            </w:pPr>
            <w:r>
              <w:rPr>
                <w:rFonts w:ascii="Arial" w:cs="Arial" w:eastAsia="Arial" w:hAnsi="Arial"/>
                <w:sz w:val="16"/>
                <w:szCs w:val="16"/>
                <w:color w:val="auto"/>
              </w:rPr>
              <w:t>36</w:t>
            </w:r>
          </w:p>
        </w:tc>
        <w:tc>
          <w:tcPr>
            <w:tcW w:w="6380" w:type="dxa"/>
            <w:vAlign w:val="bottom"/>
            <w:tcBorders>
              <w:bottom w:val="single" w:sz="8" w:color="E5EFFD"/>
            </w:tcBorders>
            <w:shd w:val="clear" w:color="auto" w:fill="E5EFFD"/>
          </w:tcPr>
          <w:p>
            <w:pPr>
              <w:ind w:left="320"/>
              <w:spacing w:after="0"/>
              <w:rPr>
                <w:sz w:val="20"/>
                <w:szCs w:val="20"/>
                <w:color w:val="auto"/>
              </w:rPr>
            </w:pPr>
            <w:r>
              <w:rPr>
                <w:rFonts w:ascii="Arial" w:cs="Arial" w:eastAsia="Arial" w:hAnsi="Arial"/>
                <w:sz w:val="16"/>
                <w:szCs w:val="16"/>
                <w:color w:val="auto"/>
              </w:rPr>
              <w:t>Chief Financial Officer</w:t>
            </w:r>
          </w:p>
        </w:tc>
      </w:tr>
      <w:tr>
        <w:trPr>
          <w:trHeight w:val="297"/>
        </w:trPr>
        <w:tc>
          <w:tcPr>
            <w:tcW w:w="2020" w:type="dxa"/>
            <w:vAlign w:val="bottom"/>
          </w:tcPr>
          <w:p>
            <w:pPr>
              <w:ind w:left="40"/>
              <w:spacing w:after="0" w:line="297" w:lineRule="exact"/>
              <w:rPr>
                <w:sz w:val="20"/>
                <w:szCs w:val="20"/>
                <w:color w:val="auto"/>
              </w:rPr>
            </w:pPr>
            <w:r>
              <w:rPr>
                <w:rFonts w:ascii="Arial" w:cs="Arial" w:eastAsia="Arial" w:hAnsi="Arial"/>
                <w:sz w:val="16"/>
                <w:szCs w:val="16"/>
                <w:color w:val="auto"/>
              </w:rPr>
              <w:t>Bart E. Volkmer</w:t>
            </w:r>
            <w:r>
              <w:rPr>
                <w:rFonts w:ascii="Arial" w:cs="Arial" w:eastAsia="Arial" w:hAnsi="Arial"/>
                <w:sz w:val="26"/>
                <w:szCs w:val="26"/>
                <w:color w:val="auto"/>
                <w:vertAlign w:val="superscript"/>
              </w:rPr>
              <w:t>(4)</w:t>
            </w:r>
          </w:p>
        </w:tc>
        <w:tc>
          <w:tcPr>
            <w:tcW w:w="1160" w:type="dxa"/>
            <w:vAlign w:val="bottom"/>
          </w:tcPr>
          <w:p>
            <w:pPr>
              <w:ind w:left="560"/>
              <w:spacing w:after="0"/>
              <w:rPr>
                <w:sz w:val="20"/>
                <w:szCs w:val="20"/>
                <w:color w:val="auto"/>
              </w:rPr>
            </w:pPr>
            <w:r>
              <w:rPr>
                <w:rFonts w:ascii="Arial" w:cs="Arial" w:eastAsia="Arial" w:hAnsi="Arial"/>
                <w:sz w:val="16"/>
                <w:szCs w:val="16"/>
                <w:color w:val="auto"/>
              </w:rPr>
              <w:t>45</w:t>
            </w:r>
          </w:p>
        </w:tc>
        <w:tc>
          <w:tcPr>
            <w:tcW w:w="6380" w:type="dxa"/>
            <w:vAlign w:val="bottom"/>
          </w:tcPr>
          <w:p>
            <w:pPr>
              <w:ind w:left="320"/>
              <w:spacing w:after="0"/>
              <w:rPr>
                <w:sz w:val="20"/>
                <w:szCs w:val="20"/>
                <w:color w:val="auto"/>
              </w:rPr>
            </w:pPr>
            <w:r>
              <w:rPr>
                <w:rFonts w:ascii="Arial" w:cs="Arial" w:eastAsia="Arial" w:hAnsi="Arial"/>
                <w:sz w:val="16"/>
                <w:szCs w:val="16"/>
                <w:color w:val="auto"/>
              </w:rPr>
              <w:t>Chief Legal Officer</w:t>
            </w:r>
          </w:p>
        </w:tc>
      </w:tr>
      <w:tr>
        <w:trPr>
          <w:trHeight w:val="257"/>
        </w:trPr>
        <w:tc>
          <w:tcPr>
            <w:tcW w:w="2020" w:type="dxa"/>
            <w:vAlign w:val="bottom"/>
            <w:shd w:val="clear" w:color="auto" w:fill="E5EFFD"/>
          </w:tcPr>
          <w:p>
            <w:pPr>
              <w:ind w:left="40"/>
              <w:spacing w:after="0" w:line="256" w:lineRule="exact"/>
              <w:rPr>
                <w:sz w:val="20"/>
                <w:szCs w:val="20"/>
                <w:color w:val="auto"/>
              </w:rPr>
            </w:pPr>
            <w:r>
              <w:rPr>
                <w:rFonts w:ascii="Arial" w:cs="Arial" w:eastAsia="Arial" w:hAnsi="Arial"/>
                <w:sz w:val="16"/>
                <w:szCs w:val="16"/>
                <w:color w:val="auto"/>
              </w:rPr>
              <w:t>Timothy Young</w:t>
            </w:r>
            <w:r>
              <w:rPr>
                <w:rFonts w:ascii="Arial" w:cs="Arial" w:eastAsia="Arial" w:hAnsi="Arial"/>
                <w:sz w:val="26"/>
                <w:szCs w:val="26"/>
                <w:color w:val="auto"/>
                <w:vertAlign w:val="superscript"/>
              </w:rPr>
              <w:t>(5)</w:t>
            </w:r>
          </w:p>
        </w:tc>
        <w:tc>
          <w:tcPr>
            <w:tcW w:w="1160" w:type="dxa"/>
            <w:vAlign w:val="bottom"/>
            <w:shd w:val="clear" w:color="auto" w:fill="E5EFFD"/>
          </w:tcPr>
          <w:p>
            <w:pPr>
              <w:ind w:left="560"/>
              <w:spacing w:after="0"/>
              <w:rPr>
                <w:sz w:val="20"/>
                <w:szCs w:val="20"/>
                <w:color w:val="auto"/>
              </w:rPr>
            </w:pPr>
            <w:r>
              <w:rPr>
                <w:rFonts w:ascii="Arial" w:cs="Arial" w:eastAsia="Arial" w:hAnsi="Arial"/>
                <w:sz w:val="16"/>
                <w:szCs w:val="16"/>
                <w:color w:val="auto"/>
              </w:rPr>
              <w:t>38</w:t>
            </w:r>
          </w:p>
        </w:tc>
        <w:tc>
          <w:tcPr>
            <w:tcW w:w="6380" w:type="dxa"/>
            <w:vAlign w:val="bottom"/>
            <w:shd w:val="clear" w:color="auto" w:fill="E5EFFD"/>
          </w:tcPr>
          <w:p>
            <w:pPr>
              <w:ind w:left="320"/>
              <w:spacing w:after="0"/>
              <w:rPr>
                <w:sz w:val="20"/>
                <w:szCs w:val="20"/>
                <w:color w:val="auto"/>
              </w:rPr>
            </w:pPr>
            <w:r>
              <w:rPr>
                <w:rFonts w:ascii="Arial" w:cs="Arial" w:eastAsia="Arial" w:hAnsi="Arial"/>
                <w:sz w:val="16"/>
                <w:szCs w:val="16"/>
                <w:color w:val="auto"/>
              </w:rPr>
              <w:t>Senior Vice President and General Manager, Core Dropbox</w:t>
            </w:r>
          </w:p>
        </w:tc>
      </w:tr>
    </w:tbl>
    <w:p>
      <w:pPr>
        <w:spacing w:after="0" w:line="99" w:lineRule="exact"/>
        <w:rPr>
          <w:sz w:val="20"/>
          <w:szCs w:val="20"/>
          <w:color w:val="auto"/>
        </w:rPr>
      </w:pPr>
    </w:p>
    <w:p>
      <w:pPr>
        <w:ind w:left="960" w:right="1540" w:hanging="244"/>
        <w:spacing w:after="0" w:line="217" w:lineRule="auto"/>
        <w:tabs>
          <w:tab w:leader="none" w:pos="9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As previously noted, Mr. Ferdowsi has resigned as a member of the board and as an officer of the company, effective March 19, 2020. Mr. Ferdowsi will remain at Dropbox to help with the transition until April 10, 2020.</w:t>
      </w:r>
    </w:p>
    <w:p>
      <w:pPr>
        <w:spacing w:after="0" w:line="1" w:lineRule="exact"/>
        <w:rPr>
          <w:rFonts w:ascii="Arial" w:cs="Arial" w:eastAsia="Arial" w:hAnsi="Arial"/>
          <w:sz w:val="18"/>
          <w:szCs w:val="18"/>
          <w:color w:val="auto"/>
          <w:vertAlign w:val="superscript"/>
        </w:rPr>
      </w:pPr>
    </w:p>
    <w:p>
      <w:pPr>
        <w:ind w:left="960" w:hanging="244"/>
        <w:spacing w:after="0" w:line="203" w:lineRule="auto"/>
        <w:tabs>
          <w:tab w:leader="none" w:pos="9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Ms. Nottebohm has served as our Chief Operating Officer since February 2020.</w:t>
      </w:r>
    </w:p>
    <w:p>
      <w:pPr>
        <w:spacing w:after="0" w:line="3" w:lineRule="exact"/>
        <w:rPr>
          <w:rFonts w:ascii="Arial" w:cs="Arial" w:eastAsia="Arial" w:hAnsi="Arial"/>
          <w:sz w:val="18"/>
          <w:szCs w:val="18"/>
          <w:color w:val="auto"/>
          <w:vertAlign w:val="superscript"/>
        </w:rPr>
      </w:pPr>
    </w:p>
    <w:p>
      <w:pPr>
        <w:ind w:left="960" w:hanging="244"/>
        <w:spacing w:after="0" w:line="199" w:lineRule="auto"/>
        <w:tabs>
          <w:tab w:leader="none" w:pos="9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Mr. Mediratta has served as our Chief Technology Officer and Senior Vice President, Platform since October 2019.</w:t>
      </w:r>
    </w:p>
    <w:p>
      <w:pPr>
        <w:spacing w:after="0" w:line="17" w:lineRule="exact"/>
        <w:rPr>
          <w:rFonts w:ascii="Arial" w:cs="Arial" w:eastAsia="Arial" w:hAnsi="Arial"/>
          <w:sz w:val="18"/>
          <w:szCs w:val="18"/>
          <w:color w:val="auto"/>
          <w:vertAlign w:val="superscript"/>
        </w:rPr>
      </w:pPr>
    </w:p>
    <w:p>
      <w:pPr>
        <w:ind w:left="960" w:right="1220" w:hanging="244"/>
        <w:spacing w:after="0" w:line="217" w:lineRule="auto"/>
        <w:tabs>
          <w:tab w:leader="none" w:pos="9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Mr. Volkmer has served as our Chief Legal Officer since January 2020, and previously served as our General Counsel from June 2016 until January 2020.</w:t>
      </w:r>
    </w:p>
    <w:p>
      <w:pPr>
        <w:spacing w:after="0" w:line="1" w:lineRule="exact"/>
        <w:rPr>
          <w:rFonts w:ascii="Arial" w:cs="Arial" w:eastAsia="Arial" w:hAnsi="Arial"/>
          <w:sz w:val="18"/>
          <w:szCs w:val="18"/>
          <w:color w:val="auto"/>
          <w:vertAlign w:val="superscript"/>
        </w:rPr>
      </w:pPr>
    </w:p>
    <w:p>
      <w:pPr>
        <w:ind w:left="960" w:hanging="244"/>
        <w:spacing w:after="0" w:line="203" w:lineRule="auto"/>
        <w:tabs>
          <w:tab w:leader="none" w:pos="96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Mr. Young has served as our Senior Vice President and General Manager, Core Dropbox since October 2019.</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For Mr. Houston’s biography, see “</w:t>
      </w:r>
      <w:r>
        <w:rPr>
          <w:rFonts w:ascii="Arial" w:cs="Arial" w:eastAsia="Arial" w:hAnsi="Arial"/>
          <w:sz w:val="16"/>
          <w:szCs w:val="16"/>
          <w:i w:val="1"/>
          <w:iCs w:val="1"/>
          <w:color w:val="auto"/>
        </w:rPr>
        <w:t>Nominees for Director</w:t>
      </w:r>
      <w:r>
        <w:rPr>
          <w:rFonts w:ascii="Arial" w:cs="Arial" w:eastAsia="Arial" w:hAnsi="Arial"/>
          <w:sz w:val="16"/>
          <w:szCs w:val="16"/>
          <w:color w:val="auto"/>
        </w:rPr>
        <w:t>” and for Mr. Ferdowsi’s biography, see “</w:t>
      </w:r>
      <w:r>
        <w:rPr>
          <w:rFonts w:ascii="Arial" w:cs="Arial" w:eastAsia="Arial" w:hAnsi="Arial"/>
          <w:sz w:val="16"/>
          <w:szCs w:val="16"/>
          <w:i w:val="1"/>
          <w:iCs w:val="1"/>
          <w:color w:val="auto"/>
        </w:rPr>
        <w:t>Non-Continuing Directors</w:t>
      </w:r>
      <w:r>
        <w:rPr>
          <w:rFonts w:ascii="Arial" w:cs="Arial" w:eastAsia="Arial" w:hAnsi="Arial"/>
          <w:sz w:val="16"/>
          <w:szCs w:val="16"/>
          <w:color w:val="auto"/>
        </w:rPr>
        <w:t>.”</w:t>
      </w:r>
    </w:p>
    <w:p>
      <w:pPr>
        <w:spacing w:after="0" w:line="183" w:lineRule="exact"/>
        <w:rPr>
          <w:sz w:val="20"/>
          <w:szCs w:val="20"/>
          <w:color w:val="auto"/>
        </w:rPr>
      </w:pPr>
    </w:p>
    <w:p>
      <w:pPr>
        <w:ind w:left="720" w:right="760"/>
        <w:spacing w:after="0" w:line="266" w:lineRule="auto"/>
        <w:rPr>
          <w:sz w:val="20"/>
          <w:szCs w:val="20"/>
          <w:color w:val="auto"/>
        </w:rPr>
      </w:pPr>
      <w:r>
        <w:rPr>
          <w:rFonts w:ascii="Arial" w:cs="Arial" w:eastAsia="Arial" w:hAnsi="Arial"/>
          <w:sz w:val="16"/>
          <w:szCs w:val="16"/>
          <w:color w:val="005CB8"/>
        </w:rPr>
        <w:t xml:space="preserve">Bharat Mediratta. </w:t>
      </w:r>
      <w:r>
        <w:rPr>
          <w:rFonts w:ascii="Arial" w:cs="Arial" w:eastAsia="Arial" w:hAnsi="Arial"/>
          <w:sz w:val="16"/>
          <w:szCs w:val="16"/>
          <w:color w:val="000000"/>
        </w:rPr>
        <w:t>Bharat Mediratta has served as our Chief Technology Officer and Senior Vice President, Platform since October</w:t>
      </w:r>
      <w:r>
        <w:rPr>
          <w:rFonts w:ascii="Arial" w:cs="Arial" w:eastAsia="Arial" w:hAnsi="Arial"/>
          <w:sz w:val="16"/>
          <w:szCs w:val="16"/>
          <w:color w:val="005CB8"/>
        </w:rPr>
        <w:t xml:space="preserve"> </w:t>
      </w:r>
      <w:r>
        <w:rPr>
          <w:rFonts w:ascii="Arial" w:cs="Arial" w:eastAsia="Arial" w:hAnsi="Arial"/>
          <w:sz w:val="16"/>
          <w:szCs w:val="16"/>
          <w:color w:val="000000"/>
        </w:rPr>
        <w:t>2019. Mr. Mediratta has served in a number of leadership roles at technology companies. Prior to joining Dropbox, Mr. Mediratta was an angel investor and advisor for a number of growth-oriented technology companies. From March 2015 to May 2019, he was a Co-Founder and the President and Chief Technology Officer of AltSchool, an education company. Prior to co-founding AltSchool, from June 2004 to March 2015, he served as a Distinguished Engineer at Google, a global internet software services company. Prior to his role at Google, he served in a variety of engineering roles at various technology companies. In addition, he founded and served as the Chief Executive Officer of Gallery, an open source photography technology company, from May 2000 to June 2014. Mr. Mediratta holds a B.A. in Computer Science from Colgate University.</w:t>
      </w:r>
    </w:p>
    <w:p>
      <w:pPr>
        <w:spacing w:after="0" w:line="151" w:lineRule="exact"/>
        <w:rPr>
          <w:sz w:val="20"/>
          <w:szCs w:val="20"/>
          <w:color w:val="auto"/>
        </w:rPr>
      </w:pPr>
    </w:p>
    <w:p>
      <w:pPr>
        <w:ind w:left="720"/>
        <w:spacing w:after="0"/>
        <w:rPr>
          <w:sz w:val="20"/>
          <w:szCs w:val="20"/>
          <w:color w:val="auto"/>
        </w:rPr>
      </w:pPr>
      <w:r>
        <w:rPr>
          <w:rFonts w:ascii="Arial" w:cs="Arial" w:eastAsia="Arial" w:hAnsi="Arial"/>
          <w:sz w:val="16"/>
          <w:szCs w:val="16"/>
          <w:color w:val="005CB8"/>
        </w:rPr>
        <w:t xml:space="preserve">Olivia Nottebohm. </w:t>
      </w:r>
      <w:r>
        <w:rPr>
          <w:rFonts w:ascii="Arial" w:cs="Arial" w:eastAsia="Arial" w:hAnsi="Arial"/>
          <w:sz w:val="16"/>
          <w:szCs w:val="16"/>
          <w:color w:val="000000"/>
        </w:rPr>
        <w:t>Olivia Nottebohm has served as our Chief Operating Officer since February 2020. Ms. Nottebohm has over</w:t>
      </w:r>
    </w:p>
    <w:p>
      <w:pPr>
        <w:spacing w:after="0" w:line="19" w:lineRule="exact"/>
        <w:rPr>
          <w:sz w:val="20"/>
          <w:szCs w:val="20"/>
          <w:color w:val="auto"/>
        </w:rPr>
      </w:pPr>
    </w:p>
    <w:p>
      <w:pPr>
        <w:ind w:left="720" w:right="740"/>
        <w:spacing w:after="0" w:line="266" w:lineRule="auto"/>
        <w:rPr>
          <w:sz w:val="20"/>
          <w:szCs w:val="20"/>
          <w:color w:val="auto"/>
        </w:rPr>
      </w:pPr>
      <w:r>
        <w:rPr>
          <w:rFonts w:ascii="Arial" w:cs="Arial" w:eastAsia="Arial" w:hAnsi="Arial"/>
          <w:sz w:val="16"/>
          <w:szCs w:val="16"/>
          <w:color w:val="auto"/>
        </w:rPr>
        <w:t>20 years of experience in sales and operations and has served in a number of senior positions overseeing sales and operations in the online software space. Prior to joining Dropbox, from September 2016 to January 2020, she served as Vice President of SMB Sales and GTM Operations, Google Cloud at Google. Previously, from August 2014 to September 2016, she served as Senior Director, Americas GTM Operations, Google Ads. Prior to joining Google, she worked as a management consultant at McKinsey &amp; Company, where she was a Partner from 2010 to 2014. Ms. Nottebohm received a B.A. in Economics from Harvard University and an M.B.A. from Stanford Graduate School of Business.</w:t>
      </w:r>
    </w:p>
    <w:p>
      <w:pPr>
        <w:spacing w:after="0" w:line="153" w:lineRule="exact"/>
        <w:rPr>
          <w:sz w:val="20"/>
          <w:szCs w:val="20"/>
          <w:color w:val="auto"/>
        </w:rPr>
      </w:pPr>
    </w:p>
    <w:p>
      <w:pPr>
        <w:ind w:left="720" w:right="760"/>
        <w:spacing w:after="0" w:line="271" w:lineRule="auto"/>
        <w:rPr>
          <w:sz w:val="20"/>
          <w:szCs w:val="20"/>
          <w:color w:val="auto"/>
        </w:rPr>
      </w:pPr>
      <w:r>
        <w:rPr>
          <w:rFonts w:ascii="Arial" w:cs="Arial" w:eastAsia="Arial" w:hAnsi="Arial"/>
          <w:sz w:val="16"/>
          <w:szCs w:val="16"/>
          <w:color w:val="005CB8"/>
        </w:rPr>
        <w:t xml:space="preserve">Ajay V. Vashee. </w:t>
      </w:r>
      <w:r>
        <w:rPr>
          <w:rFonts w:ascii="Arial" w:cs="Arial" w:eastAsia="Arial" w:hAnsi="Arial"/>
          <w:sz w:val="16"/>
          <w:szCs w:val="16"/>
          <w:color w:val="000000"/>
        </w:rPr>
        <w:t>Mr. Vashee has served as our Chief Financial Officer since September 2016. From February 2015 to September</w:t>
      </w:r>
      <w:r>
        <w:rPr>
          <w:rFonts w:ascii="Arial" w:cs="Arial" w:eastAsia="Arial" w:hAnsi="Arial"/>
          <w:sz w:val="16"/>
          <w:szCs w:val="16"/>
          <w:color w:val="005CB8"/>
        </w:rPr>
        <w:t xml:space="preserve"> </w:t>
      </w:r>
      <w:r>
        <w:rPr>
          <w:rFonts w:ascii="Arial" w:cs="Arial" w:eastAsia="Arial" w:hAnsi="Arial"/>
          <w:sz w:val="16"/>
          <w:szCs w:val="16"/>
          <w:color w:val="000000"/>
        </w:rPr>
        <w:t>2016, Mr. Vashee served as our Head of Corporate Development. From April 2012 to February 2015, Mr. Vashee served as our Head of Finance. Mr. Vashee holds a B.A. in Economics and Political Science from Columbia University.</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6"/>
          <w:szCs w:val="16"/>
          <w:color w:val="005CB8"/>
        </w:rPr>
        <w:t xml:space="preserve">Bart E. Volkmer. </w:t>
      </w:r>
      <w:r>
        <w:rPr>
          <w:rFonts w:ascii="Arial" w:cs="Arial" w:eastAsia="Arial" w:hAnsi="Arial"/>
          <w:sz w:val="16"/>
          <w:szCs w:val="16"/>
          <w:color w:val="000000"/>
        </w:rPr>
        <w:t>Mr. Volkmer has served as our Chief Legal Officer since January 2020. From June 2016 to January 2020,</w:t>
      </w:r>
    </w:p>
    <w:p>
      <w:pPr>
        <w:spacing w:after="0" w:line="19" w:lineRule="exact"/>
        <w:rPr>
          <w:sz w:val="20"/>
          <w:szCs w:val="20"/>
          <w:color w:val="auto"/>
        </w:rPr>
      </w:pPr>
    </w:p>
    <w:p>
      <w:pPr>
        <w:ind w:left="720" w:right="760"/>
        <w:spacing w:after="0" w:line="268" w:lineRule="auto"/>
        <w:rPr>
          <w:sz w:val="20"/>
          <w:szCs w:val="20"/>
          <w:color w:val="auto"/>
        </w:rPr>
      </w:pPr>
      <w:r>
        <w:rPr>
          <w:rFonts w:ascii="Arial" w:cs="Arial" w:eastAsia="Arial" w:hAnsi="Arial"/>
          <w:sz w:val="16"/>
          <w:szCs w:val="16"/>
          <w:color w:val="auto"/>
        </w:rPr>
        <w:t>Mr. Volkmer served as our General Counsel and from August 2011 to June 2016, Mr. Volkmer served as our Head of Litigation &amp; Regulatory. Prior to joining Dropbox, Mr. Volkmer practiced law at Wilson Sonsini Goodrich &amp; Rosati, a law firm, from 2003-2011, where he counseled early-stage and established technology companies. Mr. Volkmer holds a J.D. from Santa Clara University School of Law and a B.A. in English from Creighton University.</w:t>
      </w:r>
    </w:p>
    <w:p>
      <w:pPr>
        <w:spacing w:after="0" w:line="150" w:lineRule="exact"/>
        <w:rPr>
          <w:sz w:val="20"/>
          <w:szCs w:val="20"/>
          <w:color w:val="auto"/>
        </w:rPr>
      </w:pPr>
    </w:p>
    <w:p>
      <w:pPr>
        <w:ind w:left="720" w:right="800"/>
        <w:spacing w:after="0" w:line="266" w:lineRule="auto"/>
        <w:rPr>
          <w:sz w:val="20"/>
          <w:szCs w:val="20"/>
          <w:color w:val="auto"/>
        </w:rPr>
      </w:pPr>
      <w:r>
        <w:rPr>
          <w:rFonts w:ascii="Arial" w:cs="Arial" w:eastAsia="Arial" w:hAnsi="Arial"/>
          <w:sz w:val="16"/>
          <w:szCs w:val="16"/>
          <w:color w:val="005CB8"/>
        </w:rPr>
        <w:t xml:space="preserve">Timothy Young. </w:t>
      </w:r>
      <w:r>
        <w:rPr>
          <w:rFonts w:ascii="Arial" w:cs="Arial" w:eastAsia="Arial" w:hAnsi="Arial"/>
          <w:sz w:val="16"/>
          <w:szCs w:val="16"/>
          <w:color w:val="000000"/>
        </w:rPr>
        <w:t>Timothy Young has served as our Senior Vice President and General Manager, Core Dropbox since October 2019.</w:t>
      </w:r>
      <w:r>
        <w:rPr>
          <w:rFonts w:ascii="Arial" w:cs="Arial" w:eastAsia="Arial" w:hAnsi="Arial"/>
          <w:sz w:val="16"/>
          <w:szCs w:val="16"/>
          <w:color w:val="005CB8"/>
        </w:rPr>
        <w:t xml:space="preserve"> </w:t>
      </w:r>
      <w:r>
        <w:rPr>
          <w:rFonts w:ascii="Arial" w:cs="Arial" w:eastAsia="Arial" w:hAnsi="Arial"/>
          <w:sz w:val="16"/>
          <w:szCs w:val="16"/>
          <w:color w:val="000000"/>
        </w:rPr>
        <w:t>Mr. Young has extensive experience managing, growing and investing in technology companies. Prior to joining Dropbox and since January 2015, Mr. Young has served as a Founder of Hidden Hand Capital, which invests in early stage technology companies. Prior to founding Hidden Hand Capital, from May 2011 to September 2014, he was Vice President of Product and Engineering at VMware, a cloud infrastructure and digital workspace company, where he led product development and strategic product planning for cloud and mobile applications. From June 2005 to May 2011, he was the Founder and CEO of Socialcast, which was acquired by VMware. From December 2009 to December 2010, he was a Co-Founder of about.me, which was acquired by AOL. Mr. Young attended the University of California, Riverside, where he studied Computer Science.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23</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7" w:name="page28"/>
    <w:bookmarkEnd w:id="27"/>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5CB8"/>
        </w:rPr>
        <w:t>EXECUTIVE COMPENSATION</w:t>
      </w:r>
    </w:p>
    <w:p>
      <w:pPr>
        <w:spacing w:after="0" w:line="351" w:lineRule="exact"/>
        <w:rPr>
          <w:sz w:val="20"/>
          <w:szCs w:val="20"/>
          <w:color w:val="auto"/>
        </w:rPr>
      </w:pPr>
    </w:p>
    <w:p>
      <w:pPr>
        <w:ind w:left="4"/>
        <w:spacing w:after="0"/>
        <w:rPr>
          <w:sz w:val="20"/>
          <w:szCs w:val="20"/>
          <w:color w:val="auto"/>
        </w:rPr>
      </w:pPr>
      <w:r>
        <w:rPr>
          <w:rFonts w:ascii="Arial" w:cs="Arial" w:eastAsia="Arial" w:hAnsi="Arial"/>
          <w:sz w:val="26"/>
          <w:szCs w:val="26"/>
          <w:color w:val="005CB8"/>
        </w:rPr>
        <w:t>Compensation Discussion and Analysis</w:t>
      </w:r>
    </w:p>
    <w:p>
      <w:pPr>
        <w:spacing w:after="0" w:line="169" w:lineRule="exact"/>
        <w:rPr>
          <w:sz w:val="20"/>
          <w:szCs w:val="20"/>
          <w:color w:val="auto"/>
        </w:rPr>
      </w:pPr>
    </w:p>
    <w:p>
      <w:pPr>
        <w:ind w:left="4" w:right="80"/>
        <w:spacing w:after="0" w:line="250"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2019. It also provides an overview of our executive compensation philosophy, including our principal compensation policies and practices. Finally, it analyzes how and why our compensation committee arrived at the specific compensation decisions for our executive officers, including our named executive officers in 2019, and discusses the key factors that our compensation committee considered in determining their compensation.</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named executive officers for 2019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077585" cy="13970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7585" cy="1397000"/>
                    </a:xfrm>
                    <a:prstGeom prst="rect">
                      <a:avLst/>
                    </a:prstGeom>
                    <a:noFill/>
                  </pic:spPr>
                </pic:pic>
              </a:graphicData>
            </a:graphic>
          </wp:anchor>
        </w:drawing>
      </w:r>
    </w:p>
    <w:p>
      <w:pPr>
        <w:spacing w:after="0" w:line="199"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2260" w:type="dxa"/>
            <w:vAlign w:val="bottom"/>
            <w:shd w:val="clear" w:color="auto" w:fill="0060EC"/>
          </w:tcPr>
          <w:p>
            <w:pPr>
              <w:ind w:left="40"/>
              <w:spacing w:after="0"/>
              <w:rPr>
                <w:sz w:val="20"/>
                <w:szCs w:val="20"/>
                <w:color w:val="auto"/>
              </w:rPr>
            </w:pPr>
            <w:r>
              <w:rPr>
                <w:rFonts w:ascii="Arial" w:cs="Arial" w:eastAsia="Arial" w:hAnsi="Arial"/>
                <w:sz w:val="14"/>
                <w:szCs w:val="14"/>
                <w:b w:val="1"/>
                <w:bCs w:val="1"/>
                <w:color w:val="FFFFFF"/>
              </w:rPr>
              <w:t>Named Executive Officer</w:t>
            </w:r>
          </w:p>
        </w:tc>
        <w:tc>
          <w:tcPr>
            <w:tcW w:w="7300" w:type="dxa"/>
            <w:vAlign w:val="bottom"/>
            <w:shd w:val="clear" w:color="auto" w:fill="0060EC"/>
          </w:tcPr>
          <w:p>
            <w:pPr>
              <w:ind w:left="540"/>
              <w:spacing w:after="0"/>
              <w:rPr>
                <w:sz w:val="20"/>
                <w:szCs w:val="20"/>
                <w:color w:val="auto"/>
              </w:rPr>
            </w:pPr>
            <w:r>
              <w:rPr>
                <w:rFonts w:ascii="Arial" w:cs="Arial" w:eastAsia="Arial" w:hAnsi="Arial"/>
                <w:sz w:val="14"/>
                <w:szCs w:val="14"/>
                <w:b w:val="1"/>
                <w:bCs w:val="1"/>
                <w:color w:val="FFFFFF"/>
              </w:rPr>
              <w:t>Title</w:t>
            </w:r>
          </w:p>
        </w:tc>
      </w:tr>
      <w:tr>
        <w:trPr>
          <w:trHeight w:val="79"/>
        </w:trPr>
        <w:tc>
          <w:tcPr>
            <w:tcW w:w="2260" w:type="dxa"/>
            <w:vAlign w:val="bottom"/>
            <w:shd w:val="clear" w:color="auto" w:fill="0060EC"/>
          </w:tcPr>
          <w:p>
            <w:pPr>
              <w:spacing w:after="0"/>
              <w:rPr>
                <w:sz w:val="6"/>
                <w:szCs w:val="6"/>
                <w:color w:val="auto"/>
              </w:rPr>
            </w:pPr>
          </w:p>
        </w:tc>
        <w:tc>
          <w:tcPr>
            <w:tcW w:w="7300" w:type="dxa"/>
            <w:vAlign w:val="bottom"/>
            <w:shd w:val="clear" w:color="auto" w:fill="0060EC"/>
          </w:tcPr>
          <w:p>
            <w:pPr>
              <w:spacing w:after="0"/>
              <w:rPr>
                <w:sz w:val="6"/>
                <w:szCs w:val="6"/>
                <w:color w:val="auto"/>
              </w:rPr>
            </w:pPr>
          </w:p>
        </w:tc>
      </w:tr>
      <w:tr>
        <w:trPr>
          <w:trHeight w:val="291"/>
        </w:trPr>
        <w:tc>
          <w:tcPr>
            <w:tcW w:w="2260" w:type="dxa"/>
            <w:vAlign w:val="bottom"/>
            <w:shd w:val="clear" w:color="auto" w:fill="E5EFFD"/>
          </w:tcPr>
          <w:p>
            <w:pPr>
              <w:ind w:left="40"/>
              <w:spacing w:after="0"/>
              <w:rPr>
                <w:sz w:val="20"/>
                <w:szCs w:val="20"/>
                <w:color w:val="auto"/>
              </w:rPr>
            </w:pPr>
            <w:r>
              <w:rPr>
                <w:rFonts w:ascii="Arial" w:cs="Arial" w:eastAsia="Arial" w:hAnsi="Arial"/>
                <w:sz w:val="16"/>
                <w:szCs w:val="16"/>
                <w:b w:val="1"/>
                <w:bCs w:val="1"/>
                <w:color w:val="auto"/>
              </w:rPr>
              <w:t>Andrew W. Houston</w:t>
            </w:r>
          </w:p>
        </w:tc>
        <w:tc>
          <w:tcPr>
            <w:tcW w:w="7300" w:type="dxa"/>
            <w:vAlign w:val="bottom"/>
            <w:shd w:val="clear" w:color="auto" w:fill="E5EFFD"/>
          </w:tcPr>
          <w:p>
            <w:pPr>
              <w:ind w:left="540"/>
              <w:spacing w:after="0"/>
              <w:rPr>
                <w:sz w:val="20"/>
                <w:szCs w:val="20"/>
                <w:color w:val="auto"/>
              </w:rPr>
            </w:pPr>
            <w:r>
              <w:rPr>
                <w:rFonts w:ascii="Arial" w:cs="Arial" w:eastAsia="Arial" w:hAnsi="Arial"/>
                <w:sz w:val="16"/>
                <w:szCs w:val="16"/>
                <w:color w:val="auto"/>
              </w:rPr>
              <w:t>Chief Executive Officer</w:t>
            </w:r>
          </w:p>
        </w:tc>
      </w:tr>
      <w:tr>
        <w:trPr>
          <w:trHeight w:val="87"/>
        </w:trPr>
        <w:tc>
          <w:tcPr>
            <w:tcW w:w="2260" w:type="dxa"/>
            <w:vAlign w:val="bottom"/>
            <w:shd w:val="clear" w:color="auto" w:fill="E5EFFD"/>
          </w:tcPr>
          <w:p>
            <w:pPr>
              <w:spacing w:after="0"/>
              <w:rPr>
                <w:sz w:val="7"/>
                <w:szCs w:val="7"/>
                <w:color w:val="auto"/>
              </w:rPr>
            </w:pPr>
          </w:p>
        </w:tc>
        <w:tc>
          <w:tcPr>
            <w:tcW w:w="7300" w:type="dxa"/>
            <w:vAlign w:val="bottom"/>
            <w:shd w:val="clear" w:color="auto" w:fill="E5EFFD"/>
          </w:tcPr>
          <w:p>
            <w:pPr>
              <w:spacing w:after="0"/>
              <w:rPr>
                <w:sz w:val="7"/>
                <w:szCs w:val="7"/>
                <w:color w:val="auto"/>
              </w:rPr>
            </w:pPr>
          </w:p>
        </w:tc>
      </w:tr>
      <w:tr>
        <w:trPr>
          <w:trHeight w:val="291"/>
        </w:trPr>
        <w:tc>
          <w:tcPr>
            <w:tcW w:w="2260" w:type="dxa"/>
            <w:vAlign w:val="bottom"/>
          </w:tcPr>
          <w:p>
            <w:pPr>
              <w:ind w:left="40"/>
              <w:spacing w:after="0"/>
              <w:rPr>
                <w:sz w:val="20"/>
                <w:szCs w:val="20"/>
                <w:color w:val="auto"/>
              </w:rPr>
            </w:pPr>
            <w:r>
              <w:rPr>
                <w:rFonts w:ascii="Arial" w:cs="Arial" w:eastAsia="Arial" w:hAnsi="Arial"/>
                <w:sz w:val="16"/>
                <w:szCs w:val="16"/>
                <w:b w:val="1"/>
                <w:bCs w:val="1"/>
                <w:color w:val="auto"/>
              </w:rPr>
              <w:t>Ajay V. Vashee</w:t>
            </w:r>
          </w:p>
        </w:tc>
        <w:tc>
          <w:tcPr>
            <w:tcW w:w="7300" w:type="dxa"/>
            <w:vAlign w:val="bottom"/>
          </w:tcPr>
          <w:p>
            <w:pPr>
              <w:ind w:left="540"/>
              <w:spacing w:after="0"/>
              <w:rPr>
                <w:sz w:val="20"/>
                <w:szCs w:val="20"/>
                <w:color w:val="auto"/>
              </w:rPr>
            </w:pPr>
            <w:r>
              <w:rPr>
                <w:rFonts w:ascii="Arial" w:cs="Arial" w:eastAsia="Arial" w:hAnsi="Arial"/>
                <w:sz w:val="16"/>
                <w:szCs w:val="16"/>
                <w:color w:val="auto"/>
              </w:rPr>
              <w:t>Chief Financial Officer</w:t>
            </w:r>
          </w:p>
        </w:tc>
      </w:tr>
      <w:tr>
        <w:trPr>
          <w:trHeight w:val="87"/>
        </w:trPr>
        <w:tc>
          <w:tcPr>
            <w:tcW w:w="2260" w:type="dxa"/>
            <w:vAlign w:val="bottom"/>
          </w:tcPr>
          <w:p>
            <w:pPr>
              <w:spacing w:after="0"/>
              <w:rPr>
                <w:sz w:val="7"/>
                <w:szCs w:val="7"/>
                <w:color w:val="auto"/>
              </w:rPr>
            </w:pPr>
          </w:p>
        </w:tc>
        <w:tc>
          <w:tcPr>
            <w:tcW w:w="7300" w:type="dxa"/>
            <w:vAlign w:val="bottom"/>
          </w:tcPr>
          <w:p>
            <w:pPr>
              <w:spacing w:after="0"/>
              <w:rPr>
                <w:sz w:val="7"/>
                <w:szCs w:val="7"/>
                <w:color w:val="auto"/>
              </w:rPr>
            </w:pPr>
          </w:p>
        </w:tc>
      </w:tr>
      <w:tr>
        <w:trPr>
          <w:trHeight w:val="291"/>
        </w:trPr>
        <w:tc>
          <w:tcPr>
            <w:tcW w:w="2260" w:type="dxa"/>
            <w:vAlign w:val="bottom"/>
            <w:shd w:val="clear" w:color="auto" w:fill="E5EFFD"/>
          </w:tcPr>
          <w:p>
            <w:pPr>
              <w:ind w:left="40"/>
              <w:spacing w:after="0"/>
              <w:rPr>
                <w:sz w:val="20"/>
                <w:szCs w:val="20"/>
                <w:color w:val="auto"/>
              </w:rPr>
            </w:pPr>
            <w:r>
              <w:rPr>
                <w:rFonts w:ascii="Arial" w:cs="Arial" w:eastAsia="Arial" w:hAnsi="Arial"/>
                <w:sz w:val="16"/>
                <w:szCs w:val="16"/>
                <w:b w:val="1"/>
                <w:bCs w:val="1"/>
                <w:color w:val="auto"/>
              </w:rPr>
              <w:t>Bharat Mediratta</w:t>
            </w:r>
          </w:p>
        </w:tc>
        <w:tc>
          <w:tcPr>
            <w:tcW w:w="7300" w:type="dxa"/>
            <w:vAlign w:val="bottom"/>
            <w:shd w:val="clear" w:color="auto" w:fill="E5EFFD"/>
          </w:tcPr>
          <w:p>
            <w:pPr>
              <w:ind w:left="540"/>
              <w:spacing w:after="0"/>
              <w:rPr>
                <w:sz w:val="20"/>
                <w:szCs w:val="20"/>
                <w:color w:val="auto"/>
              </w:rPr>
            </w:pPr>
            <w:r>
              <w:rPr>
                <w:rFonts w:ascii="Arial" w:cs="Arial" w:eastAsia="Arial" w:hAnsi="Arial"/>
                <w:sz w:val="16"/>
                <w:szCs w:val="16"/>
                <w:color w:val="auto"/>
              </w:rPr>
              <w:t>Chief Technology Officer and Senior Vice President, Platform</w:t>
            </w:r>
          </w:p>
        </w:tc>
      </w:tr>
      <w:tr>
        <w:trPr>
          <w:trHeight w:val="87"/>
        </w:trPr>
        <w:tc>
          <w:tcPr>
            <w:tcW w:w="2260" w:type="dxa"/>
            <w:vAlign w:val="bottom"/>
            <w:shd w:val="clear" w:color="auto" w:fill="E5EFFD"/>
          </w:tcPr>
          <w:p>
            <w:pPr>
              <w:spacing w:after="0"/>
              <w:rPr>
                <w:sz w:val="7"/>
                <w:szCs w:val="7"/>
                <w:color w:val="auto"/>
              </w:rPr>
            </w:pPr>
          </w:p>
        </w:tc>
        <w:tc>
          <w:tcPr>
            <w:tcW w:w="7300" w:type="dxa"/>
            <w:vAlign w:val="bottom"/>
            <w:shd w:val="clear" w:color="auto" w:fill="E5EFFD"/>
          </w:tcPr>
          <w:p>
            <w:pPr>
              <w:spacing w:after="0"/>
              <w:rPr>
                <w:sz w:val="7"/>
                <w:szCs w:val="7"/>
                <w:color w:val="auto"/>
              </w:rPr>
            </w:pPr>
          </w:p>
        </w:tc>
      </w:tr>
      <w:tr>
        <w:trPr>
          <w:trHeight w:val="291"/>
        </w:trPr>
        <w:tc>
          <w:tcPr>
            <w:tcW w:w="2260" w:type="dxa"/>
            <w:vAlign w:val="bottom"/>
          </w:tcPr>
          <w:p>
            <w:pPr>
              <w:ind w:left="40"/>
              <w:spacing w:after="0"/>
              <w:rPr>
                <w:sz w:val="20"/>
                <w:szCs w:val="20"/>
                <w:color w:val="auto"/>
              </w:rPr>
            </w:pPr>
            <w:r>
              <w:rPr>
                <w:rFonts w:ascii="Arial" w:cs="Arial" w:eastAsia="Arial" w:hAnsi="Arial"/>
                <w:sz w:val="16"/>
                <w:szCs w:val="16"/>
                <w:b w:val="1"/>
                <w:bCs w:val="1"/>
                <w:color w:val="auto"/>
              </w:rPr>
              <w:t>Timothy Young</w:t>
            </w:r>
          </w:p>
        </w:tc>
        <w:tc>
          <w:tcPr>
            <w:tcW w:w="7300" w:type="dxa"/>
            <w:vAlign w:val="bottom"/>
          </w:tcPr>
          <w:p>
            <w:pPr>
              <w:ind w:left="540"/>
              <w:spacing w:after="0"/>
              <w:rPr>
                <w:sz w:val="20"/>
                <w:szCs w:val="20"/>
                <w:color w:val="auto"/>
              </w:rPr>
            </w:pPr>
            <w:r>
              <w:rPr>
                <w:rFonts w:ascii="Arial" w:cs="Arial" w:eastAsia="Arial" w:hAnsi="Arial"/>
                <w:sz w:val="16"/>
                <w:szCs w:val="16"/>
                <w:color w:val="auto"/>
              </w:rPr>
              <w:t>Senior Vice President and General Manager, Core Dropbox</w:t>
            </w:r>
          </w:p>
        </w:tc>
      </w:tr>
      <w:tr>
        <w:trPr>
          <w:trHeight w:val="87"/>
        </w:trPr>
        <w:tc>
          <w:tcPr>
            <w:tcW w:w="2260" w:type="dxa"/>
            <w:vAlign w:val="bottom"/>
          </w:tcPr>
          <w:p>
            <w:pPr>
              <w:spacing w:after="0"/>
              <w:rPr>
                <w:sz w:val="7"/>
                <w:szCs w:val="7"/>
                <w:color w:val="auto"/>
              </w:rPr>
            </w:pPr>
          </w:p>
        </w:tc>
        <w:tc>
          <w:tcPr>
            <w:tcW w:w="7300" w:type="dxa"/>
            <w:vAlign w:val="bottom"/>
          </w:tcPr>
          <w:p>
            <w:pPr>
              <w:spacing w:after="0"/>
              <w:rPr>
                <w:sz w:val="7"/>
                <w:szCs w:val="7"/>
                <w:color w:val="auto"/>
              </w:rPr>
            </w:pPr>
          </w:p>
        </w:tc>
      </w:tr>
      <w:tr>
        <w:trPr>
          <w:trHeight w:val="310"/>
        </w:trPr>
        <w:tc>
          <w:tcPr>
            <w:tcW w:w="2260" w:type="dxa"/>
            <w:vAlign w:val="bottom"/>
            <w:shd w:val="clear" w:color="auto" w:fill="E5EFFD"/>
          </w:tcPr>
          <w:p>
            <w:pPr>
              <w:ind w:left="40"/>
              <w:spacing w:after="0"/>
              <w:rPr>
                <w:sz w:val="20"/>
                <w:szCs w:val="20"/>
                <w:color w:val="auto"/>
              </w:rPr>
            </w:pPr>
            <w:r>
              <w:rPr>
                <w:rFonts w:ascii="Arial" w:cs="Arial" w:eastAsia="Arial" w:hAnsi="Arial"/>
                <w:sz w:val="16"/>
                <w:szCs w:val="16"/>
                <w:b w:val="1"/>
                <w:bCs w:val="1"/>
                <w:color w:val="auto"/>
              </w:rPr>
              <w:t>Yamini Rangan</w:t>
            </w:r>
            <w:r>
              <w:rPr>
                <w:rFonts w:ascii="Arial" w:cs="Arial" w:eastAsia="Arial" w:hAnsi="Arial"/>
                <w:sz w:val="26"/>
                <w:szCs w:val="26"/>
                <w:b w:val="1"/>
                <w:bCs w:val="1"/>
                <w:color w:val="auto"/>
                <w:vertAlign w:val="superscript"/>
              </w:rPr>
              <w:t>(1)</w:t>
            </w:r>
          </w:p>
        </w:tc>
        <w:tc>
          <w:tcPr>
            <w:tcW w:w="7300" w:type="dxa"/>
            <w:vAlign w:val="bottom"/>
            <w:shd w:val="clear" w:color="auto" w:fill="E5EFFD"/>
          </w:tcPr>
          <w:p>
            <w:pPr>
              <w:ind w:left="540"/>
              <w:spacing w:after="0"/>
              <w:rPr>
                <w:sz w:val="20"/>
                <w:szCs w:val="20"/>
                <w:color w:val="auto"/>
              </w:rPr>
            </w:pPr>
            <w:r>
              <w:rPr>
                <w:rFonts w:ascii="Arial" w:cs="Arial" w:eastAsia="Arial" w:hAnsi="Arial"/>
                <w:sz w:val="16"/>
                <w:szCs w:val="16"/>
                <w:color w:val="auto"/>
              </w:rPr>
              <w:t>Chief Customer Officer</w:t>
            </w:r>
          </w:p>
        </w:tc>
      </w:tr>
    </w:tbl>
    <w:p>
      <w:pPr>
        <w:spacing w:after="0" w:line="78" w:lineRule="exact"/>
        <w:rPr>
          <w:sz w:val="20"/>
          <w:szCs w:val="20"/>
          <w:color w:val="auto"/>
        </w:rPr>
      </w:pPr>
    </w:p>
    <w:p>
      <w:pPr>
        <w:ind w:left="244" w:hanging="244"/>
        <w:spacing w:after="0"/>
        <w:tabs>
          <w:tab w:leader="none" w:pos="244"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Ms. Rangan resigned from the company in January 2020.</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26"/>
          <w:szCs w:val="26"/>
          <w:color w:val="005CB8"/>
        </w:rPr>
        <w:t>Executive Summary</w:t>
      </w:r>
    </w:p>
    <w:p>
      <w:pPr>
        <w:spacing w:after="0" w:line="33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Who We Are</w:t>
      </w:r>
    </w:p>
    <w:p>
      <w:pPr>
        <w:spacing w:after="0" w:line="66" w:lineRule="exact"/>
        <w:rPr>
          <w:sz w:val="20"/>
          <w:szCs w:val="20"/>
          <w:color w:val="auto"/>
        </w:rPr>
      </w:pPr>
    </w:p>
    <w:p>
      <w:pPr>
        <w:ind w:left="4" w:right="120"/>
        <w:spacing w:after="0" w:line="253" w:lineRule="auto"/>
        <w:rPr>
          <w:sz w:val="20"/>
          <w:szCs w:val="20"/>
          <w:color w:val="auto"/>
        </w:rPr>
      </w:pPr>
      <w:r>
        <w:rPr>
          <w:rFonts w:ascii="Arial" w:cs="Arial" w:eastAsia="Arial" w:hAnsi="Arial"/>
          <w:sz w:val="16"/>
          <w:szCs w:val="16"/>
          <w:color w:val="auto"/>
        </w:rPr>
        <w:t>Our modern economy runs on knowledge. Today, knowledge lives in the cloud as digital content, and Dropbox is building the world's first smart workspace where business and individuals can create, access, and share this content globally. We serve more than 600 million registered users across 180 countries.</w:t>
      </w:r>
    </w:p>
    <w:p>
      <w:pPr>
        <w:spacing w:after="0" w:line="147" w:lineRule="exact"/>
        <w:rPr>
          <w:sz w:val="20"/>
          <w:szCs w:val="20"/>
          <w:color w:val="auto"/>
        </w:rPr>
      </w:pPr>
    </w:p>
    <w:p>
      <w:pPr>
        <w:ind w:left="4" w:right="100"/>
        <w:spacing w:after="0" w:line="251" w:lineRule="auto"/>
        <w:rPr>
          <w:sz w:val="20"/>
          <w:szCs w:val="20"/>
          <w:color w:val="auto"/>
        </w:rPr>
      </w:pPr>
      <w:r>
        <w:rPr>
          <w:rFonts w:ascii="Arial" w:cs="Arial" w:eastAsia="Arial" w:hAnsi="Arial"/>
          <w:sz w:val="16"/>
          <w:szCs w:val="16"/>
          <w:color w:val="auto"/>
        </w:rPr>
        <w:t>Since our founding in 2007, our market opportunity has grown as we’ve expanded from keeping files in sync to keeping teams in sync. Our smart workspace is a digital environment that brings all of a team’s content together with the tools they love, helping users cut through the clutter and surfacing what matters most. In a world where using technology at work can be fragmented and distracting, the smart workspace makes it easy to focus on the work that matters.</w:t>
      </w:r>
    </w:p>
    <w:p>
      <w:pPr>
        <w:spacing w:after="0" w:line="148" w:lineRule="exact"/>
        <w:rPr>
          <w:sz w:val="20"/>
          <w:szCs w:val="20"/>
          <w:color w:val="auto"/>
        </w:rPr>
      </w:pPr>
    </w:p>
    <w:p>
      <w:pPr>
        <w:ind w:left="4" w:right="120"/>
        <w:spacing w:after="0" w:line="260" w:lineRule="auto"/>
        <w:rPr>
          <w:sz w:val="20"/>
          <w:szCs w:val="20"/>
          <w:color w:val="auto"/>
        </w:rPr>
      </w:pPr>
      <w:r>
        <w:rPr>
          <w:rFonts w:ascii="Arial" w:cs="Arial" w:eastAsia="Arial" w:hAnsi="Arial"/>
          <w:sz w:val="16"/>
          <w:szCs w:val="16"/>
          <w:color w:val="auto"/>
        </w:rPr>
        <w:t>By solving these universal problems, we’ve become invaluable to our users. The popularity of our platform drives viral growth, which has allowed us to scale rapidly and efficiently. We’ve built a thriving global business with 14.3 million paying users.</w:t>
      </w:r>
    </w:p>
    <w:p>
      <w:pPr>
        <w:spacing w:after="0" w:line="33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2019 Business Results</w:t>
      </w:r>
    </w:p>
    <w:p>
      <w:pPr>
        <w:spacing w:after="0" w:line="66" w:lineRule="exact"/>
        <w:rPr>
          <w:sz w:val="20"/>
          <w:szCs w:val="20"/>
          <w:color w:val="auto"/>
        </w:rPr>
      </w:pPr>
    </w:p>
    <w:p>
      <w:pPr>
        <w:ind w:left="4" w:right="180"/>
        <w:spacing w:after="0" w:line="260" w:lineRule="auto"/>
        <w:rPr>
          <w:sz w:val="20"/>
          <w:szCs w:val="20"/>
          <w:color w:val="auto"/>
        </w:rPr>
      </w:pPr>
      <w:r>
        <w:rPr>
          <w:rFonts w:ascii="Arial" w:cs="Arial" w:eastAsia="Arial" w:hAnsi="Arial"/>
          <w:sz w:val="16"/>
          <w:szCs w:val="16"/>
          <w:color w:val="auto"/>
        </w:rPr>
        <w:t>In 2019, we delivered strong execution, driving healthy top line growth and free cash flow. Combined with our ecosystem of best-in-class partners, we have become an even more central part of our customers’ workflows.</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2019, we achieved several significant financial and operational results:</w:t>
      </w:r>
    </w:p>
    <w:p>
      <w:pPr>
        <w:spacing w:after="0" w:line="167" w:lineRule="exact"/>
        <w:rPr>
          <w:sz w:val="20"/>
          <w:szCs w:val="20"/>
          <w:color w:val="auto"/>
        </w:rPr>
      </w:pPr>
    </w:p>
    <w:p>
      <w:pPr>
        <w:ind w:left="284" w:hanging="284"/>
        <w:spacing w:after="0"/>
        <w:tabs>
          <w:tab w:leader="none" w:pos="284" w:val="left"/>
        </w:tabs>
        <w:numPr>
          <w:ilvl w:val="0"/>
          <w:numId w:val="42"/>
        </w:numPr>
        <w:rPr>
          <w:rFonts w:ascii="Arial" w:cs="Arial" w:eastAsia="Arial" w:hAnsi="Arial"/>
          <w:sz w:val="16"/>
          <w:szCs w:val="16"/>
          <w:color w:val="005CB8"/>
        </w:rPr>
      </w:pPr>
      <w:r>
        <w:rPr>
          <w:rFonts w:ascii="Arial" w:cs="Arial" w:eastAsia="Arial" w:hAnsi="Arial"/>
          <w:sz w:val="16"/>
          <w:szCs w:val="16"/>
          <w:color w:val="auto"/>
        </w:rPr>
        <w:t>Total revenue was $1,661 million, an increase of 19% year over year.</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42"/>
        </w:numPr>
        <w:rPr>
          <w:rFonts w:ascii="Arial" w:cs="Arial" w:eastAsia="Arial" w:hAnsi="Arial"/>
          <w:sz w:val="16"/>
          <w:szCs w:val="16"/>
          <w:color w:val="005CB8"/>
        </w:rPr>
      </w:pPr>
      <w:r>
        <w:rPr>
          <w:rFonts w:ascii="Arial" w:cs="Arial" w:eastAsia="Arial" w:hAnsi="Arial"/>
          <w:sz w:val="16"/>
          <w:szCs w:val="16"/>
          <w:color w:val="auto"/>
        </w:rPr>
        <w:t>Paying users totaled 14.3 million, as compared to 12.7 million for the same period last year.</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42"/>
        </w:numPr>
        <w:rPr>
          <w:rFonts w:ascii="Arial" w:cs="Arial" w:eastAsia="Arial" w:hAnsi="Arial"/>
          <w:sz w:val="16"/>
          <w:szCs w:val="16"/>
          <w:color w:val="005CB8"/>
        </w:rPr>
      </w:pPr>
      <w:r>
        <w:rPr>
          <w:rFonts w:ascii="Arial" w:cs="Arial" w:eastAsia="Arial" w:hAnsi="Arial"/>
          <w:sz w:val="16"/>
          <w:szCs w:val="16"/>
          <w:color w:val="auto"/>
        </w:rPr>
        <w:t>Average revenue per paying user was $123.07, as compared to $117.64 in the prior year.</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42"/>
        </w:numPr>
        <w:rPr>
          <w:rFonts w:ascii="Arial" w:cs="Arial" w:eastAsia="Arial" w:hAnsi="Arial"/>
          <w:sz w:val="16"/>
          <w:szCs w:val="16"/>
          <w:color w:val="005CB8"/>
        </w:rPr>
      </w:pPr>
      <w:r>
        <w:rPr>
          <w:rFonts w:ascii="Arial" w:cs="Arial" w:eastAsia="Arial" w:hAnsi="Arial"/>
          <w:sz w:val="16"/>
          <w:szCs w:val="16"/>
          <w:color w:val="auto"/>
        </w:rPr>
        <w:t>Non-GAAP gross margin was 76.4%, as compared to 75.1% in the prior year.*</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42"/>
        </w:numPr>
        <w:rPr>
          <w:rFonts w:ascii="Arial" w:cs="Arial" w:eastAsia="Arial" w:hAnsi="Arial"/>
          <w:sz w:val="16"/>
          <w:szCs w:val="16"/>
          <w:color w:val="005CB8"/>
        </w:rPr>
      </w:pPr>
      <w:r>
        <w:rPr>
          <w:rFonts w:ascii="Arial" w:cs="Arial" w:eastAsia="Arial" w:hAnsi="Arial"/>
          <w:sz w:val="16"/>
          <w:szCs w:val="16"/>
          <w:color w:val="auto"/>
        </w:rPr>
        <w:t>Non-GAAP operating margin was 12.3%, as compared to 12.2% in the prior year.*</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42"/>
        </w:numPr>
        <w:rPr>
          <w:rFonts w:ascii="Arial" w:cs="Arial" w:eastAsia="Arial" w:hAnsi="Arial"/>
          <w:sz w:val="16"/>
          <w:szCs w:val="16"/>
          <w:color w:val="005CB8"/>
        </w:rPr>
      </w:pPr>
      <w:r>
        <w:rPr>
          <w:rFonts w:ascii="Arial" w:cs="Arial" w:eastAsia="Arial" w:hAnsi="Arial"/>
          <w:sz w:val="16"/>
          <w:szCs w:val="16"/>
          <w:color w:val="auto"/>
        </w:rPr>
        <w:t>Free cash flow was $392.4 million, as compared to $362.4 million in the prior year.*</w:t>
      </w:r>
    </w:p>
    <w:p>
      <w:pPr>
        <w:spacing w:after="0" w:line="206" w:lineRule="exact"/>
        <w:rPr>
          <w:sz w:val="20"/>
          <w:szCs w:val="20"/>
          <w:color w:val="auto"/>
        </w:rPr>
      </w:pPr>
    </w:p>
    <w:p>
      <w:pPr>
        <w:ind w:left="524" w:hanging="524"/>
        <w:spacing w:after="0"/>
        <w:tabs>
          <w:tab w:leader="none" w:pos="524"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28" w:name="page29"/>
    <w:bookmarkEnd w:id="28"/>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EXECUTIVE COMPENSATION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60" w:hanging="244"/>
        <w:spacing w:after="0"/>
        <w:tabs>
          <w:tab w:leader="none" w:pos="9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A reconciliation of GAAP to non-GAAP results is provided in </w:t>
      </w:r>
      <w:r>
        <w:rPr>
          <w:rFonts w:ascii="Arial" w:cs="Arial" w:eastAsia="Arial" w:hAnsi="Arial"/>
          <w:sz w:val="14"/>
          <w:szCs w:val="14"/>
          <w:u w:val="single" w:color="auto"/>
          <w:color w:val="auto"/>
        </w:rPr>
        <w:t>Appendix A</w:t>
      </w:r>
      <w:r>
        <w:rPr>
          <w:rFonts w:ascii="Arial" w:cs="Arial" w:eastAsia="Arial" w:hAnsi="Arial"/>
          <w:sz w:val="14"/>
          <w:szCs w:val="14"/>
          <w:color w:val="auto"/>
        </w:rPr>
        <w:t>.</w:t>
      </w:r>
    </w:p>
    <w:p>
      <w:pPr>
        <w:spacing w:after="0" w:line="16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Executive Compensation Policies and Practices</w:t>
      </w:r>
    </w:p>
    <w:p>
      <w:pPr>
        <w:spacing w:after="0" w:line="66" w:lineRule="exact"/>
        <w:rPr>
          <w:sz w:val="20"/>
          <w:szCs w:val="20"/>
          <w:color w:val="auto"/>
        </w:rPr>
      </w:pPr>
    </w:p>
    <w:p>
      <w:pPr>
        <w:jc w:val="both"/>
        <w:ind w:left="720" w:right="980"/>
        <w:spacing w:after="0" w:line="253" w:lineRule="auto"/>
        <w:rPr>
          <w:sz w:val="20"/>
          <w:szCs w:val="20"/>
          <w:color w:val="auto"/>
        </w:rPr>
      </w:pPr>
      <w:r>
        <w:rPr>
          <w:rFonts w:ascii="Arial" w:cs="Arial" w:eastAsia="Arial" w:hAnsi="Arial"/>
          <w:sz w:val="16"/>
          <w:szCs w:val="16"/>
          <w:color w:val="auto"/>
        </w:rPr>
        <w:t>Our compensation committee evaluates our executive compensation program on a regular basis to ensure that it is consistent with our short-term and long-term goals given the dynamic nature of our business and the competitive market in which we compete for executive talent. The following summarizes our executive compensation program and related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126365</wp:posOffset>
            </wp:positionV>
            <wp:extent cx="6077585" cy="4740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7585" cy="474027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20" w:type="dxa"/>
            <w:vAlign w:val="bottom"/>
          </w:tcPr>
          <w:p>
            <w:pPr>
              <w:spacing w:after="0"/>
              <w:rPr>
                <w:sz w:val="24"/>
                <w:szCs w:val="24"/>
                <w:color w:val="auto"/>
              </w:rPr>
            </w:pPr>
          </w:p>
        </w:tc>
        <w:tc>
          <w:tcPr>
            <w:tcW w:w="4760" w:type="dxa"/>
            <w:vAlign w:val="bottom"/>
            <w:shd w:val="clear" w:color="auto" w:fill="0060EC"/>
          </w:tcPr>
          <w:p>
            <w:pPr>
              <w:ind w:left="1980"/>
              <w:spacing w:after="0"/>
              <w:rPr>
                <w:sz w:val="20"/>
                <w:szCs w:val="20"/>
                <w:color w:val="auto"/>
              </w:rPr>
            </w:pPr>
            <w:r>
              <w:rPr>
                <w:rFonts w:ascii="Arial" w:cs="Arial" w:eastAsia="Arial" w:hAnsi="Arial"/>
                <w:sz w:val="14"/>
                <w:szCs w:val="14"/>
                <w:b w:val="1"/>
                <w:bCs w:val="1"/>
                <w:color w:val="FFFFFF"/>
              </w:rPr>
              <w:t>What we do</w:t>
            </w:r>
          </w:p>
        </w:tc>
        <w:tc>
          <w:tcPr>
            <w:tcW w:w="4600" w:type="dxa"/>
            <w:vAlign w:val="bottom"/>
            <w:shd w:val="clear" w:color="auto" w:fill="0060EC"/>
          </w:tcPr>
          <w:p>
            <w:pPr>
              <w:ind w:left="1820"/>
              <w:spacing w:after="0"/>
              <w:rPr>
                <w:sz w:val="20"/>
                <w:szCs w:val="20"/>
                <w:color w:val="auto"/>
              </w:rPr>
            </w:pPr>
            <w:r>
              <w:rPr>
                <w:rFonts w:ascii="Arial" w:cs="Arial" w:eastAsia="Arial" w:hAnsi="Arial"/>
                <w:sz w:val="14"/>
                <w:szCs w:val="14"/>
                <w:b w:val="1"/>
                <w:bCs w:val="1"/>
                <w:color w:val="FFFFFF"/>
              </w:rPr>
              <w:t>What we don’t do</w:t>
            </w:r>
          </w:p>
        </w:tc>
        <w:tc>
          <w:tcPr>
            <w:tcW w:w="200" w:type="dxa"/>
            <w:vAlign w:val="bottom"/>
            <w:shd w:val="clear" w:color="auto" w:fill="0060EC"/>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20" w:type="dxa"/>
            <w:vAlign w:val="bottom"/>
          </w:tcPr>
          <w:p>
            <w:pPr>
              <w:spacing w:after="0"/>
              <w:rPr>
                <w:sz w:val="6"/>
                <w:szCs w:val="6"/>
                <w:color w:val="auto"/>
              </w:rPr>
            </w:pPr>
          </w:p>
        </w:tc>
        <w:tc>
          <w:tcPr>
            <w:tcW w:w="4760" w:type="dxa"/>
            <w:vAlign w:val="bottom"/>
            <w:shd w:val="clear" w:color="auto" w:fill="0060EC"/>
          </w:tcPr>
          <w:p>
            <w:pPr>
              <w:spacing w:after="0"/>
              <w:rPr>
                <w:sz w:val="6"/>
                <w:szCs w:val="6"/>
                <w:color w:val="auto"/>
              </w:rPr>
            </w:pPr>
          </w:p>
        </w:tc>
        <w:tc>
          <w:tcPr>
            <w:tcW w:w="4600" w:type="dxa"/>
            <w:vAlign w:val="bottom"/>
            <w:shd w:val="clear" w:color="auto" w:fill="0060EC"/>
          </w:tcPr>
          <w:p>
            <w:pPr>
              <w:spacing w:after="0"/>
              <w:rPr>
                <w:sz w:val="6"/>
                <w:szCs w:val="6"/>
                <w:color w:val="auto"/>
              </w:rPr>
            </w:pPr>
          </w:p>
        </w:tc>
        <w:tc>
          <w:tcPr>
            <w:tcW w:w="200" w:type="dxa"/>
            <w:vAlign w:val="bottom"/>
            <w:shd w:val="clear" w:color="auto" w:fill="0060EC"/>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720" w:type="dxa"/>
            <w:vAlign w:val="bottom"/>
          </w:tcPr>
          <w:p>
            <w:pPr>
              <w:spacing w:after="0"/>
              <w:rPr>
                <w:sz w:val="24"/>
                <w:szCs w:val="24"/>
                <w:color w:val="auto"/>
              </w:rPr>
            </w:pPr>
          </w:p>
        </w:tc>
        <w:tc>
          <w:tcPr>
            <w:tcW w:w="4760" w:type="dxa"/>
            <w:vAlign w:val="bottom"/>
            <w:shd w:val="clear" w:color="auto" w:fill="E5EFFD"/>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Maintain an Independent Compensation Committee</w:t>
            </w:r>
            <w:r>
              <w:rPr>
                <w:rFonts w:ascii="Arial" w:cs="Arial" w:eastAsia="Arial" w:hAnsi="Arial"/>
                <w:sz w:val="16"/>
                <w:szCs w:val="16"/>
                <w:color w:val="auto"/>
              </w:rPr>
              <w:t>. The</w:t>
            </w:r>
          </w:p>
        </w:tc>
        <w:tc>
          <w:tcPr>
            <w:tcW w:w="4600" w:type="dxa"/>
            <w:vAlign w:val="bottom"/>
            <w:shd w:val="clear" w:color="auto" w:fill="E5EFFD"/>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Guaranteed Bonuses</w:t>
            </w:r>
            <w:r>
              <w:rPr>
                <w:rFonts w:ascii="Arial" w:cs="Arial" w:eastAsia="Arial" w:hAnsi="Arial"/>
                <w:sz w:val="16"/>
                <w:szCs w:val="16"/>
                <w:color w:val="auto"/>
              </w:rPr>
              <w:t>. We do not provide guaranteed</w:t>
            </w:r>
          </w:p>
        </w:tc>
        <w:tc>
          <w:tcPr>
            <w:tcW w:w="200" w:type="dxa"/>
            <w:vAlign w:val="bottom"/>
            <w:shd w:val="clear" w:color="auto" w:fill="E5EFFD"/>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compensation committee consists solely of independent</w:t>
            </w:r>
          </w:p>
        </w:tc>
        <w:tc>
          <w:tcPr>
            <w:tcW w:w="4600" w:type="dxa"/>
            <w:vAlign w:val="bottom"/>
            <w:shd w:val="clear" w:color="auto" w:fill="E5EFFD"/>
          </w:tcPr>
          <w:p>
            <w:pPr>
              <w:ind w:left="260"/>
              <w:spacing w:after="0"/>
              <w:rPr>
                <w:sz w:val="20"/>
                <w:szCs w:val="20"/>
                <w:color w:val="auto"/>
              </w:rPr>
            </w:pPr>
            <w:r>
              <w:rPr>
                <w:rFonts w:ascii="Arial" w:cs="Arial" w:eastAsia="Arial" w:hAnsi="Arial"/>
                <w:sz w:val="16"/>
                <w:szCs w:val="16"/>
                <w:color w:val="auto"/>
              </w:rPr>
              <w:t>bonuses to our executive officers.</w:t>
            </w: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directors who establish our compensation practices.</w:t>
            </w:r>
          </w:p>
        </w:tc>
        <w:tc>
          <w:tcPr>
            <w:tcW w:w="4600" w:type="dxa"/>
            <w:vAlign w:val="bottom"/>
            <w:vMerge w:val="restart"/>
            <w:shd w:val="clear" w:color="auto" w:fill="E5EFFD"/>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Executive Retirement Plans</w:t>
            </w:r>
            <w:r>
              <w:rPr>
                <w:rFonts w:ascii="Arial" w:cs="Arial" w:eastAsia="Arial" w:hAnsi="Arial"/>
                <w:sz w:val="16"/>
                <w:szCs w:val="16"/>
                <w:color w:val="auto"/>
              </w:rPr>
              <w:t>. We do not offer defined</w:t>
            </w: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4760" w:type="dxa"/>
            <w:vAlign w:val="bottom"/>
            <w:vMerge w:val="restart"/>
            <w:shd w:val="clear" w:color="auto" w:fill="E5EFFD"/>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Retain an Independent Compensation Advisor</w:t>
            </w:r>
            <w:r>
              <w:rPr>
                <w:rFonts w:ascii="Arial" w:cs="Arial" w:eastAsia="Arial" w:hAnsi="Arial"/>
                <w:sz w:val="16"/>
                <w:szCs w:val="16"/>
                <w:color w:val="auto"/>
              </w:rPr>
              <w:t>. The</w:t>
            </w:r>
          </w:p>
        </w:tc>
        <w:tc>
          <w:tcPr>
            <w:tcW w:w="4600" w:type="dxa"/>
            <w:vAlign w:val="bottom"/>
            <w:vMerge w:val="continue"/>
            <w:shd w:val="clear" w:color="auto" w:fill="E5EFFD"/>
          </w:tcPr>
          <w:p>
            <w:pPr>
              <w:spacing w:after="0"/>
              <w:rPr>
                <w:sz w:val="15"/>
                <w:szCs w:val="15"/>
                <w:color w:val="auto"/>
              </w:rPr>
            </w:pPr>
          </w:p>
        </w:tc>
        <w:tc>
          <w:tcPr>
            <w:tcW w:w="200" w:type="dxa"/>
            <w:vAlign w:val="bottom"/>
            <w:shd w:val="clear" w:color="auto" w:fill="E5EFFD"/>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vMerge w:val="continue"/>
            <w:shd w:val="clear" w:color="auto" w:fill="E5EFFD"/>
          </w:tcPr>
          <w:p>
            <w:pPr>
              <w:spacing w:after="0"/>
              <w:rPr>
                <w:sz w:val="16"/>
                <w:szCs w:val="16"/>
                <w:color w:val="auto"/>
              </w:rPr>
            </w:pPr>
          </w:p>
        </w:tc>
        <w:tc>
          <w:tcPr>
            <w:tcW w:w="4600" w:type="dxa"/>
            <w:vAlign w:val="bottom"/>
            <w:shd w:val="clear" w:color="auto" w:fill="E5EFFD"/>
          </w:tcPr>
          <w:p>
            <w:pPr>
              <w:ind w:left="260"/>
              <w:spacing w:after="0"/>
              <w:rPr>
                <w:sz w:val="20"/>
                <w:szCs w:val="20"/>
                <w:color w:val="auto"/>
              </w:rPr>
            </w:pPr>
            <w:r>
              <w:rPr>
                <w:rFonts w:ascii="Arial" w:cs="Arial" w:eastAsia="Arial" w:hAnsi="Arial"/>
                <w:sz w:val="16"/>
                <w:szCs w:val="16"/>
                <w:color w:val="auto"/>
              </w:rPr>
              <w:t>benefit pension plans or any non-qualified deferred</w:t>
            </w: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compensation committee has engaged its own compensation</w:t>
            </w:r>
          </w:p>
        </w:tc>
        <w:tc>
          <w:tcPr>
            <w:tcW w:w="4800" w:type="dxa"/>
            <w:vAlign w:val="bottom"/>
            <w:gridSpan w:val="2"/>
            <w:shd w:val="clear" w:color="auto" w:fill="E5EFFD"/>
          </w:tcPr>
          <w:p>
            <w:pPr>
              <w:ind w:left="260"/>
              <w:spacing w:after="0"/>
              <w:rPr>
                <w:sz w:val="20"/>
                <w:szCs w:val="20"/>
                <w:color w:val="auto"/>
              </w:rPr>
            </w:pPr>
            <w:r>
              <w:rPr>
                <w:rFonts w:ascii="Arial" w:cs="Arial" w:eastAsia="Arial" w:hAnsi="Arial"/>
                <w:sz w:val="16"/>
                <w:szCs w:val="16"/>
                <w:color w:val="auto"/>
              </w:rPr>
              <w:t>compensation plans or arrangements to our executive officers,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consultant to provide information, analysis, and other advice</w:t>
            </w:r>
          </w:p>
        </w:tc>
        <w:tc>
          <w:tcPr>
            <w:tcW w:w="4800" w:type="dxa"/>
            <w:vAlign w:val="bottom"/>
            <w:gridSpan w:val="2"/>
            <w:shd w:val="clear" w:color="auto" w:fill="E5EFFD"/>
          </w:tcPr>
          <w:p>
            <w:pPr>
              <w:ind w:left="260"/>
              <w:spacing w:after="0"/>
              <w:rPr>
                <w:sz w:val="20"/>
                <w:szCs w:val="20"/>
                <w:color w:val="auto"/>
              </w:rPr>
            </w:pPr>
            <w:r>
              <w:rPr>
                <w:rFonts w:ascii="Arial" w:cs="Arial" w:eastAsia="Arial" w:hAnsi="Arial"/>
                <w:sz w:val="16"/>
                <w:szCs w:val="16"/>
                <w:color w:val="auto"/>
              </w:rPr>
              <w:t>other than the plans and arrangements that are available to all</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on executive compensation independent of management. This</w:t>
            </w:r>
          </w:p>
        </w:tc>
        <w:tc>
          <w:tcPr>
            <w:tcW w:w="4800" w:type="dxa"/>
            <w:vAlign w:val="bottom"/>
            <w:gridSpan w:val="2"/>
            <w:shd w:val="clear" w:color="auto" w:fill="E5EFFD"/>
          </w:tcPr>
          <w:p>
            <w:pPr>
              <w:ind w:left="260"/>
              <w:spacing w:after="0"/>
              <w:rPr>
                <w:sz w:val="20"/>
                <w:szCs w:val="20"/>
                <w:color w:val="auto"/>
              </w:rPr>
            </w:pPr>
            <w:r>
              <w:rPr>
                <w:rFonts w:ascii="Arial" w:cs="Arial" w:eastAsia="Arial" w:hAnsi="Arial"/>
                <w:sz w:val="16"/>
                <w:szCs w:val="16"/>
                <w:color w:val="auto"/>
              </w:rPr>
              <w:t>employees. Our executive officers are eligible to participate in</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consultant performed no other consulting or other services</w:t>
            </w:r>
          </w:p>
        </w:tc>
        <w:tc>
          <w:tcPr>
            <w:tcW w:w="4800" w:type="dxa"/>
            <w:vAlign w:val="bottom"/>
            <w:gridSpan w:val="2"/>
            <w:shd w:val="clear" w:color="auto" w:fill="E5EFFD"/>
          </w:tcPr>
          <w:p>
            <w:pPr>
              <w:ind w:left="260"/>
              <w:spacing w:after="0"/>
              <w:rPr>
                <w:sz w:val="20"/>
                <w:szCs w:val="20"/>
                <w:color w:val="auto"/>
              </w:rPr>
            </w:pPr>
            <w:r>
              <w:rPr>
                <w:rFonts w:ascii="Arial" w:cs="Arial" w:eastAsia="Arial" w:hAnsi="Arial"/>
                <w:sz w:val="16"/>
                <w:szCs w:val="16"/>
                <w:color w:val="auto"/>
              </w:rPr>
              <w:t>our Section 401(k) retirement savings plan on the same basis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for us in 2019.</w:t>
            </w:r>
          </w:p>
        </w:tc>
        <w:tc>
          <w:tcPr>
            <w:tcW w:w="4600" w:type="dxa"/>
            <w:vAlign w:val="bottom"/>
            <w:shd w:val="clear" w:color="auto" w:fill="E5EFFD"/>
          </w:tcPr>
          <w:p>
            <w:pPr>
              <w:ind w:left="260"/>
              <w:spacing w:after="0"/>
              <w:rPr>
                <w:sz w:val="20"/>
                <w:szCs w:val="20"/>
                <w:color w:val="auto"/>
              </w:rPr>
            </w:pPr>
            <w:r>
              <w:rPr>
                <w:rFonts w:ascii="Arial" w:cs="Arial" w:eastAsia="Arial" w:hAnsi="Arial"/>
                <w:sz w:val="16"/>
                <w:szCs w:val="16"/>
                <w:color w:val="auto"/>
              </w:rPr>
              <w:t>as our other employees.</w:t>
            </w: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720" w:type="dxa"/>
            <w:vAlign w:val="bottom"/>
          </w:tcPr>
          <w:p>
            <w:pPr>
              <w:spacing w:after="0"/>
              <w:rPr>
                <w:sz w:val="24"/>
                <w:szCs w:val="24"/>
                <w:color w:val="auto"/>
              </w:rPr>
            </w:pPr>
          </w:p>
        </w:tc>
        <w:tc>
          <w:tcPr>
            <w:tcW w:w="4760" w:type="dxa"/>
            <w:vAlign w:val="bottom"/>
            <w:shd w:val="clear" w:color="auto" w:fill="E5EFFD"/>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Annual Executive Compensation Review</w:t>
            </w:r>
            <w:r>
              <w:rPr>
                <w:rFonts w:ascii="Arial" w:cs="Arial" w:eastAsia="Arial" w:hAnsi="Arial"/>
                <w:sz w:val="16"/>
                <w:szCs w:val="16"/>
                <w:color w:val="auto"/>
              </w:rPr>
              <w:t>. The</w:t>
            </w:r>
          </w:p>
        </w:tc>
        <w:tc>
          <w:tcPr>
            <w:tcW w:w="4600" w:type="dxa"/>
            <w:vAlign w:val="bottom"/>
            <w:shd w:val="clear" w:color="auto" w:fill="E5EFFD"/>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Hedging or Pledging</w:t>
            </w:r>
            <w:r>
              <w:rPr>
                <w:rFonts w:ascii="Arial" w:cs="Arial" w:eastAsia="Arial" w:hAnsi="Arial"/>
                <w:sz w:val="16"/>
                <w:szCs w:val="16"/>
                <w:color w:val="auto"/>
              </w:rPr>
              <w:t>. We prohibit our employees</w:t>
            </w:r>
          </w:p>
        </w:tc>
        <w:tc>
          <w:tcPr>
            <w:tcW w:w="200" w:type="dxa"/>
            <w:vAlign w:val="bottom"/>
            <w:shd w:val="clear" w:color="auto" w:fill="E5EFFD"/>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compensation committee conducts an annual review of our</w:t>
            </w:r>
          </w:p>
        </w:tc>
        <w:tc>
          <w:tcPr>
            <w:tcW w:w="4600" w:type="dxa"/>
            <w:vAlign w:val="bottom"/>
            <w:shd w:val="clear" w:color="auto" w:fill="E5EFFD"/>
          </w:tcPr>
          <w:p>
            <w:pPr>
              <w:ind w:left="260"/>
              <w:spacing w:after="0"/>
              <w:rPr>
                <w:sz w:val="20"/>
                <w:szCs w:val="20"/>
                <w:color w:val="auto"/>
              </w:rPr>
            </w:pPr>
            <w:r>
              <w:rPr>
                <w:rFonts w:ascii="Arial" w:cs="Arial" w:eastAsia="Arial" w:hAnsi="Arial"/>
                <w:sz w:val="16"/>
                <w:szCs w:val="16"/>
                <w:color w:val="auto"/>
              </w:rPr>
              <w:t>(including our executive officers) and the non-employee</w:t>
            </w: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compensation strategy, including a review and determination</w:t>
            </w:r>
          </w:p>
        </w:tc>
        <w:tc>
          <w:tcPr>
            <w:tcW w:w="4600" w:type="dxa"/>
            <w:vAlign w:val="bottom"/>
            <w:shd w:val="clear" w:color="auto" w:fill="E5EFFD"/>
          </w:tcPr>
          <w:p>
            <w:pPr>
              <w:ind w:left="260"/>
              <w:spacing w:after="0"/>
              <w:rPr>
                <w:sz w:val="20"/>
                <w:szCs w:val="20"/>
                <w:color w:val="auto"/>
              </w:rPr>
            </w:pPr>
            <w:r>
              <w:rPr>
                <w:rFonts w:ascii="Arial" w:cs="Arial" w:eastAsia="Arial" w:hAnsi="Arial"/>
                <w:sz w:val="16"/>
                <w:szCs w:val="16"/>
                <w:color w:val="auto"/>
              </w:rPr>
              <w:t>members of our board of directors from hedging or pledging</w:t>
            </w: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of our compensation peer group used for comparative</w:t>
            </w:r>
          </w:p>
        </w:tc>
        <w:tc>
          <w:tcPr>
            <w:tcW w:w="4600" w:type="dxa"/>
            <w:vAlign w:val="bottom"/>
            <w:shd w:val="clear" w:color="auto" w:fill="E5EFFD"/>
          </w:tcPr>
          <w:p>
            <w:pPr>
              <w:ind w:left="260"/>
              <w:spacing w:after="0"/>
              <w:rPr>
                <w:sz w:val="20"/>
                <w:szCs w:val="20"/>
                <w:color w:val="auto"/>
              </w:rPr>
            </w:pPr>
            <w:r>
              <w:rPr>
                <w:rFonts w:ascii="Arial" w:cs="Arial" w:eastAsia="Arial" w:hAnsi="Arial"/>
                <w:sz w:val="16"/>
                <w:szCs w:val="16"/>
                <w:color w:val="auto"/>
              </w:rPr>
              <w:t>our securities.</w:t>
            </w: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purposes and a review of our compensation-related risk profile</w:t>
            </w:r>
          </w:p>
        </w:tc>
        <w:tc>
          <w:tcPr>
            <w:tcW w:w="4600" w:type="dxa"/>
            <w:vAlign w:val="bottom"/>
            <w:vMerge w:val="restart"/>
            <w:shd w:val="clear" w:color="auto" w:fill="E5EFFD"/>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Tax Payments on Perquisites</w:t>
            </w:r>
            <w:r>
              <w:rPr>
                <w:rFonts w:ascii="Arial" w:cs="Arial" w:eastAsia="Arial" w:hAnsi="Arial"/>
                <w:sz w:val="16"/>
                <w:szCs w:val="16"/>
                <w:color w:val="auto"/>
              </w:rPr>
              <w:t>. We do not provide any</w:t>
            </w: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to ensure that our compensation programs do not encourage</w:t>
            </w:r>
          </w:p>
        </w:tc>
        <w:tc>
          <w:tcPr>
            <w:tcW w:w="4600" w:type="dxa"/>
            <w:vAlign w:val="bottom"/>
            <w:vMerge w:val="continue"/>
            <w:shd w:val="clear" w:color="auto" w:fill="E5EFFD"/>
          </w:tcPr>
          <w:p>
            <w:pPr>
              <w:spacing w:after="0"/>
              <w:rPr>
                <w:sz w:val="16"/>
                <w:szCs w:val="16"/>
                <w:color w:val="auto"/>
              </w:rPr>
            </w:pP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excessive or inappropriate risk-taking.</w:t>
            </w:r>
          </w:p>
        </w:tc>
        <w:tc>
          <w:tcPr>
            <w:tcW w:w="4600" w:type="dxa"/>
            <w:vAlign w:val="bottom"/>
            <w:shd w:val="clear" w:color="auto" w:fill="E5EFFD"/>
          </w:tcPr>
          <w:p>
            <w:pPr>
              <w:ind w:left="260"/>
              <w:spacing w:after="0"/>
              <w:rPr>
                <w:sz w:val="20"/>
                <w:szCs w:val="20"/>
                <w:color w:val="auto"/>
              </w:rPr>
            </w:pPr>
            <w:r>
              <w:rPr>
                <w:rFonts w:ascii="Arial" w:cs="Arial" w:eastAsia="Arial" w:hAnsi="Arial"/>
                <w:sz w:val="16"/>
                <w:szCs w:val="16"/>
                <w:color w:val="auto"/>
              </w:rPr>
              <w:t>tax reimbursement payments (including “gross-ups”) on any</w:t>
            </w: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0" w:type="dxa"/>
            <w:vAlign w:val="bottom"/>
          </w:tcPr>
          <w:p>
            <w:pPr>
              <w:spacing w:after="0"/>
              <w:rPr>
                <w:sz w:val="16"/>
                <w:szCs w:val="16"/>
                <w:color w:val="auto"/>
              </w:rPr>
            </w:pPr>
          </w:p>
        </w:tc>
        <w:tc>
          <w:tcPr>
            <w:tcW w:w="4760" w:type="dxa"/>
            <w:vAlign w:val="bottom"/>
            <w:vMerge w:val="restart"/>
            <w:shd w:val="clear" w:color="auto" w:fill="E5EFFD"/>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Compensation At-Risk</w:t>
            </w:r>
            <w:r>
              <w:rPr>
                <w:rFonts w:ascii="Arial" w:cs="Arial" w:eastAsia="Arial" w:hAnsi="Arial"/>
                <w:sz w:val="16"/>
                <w:szCs w:val="16"/>
                <w:color w:val="auto"/>
              </w:rPr>
              <w:t>. Our executive compensation</w:t>
            </w:r>
          </w:p>
        </w:tc>
        <w:tc>
          <w:tcPr>
            <w:tcW w:w="4600" w:type="dxa"/>
            <w:vAlign w:val="bottom"/>
            <w:shd w:val="clear" w:color="auto" w:fill="E5EFFD"/>
          </w:tcPr>
          <w:p>
            <w:pPr>
              <w:ind w:left="260"/>
              <w:spacing w:after="0"/>
              <w:rPr>
                <w:sz w:val="20"/>
                <w:szCs w:val="20"/>
                <w:color w:val="auto"/>
              </w:rPr>
            </w:pPr>
            <w:r>
              <w:rPr>
                <w:rFonts w:ascii="Arial" w:cs="Arial" w:eastAsia="Arial" w:hAnsi="Arial"/>
                <w:sz w:val="16"/>
                <w:szCs w:val="16"/>
                <w:color w:val="auto"/>
              </w:rPr>
              <w:t>perquisites or other personal benefits.</w:t>
            </w: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4760" w:type="dxa"/>
            <w:vAlign w:val="bottom"/>
            <w:vMerge w:val="continue"/>
            <w:shd w:val="clear" w:color="auto" w:fill="E5EFFD"/>
          </w:tcPr>
          <w:p>
            <w:pPr>
              <w:spacing w:after="0"/>
              <w:rPr>
                <w:sz w:val="15"/>
                <w:szCs w:val="15"/>
                <w:color w:val="auto"/>
              </w:rPr>
            </w:pPr>
          </w:p>
        </w:tc>
        <w:tc>
          <w:tcPr>
            <w:tcW w:w="4600" w:type="dxa"/>
            <w:vAlign w:val="bottom"/>
            <w:vMerge w:val="restart"/>
            <w:shd w:val="clear" w:color="auto" w:fill="E5EFFD"/>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Excise Tax Payments on Future Post-Employment</w:t>
            </w:r>
          </w:p>
        </w:tc>
        <w:tc>
          <w:tcPr>
            <w:tcW w:w="200" w:type="dxa"/>
            <w:vAlign w:val="bottom"/>
            <w:shd w:val="clear" w:color="auto" w:fill="E5EFFD"/>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4760" w:type="dxa"/>
            <w:vAlign w:val="bottom"/>
            <w:shd w:val="clear" w:color="auto" w:fill="E5EFFD"/>
          </w:tcPr>
          <w:p>
            <w:pPr>
              <w:ind w:left="240"/>
              <w:spacing w:after="0" w:line="169" w:lineRule="exact"/>
              <w:rPr>
                <w:sz w:val="20"/>
                <w:szCs w:val="20"/>
                <w:color w:val="auto"/>
              </w:rPr>
            </w:pPr>
            <w:r>
              <w:rPr>
                <w:rFonts w:ascii="Arial" w:cs="Arial" w:eastAsia="Arial" w:hAnsi="Arial"/>
                <w:sz w:val="16"/>
                <w:szCs w:val="16"/>
                <w:color w:val="auto"/>
              </w:rPr>
              <w:t>program is designed so that a significant portion of our</w:t>
            </w:r>
          </w:p>
        </w:tc>
        <w:tc>
          <w:tcPr>
            <w:tcW w:w="4600" w:type="dxa"/>
            <w:vAlign w:val="bottom"/>
            <w:vMerge w:val="continue"/>
            <w:shd w:val="clear" w:color="auto" w:fill="E5EFFD"/>
          </w:tcPr>
          <w:p>
            <w:pPr>
              <w:spacing w:after="0"/>
              <w:rPr>
                <w:sz w:val="14"/>
                <w:szCs w:val="14"/>
                <w:color w:val="auto"/>
              </w:rPr>
            </w:pPr>
          </w:p>
        </w:tc>
        <w:tc>
          <w:tcPr>
            <w:tcW w:w="200" w:type="dxa"/>
            <w:vAlign w:val="bottom"/>
            <w:shd w:val="clear" w:color="auto" w:fill="E5EFFD"/>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executive officer’s compensation is “at risk” based on</w:t>
            </w:r>
          </w:p>
        </w:tc>
        <w:tc>
          <w:tcPr>
            <w:tcW w:w="4600" w:type="dxa"/>
            <w:vAlign w:val="bottom"/>
            <w:shd w:val="clear" w:color="auto" w:fill="E5EFFD"/>
          </w:tcPr>
          <w:p>
            <w:pPr>
              <w:ind w:left="260"/>
              <w:spacing w:after="0"/>
              <w:rPr>
                <w:sz w:val="20"/>
                <w:szCs w:val="20"/>
                <w:color w:val="auto"/>
              </w:rPr>
            </w:pPr>
            <w:r>
              <w:rPr>
                <w:rFonts w:ascii="Arial" w:cs="Arial" w:eastAsia="Arial" w:hAnsi="Arial"/>
                <w:sz w:val="16"/>
                <w:szCs w:val="16"/>
                <w:b w:val="1"/>
                <w:bCs w:val="1"/>
                <w:color w:val="auto"/>
              </w:rPr>
              <w:t>Compensation Arrangements</w:t>
            </w:r>
            <w:r>
              <w:rPr>
                <w:rFonts w:ascii="Arial" w:cs="Arial" w:eastAsia="Arial" w:hAnsi="Arial"/>
                <w:sz w:val="16"/>
                <w:szCs w:val="16"/>
                <w:color w:val="auto"/>
              </w:rPr>
              <w:t>. We do not provide any</w:t>
            </w:r>
          </w:p>
        </w:tc>
        <w:tc>
          <w:tcPr>
            <w:tcW w:w="200" w:type="dxa"/>
            <w:vAlign w:val="bottom"/>
            <w:shd w:val="clear" w:color="auto" w:fill="E5EFFD"/>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corporate performance, as well as equity-based, to align the</w:t>
            </w:r>
          </w:p>
        </w:tc>
        <w:tc>
          <w:tcPr>
            <w:tcW w:w="4800" w:type="dxa"/>
            <w:vAlign w:val="bottom"/>
            <w:gridSpan w:val="2"/>
            <w:shd w:val="clear" w:color="auto" w:fill="E5EFFD"/>
          </w:tcPr>
          <w:p>
            <w:pPr>
              <w:ind w:left="260"/>
              <w:spacing w:after="0"/>
              <w:rPr>
                <w:sz w:val="20"/>
                <w:szCs w:val="20"/>
                <w:color w:val="auto"/>
              </w:rPr>
            </w:pPr>
            <w:r>
              <w:rPr>
                <w:rFonts w:ascii="Arial" w:cs="Arial" w:eastAsia="Arial" w:hAnsi="Arial"/>
                <w:sz w:val="16"/>
                <w:szCs w:val="16"/>
                <w:color w:val="auto"/>
              </w:rPr>
              <w:t>excise tax reimbursement payments (including “gross-ups”) on</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interests of our executive officers and stockholders.</w:t>
            </w:r>
          </w:p>
        </w:tc>
        <w:tc>
          <w:tcPr>
            <w:tcW w:w="4600" w:type="dxa"/>
            <w:vAlign w:val="bottom"/>
            <w:shd w:val="clear" w:color="auto" w:fill="E5EFFD"/>
          </w:tcPr>
          <w:p>
            <w:pPr>
              <w:ind w:left="260"/>
              <w:spacing w:after="0"/>
              <w:rPr>
                <w:sz w:val="20"/>
                <w:szCs w:val="20"/>
                <w:color w:val="auto"/>
              </w:rPr>
            </w:pPr>
            <w:r>
              <w:rPr>
                <w:rFonts w:ascii="Arial" w:cs="Arial" w:eastAsia="Arial" w:hAnsi="Arial"/>
                <w:sz w:val="16"/>
                <w:szCs w:val="16"/>
                <w:color w:val="auto"/>
              </w:rPr>
              <w:t>payments or benefits contingent upon a change in control of</w:t>
            </w: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0" w:type="dxa"/>
            <w:vAlign w:val="bottom"/>
          </w:tcPr>
          <w:p>
            <w:pPr>
              <w:spacing w:after="0"/>
              <w:rPr>
                <w:sz w:val="16"/>
                <w:szCs w:val="16"/>
                <w:color w:val="auto"/>
              </w:rPr>
            </w:pPr>
          </w:p>
        </w:tc>
        <w:tc>
          <w:tcPr>
            <w:tcW w:w="4760" w:type="dxa"/>
            <w:vAlign w:val="bottom"/>
            <w:vMerge w:val="restart"/>
            <w:shd w:val="clear" w:color="auto" w:fill="E5EFFD"/>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Use a Pay-for-Performance Philosophy</w:t>
            </w:r>
            <w:r>
              <w:rPr>
                <w:rFonts w:ascii="Arial" w:cs="Arial" w:eastAsia="Arial" w:hAnsi="Arial"/>
                <w:sz w:val="16"/>
                <w:szCs w:val="16"/>
                <w:color w:val="auto"/>
              </w:rPr>
              <w:t>. The majority of</w:t>
            </w:r>
          </w:p>
        </w:tc>
        <w:tc>
          <w:tcPr>
            <w:tcW w:w="4600" w:type="dxa"/>
            <w:vAlign w:val="bottom"/>
            <w:shd w:val="clear" w:color="auto" w:fill="E5EFFD"/>
          </w:tcPr>
          <w:p>
            <w:pPr>
              <w:ind w:left="260"/>
              <w:spacing w:after="0"/>
              <w:rPr>
                <w:sz w:val="20"/>
                <w:szCs w:val="20"/>
                <w:color w:val="auto"/>
              </w:rPr>
            </w:pPr>
            <w:r>
              <w:rPr>
                <w:rFonts w:ascii="Arial" w:cs="Arial" w:eastAsia="Arial" w:hAnsi="Arial"/>
                <w:sz w:val="16"/>
                <w:szCs w:val="16"/>
                <w:color w:val="auto"/>
              </w:rPr>
              <w:t>the company.</w:t>
            </w: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4760" w:type="dxa"/>
            <w:vAlign w:val="bottom"/>
            <w:vMerge w:val="continue"/>
            <w:shd w:val="clear" w:color="auto" w:fill="E5EFFD"/>
          </w:tcPr>
          <w:p>
            <w:pPr>
              <w:spacing w:after="0"/>
              <w:rPr>
                <w:sz w:val="15"/>
                <w:szCs w:val="15"/>
                <w:color w:val="auto"/>
              </w:rPr>
            </w:pPr>
          </w:p>
        </w:tc>
        <w:tc>
          <w:tcPr>
            <w:tcW w:w="4600" w:type="dxa"/>
            <w:vAlign w:val="bottom"/>
            <w:vMerge w:val="restart"/>
            <w:shd w:val="clear" w:color="auto" w:fill="E5EFFD"/>
          </w:tcPr>
          <w:p>
            <w:pPr>
              <w:ind w:left="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Special Welfare or Health Benefits</w:t>
            </w:r>
            <w:r>
              <w:rPr>
                <w:rFonts w:ascii="Arial" w:cs="Arial" w:eastAsia="Arial" w:hAnsi="Arial"/>
                <w:sz w:val="16"/>
                <w:szCs w:val="16"/>
                <w:color w:val="auto"/>
              </w:rPr>
              <w:t>. We do not provide</w:t>
            </w:r>
          </w:p>
        </w:tc>
        <w:tc>
          <w:tcPr>
            <w:tcW w:w="200" w:type="dxa"/>
            <w:vAlign w:val="bottom"/>
            <w:shd w:val="clear" w:color="auto" w:fill="E5EFFD"/>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our executive officers’ compensation is directly linked to</w:t>
            </w:r>
          </w:p>
        </w:tc>
        <w:tc>
          <w:tcPr>
            <w:tcW w:w="4600" w:type="dxa"/>
            <w:vAlign w:val="bottom"/>
            <w:vMerge w:val="continue"/>
            <w:shd w:val="clear" w:color="auto" w:fill="E5EFFD"/>
          </w:tcPr>
          <w:p>
            <w:pPr>
              <w:spacing w:after="0"/>
              <w:rPr>
                <w:sz w:val="16"/>
                <w:szCs w:val="16"/>
                <w:color w:val="auto"/>
              </w:rPr>
            </w:pP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corporate performance; we also structure their target total</w:t>
            </w:r>
          </w:p>
        </w:tc>
        <w:tc>
          <w:tcPr>
            <w:tcW w:w="4600" w:type="dxa"/>
            <w:vAlign w:val="bottom"/>
            <w:shd w:val="clear" w:color="auto" w:fill="E5EFFD"/>
          </w:tcPr>
          <w:p>
            <w:pPr>
              <w:ind w:left="260"/>
              <w:spacing w:after="0"/>
              <w:rPr>
                <w:sz w:val="20"/>
                <w:szCs w:val="20"/>
                <w:color w:val="auto"/>
              </w:rPr>
            </w:pPr>
            <w:r>
              <w:rPr>
                <w:rFonts w:ascii="Arial" w:cs="Arial" w:eastAsia="Arial" w:hAnsi="Arial"/>
                <w:sz w:val="16"/>
                <w:szCs w:val="16"/>
                <w:color w:val="auto"/>
              </w:rPr>
              <w:t>our executive officers with any welfare or health benefit</w:t>
            </w: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direct compensation opportunities with a significant long-term</w:t>
            </w:r>
          </w:p>
        </w:tc>
        <w:tc>
          <w:tcPr>
            <w:tcW w:w="4600" w:type="dxa"/>
            <w:vAlign w:val="bottom"/>
            <w:shd w:val="clear" w:color="auto" w:fill="E5EFFD"/>
          </w:tcPr>
          <w:p>
            <w:pPr>
              <w:ind w:left="260"/>
              <w:spacing w:after="0"/>
              <w:rPr>
                <w:sz w:val="20"/>
                <w:szCs w:val="20"/>
                <w:color w:val="auto"/>
              </w:rPr>
            </w:pPr>
            <w:r>
              <w:rPr>
                <w:rFonts w:ascii="Arial" w:cs="Arial" w:eastAsia="Arial" w:hAnsi="Arial"/>
                <w:sz w:val="16"/>
                <w:szCs w:val="16"/>
                <w:color w:val="auto"/>
              </w:rPr>
              <w:t>programs, other than participation in our broad-based</w:t>
            </w: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equity component, thereby making a substantial portion of</w:t>
            </w:r>
          </w:p>
        </w:tc>
        <w:tc>
          <w:tcPr>
            <w:tcW w:w="4600" w:type="dxa"/>
            <w:vAlign w:val="bottom"/>
            <w:shd w:val="clear" w:color="auto" w:fill="E5EFFD"/>
          </w:tcPr>
          <w:p>
            <w:pPr>
              <w:ind w:left="260"/>
              <w:spacing w:after="0"/>
              <w:rPr>
                <w:sz w:val="20"/>
                <w:szCs w:val="20"/>
                <w:color w:val="auto"/>
              </w:rPr>
            </w:pPr>
            <w:r>
              <w:rPr>
                <w:rFonts w:ascii="Arial" w:cs="Arial" w:eastAsia="Arial" w:hAnsi="Arial"/>
                <w:sz w:val="16"/>
                <w:szCs w:val="16"/>
                <w:color w:val="auto"/>
              </w:rPr>
              <w:t>employee programs. All highly compensated employees are</w:t>
            </w: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each executive officer’s target total direct compensation</w:t>
            </w:r>
          </w:p>
        </w:tc>
        <w:tc>
          <w:tcPr>
            <w:tcW w:w="4600" w:type="dxa"/>
            <w:vAlign w:val="bottom"/>
            <w:shd w:val="clear" w:color="auto" w:fill="E5EFFD"/>
          </w:tcPr>
          <w:p>
            <w:pPr>
              <w:ind w:left="260"/>
              <w:spacing w:after="0"/>
              <w:rPr>
                <w:sz w:val="20"/>
                <w:szCs w:val="20"/>
                <w:color w:val="auto"/>
              </w:rPr>
            </w:pPr>
            <w:r>
              <w:rPr>
                <w:rFonts w:ascii="Arial" w:cs="Arial" w:eastAsia="Arial" w:hAnsi="Arial"/>
                <w:sz w:val="16"/>
                <w:szCs w:val="16"/>
                <w:color w:val="auto"/>
              </w:rPr>
              <w:t>eligible for special long-term disability.</w:t>
            </w: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dependent upon our stock price and/or total stockholder</w:t>
            </w:r>
          </w:p>
        </w:tc>
        <w:tc>
          <w:tcPr>
            <w:tcW w:w="4600" w:type="dxa"/>
            <w:vAlign w:val="bottom"/>
            <w:shd w:val="clear" w:color="auto" w:fill="E5EFFD"/>
          </w:tcPr>
          <w:p>
            <w:pPr>
              <w:spacing w:after="0"/>
              <w:rPr>
                <w:sz w:val="16"/>
                <w:szCs w:val="16"/>
                <w:color w:val="auto"/>
              </w:rPr>
            </w:pP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return.</w:t>
            </w:r>
          </w:p>
        </w:tc>
        <w:tc>
          <w:tcPr>
            <w:tcW w:w="4600" w:type="dxa"/>
            <w:vAlign w:val="bottom"/>
            <w:shd w:val="clear" w:color="auto" w:fill="E5EFFD"/>
          </w:tcPr>
          <w:p>
            <w:pPr>
              <w:spacing w:after="0"/>
              <w:rPr>
                <w:sz w:val="16"/>
                <w:szCs w:val="16"/>
                <w:color w:val="auto"/>
              </w:rPr>
            </w:pP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720" w:type="dxa"/>
            <w:vAlign w:val="bottom"/>
          </w:tcPr>
          <w:p>
            <w:pPr>
              <w:spacing w:after="0"/>
              <w:rPr>
                <w:sz w:val="24"/>
                <w:szCs w:val="24"/>
                <w:color w:val="auto"/>
              </w:rPr>
            </w:pPr>
          </w:p>
        </w:tc>
        <w:tc>
          <w:tcPr>
            <w:tcW w:w="4760" w:type="dxa"/>
            <w:vAlign w:val="bottom"/>
            <w:shd w:val="clear" w:color="auto" w:fill="E5EFFD"/>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Succession Planning</w:t>
            </w:r>
            <w:r>
              <w:rPr>
                <w:rFonts w:ascii="Arial" w:cs="Arial" w:eastAsia="Arial" w:hAnsi="Arial"/>
                <w:sz w:val="16"/>
                <w:szCs w:val="16"/>
                <w:color w:val="auto"/>
              </w:rPr>
              <w:t>. We review the risks associated with</w:t>
            </w:r>
          </w:p>
        </w:tc>
        <w:tc>
          <w:tcPr>
            <w:tcW w:w="4600" w:type="dxa"/>
            <w:vAlign w:val="bottom"/>
            <w:shd w:val="clear" w:color="auto" w:fill="E5EFFD"/>
          </w:tcPr>
          <w:p>
            <w:pPr>
              <w:spacing w:after="0"/>
              <w:rPr>
                <w:sz w:val="24"/>
                <w:szCs w:val="24"/>
                <w:color w:val="auto"/>
              </w:rPr>
            </w:pPr>
          </w:p>
        </w:tc>
        <w:tc>
          <w:tcPr>
            <w:tcW w:w="200" w:type="dxa"/>
            <w:vAlign w:val="bottom"/>
            <w:shd w:val="clear" w:color="auto" w:fill="E5EFFD"/>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our key executive officer positions to ensure adequate</w:t>
            </w:r>
          </w:p>
        </w:tc>
        <w:tc>
          <w:tcPr>
            <w:tcW w:w="4600" w:type="dxa"/>
            <w:vAlign w:val="bottom"/>
            <w:shd w:val="clear" w:color="auto" w:fill="E5EFFD"/>
          </w:tcPr>
          <w:p>
            <w:pPr>
              <w:spacing w:after="0"/>
              <w:rPr>
                <w:sz w:val="16"/>
                <w:szCs w:val="16"/>
                <w:color w:val="auto"/>
              </w:rPr>
            </w:pPr>
          </w:p>
        </w:tc>
        <w:tc>
          <w:tcPr>
            <w:tcW w:w="200" w:type="dxa"/>
            <w:vAlign w:val="bottom"/>
            <w:shd w:val="clear" w:color="auto" w:fill="E5EFFD"/>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20" w:type="dxa"/>
            <w:vAlign w:val="bottom"/>
          </w:tcPr>
          <w:p>
            <w:pPr>
              <w:spacing w:after="0"/>
              <w:rPr>
                <w:sz w:val="17"/>
                <w:szCs w:val="17"/>
                <w:color w:val="auto"/>
              </w:rPr>
            </w:pPr>
          </w:p>
        </w:tc>
        <w:tc>
          <w:tcPr>
            <w:tcW w:w="4760" w:type="dxa"/>
            <w:vAlign w:val="bottom"/>
            <w:shd w:val="clear" w:color="auto" w:fill="E5EFFD"/>
          </w:tcPr>
          <w:p>
            <w:pPr>
              <w:ind w:left="240"/>
              <w:spacing w:after="0"/>
              <w:rPr>
                <w:sz w:val="20"/>
                <w:szCs w:val="20"/>
                <w:color w:val="auto"/>
              </w:rPr>
            </w:pPr>
            <w:r>
              <w:rPr>
                <w:rFonts w:ascii="Arial" w:cs="Arial" w:eastAsia="Arial" w:hAnsi="Arial"/>
                <w:sz w:val="16"/>
                <w:szCs w:val="16"/>
                <w:color w:val="auto"/>
              </w:rPr>
              <w:t>succession plans are in place.</w:t>
            </w:r>
          </w:p>
        </w:tc>
        <w:tc>
          <w:tcPr>
            <w:tcW w:w="4600" w:type="dxa"/>
            <w:vAlign w:val="bottom"/>
            <w:shd w:val="clear" w:color="auto" w:fill="E5EFFD"/>
          </w:tcPr>
          <w:p>
            <w:pPr>
              <w:spacing w:after="0"/>
              <w:rPr>
                <w:sz w:val="17"/>
                <w:szCs w:val="17"/>
                <w:color w:val="auto"/>
              </w:rPr>
            </w:pPr>
          </w:p>
        </w:tc>
        <w:tc>
          <w:tcPr>
            <w:tcW w:w="200" w:type="dxa"/>
            <w:vAlign w:val="bottom"/>
            <w:shd w:val="clear" w:color="auto" w:fill="E5EFFD"/>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720" w:type="dxa"/>
            <w:vAlign w:val="bottom"/>
          </w:tcPr>
          <w:p>
            <w:pPr>
              <w:spacing w:after="0"/>
              <w:rPr>
                <w:sz w:val="24"/>
                <w:szCs w:val="24"/>
                <w:color w:val="auto"/>
              </w:rPr>
            </w:pPr>
          </w:p>
        </w:tc>
        <w:tc>
          <w:tcPr>
            <w:tcW w:w="9360" w:type="dxa"/>
            <w:vAlign w:val="bottom"/>
            <w:gridSpan w:val="2"/>
          </w:tcPr>
          <w:p>
            <w:pPr>
              <w:ind w:left="362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9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167"/>
        </w:trPr>
        <w:tc>
          <w:tcPr>
            <w:tcW w:w="720" w:type="dxa"/>
            <w:vAlign w:val="bottom"/>
            <w:tcBorders>
              <w:bottom w:val="single" w:sz="8" w:color="auto"/>
            </w:tcBorders>
          </w:tcPr>
          <w:p>
            <w:pPr>
              <w:spacing w:after="0"/>
              <w:rPr>
                <w:sz w:val="14"/>
                <w:szCs w:val="14"/>
                <w:color w:val="auto"/>
              </w:rPr>
            </w:pPr>
          </w:p>
        </w:tc>
        <w:tc>
          <w:tcPr>
            <w:tcW w:w="476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29" w:name="page30"/>
    <w:bookmarkEnd w:id="29"/>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5CB8"/>
        </w:rPr>
        <w:t>EXECUTIVE COMPENSATION (continued)</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26"/>
          <w:szCs w:val="26"/>
          <w:color w:val="005CB8"/>
        </w:rPr>
        <w:t>Executive Compensation Philosophy and Objectives</w:t>
      </w:r>
    </w:p>
    <w:p>
      <w:pPr>
        <w:spacing w:after="0" w:line="169" w:lineRule="exact"/>
        <w:rPr>
          <w:sz w:val="20"/>
          <w:szCs w:val="20"/>
          <w:color w:val="auto"/>
        </w:rPr>
      </w:pPr>
    </w:p>
    <w:p>
      <w:pPr>
        <w:ind w:left="4" w:right="200"/>
        <w:spacing w:after="0" w:line="260" w:lineRule="auto"/>
        <w:rPr>
          <w:sz w:val="20"/>
          <w:szCs w:val="20"/>
          <w:color w:val="auto"/>
        </w:rPr>
      </w:pPr>
      <w:r>
        <w:rPr>
          <w:rFonts w:ascii="Arial" w:cs="Arial" w:eastAsia="Arial" w:hAnsi="Arial"/>
          <w:sz w:val="16"/>
          <w:szCs w:val="16"/>
          <w:color w:val="auto"/>
        </w:rPr>
        <w:t>Our executive compensation program is guided by our overarching philosophy of paying for demonstrable performance. Consistent with this philosophy, we have designed our executive compensation program to achieve the following primary objectives:</w:t>
      </w:r>
    </w:p>
    <w:p>
      <w:pPr>
        <w:spacing w:after="0" w:line="141" w:lineRule="exact"/>
        <w:rPr>
          <w:sz w:val="20"/>
          <w:szCs w:val="20"/>
          <w:color w:val="auto"/>
        </w:rPr>
      </w:pPr>
    </w:p>
    <w:p>
      <w:pPr>
        <w:ind w:left="284" w:right="140" w:hanging="284"/>
        <w:spacing w:after="0" w:line="260" w:lineRule="auto"/>
        <w:tabs>
          <w:tab w:leader="none" w:pos="284" w:val="left"/>
        </w:tabs>
        <w:numPr>
          <w:ilvl w:val="0"/>
          <w:numId w:val="45"/>
        </w:numPr>
        <w:rPr>
          <w:rFonts w:ascii="Arial" w:cs="Arial" w:eastAsia="Arial" w:hAnsi="Arial"/>
          <w:sz w:val="16"/>
          <w:szCs w:val="16"/>
          <w:color w:val="005CB8"/>
        </w:rPr>
      </w:pPr>
      <w:r>
        <w:rPr>
          <w:rFonts w:ascii="Arial" w:cs="Arial" w:eastAsia="Arial" w:hAnsi="Arial"/>
          <w:sz w:val="16"/>
          <w:szCs w:val="16"/>
          <w:color w:val="auto"/>
        </w:rPr>
        <w:t>Provide market-competitive compensation and benefit levels that will attract, retain, motivate, and reward a highly-talented team of executive officers within the context of responsible cost management;</w:t>
      </w:r>
    </w:p>
    <w:p>
      <w:pPr>
        <w:spacing w:after="0" w:line="141" w:lineRule="exact"/>
        <w:rPr>
          <w:rFonts w:ascii="Arial" w:cs="Arial" w:eastAsia="Arial" w:hAnsi="Arial"/>
          <w:sz w:val="16"/>
          <w:szCs w:val="16"/>
          <w:color w:val="005CB8"/>
        </w:rPr>
      </w:pPr>
    </w:p>
    <w:p>
      <w:pPr>
        <w:ind w:left="284" w:right="440" w:hanging="284"/>
        <w:spacing w:after="0" w:line="260" w:lineRule="auto"/>
        <w:tabs>
          <w:tab w:leader="none" w:pos="284" w:val="left"/>
        </w:tabs>
        <w:numPr>
          <w:ilvl w:val="0"/>
          <w:numId w:val="45"/>
        </w:numPr>
        <w:rPr>
          <w:rFonts w:ascii="Arial" w:cs="Arial" w:eastAsia="Arial" w:hAnsi="Arial"/>
          <w:sz w:val="16"/>
          <w:szCs w:val="16"/>
          <w:color w:val="005CB8"/>
        </w:rPr>
      </w:pPr>
      <w:r>
        <w:rPr>
          <w:rFonts w:ascii="Arial" w:cs="Arial" w:eastAsia="Arial" w:hAnsi="Arial"/>
          <w:sz w:val="16"/>
          <w:szCs w:val="16"/>
          <w:color w:val="auto"/>
        </w:rPr>
        <w:t>Establish a direct link between our financial, operational, and strategic objectives and results, as well as our values, and the compensation of our executive officers; and</w:t>
      </w:r>
    </w:p>
    <w:p>
      <w:pPr>
        <w:spacing w:after="0" w:line="141" w:lineRule="exact"/>
        <w:rPr>
          <w:rFonts w:ascii="Arial" w:cs="Arial" w:eastAsia="Arial" w:hAnsi="Arial"/>
          <w:sz w:val="16"/>
          <w:szCs w:val="16"/>
          <w:color w:val="005CB8"/>
        </w:rPr>
      </w:pPr>
    </w:p>
    <w:p>
      <w:pPr>
        <w:ind w:left="284" w:right="100" w:hanging="284"/>
        <w:spacing w:after="0" w:line="260" w:lineRule="auto"/>
        <w:tabs>
          <w:tab w:leader="none" w:pos="284" w:val="left"/>
        </w:tabs>
        <w:numPr>
          <w:ilvl w:val="0"/>
          <w:numId w:val="45"/>
        </w:numPr>
        <w:rPr>
          <w:rFonts w:ascii="Arial" w:cs="Arial" w:eastAsia="Arial" w:hAnsi="Arial"/>
          <w:sz w:val="16"/>
          <w:szCs w:val="16"/>
          <w:color w:val="005CB8"/>
        </w:rPr>
      </w:pPr>
      <w:r>
        <w:rPr>
          <w:rFonts w:ascii="Arial" w:cs="Arial" w:eastAsia="Arial" w:hAnsi="Arial"/>
          <w:sz w:val="16"/>
          <w:szCs w:val="16"/>
          <w:color w:val="auto"/>
        </w:rPr>
        <w:t>Align the interests and objectives of our executive officers with those of our stockholders by linking the long-term equity incentive compensation opportunities to stockholder value creation and their cash incentives to our annual performance.</w:t>
      </w:r>
    </w:p>
    <w:p>
      <w:pPr>
        <w:spacing w:after="0" w:line="24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Pay-for-Performance</w:t>
      </w:r>
    </w:p>
    <w:p>
      <w:pPr>
        <w:spacing w:after="0" w:line="66" w:lineRule="exact"/>
        <w:rPr>
          <w:sz w:val="20"/>
          <w:szCs w:val="20"/>
          <w:color w:val="auto"/>
        </w:rPr>
      </w:pPr>
    </w:p>
    <w:p>
      <w:pPr>
        <w:ind w:left="4" w:right="340"/>
        <w:spacing w:after="0" w:line="251"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retaining our executive officers with the goal of aligning their interests with those of our stockholders. To achieve this alignment and to motivate and reward individual initiative and effort, a substantial portion of our executive officers’ target annual total direct compensation opportunity is both variable in nature and “at-risk.”</w:t>
      </w:r>
    </w:p>
    <w:p>
      <w:pPr>
        <w:spacing w:after="0" w:line="148" w:lineRule="exact"/>
        <w:rPr>
          <w:sz w:val="20"/>
          <w:szCs w:val="20"/>
          <w:color w:val="auto"/>
        </w:rPr>
      </w:pPr>
    </w:p>
    <w:p>
      <w:pPr>
        <w:ind w:left="4" w:right="460"/>
        <w:spacing w:after="0" w:line="260" w:lineRule="auto"/>
        <w:rPr>
          <w:sz w:val="20"/>
          <w:szCs w:val="20"/>
          <w:color w:val="auto"/>
        </w:rPr>
      </w:pPr>
      <w:r>
        <w:rPr>
          <w:rFonts w:ascii="Arial" w:cs="Arial" w:eastAsia="Arial" w:hAnsi="Arial"/>
          <w:sz w:val="16"/>
          <w:szCs w:val="16"/>
          <w:color w:val="auto"/>
        </w:rPr>
        <w:t>We emphasize variable compensation that appropriately rewards our executive officers, including our named executive officers, through two separate compensation elements:</w:t>
      </w:r>
    </w:p>
    <w:p>
      <w:pPr>
        <w:spacing w:after="0" w:line="141" w:lineRule="exact"/>
        <w:rPr>
          <w:sz w:val="20"/>
          <w:szCs w:val="20"/>
          <w:color w:val="auto"/>
        </w:rPr>
      </w:pPr>
    </w:p>
    <w:p>
      <w:pPr>
        <w:ind w:left="284" w:right="460" w:hanging="284"/>
        <w:spacing w:after="0" w:line="260" w:lineRule="auto"/>
        <w:tabs>
          <w:tab w:leader="none" w:pos="284" w:val="left"/>
        </w:tabs>
        <w:numPr>
          <w:ilvl w:val="0"/>
          <w:numId w:val="46"/>
        </w:numPr>
        <w:rPr>
          <w:rFonts w:ascii="Arial" w:cs="Arial" w:eastAsia="Arial" w:hAnsi="Arial"/>
          <w:sz w:val="16"/>
          <w:szCs w:val="16"/>
          <w:color w:val="005CB8"/>
        </w:rPr>
      </w:pPr>
      <w:r>
        <w:rPr>
          <w:rFonts w:ascii="Arial" w:cs="Arial" w:eastAsia="Arial" w:hAnsi="Arial"/>
          <w:sz w:val="16"/>
          <w:szCs w:val="16"/>
          <w:color w:val="auto"/>
        </w:rPr>
        <w:t>Our annual cash bonus plan provides cash payments if our executive officers produce short-term financial, operational, and strategic results that meet or exceed the objectives set forth in our annual operating plan</w:t>
      </w:r>
      <w:r>
        <w:rPr>
          <w:rFonts w:ascii="Arial" w:cs="Arial" w:eastAsia="Arial" w:hAnsi="Arial"/>
          <w:sz w:val="16"/>
          <w:szCs w:val="16"/>
          <w:b w:val="1"/>
          <w:bCs w:val="1"/>
          <w:color w:val="auto"/>
        </w:rPr>
        <w:t>.</w:t>
      </w:r>
    </w:p>
    <w:p>
      <w:pPr>
        <w:spacing w:after="0" w:line="141" w:lineRule="exact"/>
        <w:rPr>
          <w:rFonts w:ascii="Arial" w:cs="Arial" w:eastAsia="Arial" w:hAnsi="Arial"/>
          <w:sz w:val="16"/>
          <w:szCs w:val="16"/>
          <w:color w:val="005CB8"/>
        </w:rPr>
      </w:pPr>
    </w:p>
    <w:p>
      <w:pPr>
        <w:ind w:left="284" w:right="280" w:hanging="284"/>
        <w:spacing w:after="0" w:line="253" w:lineRule="auto"/>
        <w:tabs>
          <w:tab w:leader="none" w:pos="284" w:val="left"/>
        </w:tabs>
        <w:numPr>
          <w:ilvl w:val="0"/>
          <w:numId w:val="46"/>
        </w:numPr>
        <w:rPr>
          <w:rFonts w:ascii="Arial" w:cs="Arial" w:eastAsia="Arial" w:hAnsi="Arial"/>
          <w:sz w:val="16"/>
          <w:szCs w:val="16"/>
          <w:color w:val="005CB8"/>
        </w:rPr>
      </w:pPr>
      <w:r>
        <w:rPr>
          <w:rFonts w:ascii="Arial" w:cs="Arial" w:eastAsia="Arial" w:hAnsi="Arial"/>
          <w:sz w:val="16"/>
          <w:szCs w:val="16"/>
          <w:color w:val="auto"/>
        </w:rPr>
        <w:t>Equity-based awards, which represent a majority of our executive officers’ target total direct compensation opportunities, the value of which depends entirely on the value of our common stock, incentivize our executive officers to build sustainable long-term value for the benefit of our stockholders.</w:t>
      </w:r>
    </w:p>
    <w:p>
      <w:pPr>
        <w:spacing w:after="0" w:line="147" w:lineRule="exact"/>
        <w:rPr>
          <w:sz w:val="20"/>
          <w:szCs w:val="20"/>
          <w:color w:val="auto"/>
        </w:rPr>
      </w:pPr>
    </w:p>
    <w:p>
      <w:pPr>
        <w:ind w:left="4" w:right="60"/>
        <w:spacing w:after="0" w:line="253" w:lineRule="auto"/>
        <w:rPr>
          <w:sz w:val="20"/>
          <w:szCs w:val="20"/>
          <w:color w:val="auto"/>
        </w:rPr>
      </w:pPr>
      <w:r>
        <w:rPr>
          <w:rFonts w:ascii="Arial" w:cs="Arial" w:eastAsia="Arial" w:hAnsi="Arial"/>
          <w:sz w:val="16"/>
          <w:szCs w:val="16"/>
          <w:color w:val="auto"/>
        </w:rPr>
        <w:t>These variable pay elements are intended to result in a substantial portion of our executive officers’ annual target total direct compensation being contingent (rather than fixed) in nature, with the amounts ultimately payable subject to variability above or below target levels commensurate with our actual performance.</w:t>
      </w:r>
    </w:p>
    <w:p>
      <w:pPr>
        <w:spacing w:after="0" w:line="147" w:lineRule="exact"/>
        <w:rPr>
          <w:sz w:val="20"/>
          <w:szCs w:val="20"/>
          <w:color w:val="auto"/>
        </w:rPr>
      </w:pPr>
    </w:p>
    <w:p>
      <w:pPr>
        <w:ind w:left="4" w:right="140"/>
        <w:spacing w:after="0" w:line="253" w:lineRule="auto"/>
        <w:rPr>
          <w:sz w:val="20"/>
          <w:szCs w:val="20"/>
          <w:color w:val="auto"/>
        </w:rPr>
      </w:pPr>
      <w:r>
        <w:rPr>
          <w:rFonts w:ascii="Arial" w:cs="Arial" w:eastAsia="Arial" w:hAnsi="Arial"/>
          <w:sz w:val="16"/>
          <w:szCs w:val="16"/>
          <w:color w:val="auto"/>
        </w:rPr>
        <w:t>We believe that this design provides balanced incentives for our executive officers to drive financial performance and long-term growth. Our compensation committee regularly evaluates the relationship between the reported values of the equity awards granted to our executive officers and the amount of realizable and realized value from such awards in subsequent years.</w:t>
      </w:r>
    </w:p>
    <w:p>
      <w:pPr>
        <w:spacing w:after="0" w:line="260" w:lineRule="exact"/>
        <w:rPr>
          <w:sz w:val="20"/>
          <w:szCs w:val="20"/>
          <w:color w:val="auto"/>
        </w:rPr>
      </w:pPr>
    </w:p>
    <w:p>
      <w:pPr>
        <w:ind w:left="4"/>
        <w:spacing w:after="0"/>
        <w:rPr>
          <w:sz w:val="20"/>
          <w:szCs w:val="20"/>
          <w:color w:val="auto"/>
        </w:rPr>
      </w:pPr>
      <w:r>
        <w:rPr>
          <w:rFonts w:ascii="Arial" w:cs="Arial" w:eastAsia="Arial" w:hAnsi="Arial"/>
          <w:sz w:val="26"/>
          <w:szCs w:val="26"/>
          <w:color w:val="005CB8"/>
        </w:rPr>
        <w:t>Compensation-Setting Process</w:t>
      </w:r>
    </w:p>
    <w:p>
      <w:pPr>
        <w:spacing w:after="0" w:line="24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Role of Compensation Committee and the Stock Committee</w:t>
      </w:r>
    </w:p>
    <w:p>
      <w:pPr>
        <w:spacing w:after="0" w:line="52"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The compensation committee discharges many of the responsibilities of our board of directors relating to the compensation of our executives and non-employee directors. The compensation committee has overall responsibility for overseeing our compensation and benefits policies generally, and overseeing and evaluating the compensation plans, policies and practices applicable to our chief executive officer and other executive officers.</w:t>
      </w:r>
    </w:p>
    <w:p>
      <w:pPr>
        <w:spacing w:after="0" w:line="148" w:lineRule="exact"/>
        <w:rPr>
          <w:sz w:val="20"/>
          <w:szCs w:val="20"/>
          <w:color w:val="auto"/>
        </w:rPr>
      </w:pPr>
    </w:p>
    <w:p>
      <w:pPr>
        <w:ind w:left="4" w:right="520"/>
        <w:spacing w:after="0" w:line="260" w:lineRule="auto"/>
        <w:rPr>
          <w:sz w:val="20"/>
          <w:szCs w:val="20"/>
          <w:color w:val="auto"/>
        </w:rPr>
      </w:pPr>
      <w:r>
        <w:rPr>
          <w:rFonts w:ascii="Arial" w:cs="Arial" w:eastAsia="Arial" w:hAnsi="Arial"/>
          <w:sz w:val="16"/>
          <w:szCs w:val="16"/>
          <w:color w:val="auto"/>
        </w:rPr>
        <w:t>The compensation committee makes all final decisions regarding the compensation of our chief executive officer and our other executive officers.</w:t>
      </w:r>
    </w:p>
    <w:p>
      <w:pPr>
        <w:spacing w:after="0" w:line="141"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In carrying out its responsibilities, the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executive compensation practices, and reviews the performance of our executive officers.</w:t>
      </w:r>
    </w:p>
    <w:p>
      <w:pPr>
        <w:spacing w:after="0" w:line="148" w:lineRule="exact"/>
        <w:rPr>
          <w:sz w:val="20"/>
          <w:szCs w:val="20"/>
          <w:color w:val="auto"/>
        </w:rPr>
      </w:pPr>
    </w:p>
    <w:p>
      <w:pPr>
        <w:ind w:left="4" w:right="220"/>
        <w:spacing w:after="0" w:line="260" w:lineRule="auto"/>
        <w:rPr>
          <w:sz w:val="20"/>
          <w:szCs w:val="20"/>
          <w:color w:val="auto"/>
        </w:rPr>
      </w:pPr>
      <w:r>
        <w:rPr>
          <w:rFonts w:ascii="Arial" w:cs="Arial" w:eastAsia="Arial" w:hAnsi="Arial"/>
          <w:sz w:val="16"/>
          <w:szCs w:val="16"/>
          <w:color w:val="auto"/>
        </w:rPr>
        <w:t>The compensation committee’s authority, duties, and responsibilities are further described in its charter, which is reviewed annually and revised and updated as warranted. The charter is available on our investor relations website at investors.dropbox.com.</w:t>
      </w:r>
    </w:p>
    <w:p>
      <w:pPr>
        <w:spacing w:after="0" w:line="180" w:lineRule="exact"/>
        <w:rPr>
          <w:sz w:val="20"/>
          <w:szCs w:val="20"/>
          <w:color w:val="auto"/>
        </w:rPr>
      </w:pPr>
    </w:p>
    <w:p>
      <w:pPr>
        <w:ind w:left="524" w:hanging="524"/>
        <w:spacing w:after="0"/>
        <w:tabs>
          <w:tab w:leader="none" w:pos="524"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30" w:name="page31"/>
    <w:bookmarkEnd w:id="30"/>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EXECUTIVE COMPENSATION (continued)</w:t>
      </w:r>
    </w:p>
    <w:p>
      <w:pPr>
        <w:spacing w:after="0" w:line="386" w:lineRule="exact"/>
        <w:rPr>
          <w:sz w:val="20"/>
          <w:szCs w:val="20"/>
          <w:color w:val="auto"/>
        </w:rPr>
      </w:pPr>
    </w:p>
    <w:p>
      <w:pPr>
        <w:ind w:left="720" w:right="800"/>
        <w:spacing w:after="0" w:line="246" w:lineRule="auto"/>
        <w:rPr>
          <w:sz w:val="20"/>
          <w:szCs w:val="20"/>
          <w:color w:val="auto"/>
        </w:rPr>
      </w:pPr>
      <w:r>
        <w:rPr>
          <w:rFonts w:ascii="Arial" w:cs="Arial" w:eastAsia="Arial" w:hAnsi="Arial"/>
          <w:sz w:val="16"/>
          <w:szCs w:val="16"/>
          <w:color w:val="auto"/>
        </w:rPr>
        <w:t>We also formed a stock committee, which was previously composed of Mr. Houston, our chief executive officer, Mr. Ferdowsi, our co-founder, and Mr. Schreier. In March 2020, the compensation committee amended the stock committee charter and appointed</w:t>
      </w:r>
    </w:p>
    <w:p>
      <w:pPr>
        <w:spacing w:after="0" w:line="1" w:lineRule="exact"/>
        <w:rPr>
          <w:sz w:val="20"/>
          <w:szCs w:val="20"/>
          <w:color w:val="auto"/>
        </w:rPr>
      </w:pPr>
    </w:p>
    <w:p>
      <w:pPr>
        <w:ind w:left="720" w:right="840"/>
        <w:spacing w:after="0" w:line="253" w:lineRule="auto"/>
        <w:rPr>
          <w:sz w:val="20"/>
          <w:szCs w:val="20"/>
          <w:color w:val="auto"/>
        </w:rPr>
      </w:pPr>
      <w:r>
        <w:rPr>
          <w:rFonts w:ascii="Arial" w:cs="Arial" w:eastAsia="Arial" w:hAnsi="Arial"/>
          <w:sz w:val="16"/>
          <w:szCs w:val="16"/>
          <w:color w:val="auto"/>
        </w:rPr>
        <w:t>Mr. Vashee, our chief financial officer, and Ms. Nottebohm, our chief operating officer, to replace Messrs. Houston and Ferdowsi. The stock committee has authority to grant equity awards to (a) employees who hold a title below vice president and (b) consultants, in each case subject to certain limitations established from time to time by the compensation committee.</w:t>
      </w:r>
    </w:p>
    <w:p>
      <w:pPr>
        <w:spacing w:after="0" w:line="316"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Role of Compensation Consultant</w:t>
      </w:r>
    </w:p>
    <w:p>
      <w:pPr>
        <w:spacing w:after="0" w:line="66" w:lineRule="exact"/>
        <w:rPr>
          <w:sz w:val="20"/>
          <w:szCs w:val="20"/>
          <w:color w:val="auto"/>
        </w:rPr>
      </w:pPr>
    </w:p>
    <w:p>
      <w:pPr>
        <w:ind w:left="720" w:right="940"/>
        <w:spacing w:after="0" w:line="251" w:lineRule="auto"/>
        <w:rPr>
          <w:sz w:val="20"/>
          <w:szCs w:val="20"/>
          <w:color w:val="auto"/>
        </w:rPr>
      </w:pPr>
      <w:r>
        <w:rPr>
          <w:rFonts w:ascii="Arial" w:cs="Arial" w:eastAsia="Arial" w:hAnsi="Arial"/>
          <w:sz w:val="16"/>
          <w:szCs w:val="16"/>
          <w:color w:val="auto"/>
        </w:rPr>
        <w:t>The compensation committee engages an external compensation consultant to assist the committee by providing information, analysis, and other advice relating to our executive compensation program and the decisions resulting from its annual executive compensation review. The compensation consultant reports directly to the compensation committee and its chair, and serves at the discretion of the compensation committee, which reviews the engagement annually.</w:t>
      </w:r>
    </w:p>
    <w:p>
      <w:pPr>
        <w:spacing w:after="0" w:line="148" w:lineRule="exact"/>
        <w:rPr>
          <w:sz w:val="20"/>
          <w:szCs w:val="20"/>
          <w:color w:val="auto"/>
        </w:rPr>
      </w:pPr>
    </w:p>
    <w:p>
      <w:pPr>
        <w:ind w:left="720" w:right="780"/>
        <w:spacing w:after="0" w:line="253" w:lineRule="auto"/>
        <w:rPr>
          <w:sz w:val="20"/>
          <w:szCs w:val="20"/>
          <w:color w:val="auto"/>
        </w:rPr>
      </w:pPr>
      <w:r>
        <w:rPr>
          <w:rFonts w:ascii="Arial" w:cs="Arial" w:eastAsia="Arial" w:hAnsi="Arial"/>
          <w:sz w:val="16"/>
          <w:szCs w:val="16"/>
          <w:color w:val="auto"/>
        </w:rPr>
        <w:t>For 2019, the compensation committee retained Compensia to serve as its compensation advisor to advise on executive and director compensation matters, including competitive market pay practices for our executive officers, and data analysis and selection of the compensation peer group.</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During 2019, Compensia attended compensation committee meetings and provided the following services:</w:t>
      </w:r>
    </w:p>
    <w:p>
      <w:pPr>
        <w:spacing w:after="0" w:line="167" w:lineRule="exact"/>
        <w:rPr>
          <w:sz w:val="20"/>
          <w:szCs w:val="20"/>
          <w:color w:val="auto"/>
        </w:rPr>
      </w:pPr>
    </w:p>
    <w:p>
      <w:pPr>
        <w:ind w:left="1000" w:hanging="284"/>
        <w:spacing w:after="0"/>
        <w:tabs>
          <w:tab w:leader="none" w:pos="1000" w:val="left"/>
        </w:tabs>
        <w:numPr>
          <w:ilvl w:val="0"/>
          <w:numId w:val="48"/>
        </w:numPr>
        <w:rPr>
          <w:rFonts w:ascii="Arial" w:cs="Arial" w:eastAsia="Arial" w:hAnsi="Arial"/>
          <w:sz w:val="16"/>
          <w:szCs w:val="16"/>
          <w:color w:val="005CB8"/>
        </w:rPr>
      </w:pPr>
      <w:r>
        <w:rPr>
          <w:rFonts w:ascii="Arial" w:cs="Arial" w:eastAsia="Arial" w:hAnsi="Arial"/>
          <w:sz w:val="16"/>
          <w:szCs w:val="16"/>
          <w:color w:val="auto"/>
        </w:rPr>
        <w:t>Consulted with the compensation committee chair and other members between compensation committee meetings;</w:t>
      </w:r>
    </w:p>
    <w:p>
      <w:pPr>
        <w:spacing w:after="0" w:line="167" w:lineRule="exact"/>
        <w:rPr>
          <w:rFonts w:ascii="Arial" w:cs="Arial" w:eastAsia="Arial" w:hAnsi="Arial"/>
          <w:sz w:val="16"/>
          <w:szCs w:val="16"/>
          <w:color w:val="005CB8"/>
        </w:rPr>
      </w:pPr>
    </w:p>
    <w:p>
      <w:pPr>
        <w:ind w:left="1000" w:right="1020" w:hanging="284"/>
        <w:spacing w:after="0" w:line="253" w:lineRule="auto"/>
        <w:tabs>
          <w:tab w:leader="none" w:pos="1000" w:val="left"/>
        </w:tabs>
        <w:numPr>
          <w:ilvl w:val="0"/>
          <w:numId w:val="48"/>
        </w:numPr>
        <w:rPr>
          <w:rFonts w:ascii="Arial" w:cs="Arial" w:eastAsia="Arial" w:hAnsi="Arial"/>
          <w:sz w:val="16"/>
          <w:szCs w:val="16"/>
          <w:color w:val="005CB8"/>
        </w:rPr>
      </w:pPr>
      <w:r>
        <w:rPr>
          <w:rFonts w:ascii="Arial" w:cs="Arial" w:eastAsia="Arial" w:hAnsi="Arial"/>
          <w:sz w:val="16"/>
          <w:szCs w:val="16"/>
          <w:color w:val="auto"/>
        </w:rPr>
        <w:t>Provided competitive market data based on the compensation peer group for our executive officer positions, and evaluation of how the compensation we pay our executive officers compares both to our performance and to how the companies in our compensation peer group compensate their executives;</w:t>
      </w:r>
    </w:p>
    <w:p>
      <w:pPr>
        <w:spacing w:after="0" w:line="147" w:lineRule="exact"/>
        <w:rPr>
          <w:rFonts w:ascii="Arial" w:cs="Arial" w:eastAsia="Arial" w:hAnsi="Arial"/>
          <w:sz w:val="16"/>
          <w:szCs w:val="16"/>
          <w:color w:val="005CB8"/>
        </w:rPr>
      </w:pPr>
    </w:p>
    <w:p>
      <w:pPr>
        <w:ind w:left="1000" w:right="840" w:hanging="284"/>
        <w:spacing w:after="0" w:line="260" w:lineRule="auto"/>
        <w:tabs>
          <w:tab w:leader="none" w:pos="1000" w:val="left"/>
        </w:tabs>
        <w:numPr>
          <w:ilvl w:val="0"/>
          <w:numId w:val="48"/>
        </w:numPr>
        <w:rPr>
          <w:rFonts w:ascii="Arial" w:cs="Arial" w:eastAsia="Arial" w:hAnsi="Arial"/>
          <w:sz w:val="16"/>
          <w:szCs w:val="16"/>
          <w:color w:val="005CB8"/>
        </w:rPr>
      </w:pPr>
      <w:r>
        <w:rPr>
          <w:rFonts w:ascii="Arial" w:cs="Arial" w:eastAsia="Arial" w:hAnsi="Arial"/>
          <w:sz w:val="16"/>
          <w:szCs w:val="16"/>
          <w:color w:val="auto"/>
        </w:rPr>
        <w:t>Provided competitive market data based on the compensation peer group for non-employee directors, and evaluation of how the compensation we pay our non-employee directors compares to companies in our compensation peer group;</w:t>
      </w:r>
    </w:p>
    <w:p>
      <w:pPr>
        <w:spacing w:after="0" w:line="141" w:lineRule="exact"/>
        <w:rPr>
          <w:rFonts w:ascii="Arial" w:cs="Arial" w:eastAsia="Arial" w:hAnsi="Arial"/>
          <w:sz w:val="16"/>
          <w:szCs w:val="16"/>
          <w:color w:val="005CB8"/>
        </w:rPr>
      </w:pPr>
    </w:p>
    <w:p>
      <w:pPr>
        <w:ind w:left="1000" w:right="940" w:hanging="284"/>
        <w:spacing w:after="0" w:line="260" w:lineRule="auto"/>
        <w:tabs>
          <w:tab w:leader="none" w:pos="1000" w:val="left"/>
        </w:tabs>
        <w:numPr>
          <w:ilvl w:val="0"/>
          <w:numId w:val="48"/>
        </w:numPr>
        <w:rPr>
          <w:rFonts w:ascii="Arial" w:cs="Arial" w:eastAsia="Arial" w:hAnsi="Arial"/>
          <w:sz w:val="16"/>
          <w:szCs w:val="16"/>
          <w:color w:val="005CB8"/>
        </w:rPr>
      </w:pPr>
      <w:r>
        <w:rPr>
          <w:rFonts w:ascii="Arial" w:cs="Arial" w:eastAsia="Arial" w:hAnsi="Arial"/>
          <w:sz w:val="16"/>
          <w:szCs w:val="16"/>
          <w:color w:val="auto"/>
        </w:rPr>
        <w:t>Reviewed and analyzed base salary levels, annual incentive bonus opportunities, and long-term equity incentive compensation opportunities of our executive officers;</w:t>
      </w:r>
    </w:p>
    <w:p>
      <w:pPr>
        <w:spacing w:after="0" w:line="141" w:lineRule="exact"/>
        <w:rPr>
          <w:rFonts w:ascii="Arial" w:cs="Arial" w:eastAsia="Arial" w:hAnsi="Arial"/>
          <w:sz w:val="16"/>
          <w:szCs w:val="16"/>
          <w:color w:val="005CB8"/>
        </w:rPr>
      </w:pPr>
    </w:p>
    <w:p>
      <w:pPr>
        <w:ind w:left="1000" w:right="980" w:hanging="284"/>
        <w:spacing w:after="0" w:line="260" w:lineRule="auto"/>
        <w:tabs>
          <w:tab w:leader="none" w:pos="1000" w:val="left"/>
        </w:tabs>
        <w:numPr>
          <w:ilvl w:val="0"/>
          <w:numId w:val="48"/>
        </w:numPr>
        <w:rPr>
          <w:rFonts w:ascii="Arial" w:cs="Arial" w:eastAsia="Arial" w:hAnsi="Arial"/>
          <w:sz w:val="16"/>
          <w:szCs w:val="16"/>
          <w:color w:val="005CB8"/>
        </w:rPr>
      </w:pPr>
      <w:r>
        <w:rPr>
          <w:rFonts w:ascii="Arial" w:cs="Arial" w:eastAsia="Arial" w:hAnsi="Arial"/>
          <w:sz w:val="16"/>
          <w:szCs w:val="16"/>
          <w:color w:val="auto"/>
        </w:rPr>
        <w:t>Assessed executive compensation trends within our industry, and updates on corporate governance and regulatory issues and developments;</w:t>
      </w:r>
    </w:p>
    <w:p>
      <w:pPr>
        <w:spacing w:after="0" w:line="141" w:lineRule="exact"/>
        <w:rPr>
          <w:rFonts w:ascii="Arial" w:cs="Arial" w:eastAsia="Arial" w:hAnsi="Arial"/>
          <w:sz w:val="16"/>
          <w:szCs w:val="16"/>
          <w:color w:val="005CB8"/>
        </w:rPr>
      </w:pPr>
    </w:p>
    <w:p>
      <w:pPr>
        <w:ind w:left="1000" w:hanging="284"/>
        <w:spacing w:after="0"/>
        <w:tabs>
          <w:tab w:leader="none" w:pos="1000" w:val="left"/>
        </w:tabs>
        <w:numPr>
          <w:ilvl w:val="0"/>
          <w:numId w:val="48"/>
        </w:numPr>
        <w:rPr>
          <w:rFonts w:ascii="Arial" w:cs="Arial" w:eastAsia="Arial" w:hAnsi="Arial"/>
          <w:sz w:val="16"/>
          <w:szCs w:val="16"/>
          <w:color w:val="005CB8"/>
        </w:rPr>
      </w:pPr>
      <w:r>
        <w:rPr>
          <w:rFonts w:ascii="Arial" w:cs="Arial" w:eastAsia="Arial" w:hAnsi="Arial"/>
          <w:sz w:val="16"/>
          <w:szCs w:val="16"/>
          <w:color w:val="auto"/>
        </w:rPr>
        <w:t>Reviewed our executive compensation disclosure;</w:t>
      </w:r>
    </w:p>
    <w:p>
      <w:pPr>
        <w:spacing w:after="0" w:line="167" w:lineRule="exact"/>
        <w:rPr>
          <w:rFonts w:ascii="Arial" w:cs="Arial" w:eastAsia="Arial" w:hAnsi="Arial"/>
          <w:sz w:val="16"/>
          <w:szCs w:val="16"/>
          <w:color w:val="005CB8"/>
        </w:rPr>
      </w:pPr>
    </w:p>
    <w:p>
      <w:pPr>
        <w:ind w:left="1000" w:right="1240" w:hanging="284"/>
        <w:spacing w:after="0" w:line="260" w:lineRule="auto"/>
        <w:tabs>
          <w:tab w:leader="none" w:pos="1000" w:val="left"/>
        </w:tabs>
        <w:numPr>
          <w:ilvl w:val="0"/>
          <w:numId w:val="48"/>
        </w:numPr>
        <w:rPr>
          <w:rFonts w:ascii="Arial" w:cs="Arial" w:eastAsia="Arial" w:hAnsi="Arial"/>
          <w:sz w:val="16"/>
          <w:szCs w:val="16"/>
          <w:color w:val="005CB8"/>
        </w:rPr>
      </w:pPr>
      <w:r>
        <w:rPr>
          <w:rFonts w:ascii="Arial" w:cs="Arial" w:eastAsia="Arial" w:hAnsi="Arial"/>
          <w:sz w:val="16"/>
          <w:szCs w:val="16"/>
          <w:color w:val="auto"/>
        </w:rPr>
        <w:t>Assessed compensation risk to determine whether our compensation policies and practices are reasonably likely to have a material adverse impact on the company; and</w:t>
      </w:r>
    </w:p>
    <w:p>
      <w:pPr>
        <w:spacing w:after="0" w:line="125" w:lineRule="exact"/>
        <w:rPr>
          <w:rFonts w:ascii="Arial" w:cs="Arial" w:eastAsia="Arial" w:hAnsi="Arial"/>
          <w:sz w:val="16"/>
          <w:szCs w:val="16"/>
          <w:color w:val="005CB8"/>
        </w:rPr>
      </w:pPr>
    </w:p>
    <w:p>
      <w:pPr>
        <w:ind w:left="1000" w:hanging="284"/>
        <w:spacing w:after="0"/>
        <w:tabs>
          <w:tab w:leader="none" w:pos="1000" w:val="left"/>
        </w:tabs>
        <w:numPr>
          <w:ilvl w:val="0"/>
          <w:numId w:val="48"/>
        </w:numPr>
        <w:rPr>
          <w:rFonts w:ascii="Arial" w:cs="Arial" w:eastAsia="Arial" w:hAnsi="Arial"/>
          <w:sz w:val="16"/>
          <w:szCs w:val="16"/>
          <w:color w:val="005CB8"/>
        </w:rPr>
      </w:pPr>
      <w:r>
        <w:rPr>
          <w:rFonts w:ascii="Arial" w:cs="Arial" w:eastAsia="Arial" w:hAnsi="Arial"/>
          <w:sz w:val="16"/>
          <w:szCs w:val="16"/>
          <w:color w:val="auto"/>
        </w:rPr>
        <w:t xml:space="preserve">Supported on other </w:t>
      </w:r>
      <w:r>
        <w:rPr>
          <w:rFonts w:ascii="Arial" w:cs="Arial" w:eastAsia="Arial" w:hAnsi="Arial"/>
          <w:sz w:val="16"/>
          <w:szCs w:val="16"/>
          <w:i w:val="1"/>
          <w:iCs w:val="1"/>
          <w:color w:val="auto"/>
        </w:rPr>
        <w:t>ad hoc</w:t>
      </w:r>
      <w:r>
        <w:rPr>
          <w:rFonts w:ascii="Arial" w:cs="Arial" w:eastAsia="Arial" w:hAnsi="Arial"/>
          <w:sz w:val="16"/>
          <w:szCs w:val="16"/>
          <w:color w:val="auto"/>
        </w:rPr>
        <w:t xml:space="preserve"> matters throughout the year.</w:t>
      </w:r>
    </w:p>
    <w:p>
      <w:pPr>
        <w:spacing w:after="0" w:line="183" w:lineRule="exact"/>
        <w:rPr>
          <w:sz w:val="20"/>
          <w:szCs w:val="20"/>
          <w:color w:val="auto"/>
        </w:rPr>
      </w:pPr>
    </w:p>
    <w:p>
      <w:pPr>
        <w:ind w:left="720" w:right="860"/>
        <w:spacing w:after="0" w:line="248" w:lineRule="auto"/>
        <w:rPr>
          <w:sz w:val="20"/>
          <w:szCs w:val="20"/>
          <w:color w:val="auto"/>
        </w:rPr>
      </w:pPr>
      <w:r>
        <w:rPr>
          <w:rFonts w:ascii="Arial" w:cs="Arial" w:eastAsia="Arial" w:hAnsi="Arial"/>
          <w:sz w:val="16"/>
          <w:szCs w:val="16"/>
          <w:color w:val="auto"/>
        </w:rPr>
        <w:t>Compensia did not provide any services to us other than the consulting services to the compensation committee. The compensation committee regularly reviews the objectivity and independence of the advice provided by its compensation consultant on executive compensation matters. The compensation committee has evaluated Compensia’s engagement, and based on the six factors for assessing independence and identifying potential conflicts of interest that are set forth in Exchange Act Rule 10C-1(b)(4), Rule 5605(d)(3)(D) of the Nasdaq Marketplace Rules, and such other factors as were deemed relevant under the circumstances, has determined that its relationship with Compensia and the work of Compensia on behalf of the compensation committee did not raise any conflict of interest, and that Compensia is independent as defined in Rule 5605(a)(2) of the Nasdaq Marketplace Rules.</w:t>
      </w:r>
    </w:p>
    <w:p>
      <w:pPr>
        <w:spacing w:after="0" w:line="33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Role of Management</w:t>
      </w:r>
    </w:p>
    <w:p>
      <w:pPr>
        <w:spacing w:after="0" w:line="52" w:lineRule="exact"/>
        <w:rPr>
          <w:sz w:val="20"/>
          <w:szCs w:val="20"/>
          <w:color w:val="auto"/>
        </w:rPr>
      </w:pPr>
    </w:p>
    <w:p>
      <w:pPr>
        <w:ind w:left="720" w:right="1120"/>
        <w:spacing w:after="0" w:line="253" w:lineRule="auto"/>
        <w:rPr>
          <w:sz w:val="20"/>
          <w:szCs w:val="20"/>
          <w:color w:val="auto"/>
        </w:rPr>
      </w:pPr>
      <w:r>
        <w:rPr>
          <w:rFonts w:ascii="Arial" w:cs="Arial" w:eastAsia="Arial" w:hAnsi="Arial"/>
          <w:sz w:val="16"/>
          <w:szCs w:val="16"/>
          <w:color w:val="auto"/>
        </w:rPr>
        <w:t>In discharging its responsibilities, the compensation committee also works with members of our management, including our chief executive officer. Our management assists the compensation committee by providing information on corporate and individual performance, competitive market data, and management’s perspective and recommendations on compensation matters.</w:t>
      </w:r>
    </w:p>
    <w:p>
      <w:pPr>
        <w:spacing w:after="0" w:line="147" w:lineRule="exact"/>
        <w:rPr>
          <w:sz w:val="20"/>
          <w:szCs w:val="20"/>
          <w:color w:val="auto"/>
        </w:rPr>
      </w:pPr>
    </w:p>
    <w:p>
      <w:pPr>
        <w:ind w:left="720" w:right="820"/>
        <w:spacing w:after="0" w:line="251" w:lineRule="auto"/>
        <w:rPr>
          <w:sz w:val="20"/>
          <w:szCs w:val="20"/>
          <w:color w:val="auto"/>
        </w:rPr>
      </w:pPr>
      <w:r>
        <w:rPr>
          <w:rFonts w:ascii="Arial" w:cs="Arial" w:eastAsia="Arial" w:hAnsi="Arial"/>
          <w:sz w:val="16"/>
          <w:szCs w:val="16"/>
          <w:color w:val="auto"/>
        </w:rPr>
        <w:t>Typically, our chief executive officer makes recommendations to the compensation committee regarding compensation matters, including adjustments to annual cash compensation, long-term equity incentive compensation opportunities, and program structures, for our executive officers, except with respect to his own compensation. At the beginning of each year, our chief executive officer reviews the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27</w:t>
            </w:r>
          </w:p>
        </w:tc>
      </w:tr>
      <w:tr>
        <w:trPr>
          <w:trHeight w:val="181"/>
        </w:trPr>
        <w:tc>
          <w:tcPr>
            <w:tcW w:w="9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31" w:name="page32"/>
    <w:bookmarkEnd w:id="31"/>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5CB8"/>
        </w:rPr>
        <w:t>EXECUTIVE COMPENSATION (continued)</w:t>
      </w:r>
    </w:p>
    <w:p>
      <w:pPr>
        <w:spacing w:after="0" w:line="386" w:lineRule="exact"/>
        <w:rPr>
          <w:sz w:val="20"/>
          <w:szCs w:val="20"/>
          <w:color w:val="auto"/>
        </w:rPr>
      </w:pPr>
    </w:p>
    <w:p>
      <w:pPr>
        <w:ind w:left="4" w:right="40"/>
        <w:spacing w:after="0" w:line="251" w:lineRule="auto"/>
        <w:rPr>
          <w:sz w:val="20"/>
          <w:szCs w:val="20"/>
          <w:color w:val="auto"/>
        </w:rPr>
      </w:pPr>
      <w:r>
        <w:rPr>
          <w:rFonts w:ascii="Arial" w:cs="Arial" w:eastAsia="Arial" w:hAnsi="Arial"/>
          <w:sz w:val="16"/>
          <w:szCs w:val="16"/>
          <w:color w:val="auto"/>
        </w:rPr>
        <w:t>performance of our other executive officers, including our other named executive officers, based on such individual’s level of success in accomplishing the business objectives established for him or her for the prior year and their overall performance during that year, and then shares these evaluations with, and makes recommendations to, the compensation committee for each element of compensation as described above.</w:t>
      </w:r>
    </w:p>
    <w:p>
      <w:pPr>
        <w:spacing w:after="0" w:line="148" w:lineRule="exact"/>
        <w:rPr>
          <w:sz w:val="20"/>
          <w:szCs w:val="20"/>
          <w:color w:val="auto"/>
        </w:rPr>
      </w:pPr>
    </w:p>
    <w:p>
      <w:pPr>
        <w:ind w:left="4"/>
        <w:spacing w:after="0" w:line="260" w:lineRule="auto"/>
        <w:rPr>
          <w:sz w:val="20"/>
          <w:szCs w:val="20"/>
          <w:color w:val="auto"/>
        </w:rPr>
      </w:pPr>
      <w:r>
        <w:rPr>
          <w:rFonts w:ascii="Arial" w:cs="Arial" w:eastAsia="Arial" w:hAnsi="Arial"/>
          <w:sz w:val="16"/>
          <w:szCs w:val="16"/>
          <w:color w:val="auto"/>
        </w:rPr>
        <w:t>The compensation committee reviews and discusses these recommendations and proposals with our chief executive officer and uses them as one factor in determining and approving the compensation for our executive officers.</w:t>
      </w:r>
    </w:p>
    <w:p>
      <w:pPr>
        <w:spacing w:after="0" w:line="141" w:lineRule="exact"/>
        <w:rPr>
          <w:sz w:val="20"/>
          <w:szCs w:val="20"/>
          <w:color w:val="auto"/>
        </w:rPr>
      </w:pPr>
    </w:p>
    <w:p>
      <w:pPr>
        <w:ind w:left="4" w:right="120"/>
        <w:spacing w:after="0" w:line="251" w:lineRule="auto"/>
        <w:rPr>
          <w:sz w:val="20"/>
          <w:szCs w:val="20"/>
          <w:color w:val="auto"/>
        </w:rPr>
      </w:pPr>
      <w:r>
        <w:rPr>
          <w:rFonts w:ascii="Arial" w:cs="Arial" w:eastAsia="Arial" w:hAnsi="Arial"/>
          <w:sz w:val="16"/>
          <w:szCs w:val="16"/>
          <w:color w:val="auto"/>
        </w:rPr>
        <w:t>Our chief executive officer also attends meetings of our board of directors and the compensation committee at which executive compensation matters are addressed, except with respect to discussions involving his own compensation. Decisions with respect to our chief executive officer’s compensation are made by our compensation committee, which is comprised entirely of independent members of our board of directors.</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Competitive Positioning</w:t>
      </w:r>
    </w:p>
    <w:p>
      <w:pPr>
        <w:spacing w:after="0" w:line="66" w:lineRule="exact"/>
        <w:rPr>
          <w:sz w:val="20"/>
          <w:szCs w:val="20"/>
          <w:color w:val="auto"/>
        </w:rPr>
      </w:pPr>
    </w:p>
    <w:p>
      <w:pPr>
        <w:ind w:left="4" w:right="280"/>
        <w:spacing w:after="0" w:line="253" w:lineRule="auto"/>
        <w:rPr>
          <w:sz w:val="20"/>
          <w:szCs w:val="20"/>
          <w:color w:val="auto"/>
        </w:rPr>
      </w:pPr>
      <w:r>
        <w:rPr>
          <w:rFonts w:ascii="Arial" w:cs="Arial" w:eastAsia="Arial" w:hAnsi="Arial"/>
          <w:sz w:val="16"/>
          <w:szCs w:val="16"/>
          <w:color w:val="auto"/>
        </w:rPr>
        <w:t>For purposes of assessing our executive compensation against the competitive market, the compensation committee reviews and considers the compensation levels and practices of a select group of peer companies. This compensation peer group consists of technology companies that are similar to us in terms of revenue, market capitalization, geographical location, and industry sector.</w:t>
      </w:r>
    </w:p>
    <w:p>
      <w:pPr>
        <w:spacing w:after="0" w:line="147" w:lineRule="exact"/>
        <w:rPr>
          <w:sz w:val="20"/>
          <w:szCs w:val="20"/>
          <w:color w:val="auto"/>
        </w:rPr>
      </w:pPr>
    </w:p>
    <w:p>
      <w:pPr>
        <w:ind w:left="4" w:right="160"/>
        <w:spacing w:after="0" w:line="260" w:lineRule="auto"/>
        <w:rPr>
          <w:sz w:val="20"/>
          <w:szCs w:val="20"/>
          <w:color w:val="auto"/>
        </w:rPr>
      </w:pPr>
      <w:r>
        <w:rPr>
          <w:rFonts w:ascii="Arial" w:cs="Arial" w:eastAsia="Arial" w:hAnsi="Arial"/>
          <w:sz w:val="16"/>
          <w:szCs w:val="16"/>
          <w:color w:val="auto"/>
        </w:rPr>
        <w:t>The companies in the compensation peer group for 2019 were approved in September 2018 on the basis of their similarity to us, as determined using the following criteria:</w:t>
      </w:r>
    </w:p>
    <w:p>
      <w:pPr>
        <w:spacing w:after="0" w:line="141" w:lineRule="exact"/>
        <w:rPr>
          <w:sz w:val="20"/>
          <w:szCs w:val="20"/>
          <w:color w:val="auto"/>
        </w:rPr>
      </w:pPr>
    </w:p>
    <w:p>
      <w:pPr>
        <w:ind w:left="284" w:right="900" w:hanging="284"/>
        <w:spacing w:after="0" w:line="260" w:lineRule="auto"/>
        <w:tabs>
          <w:tab w:leader="none" w:pos="284" w:val="left"/>
        </w:tabs>
        <w:numPr>
          <w:ilvl w:val="0"/>
          <w:numId w:val="49"/>
        </w:numPr>
        <w:rPr>
          <w:rFonts w:ascii="Arial" w:cs="Arial" w:eastAsia="Arial" w:hAnsi="Arial"/>
          <w:sz w:val="16"/>
          <w:szCs w:val="16"/>
          <w:color w:val="005CB8"/>
        </w:rPr>
      </w:pPr>
      <w:r>
        <w:rPr>
          <w:rFonts w:ascii="Arial" w:cs="Arial" w:eastAsia="Arial" w:hAnsi="Arial"/>
          <w:sz w:val="16"/>
          <w:szCs w:val="16"/>
          <w:color w:val="auto"/>
        </w:rPr>
        <w:t>revenue – approximately 0.4x to approximately 2.5x our last four fiscal quarter revenue of approximately $1.25 billion (approximately $500 million to $3.1 billion);</w:t>
      </w:r>
    </w:p>
    <w:p>
      <w:pPr>
        <w:spacing w:after="0" w:line="141" w:lineRule="exact"/>
        <w:rPr>
          <w:rFonts w:ascii="Arial" w:cs="Arial" w:eastAsia="Arial" w:hAnsi="Arial"/>
          <w:sz w:val="16"/>
          <w:szCs w:val="16"/>
          <w:color w:val="005CB8"/>
        </w:rPr>
      </w:pPr>
    </w:p>
    <w:p>
      <w:pPr>
        <w:ind w:left="284" w:right="620" w:hanging="284"/>
        <w:spacing w:after="0" w:line="260" w:lineRule="auto"/>
        <w:tabs>
          <w:tab w:leader="none" w:pos="284" w:val="left"/>
        </w:tabs>
        <w:numPr>
          <w:ilvl w:val="0"/>
          <w:numId w:val="49"/>
        </w:numPr>
        <w:rPr>
          <w:rFonts w:ascii="Arial" w:cs="Arial" w:eastAsia="Arial" w:hAnsi="Arial"/>
          <w:sz w:val="16"/>
          <w:szCs w:val="16"/>
          <w:color w:val="005CB8"/>
        </w:rPr>
      </w:pPr>
      <w:r>
        <w:rPr>
          <w:rFonts w:ascii="Arial" w:cs="Arial" w:eastAsia="Arial" w:hAnsi="Arial"/>
          <w:sz w:val="16"/>
          <w:szCs w:val="16"/>
          <w:color w:val="auto"/>
        </w:rPr>
        <w:t>market capitalization – approximately 0.25x to approximately 4.0x our market capitalization of approximately $12.0 billion (approximately $3.0 billion to $48.0 billion);</w:t>
      </w:r>
    </w:p>
    <w:p>
      <w:pPr>
        <w:spacing w:after="0" w:line="141" w:lineRule="exact"/>
        <w:rPr>
          <w:rFonts w:ascii="Arial" w:cs="Arial" w:eastAsia="Arial" w:hAnsi="Arial"/>
          <w:sz w:val="16"/>
          <w:szCs w:val="16"/>
          <w:color w:val="005CB8"/>
        </w:rPr>
      </w:pPr>
    </w:p>
    <w:p>
      <w:pPr>
        <w:ind w:left="284" w:right="300" w:hanging="284"/>
        <w:spacing w:after="0" w:line="260" w:lineRule="auto"/>
        <w:tabs>
          <w:tab w:leader="none" w:pos="284" w:val="left"/>
        </w:tabs>
        <w:numPr>
          <w:ilvl w:val="0"/>
          <w:numId w:val="49"/>
        </w:numPr>
        <w:rPr>
          <w:rFonts w:ascii="Arial" w:cs="Arial" w:eastAsia="Arial" w:hAnsi="Arial"/>
          <w:sz w:val="16"/>
          <w:szCs w:val="16"/>
          <w:color w:val="005CB8"/>
        </w:rPr>
      </w:pPr>
      <w:r>
        <w:rPr>
          <w:rFonts w:ascii="Arial" w:cs="Arial" w:eastAsia="Arial" w:hAnsi="Arial"/>
          <w:sz w:val="16"/>
          <w:szCs w:val="16"/>
          <w:color w:val="auto"/>
        </w:rPr>
        <w:t>industry sector – internet software and services, software, communication equipment, internet and direct marketing retail, and certain SaaS companies not classified as such; and</w:t>
      </w:r>
    </w:p>
    <w:p>
      <w:pPr>
        <w:spacing w:after="0" w:line="141" w:lineRule="exact"/>
        <w:rPr>
          <w:rFonts w:ascii="Arial" w:cs="Arial" w:eastAsia="Arial" w:hAnsi="Arial"/>
          <w:sz w:val="16"/>
          <w:szCs w:val="16"/>
          <w:color w:val="005CB8"/>
        </w:rPr>
      </w:pPr>
    </w:p>
    <w:p>
      <w:pPr>
        <w:ind w:left="284" w:hanging="284"/>
        <w:spacing w:after="0"/>
        <w:tabs>
          <w:tab w:leader="none" w:pos="284" w:val="left"/>
        </w:tabs>
        <w:numPr>
          <w:ilvl w:val="0"/>
          <w:numId w:val="49"/>
        </w:numPr>
        <w:rPr>
          <w:rFonts w:ascii="Arial" w:cs="Arial" w:eastAsia="Arial" w:hAnsi="Arial"/>
          <w:sz w:val="16"/>
          <w:szCs w:val="16"/>
          <w:color w:val="005CB8"/>
        </w:rPr>
      </w:pPr>
      <w:r>
        <w:rPr>
          <w:rFonts w:ascii="Arial" w:cs="Arial" w:eastAsia="Arial" w:hAnsi="Arial"/>
          <w:sz w:val="16"/>
          <w:szCs w:val="16"/>
          <w:color w:val="auto"/>
        </w:rPr>
        <w:t>relevance – software-as-a-service model or product similarity.</w:t>
      </w:r>
    </w:p>
    <w:p>
      <w:pPr>
        <w:spacing w:after="0" w:line="167" w:lineRule="exact"/>
        <w:rPr>
          <w:sz w:val="20"/>
          <w:szCs w:val="20"/>
          <w:color w:val="auto"/>
        </w:rPr>
      </w:pPr>
    </w:p>
    <w:p>
      <w:pPr>
        <w:ind w:left="4"/>
        <w:spacing w:after="0" w:line="260" w:lineRule="auto"/>
        <w:rPr>
          <w:sz w:val="20"/>
          <w:szCs w:val="20"/>
          <w:color w:val="auto"/>
        </w:rPr>
      </w:pPr>
      <w:r>
        <w:rPr>
          <w:rFonts w:ascii="Arial" w:cs="Arial" w:eastAsia="Arial" w:hAnsi="Arial"/>
          <w:sz w:val="16"/>
          <w:szCs w:val="16"/>
          <w:color w:val="auto"/>
        </w:rPr>
        <w:t>In selecting the 2019 compensation peer group, we chose companies that resulted in us being near the median of the group, in terms of both revenue and market capitalization.</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6"/>
          <w:szCs w:val="16"/>
          <w:color w:val="auto"/>
        </w:rPr>
        <w:t>Our 2019 compensation peer group was:</w:t>
      </w:r>
    </w:p>
    <w:p>
      <w:pPr>
        <w:spacing w:after="0" w:line="329" w:lineRule="exact"/>
        <w:rPr>
          <w:sz w:val="20"/>
          <w:szCs w:val="20"/>
          <w:color w:val="auto"/>
        </w:rPr>
      </w:pPr>
    </w:p>
    <w:tbl>
      <w:tblPr>
        <w:tblLayout w:type="fixed"/>
        <w:tblInd w:w="324" w:type="dxa"/>
        <w:tblCellMar>
          <w:top w:w="0" w:type="dxa"/>
          <w:left w:w="0" w:type="dxa"/>
          <w:bottom w:w="0" w:type="dxa"/>
          <w:right w:w="0" w:type="dxa"/>
        </w:tblCellMar>
      </w:tblPr>
      <w:tr>
        <w:trPr>
          <w:trHeight w:val="195"/>
        </w:trPr>
        <w:tc>
          <w:tcPr>
            <w:tcW w:w="140" w:type="dxa"/>
            <w:vAlign w:val="bottom"/>
          </w:tcPr>
          <w:p>
            <w:pPr>
              <w:spacing w:after="0"/>
              <w:rPr>
                <w:sz w:val="20"/>
                <w:szCs w:val="20"/>
                <w:color w:val="auto"/>
              </w:rPr>
            </w:pPr>
            <w:r>
              <w:rPr>
                <w:rFonts w:ascii="Arial" w:cs="Arial" w:eastAsia="Arial" w:hAnsi="Arial"/>
                <w:sz w:val="16"/>
                <w:szCs w:val="16"/>
                <w:color w:val="005CB8"/>
              </w:rPr>
              <w:t>•</w:t>
            </w:r>
          </w:p>
        </w:tc>
        <w:tc>
          <w:tcPr>
            <w:tcW w:w="1980" w:type="dxa"/>
            <w:vAlign w:val="bottom"/>
          </w:tcPr>
          <w:p>
            <w:pPr>
              <w:ind w:left="60"/>
              <w:spacing w:after="0"/>
              <w:rPr>
                <w:sz w:val="20"/>
                <w:szCs w:val="20"/>
                <w:color w:val="auto"/>
              </w:rPr>
            </w:pPr>
            <w:r>
              <w:rPr>
                <w:rFonts w:ascii="Arial" w:cs="Arial" w:eastAsia="Arial" w:hAnsi="Arial"/>
                <w:sz w:val="16"/>
                <w:szCs w:val="16"/>
                <w:color w:val="auto"/>
              </w:rPr>
              <w:t>Autodesk</w:t>
            </w:r>
          </w:p>
        </w:tc>
        <w:tc>
          <w:tcPr>
            <w:tcW w:w="1320" w:type="dxa"/>
            <w:vAlign w:val="bottom"/>
          </w:tcPr>
          <w:p>
            <w:pPr>
              <w:ind w:left="1180"/>
              <w:spacing w:after="0"/>
              <w:rPr>
                <w:sz w:val="20"/>
                <w:szCs w:val="20"/>
                <w:color w:val="auto"/>
              </w:rPr>
            </w:pPr>
            <w:r>
              <w:rPr>
                <w:rFonts w:ascii="Arial" w:cs="Arial" w:eastAsia="Arial" w:hAnsi="Arial"/>
                <w:sz w:val="16"/>
                <w:szCs w:val="16"/>
                <w:color w:val="005CB8"/>
              </w:rPr>
              <w:t>•</w:t>
            </w:r>
          </w:p>
        </w:tc>
        <w:tc>
          <w:tcPr>
            <w:tcW w:w="2280" w:type="dxa"/>
            <w:vAlign w:val="bottom"/>
          </w:tcPr>
          <w:p>
            <w:pPr>
              <w:ind w:left="80"/>
              <w:spacing w:after="0"/>
              <w:rPr>
                <w:sz w:val="20"/>
                <w:szCs w:val="20"/>
                <w:color w:val="auto"/>
              </w:rPr>
            </w:pPr>
            <w:r>
              <w:rPr>
                <w:rFonts w:ascii="Arial" w:cs="Arial" w:eastAsia="Arial" w:hAnsi="Arial"/>
                <w:sz w:val="16"/>
                <w:szCs w:val="16"/>
                <w:color w:val="auto"/>
              </w:rPr>
              <w:t>Palo Alto Networks</w:t>
            </w:r>
          </w:p>
        </w:tc>
        <w:tc>
          <w:tcPr>
            <w:tcW w:w="960" w:type="dxa"/>
            <w:vAlign w:val="bottom"/>
          </w:tcPr>
          <w:p>
            <w:pPr>
              <w:ind w:left="820"/>
              <w:spacing w:after="0"/>
              <w:rPr>
                <w:sz w:val="20"/>
                <w:szCs w:val="20"/>
                <w:color w:val="auto"/>
              </w:rPr>
            </w:pPr>
            <w:r>
              <w:rPr>
                <w:rFonts w:ascii="Arial" w:cs="Arial" w:eastAsia="Arial" w:hAnsi="Arial"/>
                <w:sz w:val="16"/>
                <w:szCs w:val="16"/>
                <w:color w:val="005CB8"/>
              </w:rPr>
              <w:t>•</w:t>
            </w:r>
          </w:p>
        </w:tc>
        <w:tc>
          <w:tcPr>
            <w:tcW w:w="2160" w:type="dxa"/>
            <w:vAlign w:val="bottom"/>
          </w:tcPr>
          <w:p>
            <w:pPr>
              <w:ind w:left="60"/>
              <w:spacing w:after="0"/>
              <w:rPr>
                <w:sz w:val="20"/>
                <w:szCs w:val="20"/>
                <w:color w:val="auto"/>
              </w:rPr>
            </w:pPr>
            <w:r>
              <w:rPr>
                <w:rFonts w:ascii="Arial" w:cs="Arial" w:eastAsia="Arial" w:hAnsi="Arial"/>
                <w:sz w:val="16"/>
                <w:szCs w:val="16"/>
                <w:color w:val="auto"/>
              </w:rPr>
              <w:t>Twitter</w:t>
            </w:r>
          </w:p>
        </w:tc>
      </w:tr>
      <w:tr>
        <w:trPr>
          <w:trHeight w:val="324"/>
        </w:trPr>
        <w:tc>
          <w:tcPr>
            <w:tcW w:w="140" w:type="dxa"/>
            <w:vAlign w:val="bottom"/>
          </w:tcPr>
          <w:p>
            <w:pPr>
              <w:spacing w:after="0"/>
              <w:rPr>
                <w:sz w:val="20"/>
                <w:szCs w:val="20"/>
                <w:color w:val="auto"/>
              </w:rPr>
            </w:pPr>
            <w:r>
              <w:rPr>
                <w:rFonts w:ascii="Arial" w:cs="Arial" w:eastAsia="Arial" w:hAnsi="Arial"/>
                <w:sz w:val="16"/>
                <w:szCs w:val="16"/>
                <w:color w:val="005CB8"/>
              </w:rPr>
              <w:t>•</w:t>
            </w:r>
          </w:p>
        </w:tc>
        <w:tc>
          <w:tcPr>
            <w:tcW w:w="1980" w:type="dxa"/>
            <w:vAlign w:val="bottom"/>
          </w:tcPr>
          <w:p>
            <w:pPr>
              <w:ind w:left="80"/>
              <w:spacing w:after="0"/>
              <w:rPr>
                <w:sz w:val="20"/>
                <w:szCs w:val="20"/>
                <w:color w:val="auto"/>
              </w:rPr>
            </w:pPr>
            <w:r>
              <w:rPr>
                <w:rFonts w:ascii="Arial" w:cs="Arial" w:eastAsia="Arial" w:hAnsi="Arial"/>
                <w:sz w:val="16"/>
                <w:szCs w:val="16"/>
                <w:color w:val="auto"/>
              </w:rPr>
              <w:t>Box</w:t>
            </w:r>
          </w:p>
        </w:tc>
        <w:tc>
          <w:tcPr>
            <w:tcW w:w="1320" w:type="dxa"/>
            <w:vAlign w:val="bottom"/>
          </w:tcPr>
          <w:p>
            <w:pPr>
              <w:ind w:left="1180"/>
              <w:spacing w:after="0"/>
              <w:rPr>
                <w:sz w:val="20"/>
                <w:szCs w:val="20"/>
                <w:color w:val="auto"/>
              </w:rPr>
            </w:pPr>
            <w:r>
              <w:rPr>
                <w:rFonts w:ascii="Arial" w:cs="Arial" w:eastAsia="Arial" w:hAnsi="Arial"/>
                <w:sz w:val="16"/>
                <w:szCs w:val="16"/>
                <w:color w:val="005CB8"/>
              </w:rPr>
              <w:t>•</w:t>
            </w:r>
          </w:p>
        </w:tc>
        <w:tc>
          <w:tcPr>
            <w:tcW w:w="2280" w:type="dxa"/>
            <w:vAlign w:val="bottom"/>
          </w:tcPr>
          <w:p>
            <w:pPr>
              <w:ind w:left="80"/>
              <w:spacing w:after="0"/>
              <w:rPr>
                <w:sz w:val="20"/>
                <w:szCs w:val="20"/>
                <w:color w:val="auto"/>
              </w:rPr>
            </w:pPr>
            <w:r>
              <w:rPr>
                <w:rFonts w:ascii="Arial" w:cs="Arial" w:eastAsia="Arial" w:hAnsi="Arial"/>
                <w:sz w:val="16"/>
                <w:szCs w:val="16"/>
                <w:color w:val="auto"/>
              </w:rPr>
              <w:t>ServiceNow</w:t>
            </w:r>
          </w:p>
        </w:tc>
        <w:tc>
          <w:tcPr>
            <w:tcW w:w="3120" w:type="dxa"/>
            <w:vAlign w:val="bottom"/>
            <w:gridSpan w:val="2"/>
          </w:tcPr>
          <w:p>
            <w:pPr>
              <w:ind w:left="820"/>
              <w:spacing w:after="0"/>
              <w:rPr>
                <w:sz w:val="20"/>
                <w:szCs w:val="20"/>
                <w:color w:val="auto"/>
              </w:rPr>
            </w:pPr>
            <w:r>
              <w:rPr>
                <w:rFonts w:ascii="Arial" w:cs="Arial" w:eastAsia="Arial" w:hAnsi="Arial"/>
                <w:sz w:val="16"/>
                <w:szCs w:val="16"/>
                <w:color w:val="005CB8"/>
              </w:rPr>
              <w:t xml:space="preserve">•  </w:t>
            </w:r>
            <w:r>
              <w:rPr>
                <w:rFonts w:ascii="Arial" w:cs="Arial" w:eastAsia="Arial" w:hAnsi="Arial"/>
                <w:sz w:val="16"/>
                <w:szCs w:val="16"/>
                <w:color w:val="000000"/>
              </w:rPr>
              <w:t>The Ultimate Software Group</w:t>
            </w:r>
          </w:p>
        </w:tc>
      </w:tr>
      <w:tr>
        <w:trPr>
          <w:trHeight w:val="324"/>
        </w:trPr>
        <w:tc>
          <w:tcPr>
            <w:tcW w:w="140" w:type="dxa"/>
            <w:vAlign w:val="bottom"/>
          </w:tcPr>
          <w:p>
            <w:pPr>
              <w:spacing w:after="0"/>
              <w:rPr>
                <w:sz w:val="20"/>
                <w:szCs w:val="20"/>
                <w:color w:val="auto"/>
              </w:rPr>
            </w:pPr>
            <w:r>
              <w:rPr>
                <w:rFonts w:ascii="Arial" w:cs="Arial" w:eastAsia="Arial" w:hAnsi="Arial"/>
                <w:sz w:val="16"/>
                <w:szCs w:val="16"/>
                <w:color w:val="005CB8"/>
              </w:rPr>
              <w:t>•</w:t>
            </w:r>
          </w:p>
        </w:tc>
        <w:tc>
          <w:tcPr>
            <w:tcW w:w="1980" w:type="dxa"/>
            <w:vAlign w:val="bottom"/>
          </w:tcPr>
          <w:p>
            <w:pPr>
              <w:ind w:left="80"/>
              <w:spacing w:after="0"/>
              <w:rPr>
                <w:sz w:val="20"/>
                <w:szCs w:val="20"/>
                <w:color w:val="auto"/>
              </w:rPr>
            </w:pPr>
            <w:r>
              <w:rPr>
                <w:rFonts w:ascii="Arial" w:cs="Arial" w:eastAsia="Arial" w:hAnsi="Arial"/>
                <w:sz w:val="16"/>
                <w:szCs w:val="16"/>
                <w:color w:val="auto"/>
              </w:rPr>
              <w:t>DocuSign</w:t>
            </w:r>
          </w:p>
        </w:tc>
        <w:tc>
          <w:tcPr>
            <w:tcW w:w="1320" w:type="dxa"/>
            <w:vAlign w:val="bottom"/>
          </w:tcPr>
          <w:p>
            <w:pPr>
              <w:ind w:left="1180"/>
              <w:spacing w:after="0"/>
              <w:rPr>
                <w:sz w:val="20"/>
                <w:szCs w:val="20"/>
                <w:color w:val="auto"/>
              </w:rPr>
            </w:pPr>
            <w:r>
              <w:rPr>
                <w:rFonts w:ascii="Arial" w:cs="Arial" w:eastAsia="Arial" w:hAnsi="Arial"/>
                <w:sz w:val="16"/>
                <w:szCs w:val="16"/>
                <w:color w:val="005CB8"/>
              </w:rPr>
              <w:t>•</w:t>
            </w:r>
          </w:p>
        </w:tc>
        <w:tc>
          <w:tcPr>
            <w:tcW w:w="2280" w:type="dxa"/>
            <w:vAlign w:val="bottom"/>
          </w:tcPr>
          <w:p>
            <w:pPr>
              <w:ind w:left="80"/>
              <w:spacing w:after="0"/>
              <w:rPr>
                <w:sz w:val="20"/>
                <w:szCs w:val="20"/>
                <w:color w:val="auto"/>
              </w:rPr>
            </w:pPr>
            <w:r>
              <w:rPr>
                <w:rFonts w:ascii="Arial" w:cs="Arial" w:eastAsia="Arial" w:hAnsi="Arial"/>
                <w:sz w:val="16"/>
                <w:szCs w:val="16"/>
                <w:color w:val="auto"/>
              </w:rPr>
              <w:t>Snap</w:t>
            </w:r>
          </w:p>
        </w:tc>
        <w:tc>
          <w:tcPr>
            <w:tcW w:w="960" w:type="dxa"/>
            <w:vAlign w:val="bottom"/>
          </w:tcPr>
          <w:p>
            <w:pPr>
              <w:ind w:left="820"/>
              <w:spacing w:after="0"/>
              <w:rPr>
                <w:sz w:val="20"/>
                <w:szCs w:val="20"/>
                <w:color w:val="auto"/>
              </w:rPr>
            </w:pPr>
            <w:r>
              <w:rPr>
                <w:rFonts w:ascii="Arial" w:cs="Arial" w:eastAsia="Arial" w:hAnsi="Arial"/>
                <w:sz w:val="16"/>
                <w:szCs w:val="16"/>
                <w:color w:val="005CB8"/>
              </w:rPr>
              <w:t>•</w:t>
            </w:r>
          </w:p>
        </w:tc>
        <w:tc>
          <w:tcPr>
            <w:tcW w:w="2160" w:type="dxa"/>
            <w:vAlign w:val="bottom"/>
          </w:tcPr>
          <w:p>
            <w:pPr>
              <w:ind w:left="80"/>
              <w:spacing w:after="0"/>
              <w:rPr>
                <w:sz w:val="20"/>
                <w:szCs w:val="20"/>
                <w:color w:val="auto"/>
              </w:rPr>
            </w:pPr>
            <w:r>
              <w:rPr>
                <w:rFonts w:ascii="Arial" w:cs="Arial" w:eastAsia="Arial" w:hAnsi="Arial"/>
                <w:sz w:val="16"/>
                <w:szCs w:val="16"/>
                <w:color w:val="auto"/>
              </w:rPr>
              <w:t>Veeva Systems</w:t>
            </w:r>
          </w:p>
        </w:tc>
      </w:tr>
      <w:tr>
        <w:trPr>
          <w:trHeight w:val="324"/>
        </w:trPr>
        <w:tc>
          <w:tcPr>
            <w:tcW w:w="140" w:type="dxa"/>
            <w:vAlign w:val="bottom"/>
          </w:tcPr>
          <w:p>
            <w:pPr>
              <w:spacing w:after="0"/>
              <w:rPr>
                <w:sz w:val="20"/>
                <w:szCs w:val="20"/>
                <w:color w:val="auto"/>
              </w:rPr>
            </w:pPr>
            <w:r>
              <w:rPr>
                <w:rFonts w:ascii="Arial" w:cs="Arial" w:eastAsia="Arial" w:hAnsi="Arial"/>
                <w:sz w:val="16"/>
                <w:szCs w:val="16"/>
                <w:color w:val="005CB8"/>
              </w:rPr>
              <w:t>•</w:t>
            </w:r>
          </w:p>
        </w:tc>
        <w:tc>
          <w:tcPr>
            <w:tcW w:w="1980" w:type="dxa"/>
            <w:vAlign w:val="bottom"/>
          </w:tcPr>
          <w:p>
            <w:pPr>
              <w:ind w:left="80"/>
              <w:spacing w:after="0"/>
              <w:rPr>
                <w:sz w:val="20"/>
                <w:szCs w:val="20"/>
                <w:color w:val="auto"/>
              </w:rPr>
            </w:pPr>
            <w:r>
              <w:rPr>
                <w:rFonts w:ascii="Arial" w:cs="Arial" w:eastAsia="Arial" w:hAnsi="Arial"/>
                <w:sz w:val="16"/>
                <w:szCs w:val="16"/>
                <w:color w:val="auto"/>
              </w:rPr>
              <w:t>Fortinet</w:t>
            </w:r>
          </w:p>
        </w:tc>
        <w:tc>
          <w:tcPr>
            <w:tcW w:w="1320" w:type="dxa"/>
            <w:vAlign w:val="bottom"/>
          </w:tcPr>
          <w:p>
            <w:pPr>
              <w:ind w:left="1180"/>
              <w:spacing w:after="0"/>
              <w:rPr>
                <w:sz w:val="20"/>
                <w:szCs w:val="20"/>
                <w:color w:val="auto"/>
              </w:rPr>
            </w:pPr>
            <w:r>
              <w:rPr>
                <w:rFonts w:ascii="Arial" w:cs="Arial" w:eastAsia="Arial" w:hAnsi="Arial"/>
                <w:sz w:val="16"/>
                <w:szCs w:val="16"/>
                <w:color w:val="005CB8"/>
              </w:rPr>
              <w:t>•</w:t>
            </w:r>
          </w:p>
        </w:tc>
        <w:tc>
          <w:tcPr>
            <w:tcW w:w="2280" w:type="dxa"/>
            <w:vAlign w:val="bottom"/>
          </w:tcPr>
          <w:p>
            <w:pPr>
              <w:ind w:left="80"/>
              <w:spacing w:after="0"/>
              <w:rPr>
                <w:sz w:val="20"/>
                <w:szCs w:val="20"/>
                <w:color w:val="auto"/>
              </w:rPr>
            </w:pPr>
            <w:r>
              <w:rPr>
                <w:rFonts w:ascii="Arial" w:cs="Arial" w:eastAsia="Arial" w:hAnsi="Arial"/>
                <w:sz w:val="16"/>
                <w:szCs w:val="16"/>
                <w:color w:val="auto"/>
              </w:rPr>
              <w:t>Splunk</w:t>
            </w:r>
          </w:p>
        </w:tc>
        <w:tc>
          <w:tcPr>
            <w:tcW w:w="960" w:type="dxa"/>
            <w:vAlign w:val="bottom"/>
          </w:tcPr>
          <w:p>
            <w:pPr>
              <w:ind w:left="820"/>
              <w:spacing w:after="0"/>
              <w:rPr>
                <w:sz w:val="20"/>
                <w:szCs w:val="20"/>
                <w:color w:val="auto"/>
              </w:rPr>
            </w:pPr>
            <w:r>
              <w:rPr>
                <w:rFonts w:ascii="Arial" w:cs="Arial" w:eastAsia="Arial" w:hAnsi="Arial"/>
                <w:sz w:val="16"/>
                <w:szCs w:val="16"/>
                <w:color w:val="005CB8"/>
              </w:rPr>
              <w:t>•</w:t>
            </w:r>
          </w:p>
        </w:tc>
        <w:tc>
          <w:tcPr>
            <w:tcW w:w="2160" w:type="dxa"/>
            <w:vAlign w:val="bottom"/>
          </w:tcPr>
          <w:p>
            <w:pPr>
              <w:ind w:left="80"/>
              <w:spacing w:after="0"/>
              <w:rPr>
                <w:sz w:val="20"/>
                <w:szCs w:val="20"/>
                <w:color w:val="auto"/>
              </w:rPr>
            </w:pPr>
            <w:r>
              <w:rPr>
                <w:rFonts w:ascii="Arial" w:cs="Arial" w:eastAsia="Arial" w:hAnsi="Arial"/>
                <w:sz w:val="16"/>
                <w:szCs w:val="16"/>
                <w:color w:val="auto"/>
              </w:rPr>
              <w:t>Workday</w:t>
            </w:r>
          </w:p>
        </w:tc>
      </w:tr>
      <w:tr>
        <w:trPr>
          <w:trHeight w:val="324"/>
        </w:trPr>
        <w:tc>
          <w:tcPr>
            <w:tcW w:w="140" w:type="dxa"/>
            <w:vAlign w:val="bottom"/>
          </w:tcPr>
          <w:p>
            <w:pPr>
              <w:spacing w:after="0"/>
              <w:rPr>
                <w:sz w:val="20"/>
                <w:szCs w:val="20"/>
                <w:color w:val="auto"/>
              </w:rPr>
            </w:pPr>
            <w:r>
              <w:rPr>
                <w:rFonts w:ascii="Arial" w:cs="Arial" w:eastAsia="Arial" w:hAnsi="Arial"/>
                <w:sz w:val="16"/>
                <w:szCs w:val="16"/>
                <w:color w:val="005CB8"/>
              </w:rPr>
              <w:t>•</w:t>
            </w:r>
          </w:p>
        </w:tc>
        <w:tc>
          <w:tcPr>
            <w:tcW w:w="1980" w:type="dxa"/>
            <w:vAlign w:val="bottom"/>
          </w:tcPr>
          <w:p>
            <w:pPr>
              <w:ind w:left="80"/>
              <w:spacing w:after="0"/>
              <w:rPr>
                <w:sz w:val="20"/>
                <w:szCs w:val="20"/>
                <w:color w:val="auto"/>
              </w:rPr>
            </w:pPr>
            <w:r>
              <w:rPr>
                <w:rFonts w:ascii="Arial" w:cs="Arial" w:eastAsia="Arial" w:hAnsi="Arial"/>
                <w:sz w:val="16"/>
                <w:szCs w:val="16"/>
                <w:color w:val="auto"/>
              </w:rPr>
              <w:t>LogMeIn</w:t>
            </w:r>
          </w:p>
        </w:tc>
        <w:tc>
          <w:tcPr>
            <w:tcW w:w="1320" w:type="dxa"/>
            <w:vAlign w:val="bottom"/>
          </w:tcPr>
          <w:p>
            <w:pPr>
              <w:ind w:left="1180"/>
              <w:spacing w:after="0"/>
              <w:rPr>
                <w:sz w:val="20"/>
                <w:szCs w:val="20"/>
                <w:color w:val="auto"/>
              </w:rPr>
            </w:pPr>
            <w:r>
              <w:rPr>
                <w:rFonts w:ascii="Arial" w:cs="Arial" w:eastAsia="Arial" w:hAnsi="Arial"/>
                <w:sz w:val="16"/>
                <w:szCs w:val="16"/>
                <w:color w:val="005CB8"/>
              </w:rPr>
              <w:t>•</w:t>
            </w:r>
          </w:p>
        </w:tc>
        <w:tc>
          <w:tcPr>
            <w:tcW w:w="2280" w:type="dxa"/>
            <w:vAlign w:val="bottom"/>
          </w:tcPr>
          <w:p>
            <w:pPr>
              <w:ind w:left="80"/>
              <w:spacing w:after="0"/>
              <w:rPr>
                <w:sz w:val="20"/>
                <w:szCs w:val="20"/>
                <w:color w:val="auto"/>
              </w:rPr>
            </w:pPr>
            <w:r>
              <w:rPr>
                <w:rFonts w:ascii="Arial" w:cs="Arial" w:eastAsia="Arial" w:hAnsi="Arial"/>
                <w:sz w:val="16"/>
                <w:szCs w:val="16"/>
                <w:color w:val="auto"/>
              </w:rPr>
              <w:t>Square</w:t>
            </w:r>
          </w:p>
        </w:tc>
        <w:tc>
          <w:tcPr>
            <w:tcW w:w="960" w:type="dxa"/>
            <w:vAlign w:val="bottom"/>
          </w:tcPr>
          <w:p>
            <w:pPr>
              <w:ind w:left="820"/>
              <w:spacing w:after="0"/>
              <w:rPr>
                <w:sz w:val="20"/>
                <w:szCs w:val="20"/>
                <w:color w:val="auto"/>
              </w:rPr>
            </w:pPr>
            <w:r>
              <w:rPr>
                <w:rFonts w:ascii="Arial" w:cs="Arial" w:eastAsia="Arial" w:hAnsi="Arial"/>
                <w:sz w:val="16"/>
                <w:szCs w:val="16"/>
                <w:color w:val="005CB8"/>
              </w:rPr>
              <w:t>•</w:t>
            </w:r>
          </w:p>
        </w:tc>
        <w:tc>
          <w:tcPr>
            <w:tcW w:w="2160" w:type="dxa"/>
            <w:vAlign w:val="bottom"/>
          </w:tcPr>
          <w:p>
            <w:pPr>
              <w:ind w:left="80"/>
              <w:spacing w:after="0"/>
              <w:rPr>
                <w:sz w:val="20"/>
                <w:szCs w:val="20"/>
                <w:color w:val="auto"/>
              </w:rPr>
            </w:pPr>
            <w:r>
              <w:rPr>
                <w:rFonts w:ascii="Arial" w:cs="Arial" w:eastAsia="Arial" w:hAnsi="Arial"/>
                <w:sz w:val="16"/>
                <w:szCs w:val="16"/>
                <w:color w:val="auto"/>
              </w:rPr>
              <w:t>Zillow Group</w:t>
            </w:r>
          </w:p>
        </w:tc>
      </w:tr>
      <w:tr>
        <w:trPr>
          <w:trHeight w:val="324"/>
        </w:trPr>
        <w:tc>
          <w:tcPr>
            <w:tcW w:w="140" w:type="dxa"/>
            <w:vAlign w:val="bottom"/>
          </w:tcPr>
          <w:p>
            <w:pPr>
              <w:spacing w:after="0"/>
              <w:rPr>
                <w:sz w:val="20"/>
                <w:szCs w:val="20"/>
                <w:color w:val="auto"/>
              </w:rPr>
            </w:pPr>
            <w:r>
              <w:rPr>
                <w:rFonts w:ascii="Arial" w:cs="Arial" w:eastAsia="Arial" w:hAnsi="Arial"/>
                <w:sz w:val="16"/>
                <w:szCs w:val="16"/>
                <w:color w:val="005CB8"/>
              </w:rPr>
              <w:t>•</w:t>
            </w:r>
          </w:p>
        </w:tc>
        <w:tc>
          <w:tcPr>
            <w:tcW w:w="1980" w:type="dxa"/>
            <w:vAlign w:val="bottom"/>
          </w:tcPr>
          <w:p>
            <w:pPr>
              <w:ind w:left="80"/>
              <w:spacing w:after="0"/>
              <w:rPr>
                <w:sz w:val="20"/>
                <w:szCs w:val="20"/>
                <w:color w:val="auto"/>
              </w:rPr>
            </w:pPr>
            <w:r>
              <w:rPr>
                <w:rFonts w:ascii="Arial" w:cs="Arial" w:eastAsia="Arial" w:hAnsi="Arial"/>
                <w:sz w:val="16"/>
                <w:szCs w:val="16"/>
                <w:color w:val="auto"/>
              </w:rPr>
              <w:t>Nutanix</w:t>
            </w:r>
          </w:p>
        </w:tc>
        <w:tc>
          <w:tcPr>
            <w:tcW w:w="1320" w:type="dxa"/>
            <w:vAlign w:val="bottom"/>
          </w:tcPr>
          <w:p>
            <w:pPr>
              <w:ind w:left="1180"/>
              <w:spacing w:after="0"/>
              <w:rPr>
                <w:sz w:val="20"/>
                <w:szCs w:val="20"/>
                <w:color w:val="auto"/>
              </w:rPr>
            </w:pPr>
            <w:r>
              <w:rPr>
                <w:rFonts w:ascii="Arial" w:cs="Arial" w:eastAsia="Arial" w:hAnsi="Arial"/>
                <w:sz w:val="16"/>
                <w:szCs w:val="16"/>
                <w:color w:val="005CB8"/>
              </w:rPr>
              <w:t>•</w:t>
            </w:r>
          </w:p>
        </w:tc>
        <w:tc>
          <w:tcPr>
            <w:tcW w:w="2280" w:type="dxa"/>
            <w:vAlign w:val="bottom"/>
          </w:tcPr>
          <w:p>
            <w:pPr>
              <w:ind w:left="80"/>
              <w:spacing w:after="0"/>
              <w:rPr>
                <w:sz w:val="20"/>
                <w:szCs w:val="20"/>
                <w:color w:val="auto"/>
              </w:rPr>
            </w:pPr>
            <w:r>
              <w:rPr>
                <w:rFonts w:ascii="Arial" w:cs="Arial" w:eastAsia="Arial" w:hAnsi="Arial"/>
                <w:sz w:val="16"/>
                <w:szCs w:val="16"/>
                <w:color w:val="auto"/>
              </w:rPr>
              <w:t>Tableau Software</w:t>
            </w:r>
          </w:p>
        </w:tc>
        <w:tc>
          <w:tcPr>
            <w:tcW w:w="96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197" w:lineRule="exact"/>
        <w:rPr>
          <w:sz w:val="20"/>
          <w:szCs w:val="20"/>
          <w:color w:val="auto"/>
        </w:rPr>
      </w:pPr>
    </w:p>
    <w:p>
      <w:pPr>
        <w:ind w:left="4"/>
        <w:spacing w:after="0" w:line="253" w:lineRule="auto"/>
        <w:rPr>
          <w:sz w:val="20"/>
          <w:szCs w:val="20"/>
          <w:color w:val="auto"/>
        </w:rPr>
      </w:pPr>
      <w:r>
        <w:rPr>
          <w:rFonts w:ascii="Arial" w:cs="Arial" w:eastAsia="Arial" w:hAnsi="Arial"/>
          <w:sz w:val="16"/>
          <w:szCs w:val="16"/>
          <w:color w:val="auto"/>
        </w:rPr>
        <w:t>The compensation practices of the compensation peer group were the primary guide used by the compensation committee in 2019 to compare the competitiveness of each compensation element and target total direct compensation (base salary, target annual cash bonus opportunities, and long-term equity incentive compensation).</w:t>
      </w:r>
    </w:p>
    <w:p>
      <w:pPr>
        <w:spacing w:after="0" w:line="147" w:lineRule="exact"/>
        <w:rPr>
          <w:sz w:val="20"/>
          <w:szCs w:val="20"/>
          <w:color w:val="auto"/>
        </w:rPr>
      </w:pPr>
    </w:p>
    <w:p>
      <w:pPr>
        <w:ind w:left="4"/>
        <w:spacing w:after="0" w:line="249" w:lineRule="auto"/>
        <w:rPr>
          <w:sz w:val="20"/>
          <w:szCs w:val="20"/>
          <w:color w:val="auto"/>
        </w:rPr>
      </w:pPr>
      <w:r>
        <w:rPr>
          <w:rFonts w:ascii="Arial" w:cs="Arial" w:eastAsia="Arial" w:hAnsi="Arial"/>
          <w:sz w:val="16"/>
          <w:szCs w:val="16"/>
          <w:color w:val="auto"/>
        </w:rPr>
        <w:t>To analyze the compensation practices of our compensation peer group, Compensia gathered data from public filings (primarily proxy statements) of the peer group companies, as well as from the Radford Global Technology Survey. This market data was then used as a reference point for the compensation committee to assess our current compensation levels in the course of its deliberations on compensation forms and amounts. The compensation committee does not engage in formal benchmarking against other companies’ compensation programs or practices to establish our compensation levels or make specific compensation recommendations with respect to our executive officers, including our named executive officers.</w:t>
      </w:r>
    </w:p>
    <w:p>
      <w:pPr>
        <w:spacing w:after="0" w:line="151" w:lineRule="exact"/>
        <w:rPr>
          <w:sz w:val="20"/>
          <w:szCs w:val="20"/>
          <w:color w:val="auto"/>
        </w:rPr>
      </w:pPr>
    </w:p>
    <w:p>
      <w:pPr>
        <w:ind w:left="4" w:right="200"/>
        <w:spacing w:after="0" w:line="260" w:lineRule="auto"/>
        <w:rPr>
          <w:sz w:val="20"/>
          <w:szCs w:val="20"/>
          <w:color w:val="auto"/>
        </w:rPr>
      </w:pPr>
      <w:r>
        <w:rPr>
          <w:rFonts w:ascii="Arial" w:cs="Arial" w:eastAsia="Arial" w:hAnsi="Arial"/>
          <w:sz w:val="16"/>
          <w:szCs w:val="16"/>
          <w:color w:val="auto"/>
        </w:rPr>
        <w:t>The compensation committee reviews our compensation peer group each year and adjusts its composition if warranted, taking into account changes in both our business and the businesses of the companies in the peer group.</w:t>
      </w:r>
    </w:p>
    <w:p>
      <w:pPr>
        <w:spacing w:after="0" w:line="180" w:lineRule="exact"/>
        <w:rPr>
          <w:sz w:val="20"/>
          <w:szCs w:val="20"/>
          <w:color w:val="auto"/>
        </w:rPr>
      </w:pPr>
    </w:p>
    <w:p>
      <w:pPr>
        <w:ind w:left="524" w:hanging="524"/>
        <w:spacing w:after="0"/>
        <w:tabs>
          <w:tab w:leader="none" w:pos="524"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4"/>
          </w:cols>
          <w:pgMar w:left="1156" w:top="265" w:right="1199" w:bottom="1440" w:gutter="0" w:footer="0" w:header="0"/>
        </w:sectPr>
      </w:pPr>
    </w:p>
    <w:bookmarkStart w:id="32" w:name="page33"/>
    <w:bookmarkEnd w:id="32"/>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EXECUTIVE COMPENSATION (continued)</w:t>
      </w:r>
    </w:p>
    <w:p>
      <w:pPr>
        <w:spacing w:after="0" w:line="366"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Compensation Setting</w:t>
      </w:r>
    </w:p>
    <w:p>
      <w:pPr>
        <w:spacing w:after="0" w:line="52" w:lineRule="exact"/>
        <w:rPr>
          <w:sz w:val="20"/>
          <w:szCs w:val="20"/>
          <w:color w:val="auto"/>
        </w:rPr>
      </w:pPr>
    </w:p>
    <w:p>
      <w:pPr>
        <w:jc w:val="both"/>
        <w:ind w:left="720" w:right="780"/>
        <w:spacing w:after="0" w:line="253" w:lineRule="auto"/>
        <w:rPr>
          <w:sz w:val="20"/>
          <w:szCs w:val="20"/>
          <w:color w:val="auto"/>
        </w:rPr>
      </w:pPr>
      <w:r>
        <w:rPr>
          <w:rFonts w:ascii="Arial" w:cs="Arial" w:eastAsia="Arial" w:hAnsi="Arial"/>
          <w:sz w:val="16"/>
          <w:szCs w:val="16"/>
          <w:color w:val="auto"/>
        </w:rPr>
        <w:t>We review the base salary levels, annual cash bonus opportunities, and long-term equity incentive compensation opportunities of our executive officers, including our named executive officers, and all related performance criteria at the beginning of each year, or more frequently as warranted. Adjustments are generally effective on February 1st of the fiscal year.</w:t>
      </w:r>
    </w:p>
    <w:p>
      <w:pPr>
        <w:spacing w:after="0" w:line="147" w:lineRule="exact"/>
        <w:rPr>
          <w:sz w:val="20"/>
          <w:szCs w:val="20"/>
          <w:color w:val="auto"/>
        </w:rPr>
      </w:pPr>
    </w:p>
    <w:p>
      <w:pPr>
        <w:ind w:left="720" w:right="1280"/>
        <w:spacing w:after="0" w:line="260" w:lineRule="auto"/>
        <w:rPr>
          <w:sz w:val="20"/>
          <w:szCs w:val="20"/>
          <w:color w:val="auto"/>
        </w:rPr>
      </w:pPr>
      <w:r>
        <w:rPr>
          <w:rFonts w:ascii="Arial" w:cs="Arial" w:eastAsia="Arial" w:hAnsi="Arial"/>
          <w:sz w:val="16"/>
          <w:szCs w:val="16"/>
          <w:color w:val="auto"/>
        </w:rPr>
        <w:t>We do not establish a specific target for formulating the target total direct compensation opportunities of our executive officers, including our named executive officers.</w:t>
      </w:r>
    </w:p>
    <w:p>
      <w:pPr>
        <w:spacing w:after="0" w:line="141" w:lineRule="exact"/>
        <w:rPr>
          <w:sz w:val="20"/>
          <w:szCs w:val="20"/>
          <w:color w:val="auto"/>
        </w:rPr>
      </w:pPr>
    </w:p>
    <w:p>
      <w:pPr>
        <w:ind w:left="720" w:right="1080"/>
        <w:spacing w:after="0" w:line="260" w:lineRule="auto"/>
        <w:rPr>
          <w:sz w:val="20"/>
          <w:szCs w:val="20"/>
          <w:color w:val="auto"/>
        </w:rPr>
      </w:pPr>
      <w:r>
        <w:rPr>
          <w:rFonts w:ascii="Arial" w:cs="Arial" w:eastAsia="Arial" w:hAnsi="Arial"/>
          <w:sz w:val="16"/>
          <w:szCs w:val="16"/>
          <w:color w:val="auto"/>
        </w:rPr>
        <w:t>In making decisions about the compensation of our executive officers, the compensation committee relies primarily on its general experience and subjective considerations of various factors,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122555</wp:posOffset>
            </wp:positionV>
            <wp:extent cx="6120765" cy="2477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20765" cy="247777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303" w:lineRule="exact"/>
        <w:rPr>
          <w:sz w:val="20"/>
          <w:szCs w:val="20"/>
          <w:color w:val="auto"/>
        </w:rPr>
      </w:pPr>
    </w:p>
    <w:p>
      <w:pPr>
        <w:ind w:left="960" w:hanging="217"/>
        <w:spacing w:after="0"/>
        <w:tabs>
          <w:tab w:leader="none" w:pos="9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executive compensation program objectives;</w:t>
      </w:r>
    </w:p>
    <w:p>
      <w:pPr>
        <w:spacing w:after="0" w:line="194" w:lineRule="exact"/>
        <w:rPr>
          <w:rFonts w:ascii="Arial" w:cs="Arial" w:eastAsia="Arial" w:hAnsi="Arial"/>
          <w:sz w:val="16"/>
          <w:szCs w:val="16"/>
          <w:color w:val="auto"/>
        </w:rPr>
      </w:pPr>
    </w:p>
    <w:p>
      <w:pPr>
        <w:ind w:left="960" w:right="580" w:hanging="217"/>
        <w:spacing w:after="0" w:line="253" w:lineRule="auto"/>
        <w:tabs>
          <w:tab w:leader="none" w:pos="9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performance against the financial, operational, and strategic objectives established by the compensation committee and our board of directors;</w:t>
      </w:r>
    </w:p>
    <w:p>
      <w:pPr>
        <w:spacing w:after="0" w:line="174" w:lineRule="exact"/>
        <w:rPr>
          <w:rFonts w:ascii="Arial" w:cs="Arial" w:eastAsia="Arial" w:hAnsi="Arial"/>
          <w:sz w:val="16"/>
          <w:szCs w:val="16"/>
          <w:color w:val="auto"/>
        </w:rPr>
      </w:pPr>
    </w:p>
    <w:p>
      <w:pPr>
        <w:ind w:left="960" w:hanging="217"/>
        <w:spacing w:after="0" w:line="251" w:lineRule="auto"/>
        <w:tabs>
          <w:tab w:leader="none" w:pos="9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individual executive officer’s knowledge, skills, experience, qualifications, and tenure relative to other similarly-situated executives at the companies in our compensation peer group;</w:t>
      </w:r>
    </w:p>
    <w:p>
      <w:pPr>
        <w:spacing w:after="0" w:line="175" w:lineRule="exact"/>
        <w:rPr>
          <w:rFonts w:ascii="Arial" w:cs="Arial" w:eastAsia="Arial" w:hAnsi="Arial"/>
          <w:sz w:val="16"/>
          <w:szCs w:val="16"/>
          <w:color w:val="auto"/>
        </w:rPr>
      </w:pPr>
    </w:p>
    <w:p>
      <w:pPr>
        <w:ind w:left="960" w:right="140" w:hanging="217"/>
        <w:spacing w:after="0" w:line="253" w:lineRule="auto"/>
        <w:tabs>
          <w:tab w:leader="none" w:pos="9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scope of each executive officer’s role and responsibilities compared to other similarly-situated executives at the companies in our compensation peer group;</w:t>
      </w:r>
    </w:p>
    <w:p>
      <w:pPr>
        <w:spacing w:after="0" w:line="174" w:lineRule="exact"/>
        <w:rPr>
          <w:rFonts w:ascii="Arial" w:cs="Arial" w:eastAsia="Arial" w:hAnsi="Arial"/>
          <w:sz w:val="16"/>
          <w:szCs w:val="16"/>
          <w:color w:val="auto"/>
        </w:rPr>
      </w:pPr>
    </w:p>
    <w:p>
      <w:pPr>
        <w:ind w:left="960" w:right="100" w:hanging="217"/>
        <w:spacing w:after="0" w:line="250" w:lineRule="auto"/>
        <w:tabs>
          <w:tab w:leader="none" w:pos="9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prior performance of each individual executive officer, based on a subjective assessment of their contributions to our overall performance, ability to lead their business unit or function, and work as part of a team, all of which reflect our core values;</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224" w:right="840" w:hanging="224"/>
        <w:spacing w:after="0" w:line="253" w:lineRule="auto"/>
        <w:tabs>
          <w:tab w:leader="none" w:pos="21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potential of each individual executive officer to contribute to our long-term financial, operational, and strategic objectives;</w:t>
      </w:r>
    </w:p>
    <w:p>
      <w:pPr>
        <w:spacing w:after="0" w:line="174" w:lineRule="exact"/>
        <w:rPr>
          <w:rFonts w:ascii="Arial" w:cs="Arial" w:eastAsia="Arial" w:hAnsi="Arial"/>
          <w:sz w:val="16"/>
          <w:szCs w:val="16"/>
          <w:color w:val="auto"/>
        </w:rPr>
      </w:pPr>
    </w:p>
    <w:p>
      <w:pPr>
        <w:ind w:left="224" w:right="940" w:hanging="224"/>
        <w:spacing w:after="0" w:line="253" w:lineRule="auto"/>
        <w:tabs>
          <w:tab w:leader="none" w:pos="216"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chief executive officer’s compensation relative to that of our executive officers, and compensation parity among our executive officers;</w:t>
      </w:r>
    </w:p>
    <w:p>
      <w:pPr>
        <w:spacing w:after="0" w:line="174" w:lineRule="exact"/>
        <w:rPr>
          <w:rFonts w:ascii="Arial" w:cs="Arial" w:eastAsia="Arial" w:hAnsi="Arial"/>
          <w:sz w:val="16"/>
          <w:szCs w:val="16"/>
          <w:color w:val="auto"/>
        </w:rPr>
      </w:pPr>
    </w:p>
    <w:p>
      <w:pPr>
        <w:ind w:left="224" w:right="1340" w:hanging="224"/>
        <w:spacing w:after="0" w:line="260" w:lineRule="auto"/>
        <w:tabs>
          <w:tab w:leader="none" w:pos="216"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financial performance relative to companies in our compensation peer group;</w:t>
      </w:r>
    </w:p>
    <w:p>
      <w:pPr>
        <w:spacing w:after="0" w:line="168" w:lineRule="exact"/>
        <w:rPr>
          <w:rFonts w:ascii="Arial" w:cs="Arial" w:eastAsia="Arial" w:hAnsi="Arial"/>
          <w:sz w:val="16"/>
          <w:szCs w:val="16"/>
          <w:color w:val="auto"/>
        </w:rPr>
      </w:pPr>
    </w:p>
    <w:p>
      <w:pPr>
        <w:ind w:left="224" w:right="720" w:hanging="224"/>
        <w:spacing w:after="0" w:line="251" w:lineRule="auto"/>
        <w:tabs>
          <w:tab w:leader="none" w:pos="21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compensation practices of our compensation peer group and the positioning of each executive officer’s compensation in a ranking of peer company compensation levels based on an analysis of competitive market data; and</w:t>
      </w:r>
    </w:p>
    <w:p>
      <w:pPr>
        <w:spacing w:after="0" w:line="175" w:lineRule="exact"/>
        <w:rPr>
          <w:rFonts w:ascii="Arial" w:cs="Arial" w:eastAsia="Arial" w:hAnsi="Arial"/>
          <w:sz w:val="16"/>
          <w:szCs w:val="16"/>
          <w:color w:val="auto"/>
        </w:rPr>
      </w:pPr>
    </w:p>
    <w:p>
      <w:pPr>
        <w:ind w:left="224" w:right="960" w:hanging="224"/>
        <w:spacing w:after="0" w:line="260" w:lineRule="auto"/>
        <w:tabs>
          <w:tab w:leader="none" w:pos="21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recommendations of our chief executive officer with respect to the compensation of our other executive officers.</w:t>
      </w:r>
    </w:p>
    <w:p>
      <w:pPr>
        <w:spacing w:after="0" w:line="532" w:lineRule="exact"/>
        <w:rPr>
          <w:sz w:val="20"/>
          <w:szCs w:val="20"/>
          <w:color w:val="auto"/>
        </w:rPr>
      </w:pPr>
    </w:p>
    <w:p>
      <w:pPr>
        <w:sectPr>
          <w:pgSz w:w="11900" w:h="16838" w:orient="portrait"/>
          <w:cols w:equalWidth="0" w:num="2">
            <w:col w:w="5500" w:space="76"/>
            <w:col w:w="5444"/>
          </w:cols>
          <w:pgMar w:left="440" w:top="265" w:right="439" w:bottom="1440" w:gutter="0" w:footer="0" w:header="0"/>
          <w:type w:val="continuous"/>
        </w:sectPr>
      </w:pPr>
    </w:p>
    <w:p>
      <w:pPr>
        <w:ind w:left="720" w:right="780"/>
        <w:spacing w:after="0" w:line="260" w:lineRule="auto"/>
        <w:rPr>
          <w:sz w:val="20"/>
          <w:szCs w:val="20"/>
          <w:color w:val="auto"/>
        </w:rPr>
      </w:pPr>
      <w:r>
        <w:rPr>
          <w:rFonts w:ascii="Arial" w:cs="Arial" w:eastAsia="Arial" w:hAnsi="Arial"/>
          <w:sz w:val="16"/>
          <w:szCs w:val="16"/>
          <w:color w:val="auto"/>
        </w:rPr>
        <w:t>These factors provide the framework for compensation decision-making for each executive officer. No single factor is determinative in setting compensation levels, nor is the impact of any individual factor on the determination of pay levels quantifiable.</w:t>
      </w:r>
    </w:p>
    <w:p>
      <w:pPr>
        <w:spacing w:after="0" w:line="141" w:lineRule="exact"/>
        <w:rPr>
          <w:sz w:val="20"/>
          <w:szCs w:val="20"/>
          <w:color w:val="auto"/>
        </w:rPr>
      </w:pPr>
    </w:p>
    <w:p>
      <w:pPr>
        <w:ind w:left="720" w:right="780"/>
        <w:spacing w:after="0" w:line="251" w:lineRule="auto"/>
        <w:rPr>
          <w:sz w:val="20"/>
          <w:szCs w:val="20"/>
          <w:color w:val="auto"/>
        </w:rPr>
      </w:pPr>
      <w:r>
        <w:rPr>
          <w:rFonts w:ascii="Arial" w:cs="Arial" w:eastAsia="Arial" w:hAnsi="Arial"/>
          <w:sz w:val="16"/>
          <w:szCs w:val="16"/>
          <w:color w:val="auto"/>
        </w:rPr>
        <w:t>We do not weight these factors in any predetermined manner, nor do we apply any formulas in developing our compensation recommendations. The members of the compensation committee consider all of this information in light of their individual experience, knowledge of management, knowledge of the competitive market, knowledge of each executive officer, and business judgment in making their recommendations.</w:t>
      </w:r>
    </w:p>
    <w:p>
      <w:pPr>
        <w:spacing w:after="0" w:line="148" w:lineRule="exact"/>
        <w:rPr>
          <w:sz w:val="20"/>
          <w:szCs w:val="20"/>
          <w:color w:val="auto"/>
        </w:rPr>
      </w:pPr>
    </w:p>
    <w:p>
      <w:pPr>
        <w:ind w:left="720" w:right="800"/>
        <w:spacing w:after="0" w:line="251" w:lineRule="auto"/>
        <w:rPr>
          <w:sz w:val="20"/>
          <w:szCs w:val="20"/>
          <w:color w:val="auto"/>
        </w:rPr>
      </w:pPr>
      <w:r>
        <w:rPr>
          <w:rFonts w:ascii="Arial" w:cs="Arial" w:eastAsia="Arial" w:hAnsi="Arial"/>
          <w:sz w:val="16"/>
          <w:szCs w:val="16"/>
          <w:color w:val="auto"/>
        </w:rPr>
        <w:t>In addition, the compensation committee considered feedback from our stockholders and the result of our first Say on Pay vote. Our fiscal 2018 Say on Pay vote reflected 99.8% support from our stockholders, based on the percentage of shares voted. The compensation committee believes this indicates that our stockholders support the philosophy, strategy, objectives, and administration of our executive compensation programs.</w:t>
      </w:r>
    </w:p>
    <w:p>
      <w:pPr>
        <w:spacing w:after="0" w:line="148" w:lineRule="exact"/>
        <w:rPr>
          <w:sz w:val="20"/>
          <w:szCs w:val="20"/>
          <w:color w:val="auto"/>
        </w:rPr>
      </w:pPr>
    </w:p>
    <w:p>
      <w:pPr>
        <w:jc w:val="both"/>
        <w:ind w:left="720" w:right="760"/>
        <w:spacing w:after="0" w:line="253" w:lineRule="auto"/>
        <w:rPr>
          <w:sz w:val="20"/>
          <w:szCs w:val="20"/>
          <w:color w:val="auto"/>
        </w:rPr>
      </w:pPr>
      <w:r>
        <w:rPr>
          <w:rFonts w:ascii="Arial" w:cs="Arial" w:eastAsia="Arial" w:hAnsi="Arial"/>
          <w:sz w:val="16"/>
          <w:szCs w:val="16"/>
          <w:color w:val="auto"/>
        </w:rPr>
        <w:t>We also consider the potential risks in our business when designing and administering our executive compensation program, and we believe our balanced approach to performance measurement and pay delivery serves to avoid misaligned incentives for individuals to undertake excessive or inappropriate risk.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29</w:t>
            </w:r>
          </w:p>
        </w:tc>
      </w:tr>
      <w:tr>
        <w:trPr>
          <w:trHeight w:val="181"/>
        </w:trPr>
        <w:tc>
          <w:tcPr>
            <w:tcW w:w="9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type w:val="continuous"/>
        </w:sectPr>
      </w:pPr>
    </w:p>
    <w:bookmarkStart w:id="33" w:name="page34"/>
    <w:bookmarkEnd w:id="33"/>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5CB8"/>
        </w:rPr>
        <w:t>EXECUTIVE COMPENSATION (continued)</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26"/>
          <w:szCs w:val="26"/>
          <w:color w:val="005CB8"/>
        </w:rPr>
        <w:t>Compensation Elements</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2019, the principal elements of our executive compensation program, and the purposes for each element,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077585" cy="2700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7585" cy="2700020"/>
                    </a:xfrm>
                    <a:prstGeom prst="rect">
                      <a:avLst/>
                    </a:prstGeom>
                    <a:noFill/>
                  </pic:spPr>
                </pic:pic>
              </a:graphicData>
            </a:graphic>
          </wp:anchor>
        </w:drawing>
      </w:r>
    </w:p>
    <w:p>
      <w:pPr>
        <w:spacing w:after="0" w:line="199"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2260" w:type="dxa"/>
            <w:vAlign w:val="bottom"/>
            <w:shd w:val="clear" w:color="auto" w:fill="0060EC"/>
          </w:tcPr>
          <w:p>
            <w:pPr>
              <w:ind w:left="60"/>
              <w:spacing w:after="0"/>
              <w:rPr>
                <w:sz w:val="20"/>
                <w:szCs w:val="20"/>
                <w:color w:val="auto"/>
              </w:rPr>
            </w:pPr>
            <w:r>
              <w:rPr>
                <w:rFonts w:ascii="Arial" w:cs="Arial" w:eastAsia="Arial" w:hAnsi="Arial"/>
                <w:sz w:val="14"/>
                <w:szCs w:val="14"/>
                <w:b w:val="1"/>
                <w:bCs w:val="1"/>
                <w:color w:val="FFFFFF"/>
              </w:rPr>
              <w:t>Element</w:t>
            </w:r>
          </w:p>
        </w:tc>
        <w:tc>
          <w:tcPr>
            <w:tcW w:w="2000" w:type="dxa"/>
            <w:vAlign w:val="bottom"/>
            <w:shd w:val="clear" w:color="auto" w:fill="0060EC"/>
          </w:tcPr>
          <w:p>
            <w:pPr>
              <w:ind w:left="240"/>
              <w:spacing w:after="0"/>
              <w:rPr>
                <w:sz w:val="20"/>
                <w:szCs w:val="20"/>
                <w:color w:val="auto"/>
              </w:rPr>
            </w:pPr>
            <w:r>
              <w:rPr>
                <w:rFonts w:ascii="Arial" w:cs="Arial" w:eastAsia="Arial" w:hAnsi="Arial"/>
                <w:sz w:val="14"/>
                <w:szCs w:val="14"/>
                <w:b w:val="1"/>
                <w:bCs w:val="1"/>
                <w:color w:val="FFFFFF"/>
              </w:rPr>
              <w:t>Type of Element</w:t>
            </w:r>
          </w:p>
        </w:tc>
        <w:tc>
          <w:tcPr>
            <w:tcW w:w="2660" w:type="dxa"/>
            <w:vAlign w:val="bottom"/>
            <w:shd w:val="clear" w:color="auto" w:fill="0060EC"/>
          </w:tcPr>
          <w:p>
            <w:pPr>
              <w:ind w:left="660"/>
              <w:spacing w:after="0"/>
              <w:rPr>
                <w:sz w:val="20"/>
                <w:szCs w:val="20"/>
                <w:color w:val="auto"/>
              </w:rPr>
            </w:pPr>
            <w:r>
              <w:rPr>
                <w:rFonts w:ascii="Arial" w:cs="Arial" w:eastAsia="Arial" w:hAnsi="Arial"/>
                <w:sz w:val="14"/>
                <w:szCs w:val="14"/>
                <w:b w:val="1"/>
                <w:bCs w:val="1"/>
                <w:color w:val="FFFFFF"/>
              </w:rPr>
              <w:t>Compensation Element</w:t>
            </w:r>
          </w:p>
        </w:tc>
        <w:tc>
          <w:tcPr>
            <w:tcW w:w="2640" w:type="dxa"/>
            <w:vAlign w:val="bottom"/>
            <w:shd w:val="clear" w:color="auto" w:fill="0060EC"/>
          </w:tcPr>
          <w:p>
            <w:pPr>
              <w:ind w:left="400"/>
              <w:spacing w:after="0"/>
              <w:rPr>
                <w:sz w:val="20"/>
                <w:szCs w:val="20"/>
                <w:color w:val="auto"/>
              </w:rPr>
            </w:pPr>
            <w:r>
              <w:rPr>
                <w:rFonts w:ascii="Arial" w:cs="Arial" w:eastAsia="Arial" w:hAnsi="Arial"/>
                <w:sz w:val="14"/>
                <w:szCs w:val="14"/>
                <w:b w:val="1"/>
                <w:bCs w:val="1"/>
                <w:color w:val="FFFFFF"/>
              </w:rPr>
              <w:t>Objective</w:t>
            </w:r>
          </w:p>
        </w:tc>
      </w:tr>
      <w:tr>
        <w:trPr>
          <w:trHeight w:val="80"/>
        </w:trPr>
        <w:tc>
          <w:tcPr>
            <w:tcW w:w="2260" w:type="dxa"/>
            <w:vAlign w:val="bottom"/>
            <w:shd w:val="clear" w:color="auto" w:fill="0060EC"/>
          </w:tcPr>
          <w:p>
            <w:pPr>
              <w:spacing w:after="0"/>
              <w:rPr>
                <w:sz w:val="6"/>
                <w:szCs w:val="6"/>
                <w:color w:val="auto"/>
              </w:rPr>
            </w:pPr>
          </w:p>
        </w:tc>
        <w:tc>
          <w:tcPr>
            <w:tcW w:w="2000" w:type="dxa"/>
            <w:vAlign w:val="bottom"/>
            <w:shd w:val="clear" w:color="auto" w:fill="0060EC"/>
          </w:tcPr>
          <w:p>
            <w:pPr>
              <w:spacing w:after="0"/>
              <w:rPr>
                <w:sz w:val="6"/>
                <w:szCs w:val="6"/>
                <w:color w:val="auto"/>
              </w:rPr>
            </w:pPr>
          </w:p>
        </w:tc>
        <w:tc>
          <w:tcPr>
            <w:tcW w:w="2660" w:type="dxa"/>
            <w:vAlign w:val="bottom"/>
            <w:shd w:val="clear" w:color="auto" w:fill="0060EC"/>
          </w:tcPr>
          <w:p>
            <w:pPr>
              <w:spacing w:after="0"/>
              <w:rPr>
                <w:sz w:val="6"/>
                <w:szCs w:val="6"/>
                <w:color w:val="auto"/>
              </w:rPr>
            </w:pPr>
          </w:p>
        </w:tc>
        <w:tc>
          <w:tcPr>
            <w:tcW w:w="2640" w:type="dxa"/>
            <w:vAlign w:val="bottom"/>
            <w:shd w:val="clear" w:color="auto" w:fill="0060EC"/>
          </w:tcPr>
          <w:p>
            <w:pPr>
              <w:spacing w:after="0"/>
              <w:rPr>
                <w:sz w:val="6"/>
                <w:szCs w:val="6"/>
                <w:color w:val="auto"/>
              </w:rPr>
            </w:pPr>
          </w:p>
        </w:tc>
      </w:tr>
      <w:tr>
        <w:trPr>
          <w:trHeight w:val="285"/>
        </w:trPr>
        <w:tc>
          <w:tcPr>
            <w:tcW w:w="2260" w:type="dxa"/>
            <w:vAlign w:val="bottom"/>
            <w:shd w:val="clear" w:color="auto" w:fill="E5EFFD"/>
          </w:tcPr>
          <w:p>
            <w:pPr>
              <w:ind w:left="60"/>
              <w:spacing w:after="0"/>
              <w:rPr>
                <w:sz w:val="20"/>
                <w:szCs w:val="20"/>
                <w:color w:val="auto"/>
              </w:rPr>
            </w:pPr>
            <w:r>
              <w:rPr>
                <w:rFonts w:ascii="Arial" w:cs="Arial" w:eastAsia="Arial" w:hAnsi="Arial"/>
                <w:sz w:val="16"/>
                <w:szCs w:val="16"/>
                <w:i w:val="1"/>
                <w:iCs w:val="1"/>
                <w:color w:val="auto"/>
              </w:rPr>
              <w:t>Base Salary</w:t>
            </w:r>
          </w:p>
        </w:tc>
        <w:tc>
          <w:tcPr>
            <w:tcW w:w="2000" w:type="dxa"/>
            <w:vAlign w:val="bottom"/>
            <w:shd w:val="clear" w:color="auto" w:fill="E5EFFD"/>
          </w:tcPr>
          <w:p>
            <w:pPr>
              <w:ind w:left="240"/>
              <w:spacing w:after="0"/>
              <w:rPr>
                <w:sz w:val="20"/>
                <w:szCs w:val="20"/>
                <w:color w:val="auto"/>
              </w:rPr>
            </w:pPr>
            <w:r>
              <w:rPr>
                <w:rFonts w:ascii="Arial" w:cs="Arial" w:eastAsia="Arial" w:hAnsi="Arial"/>
                <w:sz w:val="16"/>
                <w:szCs w:val="16"/>
                <w:color w:val="auto"/>
              </w:rPr>
              <w:t>Fixed</w:t>
            </w:r>
          </w:p>
        </w:tc>
        <w:tc>
          <w:tcPr>
            <w:tcW w:w="2660" w:type="dxa"/>
            <w:vAlign w:val="bottom"/>
            <w:shd w:val="clear" w:color="auto" w:fill="E5EFFD"/>
          </w:tcPr>
          <w:p>
            <w:pPr>
              <w:ind w:left="660"/>
              <w:spacing w:after="0"/>
              <w:rPr>
                <w:sz w:val="20"/>
                <w:szCs w:val="20"/>
                <w:color w:val="auto"/>
              </w:rPr>
            </w:pPr>
            <w:r>
              <w:rPr>
                <w:rFonts w:ascii="Arial" w:cs="Arial" w:eastAsia="Arial" w:hAnsi="Arial"/>
                <w:sz w:val="16"/>
                <w:szCs w:val="16"/>
                <w:color w:val="auto"/>
              </w:rPr>
              <w:t>Cash</w:t>
            </w:r>
          </w:p>
        </w:tc>
        <w:tc>
          <w:tcPr>
            <w:tcW w:w="2640" w:type="dxa"/>
            <w:vAlign w:val="bottom"/>
            <w:shd w:val="clear" w:color="auto" w:fill="E5EFFD"/>
          </w:tcPr>
          <w:p>
            <w:pPr>
              <w:ind w:left="400"/>
              <w:spacing w:after="0"/>
              <w:rPr>
                <w:sz w:val="20"/>
                <w:szCs w:val="20"/>
                <w:color w:val="auto"/>
              </w:rPr>
            </w:pPr>
            <w:r>
              <w:rPr>
                <w:rFonts w:ascii="Arial" w:cs="Arial" w:eastAsia="Arial" w:hAnsi="Arial"/>
                <w:sz w:val="16"/>
                <w:szCs w:val="16"/>
                <w:color w:val="auto"/>
              </w:rPr>
              <w:t>Attract and retain highly</w:t>
            </w:r>
          </w:p>
        </w:tc>
      </w:tr>
      <w:tr>
        <w:trPr>
          <w:trHeight w:val="189"/>
        </w:trPr>
        <w:tc>
          <w:tcPr>
            <w:tcW w:w="2260" w:type="dxa"/>
            <w:vAlign w:val="bottom"/>
            <w:shd w:val="clear" w:color="auto" w:fill="E5EFFD"/>
          </w:tcPr>
          <w:p>
            <w:pPr>
              <w:spacing w:after="0"/>
              <w:rPr>
                <w:sz w:val="16"/>
                <w:szCs w:val="16"/>
                <w:color w:val="auto"/>
              </w:rPr>
            </w:pPr>
          </w:p>
        </w:tc>
        <w:tc>
          <w:tcPr>
            <w:tcW w:w="2000" w:type="dxa"/>
            <w:vAlign w:val="bottom"/>
            <w:shd w:val="clear" w:color="auto" w:fill="E5EFFD"/>
          </w:tcPr>
          <w:p>
            <w:pPr>
              <w:spacing w:after="0"/>
              <w:rPr>
                <w:sz w:val="16"/>
                <w:szCs w:val="16"/>
                <w:color w:val="auto"/>
              </w:rPr>
            </w:pPr>
          </w:p>
        </w:tc>
        <w:tc>
          <w:tcPr>
            <w:tcW w:w="2660" w:type="dxa"/>
            <w:vAlign w:val="bottom"/>
            <w:shd w:val="clear" w:color="auto" w:fill="E5EFFD"/>
          </w:tcPr>
          <w:p>
            <w:pPr>
              <w:spacing w:after="0"/>
              <w:rPr>
                <w:sz w:val="16"/>
                <w:szCs w:val="16"/>
                <w:color w:val="auto"/>
              </w:rPr>
            </w:pPr>
          </w:p>
        </w:tc>
        <w:tc>
          <w:tcPr>
            <w:tcW w:w="2640" w:type="dxa"/>
            <w:vAlign w:val="bottom"/>
            <w:shd w:val="clear" w:color="auto" w:fill="E5EFFD"/>
          </w:tcPr>
          <w:p>
            <w:pPr>
              <w:ind w:left="400"/>
              <w:spacing w:after="0"/>
              <w:rPr>
                <w:sz w:val="20"/>
                <w:szCs w:val="20"/>
                <w:color w:val="auto"/>
              </w:rPr>
            </w:pPr>
            <w:r>
              <w:rPr>
                <w:rFonts w:ascii="Arial" w:cs="Arial" w:eastAsia="Arial" w:hAnsi="Arial"/>
                <w:sz w:val="16"/>
                <w:szCs w:val="16"/>
                <w:color w:val="auto"/>
              </w:rPr>
              <w:t>talented executives by</w:t>
            </w:r>
          </w:p>
        </w:tc>
      </w:tr>
      <w:tr>
        <w:trPr>
          <w:trHeight w:val="189"/>
        </w:trPr>
        <w:tc>
          <w:tcPr>
            <w:tcW w:w="2260" w:type="dxa"/>
            <w:vAlign w:val="bottom"/>
            <w:shd w:val="clear" w:color="auto" w:fill="E5EFFD"/>
          </w:tcPr>
          <w:p>
            <w:pPr>
              <w:spacing w:after="0"/>
              <w:rPr>
                <w:sz w:val="16"/>
                <w:szCs w:val="16"/>
                <w:color w:val="auto"/>
              </w:rPr>
            </w:pPr>
          </w:p>
        </w:tc>
        <w:tc>
          <w:tcPr>
            <w:tcW w:w="2000" w:type="dxa"/>
            <w:vAlign w:val="bottom"/>
            <w:shd w:val="clear" w:color="auto" w:fill="E5EFFD"/>
          </w:tcPr>
          <w:p>
            <w:pPr>
              <w:spacing w:after="0"/>
              <w:rPr>
                <w:sz w:val="16"/>
                <w:szCs w:val="16"/>
                <w:color w:val="auto"/>
              </w:rPr>
            </w:pPr>
          </w:p>
        </w:tc>
        <w:tc>
          <w:tcPr>
            <w:tcW w:w="2660" w:type="dxa"/>
            <w:vAlign w:val="bottom"/>
            <w:shd w:val="clear" w:color="auto" w:fill="E5EFFD"/>
          </w:tcPr>
          <w:p>
            <w:pPr>
              <w:spacing w:after="0"/>
              <w:rPr>
                <w:sz w:val="16"/>
                <w:szCs w:val="16"/>
                <w:color w:val="auto"/>
              </w:rPr>
            </w:pPr>
          </w:p>
        </w:tc>
        <w:tc>
          <w:tcPr>
            <w:tcW w:w="2640" w:type="dxa"/>
            <w:vAlign w:val="bottom"/>
            <w:shd w:val="clear" w:color="auto" w:fill="E5EFFD"/>
          </w:tcPr>
          <w:p>
            <w:pPr>
              <w:ind w:left="400"/>
              <w:spacing w:after="0"/>
              <w:rPr>
                <w:sz w:val="20"/>
                <w:szCs w:val="20"/>
                <w:color w:val="auto"/>
              </w:rPr>
            </w:pPr>
            <w:r>
              <w:rPr>
                <w:rFonts w:ascii="Arial" w:cs="Arial" w:eastAsia="Arial" w:hAnsi="Arial"/>
                <w:sz w:val="16"/>
                <w:szCs w:val="16"/>
                <w:color w:val="auto"/>
              </w:rPr>
              <w:t>providing fixed compensation</w:t>
            </w:r>
          </w:p>
        </w:tc>
      </w:tr>
      <w:tr>
        <w:trPr>
          <w:trHeight w:val="189"/>
        </w:trPr>
        <w:tc>
          <w:tcPr>
            <w:tcW w:w="2260" w:type="dxa"/>
            <w:vAlign w:val="bottom"/>
            <w:shd w:val="clear" w:color="auto" w:fill="E5EFFD"/>
          </w:tcPr>
          <w:p>
            <w:pPr>
              <w:spacing w:after="0"/>
              <w:rPr>
                <w:sz w:val="16"/>
                <w:szCs w:val="16"/>
                <w:color w:val="auto"/>
              </w:rPr>
            </w:pPr>
          </w:p>
        </w:tc>
        <w:tc>
          <w:tcPr>
            <w:tcW w:w="2000" w:type="dxa"/>
            <w:vAlign w:val="bottom"/>
            <w:shd w:val="clear" w:color="auto" w:fill="E5EFFD"/>
          </w:tcPr>
          <w:p>
            <w:pPr>
              <w:spacing w:after="0"/>
              <w:rPr>
                <w:sz w:val="16"/>
                <w:szCs w:val="16"/>
                <w:color w:val="auto"/>
              </w:rPr>
            </w:pPr>
          </w:p>
        </w:tc>
        <w:tc>
          <w:tcPr>
            <w:tcW w:w="2660" w:type="dxa"/>
            <w:vAlign w:val="bottom"/>
            <w:shd w:val="clear" w:color="auto" w:fill="E5EFFD"/>
          </w:tcPr>
          <w:p>
            <w:pPr>
              <w:spacing w:after="0"/>
              <w:rPr>
                <w:sz w:val="16"/>
                <w:szCs w:val="16"/>
                <w:color w:val="auto"/>
              </w:rPr>
            </w:pPr>
          </w:p>
        </w:tc>
        <w:tc>
          <w:tcPr>
            <w:tcW w:w="2640" w:type="dxa"/>
            <w:vAlign w:val="bottom"/>
            <w:shd w:val="clear" w:color="auto" w:fill="E5EFFD"/>
          </w:tcPr>
          <w:p>
            <w:pPr>
              <w:ind w:left="400"/>
              <w:spacing w:after="0"/>
              <w:rPr>
                <w:sz w:val="20"/>
                <w:szCs w:val="20"/>
                <w:color w:val="auto"/>
              </w:rPr>
            </w:pPr>
            <w:r>
              <w:rPr>
                <w:rFonts w:ascii="Arial" w:cs="Arial" w:eastAsia="Arial" w:hAnsi="Arial"/>
                <w:sz w:val="16"/>
                <w:szCs w:val="16"/>
                <w:color w:val="auto"/>
              </w:rPr>
              <w:t>amounts that are competitive</w:t>
            </w:r>
          </w:p>
        </w:tc>
      </w:tr>
      <w:tr>
        <w:trPr>
          <w:trHeight w:val="189"/>
        </w:trPr>
        <w:tc>
          <w:tcPr>
            <w:tcW w:w="2260" w:type="dxa"/>
            <w:vAlign w:val="bottom"/>
            <w:shd w:val="clear" w:color="auto" w:fill="E5EFFD"/>
          </w:tcPr>
          <w:p>
            <w:pPr>
              <w:spacing w:after="0"/>
              <w:rPr>
                <w:sz w:val="16"/>
                <w:szCs w:val="16"/>
                <w:color w:val="auto"/>
              </w:rPr>
            </w:pPr>
          </w:p>
        </w:tc>
        <w:tc>
          <w:tcPr>
            <w:tcW w:w="2000" w:type="dxa"/>
            <w:vAlign w:val="bottom"/>
            <w:shd w:val="clear" w:color="auto" w:fill="E5EFFD"/>
          </w:tcPr>
          <w:p>
            <w:pPr>
              <w:spacing w:after="0"/>
              <w:rPr>
                <w:sz w:val="16"/>
                <w:szCs w:val="16"/>
                <w:color w:val="auto"/>
              </w:rPr>
            </w:pPr>
          </w:p>
        </w:tc>
        <w:tc>
          <w:tcPr>
            <w:tcW w:w="2660" w:type="dxa"/>
            <w:vAlign w:val="bottom"/>
            <w:shd w:val="clear" w:color="auto" w:fill="E5EFFD"/>
          </w:tcPr>
          <w:p>
            <w:pPr>
              <w:spacing w:after="0"/>
              <w:rPr>
                <w:sz w:val="16"/>
                <w:szCs w:val="16"/>
                <w:color w:val="auto"/>
              </w:rPr>
            </w:pPr>
          </w:p>
        </w:tc>
        <w:tc>
          <w:tcPr>
            <w:tcW w:w="2640" w:type="dxa"/>
            <w:vAlign w:val="bottom"/>
            <w:shd w:val="clear" w:color="auto" w:fill="E5EFFD"/>
          </w:tcPr>
          <w:p>
            <w:pPr>
              <w:ind w:left="400"/>
              <w:spacing w:after="0"/>
              <w:rPr>
                <w:sz w:val="20"/>
                <w:szCs w:val="20"/>
                <w:color w:val="auto"/>
              </w:rPr>
            </w:pPr>
            <w:r>
              <w:rPr>
                <w:rFonts w:ascii="Arial" w:cs="Arial" w:eastAsia="Arial" w:hAnsi="Arial"/>
                <w:sz w:val="16"/>
                <w:szCs w:val="16"/>
                <w:color w:val="auto"/>
              </w:rPr>
              <w:t>in the market and reward</w:t>
            </w:r>
          </w:p>
        </w:tc>
      </w:tr>
      <w:tr>
        <w:trPr>
          <w:trHeight w:val="195"/>
        </w:trPr>
        <w:tc>
          <w:tcPr>
            <w:tcW w:w="2260" w:type="dxa"/>
            <w:vAlign w:val="bottom"/>
            <w:shd w:val="clear" w:color="auto" w:fill="E5EFFD"/>
          </w:tcPr>
          <w:p>
            <w:pPr>
              <w:spacing w:after="0"/>
              <w:rPr>
                <w:sz w:val="16"/>
                <w:szCs w:val="16"/>
                <w:color w:val="auto"/>
              </w:rPr>
            </w:pPr>
          </w:p>
        </w:tc>
        <w:tc>
          <w:tcPr>
            <w:tcW w:w="2000" w:type="dxa"/>
            <w:vAlign w:val="bottom"/>
            <w:shd w:val="clear" w:color="auto" w:fill="E5EFFD"/>
          </w:tcPr>
          <w:p>
            <w:pPr>
              <w:spacing w:after="0"/>
              <w:rPr>
                <w:sz w:val="16"/>
                <w:szCs w:val="16"/>
                <w:color w:val="auto"/>
              </w:rPr>
            </w:pPr>
          </w:p>
        </w:tc>
        <w:tc>
          <w:tcPr>
            <w:tcW w:w="2660" w:type="dxa"/>
            <w:vAlign w:val="bottom"/>
            <w:shd w:val="clear" w:color="auto" w:fill="E5EFFD"/>
          </w:tcPr>
          <w:p>
            <w:pPr>
              <w:spacing w:after="0"/>
              <w:rPr>
                <w:sz w:val="16"/>
                <w:szCs w:val="16"/>
                <w:color w:val="auto"/>
              </w:rPr>
            </w:pPr>
          </w:p>
        </w:tc>
        <w:tc>
          <w:tcPr>
            <w:tcW w:w="2640" w:type="dxa"/>
            <w:vAlign w:val="bottom"/>
            <w:shd w:val="clear" w:color="auto" w:fill="E5EFFD"/>
          </w:tcPr>
          <w:p>
            <w:pPr>
              <w:ind w:left="400"/>
              <w:spacing w:after="0"/>
              <w:rPr>
                <w:sz w:val="20"/>
                <w:szCs w:val="20"/>
                <w:color w:val="auto"/>
              </w:rPr>
            </w:pPr>
            <w:r>
              <w:rPr>
                <w:rFonts w:ascii="Arial" w:cs="Arial" w:eastAsia="Arial" w:hAnsi="Arial"/>
                <w:sz w:val="16"/>
                <w:szCs w:val="16"/>
                <w:color w:val="auto"/>
              </w:rPr>
              <w:t>performance.</w:t>
            </w:r>
          </w:p>
        </w:tc>
      </w:tr>
      <w:tr>
        <w:trPr>
          <w:trHeight w:val="87"/>
        </w:trPr>
        <w:tc>
          <w:tcPr>
            <w:tcW w:w="2260" w:type="dxa"/>
            <w:vAlign w:val="bottom"/>
            <w:shd w:val="clear" w:color="auto" w:fill="E5EFFD"/>
          </w:tcPr>
          <w:p>
            <w:pPr>
              <w:spacing w:after="0"/>
              <w:rPr>
                <w:sz w:val="7"/>
                <w:szCs w:val="7"/>
                <w:color w:val="auto"/>
              </w:rPr>
            </w:pPr>
          </w:p>
        </w:tc>
        <w:tc>
          <w:tcPr>
            <w:tcW w:w="2000" w:type="dxa"/>
            <w:vAlign w:val="bottom"/>
            <w:shd w:val="clear" w:color="auto" w:fill="E5EFFD"/>
          </w:tcPr>
          <w:p>
            <w:pPr>
              <w:spacing w:after="0"/>
              <w:rPr>
                <w:sz w:val="7"/>
                <w:szCs w:val="7"/>
                <w:color w:val="auto"/>
              </w:rPr>
            </w:pPr>
          </w:p>
        </w:tc>
        <w:tc>
          <w:tcPr>
            <w:tcW w:w="2660" w:type="dxa"/>
            <w:vAlign w:val="bottom"/>
            <w:shd w:val="clear" w:color="auto" w:fill="E5EFFD"/>
          </w:tcPr>
          <w:p>
            <w:pPr>
              <w:spacing w:after="0"/>
              <w:rPr>
                <w:sz w:val="7"/>
                <w:szCs w:val="7"/>
                <w:color w:val="auto"/>
              </w:rPr>
            </w:pPr>
          </w:p>
        </w:tc>
        <w:tc>
          <w:tcPr>
            <w:tcW w:w="2640" w:type="dxa"/>
            <w:vAlign w:val="bottom"/>
            <w:shd w:val="clear" w:color="auto" w:fill="E5EFFD"/>
          </w:tcPr>
          <w:p>
            <w:pPr>
              <w:spacing w:after="0"/>
              <w:rPr>
                <w:sz w:val="7"/>
                <w:szCs w:val="7"/>
                <w:color w:val="auto"/>
              </w:rPr>
            </w:pPr>
          </w:p>
        </w:tc>
      </w:tr>
      <w:tr>
        <w:trPr>
          <w:trHeight w:val="285"/>
        </w:trPr>
        <w:tc>
          <w:tcPr>
            <w:tcW w:w="2260" w:type="dxa"/>
            <w:vAlign w:val="bottom"/>
          </w:tcPr>
          <w:p>
            <w:pPr>
              <w:ind w:left="60"/>
              <w:spacing w:after="0"/>
              <w:rPr>
                <w:sz w:val="20"/>
                <w:szCs w:val="20"/>
                <w:color w:val="auto"/>
              </w:rPr>
            </w:pPr>
            <w:r>
              <w:rPr>
                <w:rFonts w:ascii="Arial" w:cs="Arial" w:eastAsia="Arial" w:hAnsi="Arial"/>
                <w:sz w:val="16"/>
                <w:szCs w:val="16"/>
                <w:i w:val="1"/>
                <w:iCs w:val="1"/>
                <w:color w:val="auto"/>
              </w:rPr>
              <w:t>Annual Cash Bonus</w:t>
            </w:r>
          </w:p>
        </w:tc>
        <w:tc>
          <w:tcPr>
            <w:tcW w:w="2000" w:type="dxa"/>
            <w:vAlign w:val="bottom"/>
          </w:tcPr>
          <w:p>
            <w:pPr>
              <w:ind w:left="240"/>
              <w:spacing w:after="0"/>
              <w:rPr>
                <w:sz w:val="20"/>
                <w:szCs w:val="20"/>
                <w:color w:val="auto"/>
              </w:rPr>
            </w:pPr>
            <w:r>
              <w:rPr>
                <w:rFonts w:ascii="Arial" w:cs="Arial" w:eastAsia="Arial" w:hAnsi="Arial"/>
                <w:sz w:val="16"/>
                <w:szCs w:val="16"/>
                <w:color w:val="auto"/>
              </w:rPr>
              <w:t>Variable</w:t>
            </w:r>
          </w:p>
        </w:tc>
        <w:tc>
          <w:tcPr>
            <w:tcW w:w="2660" w:type="dxa"/>
            <w:vAlign w:val="bottom"/>
          </w:tcPr>
          <w:p>
            <w:pPr>
              <w:ind w:left="660"/>
              <w:spacing w:after="0"/>
              <w:rPr>
                <w:sz w:val="20"/>
                <w:szCs w:val="20"/>
                <w:color w:val="auto"/>
              </w:rPr>
            </w:pPr>
            <w:r>
              <w:rPr>
                <w:rFonts w:ascii="Arial" w:cs="Arial" w:eastAsia="Arial" w:hAnsi="Arial"/>
                <w:sz w:val="16"/>
                <w:szCs w:val="16"/>
                <w:color w:val="auto"/>
              </w:rPr>
              <w:t>Cash</w:t>
            </w:r>
          </w:p>
        </w:tc>
        <w:tc>
          <w:tcPr>
            <w:tcW w:w="2640" w:type="dxa"/>
            <w:vAlign w:val="bottom"/>
          </w:tcPr>
          <w:p>
            <w:pPr>
              <w:ind w:left="400"/>
              <w:spacing w:after="0"/>
              <w:rPr>
                <w:sz w:val="20"/>
                <w:szCs w:val="20"/>
                <w:color w:val="auto"/>
              </w:rPr>
            </w:pPr>
            <w:r>
              <w:rPr>
                <w:rFonts w:ascii="Arial" w:cs="Arial" w:eastAsia="Arial" w:hAnsi="Arial"/>
                <w:sz w:val="16"/>
                <w:szCs w:val="16"/>
                <w:color w:val="auto"/>
              </w:rPr>
              <w:t>Motivate our executives to</w:t>
            </w:r>
          </w:p>
        </w:tc>
      </w:tr>
      <w:tr>
        <w:trPr>
          <w:trHeight w:val="189"/>
        </w:trPr>
        <w:tc>
          <w:tcPr>
            <w:tcW w:w="22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40" w:type="dxa"/>
            <w:vAlign w:val="bottom"/>
          </w:tcPr>
          <w:p>
            <w:pPr>
              <w:ind w:left="400"/>
              <w:spacing w:after="0"/>
              <w:rPr>
                <w:sz w:val="20"/>
                <w:szCs w:val="20"/>
                <w:color w:val="auto"/>
              </w:rPr>
            </w:pPr>
            <w:r>
              <w:rPr>
                <w:rFonts w:ascii="Arial" w:cs="Arial" w:eastAsia="Arial" w:hAnsi="Arial"/>
                <w:sz w:val="16"/>
                <w:szCs w:val="16"/>
                <w:color w:val="auto"/>
              </w:rPr>
              <w:t>achieve annual business</w:t>
            </w:r>
          </w:p>
        </w:tc>
      </w:tr>
      <w:tr>
        <w:trPr>
          <w:trHeight w:val="189"/>
        </w:trPr>
        <w:tc>
          <w:tcPr>
            <w:tcW w:w="22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40" w:type="dxa"/>
            <w:vAlign w:val="bottom"/>
          </w:tcPr>
          <w:p>
            <w:pPr>
              <w:ind w:left="400"/>
              <w:spacing w:after="0"/>
              <w:rPr>
                <w:sz w:val="20"/>
                <w:szCs w:val="20"/>
                <w:color w:val="auto"/>
              </w:rPr>
            </w:pPr>
            <w:r>
              <w:rPr>
                <w:rFonts w:ascii="Arial" w:cs="Arial" w:eastAsia="Arial" w:hAnsi="Arial"/>
                <w:sz w:val="16"/>
                <w:szCs w:val="16"/>
                <w:color w:val="auto"/>
              </w:rPr>
              <w:t>objectives set forth in our</w:t>
            </w:r>
          </w:p>
        </w:tc>
      </w:tr>
      <w:tr>
        <w:trPr>
          <w:trHeight w:val="189"/>
        </w:trPr>
        <w:tc>
          <w:tcPr>
            <w:tcW w:w="22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40" w:type="dxa"/>
            <w:vAlign w:val="bottom"/>
          </w:tcPr>
          <w:p>
            <w:pPr>
              <w:ind w:left="400"/>
              <w:spacing w:after="0"/>
              <w:rPr>
                <w:sz w:val="20"/>
                <w:szCs w:val="20"/>
                <w:color w:val="auto"/>
              </w:rPr>
            </w:pPr>
            <w:r>
              <w:rPr>
                <w:rFonts w:ascii="Arial" w:cs="Arial" w:eastAsia="Arial" w:hAnsi="Arial"/>
                <w:sz w:val="16"/>
                <w:szCs w:val="16"/>
                <w:color w:val="auto"/>
              </w:rPr>
              <w:t>annual operating plan and</w:t>
            </w:r>
          </w:p>
        </w:tc>
      </w:tr>
      <w:tr>
        <w:trPr>
          <w:trHeight w:val="189"/>
        </w:trPr>
        <w:tc>
          <w:tcPr>
            <w:tcW w:w="22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40" w:type="dxa"/>
            <w:vAlign w:val="bottom"/>
          </w:tcPr>
          <w:p>
            <w:pPr>
              <w:ind w:left="400"/>
              <w:spacing w:after="0"/>
              <w:rPr>
                <w:sz w:val="20"/>
                <w:szCs w:val="20"/>
                <w:color w:val="auto"/>
              </w:rPr>
            </w:pPr>
            <w:r>
              <w:rPr>
                <w:rFonts w:ascii="Arial" w:cs="Arial" w:eastAsia="Arial" w:hAnsi="Arial"/>
                <w:sz w:val="16"/>
                <w:szCs w:val="16"/>
                <w:color w:val="auto"/>
              </w:rPr>
              <w:t>provide financial incentives</w:t>
            </w:r>
          </w:p>
        </w:tc>
      </w:tr>
      <w:tr>
        <w:trPr>
          <w:trHeight w:val="189"/>
        </w:trPr>
        <w:tc>
          <w:tcPr>
            <w:tcW w:w="22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40" w:type="dxa"/>
            <w:vAlign w:val="bottom"/>
          </w:tcPr>
          <w:p>
            <w:pPr>
              <w:ind w:left="400"/>
              <w:spacing w:after="0"/>
              <w:rPr>
                <w:sz w:val="20"/>
                <w:szCs w:val="20"/>
                <w:color w:val="auto"/>
              </w:rPr>
            </w:pPr>
            <w:r>
              <w:rPr>
                <w:rFonts w:ascii="Arial" w:cs="Arial" w:eastAsia="Arial" w:hAnsi="Arial"/>
                <w:sz w:val="16"/>
                <w:szCs w:val="16"/>
                <w:color w:val="auto"/>
              </w:rPr>
              <w:t>when we meet or exceed</w:t>
            </w:r>
          </w:p>
        </w:tc>
      </w:tr>
      <w:tr>
        <w:trPr>
          <w:trHeight w:val="195"/>
        </w:trPr>
        <w:tc>
          <w:tcPr>
            <w:tcW w:w="22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40" w:type="dxa"/>
            <w:vAlign w:val="bottom"/>
          </w:tcPr>
          <w:p>
            <w:pPr>
              <w:ind w:left="400"/>
              <w:spacing w:after="0"/>
              <w:rPr>
                <w:sz w:val="20"/>
                <w:szCs w:val="20"/>
                <w:color w:val="auto"/>
              </w:rPr>
            </w:pPr>
            <w:r>
              <w:rPr>
                <w:rFonts w:ascii="Arial" w:cs="Arial" w:eastAsia="Arial" w:hAnsi="Arial"/>
                <w:sz w:val="16"/>
                <w:szCs w:val="16"/>
                <w:color w:val="auto"/>
              </w:rPr>
              <w:t>these annual objectives.</w:t>
            </w:r>
          </w:p>
        </w:tc>
      </w:tr>
      <w:tr>
        <w:trPr>
          <w:trHeight w:val="87"/>
        </w:trPr>
        <w:tc>
          <w:tcPr>
            <w:tcW w:w="2260" w:type="dxa"/>
            <w:vAlign w:val="bottom"/>
          </w:tcPr>
          <w:p>
            <w:pPr>
              <w:spacing w:after="0"/>
              <w:rPr>
                <w:sz w:val="7"/>
                <w:szCs w:val="7"/>
                <w:color w:val="auto"/>
              </w:rPr>
            </w:pPr>
          </w:p>
        </w:tc>
        <w:tc>
          <w:tcPr>
            <w:tcW w:w="200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640" w:type="dxa"/>
            <w:vAlign w:val="bottom"/>
          </w:tcPr>
          <w:p>
            <w:pPr>
              <w:spacing w:after="0"/>
              <w:rPr>
                <w:sz w:val="7"/>
                <w:szCs w:val="7"/>
                <w:color w:val="auto"/>
              </w:rPr>
            </w:pPr>
          </w:p>
        </w:tc>
      </w:tr>
      <w:tr>
        <w:trPr>
          <w:trHeight w:val="269"/>
        </w:trPr>
        <w:tc>
          <w:tcPr>
            <w:tcW w:w="2260" w:type="dxa"/>
            <w:vAlign w:val="bottom"/>
            <w:shd w:val="clear" w:color="auto" w:fill="E5EFFD"/>
          </w:tcPr>
          <w:p>
            <w:pPr>
              <w:ind w:left="60"/>
              <w:spacing w:after="0"/>
              <w:rPr>
                <w:sz w:val="20"/>
                <w:szCs w:val="20"/>
                <w:color w:val="auto"/>
              </w:rPr>
            </w:pPr>
            <w:r>
              <w:rPr>
                <w:rFonts w:ascii="Arial" w:cs="Arial" w:eastAsia="Arial" w:hAnsi="Arial"/>
                <w:sz w:val="16"/>
                <w:szCs w:val="16"/>
                <w:i w:val="1"/>
                <w:iCs w:val="1"/>
                <w:color w:val="auto"/>
              </w:rPr>
              <w:t>Long-Term Equity Incentive</w:t>
            </w:r>
          </w:p>
        </w:tc>
        <w:tc>
          <w:tcPr>
            <w:tcW w:w="2000" w:type="dxa"/>
            <w:vAlign w:val="bottom"/>
            <w:shd w:val="clear" w:color="auto" w:fill="E5EFFD"/>
          </w:tcPr>
          <w:p>
            <w:pPr>
              <w:ind w:left="240"/>
              <w:spacing w:after="0"/>
              <w:rPr>
                <w:sz w:val="20"/>
                <w:szCs w:val="20"/>
                <w:color w:val="auto"/>
              </w:rPr>
            </w:pPr>
            <w:r>
              <w:rPr>
                <w:rFonts w:ascii="Arial" w:cs="Arial" w:eastAsia="Arial" w:hAnsi="Arial"/>
                <w:sz w:val="16"/>
                <w:szCs w:val="16"/>
                <w:color w:val="auto"/>
              </w:rPr>
              <w:t>Variable</w:t>
            </w:r>
          </w:p>
        </w:tc>
        <w:tc>
          <w:tcPr>
            <w:tcW w:w="2660" w:type="dxa"/>
            <w:vAlign w:val="bottom"/>
            <w:shd w:val="clear" w:color="auto" w:fill="E5EFFD"/>
          </w:tcPr>
          <w:p>
            <w:pPr>
              <w:ind w:left="660"/>
              <w:spacing w:after="0"/>
              <w:rPr>
                <w:sz w:val="20"/>
                <w:szCs w:val="20"/>
                <w:color w:val="auto"/>
              </w:rPr>
            </w:pPr>
            <w:r>
              <w:rPr>
                <w:rFonts w:ascii="Arial" w:cs="Arial" w:eastAsia="Arial" w:hAnsi="Arial"/>
                <w:sz w:val="16"/>
                <w:szCs w:val="16"/>
                <w:color w:val="auto"/>
              </w:rPr>
              <w:t>Equity</w:t>
            </w:r>
          </w:p>
        </w:tc>
        <w:tc>
          <w:tcPr>
            <w:tcW w:w="2640" w:type="dxa"/>
            <w:vAlign w:val="bottom"/>
            <w:shd w:val="clear" w:color="auto" w:fill="E5EFFD"/>
          </w:tcPr>
          <w:p>
            <w:pPr>
              <w:ind w:left="400"/>
              <w:spacing w:after="0"/>
              <w:rPr>
                <w:sz w:val="20"/>
                <w:szCs w:val="20"/>
                <w:color w:val="auto"/>
              </w:rPr>
            </w:pPr>
            <w:r>
              <w:rPr>
                <w:rFonts w:ascii="Arial" w:cs="Arial" w:eastAsia="Arial" w:hAnsi="Arial"/>
                <w:sz w:val="16"/>
                <w:szCs w:val="16"/>
                <w:color w:val="auto"/>
              </w:rPr>
              <w:t>Align the interests of our</w:t>
            </w:r>
          </w:p>
        </w:tc>
      </w:tr>
      <w:tr>
        <w:trPr>
          <w:trHeight w:val="205"/>
        </w:trPr>
        <w:tc>
          <w:tcPr>
            <w:tcW w:w="2260" w:type="dxa"/>
            <w:vAlign w:val="bottom"/>
            <w:shd w:val="clear" w:color="auto" w:fill="E5EFFD"/>
          </w:tcPr>
          <w:p>
            <w:pPr>
              <w:ind w:left="60"/>
              <w:spacing w:after="0"/>
              <w:rPr>
                <w:sz w:val="20"/>
                <w:szCs w:val="20"/>
                <w:color w:val="auto"/>
              </w:rPr>
            </w:pPr>
            <w:r>
              <w:rPr>
                <w:rFonts w:ascii="Arial" w:cs="Arial" w:eastAsia="Arial" w:hAnsi="Arial"/>
                <w:sz w:val="16"/>
                <w:szCs w:val="16"/>
                <w:i w:val="1"/>
                <w:iCs w:val="1"/>
                <w:color w:val="auto"/>
              </w:rPr>
              <w:t>Compensation</w:t>
            </w:r>
          </w:p>
        </w:tc>
        <w:tc>
          <w:tcPr>
            <w:tcW w:w="2000" w:type="dxa"/>
            <w:vAlign w:val="bottom"/>
            <w:shd w:val="clear" w:color="auto" w:fill="E5EFFD"/>
          </w:tcPr>
          <w:p>
            <w:pPr>
              <w:spacing w:after="0"/>
              <w:rPr>
                <w:sz w:val="17"/>
                <w:szCs w:val="17"/>
                <w:color w:val="auto"/>
              </w:rPr>
            </w:pPr>
          </w:p>
        </w:tc>
        <w:tc>
          <w:tcPr>
            <w:tcW w:w="2660" w:type="dxa"/>
            <w:vAlign w:val="bottom"/>
            <w:shd w:val="clear" w:color="auto" w:fill="E5EFFD"/>
          </w:tcPr>
          <w:p>
            <w:pPr>
              <w:spacing w:after="0"/>
              <w:rPr>
                <w:sz w:val="17"/>
                <w:szCs w:val="17"/>
                <w:color w:val="auto"/>
              </w:rPr>
            </w:pPr>
          </w:p>
        </w:tc>
        <w:tc>
          <w:tcPr>
            <w:tcW w:w="2640" w:type="dxa"/>
            <w:vAlign w:val="bottom"/>
            <w:shd w:val="clear" w:color="auto" w:fill="E5EFFD"/>
          </w:tcPr>
          <w:p>
            <w:pPr>
              <w:ind w:left="400"/>
              <w:spacing w:after="0"/>
              <w:rPr>
                <w:sz w:val="20"/>
                <w:szCs w:val="20"/>
                <w:color w:val="auto"/>
              </w:rPr>
            </w:pPr>
            <w:r>
              <w:rPr>
                <w:rFonts w:ascii="Arial" w:cs="Arial" w:eastAsia="Arial" w:hAnsi="Arial"/>
                <w:sz w:val="16"/>
                <w:szCs w:val="16"/>
                <w:color w:val="auto"/>
              </w:rPr>
              <w:t>executives and our</w:t>
            </w:r>
          </w:p>
        </w:tc>
      </w:tr>
      <w:tr>
        <w:trPr>
          <w:trHeight w:val="189"/>
        </w:trPr>
        <w:tc>
          <w:tcPr>
            <w:tcW w:w="2260" w:type="dxa"/>
            <w:vAlign w:val="bottom"/>
            <w:shd w:val="clear" w:color="auto" w:fill="E5EFFD"/>
          </w:tcPr>
          <w:p>
            <w:pPr>
              <w:spacing w:after="0"/>
              <w:rPr>
                <w:sz w:val="16"/>
                <w:szCs w:val="16"/>
                <w:color w:val="auto"/>
              </w:rPr>
            </w:pPr>
          </w:p>
        </w:tc>
        <w:tc>
          <w:tcPr>
            <w:tcW w:w="2000" w:type="dxa"/>
            <w:vAlign w:val="bottom"/>
            <w:shd w:val="clear" w:color="auto" w:fill="E5EFFD"/>
          </w:tcPr>
          <w:p>
            <w:pPr>
              <w:spacing w:after="0"/>
              <w:rPr>
                <w:sz w:val="16"/>
                <w:szCs w:val="16"/>
                <w:color w:val="auto"/>
              </w:rPr>
            </w:pPr>
          </w:p>
        </w:tc>
        <w:tc>
          <w:tcPr>
            <w:tcW w:w="2660" w:type="dxa"/>
            <w:vAlign w:val="bottom"/>
            <w:shd w:val="clear" w:color="auto" w:fill="E5EFFD"/>
          </w:tcPr>
          <w:p>
            <w:pPr>
              <w:spacing w:after="0"/>
              <w:rPr>
                <w:sz w:val="16"/>
                <w:szCs w:val="16"/>
                <w:color w:val="auto"/>
              </w:rPr>
            </w:pPr>
          </w:p>
        </w:tc>
        <w:tc>
          <w:tcPr>
            <w:tcW w:w="2640" w:type="dxa"/>
            <w:vAlign w:val="bottom"/>
            <w:shd w:val="clear" w:color="auto" w:fill="E5EFFD"/>
          </w:tcPr>
          <w:p>
            <w:pPr>
              <w:ind w:left="400"/>
              <w:spacing w:after="0"/>
              <w:rPr>
                <w:sz w:val="20"/>
                <w:szCs w:val="20"/>
                <w:color w:val="auto"/>
              </w:rPr>
            </w:pPr>
            <w:r>
              <w:rPr>
                <w:rFonts w:ascii="Arial" w:cs="Arial" w:eastAsia="Arial" w:hAnsi="Arial"/>
                <w:sz w:val="16"/>
                <w:szCs w:val="16"/>
                <w:color w:val="auto"/>
              </w:rPr>
              <w:t>stockholders by motivating</w:t>
            </w:r>
          </w:p>
        </w:tc>
      </w:tr>
      <w:tr>
        <w:trPr>
          <w:trHeight w:val="189"/>
        </w:trPr>
        <w:tc>
          <w:tcPr>
            <w:tcW w:w="2260" w:type="dxa"/>
            <w:vAlign w:val="bottom"/>
            <w:shd w:val="clear" w:color="auto" w:fill="E5EFFD"/>
          </w:tcPr>
          <w:p>
            <w:pPr>
              <w:spacing w:after="0"/>
              <w:rPr>
                <w:sz w:val="16"/>
                <w:szCs w:val="16"/>
                <w:color w:val="auto"/>
              </w:rPr>
            </w:pPr>
          </w:p>
        </w:tc>
        <w:tc>
          <w:tcPr>
            <w:tcW w:w="2000" w:type="dxa"/>
            <w:vAlign w:val="bottom"/>
            <w:shd w:val="clear" w:color="auto" w:fill="E5EFFD"/>
          </w:tcPr>
          <w:p>
            <w:pPr>
              <w:spacing w:after="0"/>
              <w:rPr>
                <w:sz w:val="16"/>
                <w:szCs w:val="16"/>
                <w:color w:val="auto"/>
              </w:rPr>
            </w:pPr>
          </w:p>
        </w:tc>
        <w:tc>
          <w:tcPr>
            <w:tcW w:w="2660" w:type="dxa"/>
            <w:vAlign w:val="bottom"/>
            <w:shd w:val="clear" w:color="auto" w:fill="E5EFFD"/>
          </w:tcPr>
          <w:p>
            <w:pPr>
              <w:spacing w:after="0"/>
              <w:rPr>
                <w:sz w:val="16"/>
                <w:szCs w:val="16"/>
                <w:color w:val="auto"/>
              </w:rPr>
            </w:pPr>
          </w:p>
        </w:tc>
        <w:tc>
          <w:tcPr>
            <w:tcW w:w="2640" w:type="dxa"/>
            <w:vAlign w:val="bottom"/>
            <w:shd w:val="clear" w:color="auto" w:fill="E5EFFD"/>
          </w:tcPr>
          <w:p>
            <w:pPr>
              <w:ind w:left="400"/>
              <w:spacing w:after="0"/>
              <w:rPr>
                <w:sz w:val="20"/>
                <w:szCs w:val="20"/>
                <w:color w:val="auto"/>
              </w:rPr>
            </w:pPr>
            <w:r>
              <w:rPr>
                <w:rFonts w:ascii="Arial" w:cs="Arial" w:eastAsia="Arial" w:hAnsi="Arial"/>
                <w:sz w:val="16"/>
                <w:szCs w:val="16"/>
                <w:color w:val="auto"/>
              </w:rPr>
              <w:t>them to create sustainable</w:t>
            </w:r>
          </w:p>
        </w:tc>
      </w:tr>
      <w:tr>
        <w:trPr>
          <w:trHeight w:val="201"/>
        </w:trPr>
        <w:tc>
          <w:tcPr>
            <w:tcW w:w="2260" w:type="dxa"/>
            <w:vAlign w:val="bottom"/>
            <w:shd w:val="clear" w:color="auto" w:fill="E5EFFD"/>
          </w:tcPr>
          <w:p>
            <w:pPr>
              <w:spacing w:after="0"/>
              <w:rPr>
                <w:sz w:val="17"/>
                <w:szCs w:val="17"/>
                <w:color w:val="auto"/>
              </w:rPr>
            </w:pPr>
          </w:p>
        </w:tc>
        <w:tc>
          <w:tcPr>
            <w:tcW w:w="2000" w:type="dxa"/>
            <w:vAlign w:val="bottom"/>
            <w:shd w:val="clear" w:color="auto" w:fill="E5EFFD"/>
          </w:tcPr>
          <w:p>
            <w:pPr>
              <w:spacing w:after="0"/>
              <w:rPr>
                <w:sz w:val="17"/>
                <w:szCs w:val="17"/>
                <w:color w:val="auto"/>
              </w:rPr>
            </w:pPr>
          </w:p>
        </w:tc>
        <w:tc>
          <w:tcPr>
            <w:tcW w:w="2660" w:type="dxa"/>
            <w:vAlign w:val="bottom"/>
            <w:shd w:val="clear" w:color="auto" w:fill="E5EFFD"/>
          </w:tcPr>
          <w:p>
            <w:pPr>
              <w:spacing w:after="0"/>
              <w:rPr>
                <w:sz w:val="17"/>
                <w:szCs w:val="17"/>
                <w:color w:val="auto"/>
              </w:rPr>
            </w:pPr>
          </w:p>
        </w:tc>
        <w:tc>
          <w:tcPr>
            <w:tcW w:w="2640" w:type="dxa"/>
            <w:vAlign w:val="bottom"/>
            <w:shd w:val="clear" w:color="auto" w:fill="E5EFFD"/>
          </w:tcPr>
          <w:p>
            <w:pPr>
              <w:ind w:left="400"/>
              <w:spacing w:after="0"/>
              <w:rPr>
                <w:sz w:val="20"/>
                <w:szCs w:val="20"/>
                <w:color w:val="auto"/>
              </w:rPr>
            </w:pPr>
            <w:r>
              <w:rPr>
                <w:rFonts w:ascii="Arial" w:cs="Arial" w:eastAsia="Arial" w:hAnsi="Arial"/>
                <w:sz w:val="16"/>
                <w:szCs w:val="16"/>
                <w:color w:val="auto"/>
              </w:rPr>
              <w:t>long-term stockholder value.</w:t>
            </w:r>
          </w:p>
        </w:tc>
      </w:tr>
    </w:tbl>
    <w:p>
      <w:pPr>
        <w:spacing w:after="0" w:line="30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Mix of Pay</w:t>
      </w:r>
    </w:p>
    <w:p>
      <w:pPr>
        <w:spacing w:after="0" w:line="66" w:lineRule="exact"/>
        <w:rPr>
          <w:sz w:val="20"/>
          <w:szCs w:val="20"/>
          <w:color w:val="auto"/>
        </w:rPr>
      </w:pPr>
    </w:p>
    <w:p>
      <w:pPr>
        <w:ind w:left="4" w:right="100"/>
        <w:spacing w:after="0" w:line="249" w:lineRule="auto"/>
        <w:rPr>
          <w:sz w:val="20"/>
          <w:szCs w:val="20"/>
          <w:color w:val="auto"/>
        </w:rPr>
      </w:pPr>
      <w:r>
        <w:rPr>
          <w:rFonts w:ascii="Arial" w:cs="Arial" w:eastAsia="Arial" w:hAnsi="Arial"/>
          <w:sz w:val="16"/>
          <w:szCs w:val="16"/>
          <w:color w:val="auto"/>
        </w:rPr>
        <w:t>As illustrated in the charts below, our primary focus in compensating executives is on the longer-term and performance-based elements of target total direct compensation. Under our executive compensation program, approximately 90% of target total direct compensation to our Named Executive Officers (excluding our CEO) was variable in the form of annual cash bonus and long-term equity incentive compensation. Our CEO’s mix of pay is weighted equally between base salary and annual bonus. Mr. Houston does not receive annual equity awards due to his significant holdings as a co-founder. Mr. Houston received a co-founder award in December 2017 prior to our IPO. Details of Mr. Houston’s co-founder award is further described in “</w:t>
      </w:r>
      <w:r>
        <w:rPr>
          <w:rFonts w:ascii="Arial" w:cs="Arial" w:eastAsia="Arial" w:hAnsi="Arial"/>
          <w:sz w:val="16"/>
          <w:szCs w:val="16"/>
          <w:i w:val="1"/>
          <w:iCs w:val="1"/>
          <w:color w:val="auto"/>
        </w:rPr>
        <w:t>Co-Founder Grants</w:t>
      </w:r>
      <w:r>
        <w:rPr>
          <w:rFonts w:ascii="Arial" w:cs="Arial" w:eastAsia="Arial" w:hAnsi="Arial"/>
          <w:sz w:val="16"/>
          <w:szCs w:val="16"/>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Base Salary</w:t>
      </w:r>
    </w:p>
    <w:p>
      <w:pPr>
        <w:spacing w:after="0" w:line="52" w:lineRule="exact"/>
        <w:rPr>
          <w:sz w:val="20"/>
          <w:szCs w:val="20"/>
          <w:color w:val="auto"/>
        </w:rPr>
      </w:pPr>
    </w:p>
    <w:p>
      <w:pPr>
        <w:ind w:left="4" w:right="20"/>
        <w:spacing w:after="0" w:line="260" w:lineRule="auto"/>
        <w:rPr>
          <w:sz w:val="20"/>
          <w:szCs w:val="20"/>
          <w:color w:val="auto"/>
        </w:rPr>
      </w:pPr>
      <w:r>
        <w:rPr>
          <w:rFonts w:ascii="Arial" w:cs="Arial" w:eastAsia="Arial" w:hAnsi="Arial"/>
          <w:sz w:val="16"/>
          <w:szCs w:val="16"/>
          <w:color w:val="auto"/>
        </w:rPr>
        <w:t>We use base salary to provide each executive officer with a specified level of cash compensation during the year with the expectation that they will perform their responsibilities to the best of their ability and in our best interests.</w:t>
      </w:r>
    </w:p>
    <w:p>
      <w:pPr>
        <w:spacing w:after="0" w:line="141" w:lineRule="exact"/>
        <w:rPr>
          <w:sz w:val="20"/>
          <w:szCs w:val="20"/>
          <w:color w:val="auto"/>
        </w:rPr>
      </w:pPr>
    </w:p>
    <w:p>
      <w:pPr>
        <w:ind w:left="4"/>
        <w:spacing w:after="0" w:line="251" w:lineRule="auto"/>
        <w:rPr>
          <w:sz w:val="20"/>
          <w:szCs w:val="20"/>
          <w:color w:val="auto"/>
        </w:rPr>
      </w:pPr>
      <w:r>
        <w:rPr>
          <w:rFonts w:ascii="Arial" w:cs="Arial" w:eastAsia="Arial" w:hAnsi="Arial"/>
          <w:sz w:val="16"/>
          <w:szCs w:val="16"/>
          <w:color w:val="auto"/>
        </w:rPr>
        <w:t>Generally, we establish the initial base salaries of our executive officers through arm’s-length negotiation at the time we hire the individual executive officer, taking into account their position, qualifications, experience, prior salary level, and the base salaries of our other executive officers. Thereafter, the compensation committee reviews the base salaries of our executive officers each year as part of its</w:t>
      </w:r>
    </w:p>
    <w:p>
      <w:pPr>
        <w:sectPr>
          <w:pgSz w:w="11900" w:h="16838" w:orient="portrait"/>
          <w:cols w:equalWidth="0" w:num="1">
            <w:col w:w="9564"/>
          </w:cols>
          <w:pgMar w:left="1156" w:top="265" w:right="1179" w:bottom="1440" w:gutter="0" w:footer="0" w:header="0"/>
        </w:sectPr>
      </w:pPr>
    </w:p>
    <w:p>
      <w:pPr>
        <w:spacing w:after="0" w:line="187" w:lineRule="exact"/>
        <w:rPr>
          <w:sz w:val="20"/>
          <w:szCs w:val="20"/>
          <w:color w:val="auto"/>
        </w:rPr>
      </w:pPr>
    </w:p>
    <w:p>
      <w:pPr>
        <w:ind w:left="524" w:hanging="524"/>
        <w:spacing w:after="0"/>
        <w:tabs>
          <w:tab w:leader="none" w:pos="524"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type w:val="continuous"/>
        </w:sectPr>
      </w:pPr>
    </w:p>
    <w:bookmarkStart w:id="34" w:name="page35"/>
    <w:bookmarkEnd w:id="34"/>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EXECUTIVE COMPENSATION (continued)</w:t>
      </w:r>
    </w:p>
    <w:p>
      <w:pPr>
        <w:spacing w:after="0" w:line="386" w:lineRule="exact"/>
        <w:rPr>
          <w:sz w:val="20"/>
          <w:szCs w:val="20"/>
          <w:color w:val="auto"/>
        </w:rPr>
      </w:pPr>
    </w:p>
    <w:p>
      <w:pPr>
        <w:ind w:left="720" w:right="1020"/>
        <w:spacing w:after="0" w:line="253" w:lineRule="auto"/>
        <w:rPr>
          <w:sz w:val="20"/>
          <w:szCs w:val="20"/>
          <w:color w:val="auto"/>
        </w:rPr>
      </w:pPr>
      <w:r>
        <w:rPr>
          <w:rFonts w:ascii="Arial" w:cs="Arial" w:eastAsia="Arial" w:hAnsi="Arial"/>
          <w:sz w:val="16"/>
          <w:szCs w:val="16"/>
          <w:color w:val="auto"/>
        </w:rPr>
        <w:t>annual compensation review, with input from our chief executive officer (except with respect to his own base salary) and makes adjustments as it determines to be reasonable and necessary to reflect the scope of an executive officer’s performance, individual contributions and responsibilities, position in the case of a promotion, and market conditions.</w:t>
      </w:r>
    </w:p>
    <w:p>
      <w:pPr>
        <w:spacing w:after="0" w:line="147" w:lineRule="exact"/>
        <w:rPr>
          <w:sz w:val="20"/>
          <w:szCs w:val="20"/>
          <w:color w:val="auto"/>
        </w:rPr>
      </w:pPr>
    </w:p>
    <w:p>
      <w:pPr>
        <w:ind w:left="720" w:right="740"/>
        <w:spacing w:after="0" w:line="250" w:lineRule="auto"/>
        <w:rPr>
          <w:sz w:val="20"/>
          <w:szCs w:val="20"/>
          <w:color w:val="auto"/>
        </w:rPr>
      </w:pPr>
      <w:r>
        <w:rPr>
          <w:rFonts w:ascii="Arial" w:cs="Arial" w:eastAsia="Arial" w:hAnsi="Arial"/>
          <w:sz w:val="16"/>
          <w:szCs w:val="16"/>
          <w:color w:val="auto"/>
        </w:rPr>
        <w:t>In February 2019, the compensation committee reviewed the base salaries of our executive officers, including our named executive officers, taking into consideration a competitive market analysis and the recommendations of our chief executive officer, as well as the other factors described in “</w:t>
      </w:r>
      <w:r>
        <w:rPr>
          <w:rFonts w:ascii="Arial" w:cs="Arial" w:eastAsia="Arial" w:hAnsi="Arial"/>
          <w:sz w:val="16"/>
          <w:szCs w:val="16"/>
          <w:i w:val="1"/>
          <w:iCs w:val="1"/>
          <w:color w:val="auto"/>
        </w:rPr>
        <w:t>Compensation-Setting Process—Setting Target Total Direct Compensation,</w:t>
      </w:r>
      <w:r>
        <w:rPr>
          <w:rFonts w:ascii="Arial" w:cs="Arial" w:eastAsia="Arial" w:hAnsi="Arial"/>
          <w:sz w:val="16"/>
          <w:szCs w:val="16"/>
          <w:color w:val="auto"/>
        </w:rPr>
        <w:t>” above. Following this review, in March 2019, the compensation committee approved base salary increases for Mr. Vashee and Ms. Rangan, effective February 1, 2019.</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base salaries of our named executive officers for 2019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139065</wp:posOffset>
            </wp:positionV>
            <wp:extent cx="6077585" cy="1482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7585" cy="1482725"/>
                    </a:xfrm>
                    <a:prstGeom prst="rect">
                      <a:avLst/>
                    </a:prstGeom>
                    <a:noFill/>
                  </pic:spPr>
                </pic:pic>
              </a:graphicData>
            </a:graphic>
          </wp:anchor>
        </w:drawing>
      </w:r>
    </w:p>
    <w:p>
      <w:pPr>
        <w:spacing w:after="0" w:line="199"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4660" w:type="dxa"/>
            <w:vAlign w:val="bottom"/>
            <w:shd w:val="clear" w:color="auto" w:fill="0060EC"/>
          </w:tcPr>
          <w:p>
            <w:pPr>
              <w:spacing w:after="0"/>
              <w:rPr>
                <w:sz w:val="22"/>
                <w:szCs w:val="22"/>
                <w:color w:val="auto"/>
              </w:rPr>
            </w:pPr>
          </w:p>
        </w:tc>
        <w:tc>
          <w:tcPr>
            <w:tcW w:w="2020" w:type="dxa"/>
            <w:vAlign w:val="bottom"/>
            <w:shd w:val="clear" w:color="auto" w:fill="0060EC"/>
          </w:tcPr>
          <w:p>
            <w:pPr>
              <w:spacing w:after="0"/>
              <w:rPr>
                <w:sz w:val="22"/>
                <w:szCs w:val="22"/>
                <w:color w:val="auto"/>
              </w:rPr>
            </w:pPr>
          </w:p>
        </w:tc>
        <w:tc>
          <w:tcPr>
            <w:tcW w:w="1260" w:type="dxa"/>
            <w:vAlign w:val="bottom"/>
            <w:shd w:val="clear" w:color="auto" w:fill="0060EC"/>
          </w:tcPr>
          <w:p>
            <w:pPr>
              <w:jc w:val="right"/>
              <w:ind w:right="82"/>
              <w:spacing w:after="0"/>
              <w:rPr>
                <w:sz w:val="20"/>
                <w:szCs w:val="20"/>
                <w:color w:val="auto"/>
              </w:rPr>
            </w:pPr>
            <w:r>
              <w:rPr>
                <w:rFonts w:ascii="Arial" w:cs="Arial" w:eastAsia="Arial" w:hAnsi="Arial"/>
                <w:sz w:val="14"/>
                <w:szCs w:val="14"/>
                <w:b w:val="1"/>
                <w:bCs w:val="1"/>
                <w:color w:val="FFFFFF"/>
              </w:rPr>
              <w:t>2019 Base</w:t>
            </w:r>
          </w:p>
        </w:tc>
        <w:tc>
          <w:tcPr>
            <w:tcW w:w="1620" w:type="dxa"/>
            <w:vAlign w:val="bottom"/>
            <w:shd w:val="clear" w:color="auto" w:fill="0060EC"/>
          </w:tcPr>
          <w:p>
            <w:pPr>
              <w:spacing w:after="0"/>
              <w:rPr>
                <w:sz w:val="22"/>
                <w:szCs w:val="22"/>
                <w:color w:val="auto"/>
              </w:rPr>
            </w:pPr>
          </w:p>
        </w:tc>
      </w:tr>
      <w:tr>
        <w:trPr>
          <w:trHeight w:val="190"/>
        </w:trPr>
        <w:tc>
          <w:tcPr>
            <w:tcW w:w="4660" w:type="dxa"/>
            <w:vAlign w:val="bottom"/>
            <w:shd w:val="clear" w:color="auto" w:fill="0060EC"/>
          </w:tcPr>
          <w:p>
            <w:pPr>
              <w:ind w:left="20"/>
              <w:spacing w:after="0"/>
              <w:rPr>
                <w:sz w:val="20"/>
                <w:szCs w:val="20"/>
                <w:color w:val="auto"/>
              </w:rPr>
            </w:pPr>
            <w:r>
              <w:rPr>
                <w:rFonts w:ascii="Arial" w:cs="Arial" w:eastAsia="Arial" w:hAnsi="Arial"/>
                <w:sz w:val="14"/>
                <w:szCs w:val="14"/>
                <w:b w:val="1"/>
                <w:bCs w:val="1"/>
                <w:color w:val="FFFFFF"/>
              </w:rPr>
              <w:t>Named Executive Officer</w:t>
            </w:r>
          </w:p>
        </w:tc>
        <w:tc>
          <w:tcPr>
            <w:tcW w:w="2020" w:type="dxa"/>
            <w:vAlign w:val="bottom"/>
            <w:shd w:val="clear" w:color="auto" w:fill="0060EC"/>
          </w:tcPr>
          <w:p>
            <w:pPr>
              <w:jc w:val="right"/>
              <w:ind w:right="301"/>
              <w:spacing w:after="0"/>
              <w:rPr>
                <w:sz w:val="20"/>
                <w:szCs w:val="20"/>
                <w:color w:val="auto"/>
              </w:rPr>
            </w:pPr>
            <w:r>
              <w:rPr>
                <w:rFonts w:ascii="Arial" w:cs="Arial" w:eastAsia="Arial" w:hAnsi="Arial"/>
                <w:sz w:val="14"/>
                <w:szCs w:val="14"/>
                <w:b w:val="1"/>
                <w:bCs w:val="1"/>
                <w:color w:val="FFFFFF"/>
              </w:rPr>
              <w:t>2018 Base Salary</w:t>
            </w:r>
          </w:p>
        </w:tc>
        <w:tc>
          <w:tcPr>
            <w:tcW w:w="1260" w:type="dxa"/>
            <w:vAlign w:val="bottom"/>
            <w:shd w:val="clear" w:color="auto" w:fill="0060EC"/>
          </w:tcPr>
          <w:p>
            <w:pPr>
              <w:jc w:val="right"/>
              <w:ind w:right="82"/>
              <w:spacing w:after="0"/>
              <w:rPr>
                <w:sz w:val="20"/>
                <w:szCs w:val="20"/>
                <w:color w:val="auto"/>
              </w:rPr>
            </w:pPr>
            <w:r>
              <w:rPr>
                <w:rFonts w:ascii="Arial" w:cs="Arial" w:eastAsia="Arial" w:hAnsi="Arial"/>
                <w:sz w:val="14"/>
                <w:szCs w:val="14"/>
                <w:b w:val="1"/>
                <w:bCs w:val="1"/>
                <w:color w:val="FFFFFF"/>
              </w:rPr>
              <w:t>Salary</w:t>
            </w:r>
          </w:p>
        </w:tc>
        <w:tc>
          <w:tcPr>
            <w:tcW w:w="1620" w:type="dxa"/>
            <w:vAlign w:val="bottom"/>
            <w:shd w:val="clear" w:color="auto" w:fill="0060EC"/>
          </w:tcPr>
          <w:p>
            <w:pPr>
              <w:jc w:val="right"/>
              <w:spacing w:after="0"/>
              <w:rPr>
                <w:sz w:val="20"/>
                <w:szCs w:val="20"/>
                <w:color w:val="auto"/>
              </w:rPr>
            </w:pPr>
            <w:r>
              <w:rPr>
                <w:rFonts w:ascii="Arial" w:cs="Arial" w:eastAsia="Arial" w:hAnsi="Arial"/>
                <w:sz w:val="14"/>
                <w:szCs w:val="14"/>
                <w:b w:val="1"/>
                <w:bCs w:val="1"/>
                <w:color w:val="FFFFFF"/>
              </w:rPr>
              <w:t>Percentage Increase</w:t>
            </w:r>
          </w:p>
        </w:tc>
      </w:tr>
      <w:tr>
        <w:trPr>
          <w:trHeight w:val="79"/>
        </w:trPr>
        <w:tc>
          <w:tcPr>
            <w:tcW w:w="4660" w:type="dxa"/>
            <w:vAlign w:val="bottom"/>
            <w:shd w:val="clear" w:color="auto" w:fill="0060EC"/>
          </w:tcPr>
          <w:p>
            <w:pPr>
              <w:spacing w:after="0"/>
              <w:rPr>
                <w:sz w:val="6"/>
                <w:szCs w:val="6"/>
                <w:color w:val="auto"/>
              </w:rPr>
            </w:pPr>
          </w:p>
        </w:tc>
        <w:tc>
          <w:tcPr>
            <w:tcW w:w="2020" w:type="dxa"/>
            <w:vAlign w:val="bottom"/>
            <w:shd w:val="clear" w:color="auto" w:fill="0060EC"/>
          </w:tcPr>
          <w:p>
            <w:pPr>
              <w:spacing w:after="0"/>
              <w:rPr>
                <w:sz w:val="6"/>
                <w:szCs w:val="6"/>
                <w:color w:val="auto"/>
              </w:rPr>
            </w:pPr>
          </w:p>
        </w:tc>
        <w:tc>
          <w:tcPr>
            <w:tcW w:w="1260" w:type="dxa"/>
            <w:vAlign w:val="bottom"/>
            <w:shd w:val="clear" w:color="auto" w:fill="0060EC"/>
          </w:tcPr>
          <w:p>
            <w:pPr>
              <w:spacing w:after="0"/>
              <w:rPr>
                <w:sz w:val="6"/>
                <w:szCs w:val="6"/>
                <w:color w:val="auto"/>
              </w:rPr>
            </w:pPr>
          </w:p>
        </w:tc>
        <w:tc>
          <w:tcPr>
            <w:tcW w:w="1620" w:type="dxa"/>
            <w:vAlign w:val="bottom"/>
            <w:shd w:val="clear" w:color="auto" w:fill="0060EC"/>
          </w:tcPr>
          <w:p>
            <w:pPr>
              <w:spacing w:after="0"/>
              <w:rPr>
                <w:sz w:val="6"/>
                <w:szCs w:val="6"/>
                <w:color w:val="auto"/>
              </w:rPr>
            </w:pPr>
          </w:p>
        </w:tc>
      </w:tr>
      <w:tr>
        <w:trPr>
          <w:trHeight w:val="291"/>
        </w:trPr>
        <w:tc>
          <w:tcPr>
            <w:tcW w:w="466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Andrew W. Houston</w:t>
            </w:r>
          </w:p>
        </w:tc>
        <w:tc>
          <w:tcPr>
            <w:tcW w:w="2020" w:type="dxa"/>
            <w:vAlign w:val="bottom"/>
            <w:shd w:val="clear" w:color="auto" w:fill="E5EFFD"/>
          </w:tcPr>
          <w:p>
            <w:pPr>
              <w:jc w:val="right"/>
              <w:ind w:right="461"/>
              <w:spacing w:after="0"/>
              <w:rPr>
                <w:sz w:val="20"/>
                <w:szCs w:val="20"/>
                <w:color w:val="auto"/>
              </w:rPr>
            </w:pPr>
            <w:r>
              <w:rPr>
                <w:rFonts w:ascii="Arial" w:cs="Arial" w:eastAsia="Arial" w:hAnsi="Arial"/>
                <w:sz w:val="16"/>
                <w:szCs w:val="16"/>
                <w:color w:val="005CB8"/>
              </w:rPr>
              <w:t>$700,000</w:t>
            </w:r>
          </w:p>
        </w:tc>
        <w:tc>
          <w:tcPr>
            <w:tcW w:w="1260" w:type="dxa"/>
            <w:vAlign w:val="bottom"/>
            <w:shd w:val="clear" w:color="auto" w:fill="E5EFFD"/>
          </w:tcPr>
          <w:p>
            <w:pPr>
              <w:jc w:val="right"/>
              <w:ind w:right="102"/>
              <w:spacing w:after="0"/>
              <w:rPr>
                <w:sz w:val="20"/>
                <w:szCs w:val="20"/>
                <w:color w:val="auto"/>
              </w:rPr>
            </w:pPr>
            <w:r>
              <w:rPr>
                <w:rFonts w:ascii="Arial" w:cs="Arial" w:eastAsia="Arial" w:hAnsi="Arial"/>
                <w:sz w:val="16"/>
                <w:szCs w:val="16"/>
                <w:color w:val="005CB8"/>
              </w:rPr>
              <w:t>$700,000</w:t>
            </w:r>
          </w:p>
        </w:tc>
        <w:tc>
          <w:tcPr>
            <w:tcW w:w="162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0%</w:t>
            </w:r>
          </w:p>
        </w:tc>
      </w:tr>
      <w:tr>
        <w:trPr>
          <w:trHeight w:val="378"/>
        </w:trPr>
        <w:tc>
          <w:tcPr>
            <w:tcW w:w="466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Ajay V. Vashee</w:t>
            </w:r>
          </w:p>
        </w:tc>
        <w:tc>
          <w:tcPr>
            <w:tcW w:w="2020" w:type="dxa"/>
            <w:vAlign w:val="bottom"/>
            <w:shd w:val="clear" w:color="auto" w:fill="E5EFFD"/>
          </w:tcPr>
          <w:p>
            <w:pPr>
              <w:jc w:val="right"/>
              <w:ind w:right="461"/>
              <w:spacing w:after="0"/>
              <w:rPr>
                <w:sz w:val="20"/>
                <w:szCs w:val="20"/>
                <w:color w:val="auto"/>
              </w:rPr>
            </w:pPr>
            <w:r>
              <w:rPr>
                <w:rFonts w:ascii="Arial" w:cs="Arial" w:eastAsia="Arial" w:hAnsi="Arial"/>
                <w:sz w:val="16"/>
                <w:szCs w:val="16"/>
                <w:color w:val="005CB8"/>
              </w:rPr>
              <w:t>$500,000</w:t>
            </w:r>
          </w:p>
        </w:tc>
        <w:tc>
          <w:tcPr>
            <w:tcW w:w="1260" w:type="dxa"/>
            <w:vAlign w:val="bottom"/>
            <w:shd w:val="clear" w:color="auto" w:fill="E5EFFD"/>
          </w:tcPr>
          <w:p>
            <w:pPr>
              <w:jc w:val="right"/>
              <w:ind w:right="102"/>
              <w:spacing w:after="0"/>
              <w:rPr>
                <w:sz w:val="20"/>
                <w:szCs w:val="20"/>
                <w:color w:val="auto"/>
              </w:rPr>
            </w:pPr>
            <w:r>
              <w:rPr>
                <w:rFonts w:ascii="Arial" w:cs="Arial" w:eastAsia="Arial" w:hAnsi="Arial"/>
                <w:sz w:val="16"/>
                <w:szCs w:val="16"/>
                <w:color w:val="005CB8"/>
              </w:rPr>
              <w:t>$550,000</w:t>
            </w:r>
          </w:p>
        </w:tc>
        <w:tc>
          <w:tcPr>
            <w:tcW w:w="162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10%</w:t>
            </w:r>
          </w:p>
        </w:tc>
      </w:tr>
      <w:tr>
        <w:trPr>
          <w:trHeight w:val="465"/>
        </w:trPr>
        <w:tc>
          <w:tcPr>
            <w:tcW w:w="466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Bharat Mediratta</w:t>
            </w:r>
          </w:p>
        </w:tc>
        <w:tc>
          <w:tcPr>
            <w:tcW w:w="2020" w:type="dxa"/>
            <w:vAlign w:val="bottom"/>
            <w:shd w:val="clear" w:color="auto" w:fill="E5EFFD"/>
          </w:tcPr>
          <w:p>
            <w:pPr>
              <w:jc w:val="right"/>
              <w:ind w:right="301"/>
              <w:spacing w:after="0"/>
              <w:rPr>
                <w:sz w:val="20"/>
                <w:szCs w:val="20"/>
                <w:color w:val="auto"/>
              </w:rPr>
            </w:pPr>
            <w:r>
              <w:rPr>
                <w:rFonts w:ascii="Arial" w:cs="Arial" w:eastAsia="Arial" w:hAnsi="Arial"/>
                <w:sz w:val="16"/>
                <w:szCs w:val="16"/>
                <w:color w:val="005CB8"/>
              </w:rPr>
              <w:t>$N/A</w:t>
            </w:r>
            <w:r>
              <w:rPr>
                <w:rFonts w:ascii="Arial" w:cs="Arial" w:eastAsia="Arial" w:hAnsi="Arial"/>
                <w:sz w:val="26"/>
                <w:szCs w:val="26"/>
                <w:color w:val="005CB8"/>
                <w:vertAlign w:val="superscript"/>
              </w:rPr>
              <w:t>(1)</w:t>
            </w:r>
          </w:p>
        </w:tc>
        <w:tc>
          <w:tcPr>
            <w:tcW w:w="1260" w:type="dxa"/>
            <w:vAlign w:val="bottom"/>
            <w:shd w:val="clear" w:color="auto" w:fill="E5EFFD"/>
          </w:tcPr>
          <w:p>
            <w:pPr>
              <w:jc w:val="right"/>
              <w:ind w:right="102"/>
              <w:spacing w:after="0"/>
              <w:rPr>
                <w:sz w:val="20"/>
                <w:szCs w:val="20"/>
                <w:color w:val="auto"/>
              </w:rPr>
            </w:pPr>
            <w:r>
              <w:rPr>
                <w:rFonts w:ascii="Arial" w:cs="Arial" w:eastAsia="Arial" w:hAnsi="Arial"/>
                <w:sz w:val="16"/>
                <w:szCs w:val="16"/>
                <w:color w:val="005CB8"/>
              </w:rPr>
              <w:t>$500,000</w:t>
            </w:r>
          </w:p>
        </w:tc>
        <w:tc>
          <w:tcPr>
            <w:tcW w:w="162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N/A</w:t>
            </w:r>
          </w:p>
        </w:tc>
      </w:tr>
      <w:tr>
        <w:trPr>
          <w:trHeight w:val="378"/>
        </w:trPr>
        <w:tc>
          <w:tcPr>
            <w:tcW w:w="466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Timothy Young</w:t>
            </w:r>
          </w:p>
        </w:tc>
        <w:tc>
          <w:tcPr>
            <w:tcW w:w="2020" w:type="dxa"/>
            <w:vAlign w:val="bottom"/>
            <w:shd w:val="clear" w:color="auto" w:fill="E5EFFD"/>
          </w:tcPr>
          <w:p>
            <w:pPr>
              <w:jc w:val="right"/>
              <w:ind w:right="301"/>
              <w:spacing w:after="0"/>
              <w:rPr>
                <w:sz w:val="20"/>
                <w:szCs w:val="20"/>
                <w:color w:val="auto"/>
              </w:rPr>
            </w:pPr>
            <w:r>
              <w:rPr>
                <w:rFonts w:ascii="Arial" w:cs="Arial" w:eastAsia="Arial" w:hAnsi="Arial"/>
                <w:sz w:val="16"/>
                <w:szCs w:val="16"/>
                <w:color w:val="005CB8"/>
              </w:rPr>
              <w:t>$N/A</w:t>
            </w:r>
            <w:r>
              <w:rPr>
                <w:rFonts w:ascii="Arial" w:cs="Arial" w:eastAsia="Arial" w:hAnsi="Arial"/>
                <w:sz w:val="26"/>
                <w:szCs w:val="26"/>
                <w:color w:val="005CB8"/>
                <w:vertAlign w:val="superscript"/>
              </w:rPr>
              <w:t>(1)</w:t>
            </w:r>
          </w:p>
        </w:tc>
        <w:tc>
          <w:tcPr>
            <w:tcW w:w="1260" w:type="dxa"/>
            <w:vAlign w:val="bottom"/>
            <w:shd w:val="clear" w:color="auto" w:fill="E5EFFD"/>
          </w:tcPr>
          <w:p>
            <w:pPr>
              <w:jc w:val="right"/>
              <w:ind w:right="102"/>
              <w:spacing w:after="0"/>
              <w:rPr>
                <w:sz w:val="20"/>
                <w:szCs w:val="20"/>
                <w:color w:val="auto"/>
              </w:rPr>
            </w:pPr>
            <w:r>
              <w:rPr>
                <w:rFonts w:ascii="Arial" w:cs="Arial" w:eastAsia="Arial" w:hAnsi="Arial"/>
                <w:sz w:val="16"/>
                <w:szCs w:val="16"/>
                <w:color w:val="005CB8"/>
              </w:rPr>
              <w:t>$500,000</w:t>
            </w:r>
          </w:p>
        </w:tc>
        <w:tc>
          <w:tcPr>
            <w:tcW w:w="162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N/A</w:t>
            </w:r>
          </w:p>
        </w:tc>
      </w:tr>
      <w:tr>
        <w:trPr>
          <w:trHeight w:val="297"/>
        </w:trPr>
        <w:tc>
          <w:tcPr>
            <w:tcW w:w="466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Yamini Rangan</w:t>
            </w:r>
          </w:p>
        </w:tc>
        <w:tc>
          <w:tcPr>
            <w:tcW w:w="2020" w:type="dxa"/>
            <w:vAlign w:val="bottom"/>
            <w:shd w:val="clear" w:color="auto" w:fill="E5EFFD"/>
          </w:tcPr>
          <w:p>
            <w:pPr>
              <w:jc w:val="right"/>
              <w:ind w:right="461"/>
              <w:spacing w:after="0"/>
              <w:rPr>
                <w:sz w:val="20"/>
                <w:szCs w:val="20"/>
                <w:color w:val="auto"/>
              </w:rPr>
            </w:pPr>
            <w:r>
              <w:rPr>
                <w:rFonts w:ascii="Arial" w:cs="Arial" w:eastAsia="Arial" w:hAnsi="Arial"/>
                <w:sz w:val="16"/>
                <w:szCs w:val="16"/>
                <w:color w:val="005CB8"/>
              </w:rPr>
              <w:t>$500,000</w:t>
            </w:r>
          </w:p>
        </w:tc>
        <w:tc>
          <w:tcPr>
            <w:tcW w:w="1260" w:type="dxa"/>
            <w:vAlign w:val="bottom"/>
            <w:shd w:val="clear" w:color="auto" w:fill="E5EFFD"/>
          </w:tcPr>
          <w:p>
            <w:pPr>
              <w:jc w:val="right"/>
              <w:ind w:right="102"/>
              <w:spacing w:after="0"/>
              <w:rPr>
                <w:sz w:val="20"/>
                <w:szCs w:val="20"/>
                <w:color w:val="auto"/>
              </w:rPr>
            </w:pPr>
            <w:r>
              <w:rPr>
                <w:rFonts w:ascii="Arial" w:cs="Arial" w:eastAsia="Arial" w:hAnsi="Arial"/>
                <w:sz w:val="16"/>
                <w:szCs w:val="16"/>
                <w:color w:val="005CB8"/>
              </w:rPr>
              <w:t>$550,000</w:t>
            </w:r>
          </w:p>
        </w:tc>
        <w:tc>
          <w:tcPr>
            <w:tcW w:w="162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10%</w:t>
            </w:r>
          </w:p>
        </w:tc>
      </w:tr>
      <w:tr>
        <w:trPr>
          <w:trHeight w:val="258"/>
        </w:trPr>
        <w:tc>
          <w:tcPr>
            <w:tcW w:w="4660" w:type="dxa"/>
            <w:vAlign w:val="bottom"/>
          </w:tcPr>
          <w:p>
            <w:pPr>
              <w:spacing w:after="0"/>
              <w:rPr>
                <w:sz w:val="20"/>
                <w:szCs w:val="20"/>
                <w:color w:val="auto"/>
              </w:rPr>
            </w:pPr>
            <w:r>
              <w:rPr>
                <w:rFonts w:ascii="Arial" w:cs="Arial" w:eastAsia="Arial" w:hAnsi="Arial"/>
                <w:sz w:val="14"/>
                <w:szCs w:val="14"/>
                <w:color w:val="auto"/>
              </w:rPr>
              <w:t>(1) Messrs. Mediratta and Young joined Dropbox in October 2019</w:t>
            </w:r>
          </w:p>
        </w:tc>
        <w:tc>
          <w:tcPr>
            <w:tcW w:w="2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20" w:type="dxa"/>
            <w:vAlign w:val="bottom"/>
          </w:tcPr>
          <w:p>
            <w:pPr>
              <w:spacing w:after="0"/>
              <w:rPr>
                <w:sz w:val="22"/>
                <w:szCs w:val="22"/>
                <w:color w:val="auto"/>
              </w:rPr>
            </w:pPr>
          </w:p>
        </w:tc>
      </w:tr>
    </w:tbl>
    <w:p>
      <w:pPr>
        <w:spacing w:after="0" w:line="133" w:lineRule="exact"/>
        <w:rPr>
          <w:sz w:val="20"/>
          <w:szCs w:val="20"/>
          <w:color w:val="auto"/>
        </w:rPr>
      </w:pPr>
    </w:p>
    <w:p>
      <w:pPr>
        <w:ind w:left="720" w:right="1120"/>
        <w:spacing w:after="0" w:line="281" w:lineRule="auto"/>
        <w:rPr>
          <w:sz w:val="20"/>
          <w:szCs w:val="20"/>
          <w:color w:val="auto"/>
        </w:rPr>
      </w:pPr>
      <w:r>
        <w:rPr>
          <w:rFonts w:ascii="Arial" w:cs="Arial" w:eastAsia="Arial" w:hAnsi="Arial"/>
          <w:sz w:val="16"/>
          <w:szCs w:val="16"/>
          <w:color w:val="auto"/>
        </w:rPr>
        <w:t>The base salaries paid to our named executive officers during 2019 are set forth in the “</w:t>
      </w:r>
      <w:r>
        <w:rPr>
          <w:rFonts w:ascii="Arial" w:cs="Arial" w:eastAsia="Arial" w:hAnsi="Arial"/>
          <w:sz w:val="16"/>
          <w:szCs w:val="16"/>
          <w:i w:val="1"/>
          <w:iCs w:val="1"/>
          <w:color w:val="auto"/>
        </w:rPr>
        <w:t>Summary Compensation Table for Fiscal</w:t>
      </w:r>
      <w:r>
        <w:rPr>
          <w:rFonts w:ascii="Arial" w:cs="Arial" w:eastAsia="Arial" w:hAnsi="Arial"/>
          <w:sz w:val="16"/>
          <w:szCs w:val="16"/>
          <w:color w:val="auto"/>
        </w:rPr>
        <w:t xml:space="preserve"> </w:t>
      </w:r>
      <w:r>
        <w:rPr>
          <w:rFonts w:ascii="Arial" w:cs="Arial" w:eastAsia="Arial" w:hAnsi="Arial"/>
          <w:sz w:val="16"/>
          <w:szCs w:val="16"/>
          <w:i w:val="1"/>
          <w:iCs w:val="1"/>
          <w:color w:val="auto"/>
        </w:rPr>
        <w:t>2019</w:t>
      </w:r>
      <w:r>
        <w:rPr>
          <w:rFonts w:ascii="Arial" w:cs="Arial" w:eastAsia="Arial" w:hAnsi="Arial"/>
          <w:sz w:val="16"/>
          <w:szCs w:val="16"/>
          <w:color w:val="auto"/>
        </w:rPr>
        <w:t>” below.</w:t>
      </w:r>
    </w:p>
    <w:p>
      <w:pPr>
        <w:spacing w:after="0" w:line="17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Annual Cash Bonuses</w:t>
      </w:r>
    </w:p>
    <w:p>
      <w:pPr>
        <w:spacing w:after="0" w:line="46" w:lineRule="exact"/>
        <w:rPr>
          <w:sz w:val="20"/>
          <w:szCs w:val="20"/>
          <w:color w:val="auto"/>
        </w:rPr>
      </w:pPr>
    </w:p>
    <w:p>
      <w:pPr>
        <w:ind w:left="720" w:right="800"/>
        <w:spacing w:after="0" w:line="259" w:lineRule="auto"/>
        <w:rPr>
          <w:sz w:val="20"/>
          <w:szCs w:val="20"/>
          <w:color w:val="auto"/>
        </w:rPr>
      </w:pPr>
      <w:r>
        <w:rPr>
          <w:rFonts w:ascii="Arial" w:cs="Arial" w:eastAsia="Arial" w:hAnsi="Arial"/>
          <w:sz w:val="16"/>
          <w:szCs w:val="16"/>
          <w:color w:val="auto"/>
        </w:rPr>
        <w:t>In March 2019, the compensation committee, with input from management, adopted our 2019 annual cash bonus plan (the “</w:t>
      </w:r>
      <w:r>
        <w:rPr>
          <w:rFonts w:ascii="Arial" w:cs="Arial" w:eastAsia="Arial" w:hAnsi="Arial"/>
          <w:sz w:val="16"/>
          <w:szCs w:val="16"/>
          <w:b w:val="1"/>
          <w:bCs w:val="1"/>
          <w:i w:val="1"/>
          <w:iCs w:val="1"/>
          <w:color w:val="auto"/>
        </w:rPr>
        <w:t>2019</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Cash Bonus Plan</w:t>
      </w:r>
      <w:r>
        <w:rPr>
          <w:rFonts w:ascii="Arial" w:cs="Arial" w:eastAsia="Arial" w:hAnsi="Arial"/>
          <w:sz w:val="16"/>
          <w:szCs w:val="16"/>
          <w:color w:val="auto"/>
        </w:rPr>
        <w:t>”), which was designed to provide financial incentives for us to meet or exceed the pre-established target level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revenue established under our 2019 annual operating plan. The 2019 Cash Bonus Plan funded based on our actual achievement against the pre-established target level for the corporate performance measure.</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6"/>
          <w:szCs w:val="16"/>
          <w:b w:val="1"/>
          <w:bCs w:val="1"/>
          <w:u w:val="single" w:color="auto"/>
          <w:color w:val="auto"/>
        </w:rPr>
        <w:t>Target Annual Cash Bonus Opportunities</w:t>
      </w:r>
    </w:p>
    <w:p>
      <w:pPr>
        <w:spacing w:after="0" w:line="187" w:lineRule="exact"/>
        <w:rPr>
          <w:sz w:val="20"/>
          <w:szCs w:val="20"/>
          <w:color w:val="auto"/>
        </w:rPr>
      </w:pPr>
    </w:p>
    <w:p>
      <w:pPr>
        <w:ind w:left="720" w:right="740"/>
        <w:spacing w:after="0" w:line="249" w:lineRule="auto"/>
        <w:rPr>
          <w:sz w:val="20"/>
          <w:szCs w:val="20"/>
          <w:color w:val="auto"/>
        </w:rPr>
      </w:pPr>
      <w:r>
        <w:rPr>
          <w:rFonts w:ascii="Arial" w:cs="Arial" w:eastAsia="Arial" w:hAnsi="Arial"/>
          <w:sz w:val="16"/>
          <w:szCs w:val="16"/>
          <w:color w:val="auto"/>
        </w:rPr>
        <w:t>Under the 2019 Cash Bonus Plan, cash bonus payments were based upon an eligible percentage of each participant’s base salary. In February 2019, the compensation committee reviewed the target annual cash bonus opportunities of our executive officers, taking into consideration the recommendations of our chief executive officer (except with respect to his own target annual cash bonus opportunity) as well as the other factors described in “</w:t>
      </w:r>
      <w:r>
        <w:rPr>
          <w:rFonts w:ascii="Arial" w:cs="Arial" w:eastAsia="Arial" w:hAnsi="Arial"/>
          <w:sz w:val="16"/>
          <w:szCs w:val="16"/>
          <w:i w:val="1"/>
          <w:iCs w:val="1"/>
          <w:color w:val="auto"/>
        </w:rPr>
        <w:t>Compensation-Setting Process—Setting Target Total Direct Compensation</w:t>
      </w:r>
      <w:r>
        <w:rPr>
          <w:rFonts w:ascii="Arial" w:cs="Arial" w:eastAsia="Arial" w:hAnsi="Arial"/>
          <w:sz w:val="16"/>
          <w:szCs w:val="16"/>
          <w:color w:val="auto"/>
        </w:rPr>
        <w:t>” above. Following this review, in March 2019, the compensation committee approved increases to the target annual cash bonus opportunities (as a percentage of base salary) of Mr. Houston and Ms. Rangan, effective February 1, 2019.</w:t>
      </w:r>
    </w:p>
    <w:p>
      <w:pPr>
        <w:spacing w:after="0" w:line="151" w:lineRule="exact"/>
        <w:rPr>
          <w:sz w:val="20"/>
          <w:szCs w:val="20"/>
          <w:color w:val="auto"/>
        </w:rPr>
      </w:pPr>
    </w:p>
    <w:p>
      <w:pPr>
        <w:ind w:left="720" w:right="780"/>
        <w:spacing w:after="0" w:line="251" w:lineRule="auto"/>
        <w:rPr>
          <w:sz w:val="20"/>
          <w:szCs w:val="20"/>
          <w:color w:val="auto"/>
        </w:rPr>
      </w:pPr>
      <w:r>
        <w:rPr>
          <w:rFonts w:ascii="Arial" w:cs="Arial" w:eastAsia="Arial" w:hAnsi="Arial"/>
          <w:sz w:val="16"/>
          <w:szCs w:val="16"/>
          <w:color w:val="auto"/>
        </w:rPr>
        <w:t>The target annual cash bonus opportunities of Messrs. Mediratta and Young were established through arm’s-length negotiation at the time of hire, taking into account their position, qualifications, experience, the amount of their prior target annual cash bonus opportunities, and the target annual cash bonus opportunities of our other executive officers. Their 2019 opportunities were pro-rated to reflect their employment with us for less than the entire year.</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2019 target annual cash bonus opportunities for our named executive officers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139065</wp:posOffset>
            </wp:positionV>
            <wp:extent cx="6077585" cy="15862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7585" cy="1586230"/>
                    </a:xfrm>
                    <a:prstGeom prst="rect">
                      <a:avLst/>
                    </a:prstGeom>
                    <a:noFill/>
                  </pic:spPr>
                </pic:pic>
              </a:graphicData>
            </a:graphic>
          </wp:anchor>
        </w:drawing>
      </w:r>
    </w:p>
    <w:p>
      <w:pPr>
        <w:spacing w:after="0" w:line="199"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4800" w:type="dxa"/>
            <w:vAlign w:val="bottom"/>
            <w:shd w:val="clear" w:color="auto" w:fill="0060EC"/>
          </w:tcPr>
          <w:p>
            <w:pPr>
              <w:spacing w:after="0"/>
              <w:rPr>
                <w:sz w:val="22"/>
                <w:szCs w:val="22"/>
                <w:color w:val="auto"/>
              </w:rPr>
            </w:pPr>
          </w:p>
        </w:tc>
        <w:tc>
          <w:tcPr>
            <w:tcW w:w="2820" w:type="dxa"/>
            <w:vAlign w:val="bottom"/>
            <w:shd w:val="clear" w:color="auto" w:fill="0060EC"/>
          </w:tcPr>
          <w:p>
            <w:pPr>
              <w:jc w:val="right"/>
              <w:ind w:right="122"/>
              <w:spacing w:after="0"/>
              <w:rPr>
                <w:sz w:val="20"/>
                <w:szCs w:val="20"/>
                <w:color w:val="auto"/>
              </w:rPr>
            </w:pPr>
            <w:r>
              <w:rPr>
                <w:rFonts w:ascii="Arial" w:cs="Arial" w:eastAsia="Arial" w:hAnsi="Arial"/>
                <w:sz w:val="14"/>
                <w:szCs w:val="14"/>
                <w:b w:val="1"/>
                <w:bCs w:val="1"/>
                <w:color w:val="FFFFFF"/>
              </w:rPr>
              <w:t>Target Annual Cash</w:t>
            </w:r>
          </w:p>
        </w:tc>
        <w:tc>
          <w:tcPr>
            <w:tcW w:w="1940" w:type="dxa"/>
            <w:vAlign w:val="bottom"/>
            <w:shd w:val="clear" w:color="auto" w:fill="0060EC"/>
          </w:tcPr>
          <w:p>
            <w:pPr>
              <w:spacing w:after="0"/>
              <w:rPr>
                <w:sz w:val="22"/>
                <w:szCs w:val="22"/>
                <w:color w:val="auto"/>
              </w:rPr>
            </w:pPr>
          </w:p>
        </w:tc>
      </w:tr>
      <w:tr>
        <w:trPr>
          <w:trHeight w:val="162"/>
        </w:trPr>
        <w:tc>
          <w:tcPr>
            <w:tcW w:w="4800" w:type="dxa"/>
            <w:vAlign w:val="bottom"/>
            <w:shd w:val="clear" w:color="auto" w:fill="0060EC"/>
          </w:tcPr>
          <w:p>
            <w:pPr>
              <w:spacing w:after="0"/>
              <w:rPr>
                <w:sz w:val="14"/>
                <w:szCs w:val="14"/>
                <w:color w:val="auto"/>
              </w:rPr>
            </w:pPr>
          </w:p>
        </w:tc>
        <w:tc>
          <w:tcPr>
            <w:tcW w:w="2820" w:type="dxa"/>
            <w:vAlign w:val="bottom"/>
            <w:shd w:val="clear" w:color="auto" w:fill="0060EC"/>
          </w:tcPr>
          <w:p>
            <w:pPr>
              <w:jc w:val="right"/>
              <w:ind w:right="122"/>
              <w:spacing w:after="0"/>
              <w:rPr>
                <w:sz w:val="20"/>
                <w:szCs w:val="20"/>
                <w:color w:val="auto"/>
              </w:rPr>
            </w:pPr>
            <w:r>
              <w:rPr>
                <w:rFonts w:ascii="Arial" w:cs="Arial" w:eastAsia="Arial" w:hAnsi="Arial"/>
                <w:sz w:val="14"/>
                <w:szCs w:val="14"/>
                <w:b w:val="1"/>
                <w:bCs w:val="1"/>
                <w:color w:val="FFFFFF"/>
              </w:rPr>
              <w:t>Bonus Opportunity</w:t>
            </w:r>
          </w:p>
        </w:tc>
        <w:tc>
          <w:tcPr>
            <w:tcW w:w="1940" w:type="dxa"/>
            <w:vAlign w:val="bottom"/>
            <w:shd w:val="clear" w:color="auto" w:fill="0060EC"/>
          </w:tcPr>
          <w:p>
            <w:pPr>
              <w:jc w:val="right"/>
              <w:spacing w:after="0"/>
              <w:rPr>
                <w:sz w:val="20"/>
                <w:szCs w:val="20"/>
                <w:color w:val="auto"/>
              </w:rPr>
            </w:pPr>
            <w:r>
              <w:rPr>
                <w:rFonts w:ascii="Arial" w:cs="Arial" w:eastAsia="Arial" w:hAnsi="Arial"/>
                <w:sz w:val="14"/>
                <w:szCs w:val="14"/>
                <w:b w:val="1"/>
                <w:bCs w:val="1"/>
                <w:color w:val="FFFFFF"/>
              </w:rPr>
              <w:t>2019 Target Annual Cash</w:t>
            </w:r>
          </w:p>
        </w:tc>
      </w:tr>
      <w:tr>
        <w:trPr>
          <w:trHeight w:val="190"/>
        </w:trPr>
        <w:tc>
          <w:tcPr>
            <w:tcW w:w="4800" w:type="dxa"/>
            <w:vAlign w:val="bottom"/>
            <w:shd w:val="clear" w:color="auto" w:fill="0060EC"/>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820" w:type="dxa"/>
            <w:vAlign w:val="bottom"/>
            <w:shd w:val="clear" w:color="auto" w:fill="0060EC"/>
          </w:tcPr>
          <w:p>
            <w:pPr>
              <w:jc w:val="right"/>
              <w:ind w:right="122"/>
              <w:spacing w:after="0"/>
              <w:rPr>
                <w:sz w:val="20"/>
                <w:szCs w:val="20"/>
                <w:color w:val="auto"/>
              </w:rPr>
            </w:pPr>
            <w:r>
              <w:rPr>
                <w:rFonts w:ascii="Arial" w:cs="Arial" w:eastAsia="Arial" w:hAnsi="Arial"/>
                <w:sz w:val="14"/>
                <w:szCs w:val="14"/>
                <w:b w:val="1"/>
                <w:bCs w:val="1"/>
                <w:color w:val="FFFFFF"/>
              </w:rPr>
              <w:t>(as a Percentage of Base Salary)</w:t>
            </w:r>
          </w:p>
        </w:tc>
        <w:tc>
          <w:tcPr>
            <w:tcW w:w="1940" w:type="dxa"/>
            <w:vAlign w:val="bottom"/>
            <w:shd w:val="clear" w:color="auto" w:fill="0060EC"/>
          </w:tcPr>
          <w:p>
            <w:pPr>
              <w:jc w:val="right"/>
              <w:spacing w:after="0"/>
              <w:rPr>
                <w:sz w:val="20"/>
                <w:szCs w:val="20"/>
                <w:color w:val="auto"/>
              </w:rPr>
            </w:pPr>
            <w:r>
              <w:rPr>
                <w:rFonts w:ascii="Arial" w:cs="Arial" w:eastAsia="Arial" w:hAnsi="Arial"/>
                <w:sz w:val="14"/>
                <w:szCs w:val="14"/>
                <w:b w:val="1"/>
                <w:bCs w:val="1"/>
                <w:color w:val="FFFFFF"/>
              </w:rPr>
              <w:t>Bonus Opportunity ($)</w:t>
            </w:r>
          </w:p>
        </w:tc>
      </w:tr>
      <w:tr>
        <w:trPr>
          <w:trHeight w:val="79"/>
        </w:trPr>
        <w:tc>
          <w:tcPr>
            <w:tcW w:w="4800" w:type="dxa"/>
            <w:vAlign w:val="bottom"/>
            <w:shd w:val="clear" w:color="auto" w:fill="0060EC"/>
          </w:tcPr>
          <w:p>
            <w:pPr>
              <w:spacing w:after="0"/>
              <w:rPr>
                <w:sz w:val="6"/>
                <w:szCs w:val="6"/>
                <w:color w:val="auto"/>
              </w:rPr>
            </w:pPr>
          </w:p>
        </w:tc>
        <w:tc>
          <w:tcPr>
            <w:tcW w:w="2820" w:type="dxa"/>
            <w:vAlign w:val="bottom"/>
            <w:shd w:val="clear" w:color="auto" w:fill="0060EC"/>
          </w:tcPr>
          <w:p>
            <w:pPr>
              <w:spacing w:after="0"/>
              <w:rPr>
                <w:sz w:val="6"/>
                <w:szCs w:val="6"/>
                <w:color w:val="auto"/>
              </w:rPr>
            </w:pPr>
          </w:p>
        </w:tc>
        <w:tc>
          <w:tcPr>
            <w:tcW w:w="1940" w:type="dxa"/>
            <w:vAlign w:val="bottom"/>
            <w:shd w:val="clear" w:color="auto" w:fill="0060EC"/>
          </w:tcPr>
          <w:p>
            <w:pPr>
              <w:spacing w:after="0"/>
              <w:rPr>
                <w:sz w:val="6"/>
                <w:szCs w:val="6"/>
                <w:color w:val="auto"/>
              </w:rPr>
            </w:pPr>
          </w:p>
        </w:tc>
      </w:tr>
      <w:tr>
        <w:trPr>
          <w:trHeight w:val="291"/>
        </w:trPr>
        <w:tc>
          <w:tcPr>
            <w:tcW w:w="480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Andrew W. Houston</w:t>
            </w:r>
          </w:p>
        </w:tc>
        <w:tc>
          <w:tcPr>
            <w:tcW w:w="2820" w:type="dxa"/>
            <w:vAlign w:val="bottom"/>
            <w:shd w:val="clear" w:color="auto" w:fill="E5EFFD"/>
          </w:tcPr>
          <w:p>
            <w:pPr>
              <w:jc w:val="right"/>
              <w:ind w:right="142"/>
              <w:spacing w:after="0"/>
              <w:rPr>
                <w:sz w:val="20"/>
                <w:szCs w:val="20"/>
                <w:color w:val="auto"/>
              </w:rPr>
            </w:pPr>
            <w:r>
              <w:rPr>
                <w:rFonts w:ascii="Arial" w:cs="Arial" w:eastAsia="Arial" w:hAnsi="Arial"/>
                <w:sz w:val="16"/>
                <w:szCs w:val="16"/>
                <w:color w:val="005CB8"/>
              </w:rPr>
              <w:t>100%</w:t>
            </w:r>
          </w:p>
        </w:tc>
        <w:tc>
          <w:tcPr>
            <w:tcW w:w="1940" w:type="dxa"/>
            <w:vAlign w:val="bottom"/>
            <w:shd w:val="clear" w:color="auto" w:fill="E5EFFD"/>
          </w:tcPr>
          <w:p>
            <w:pPr>
              <w:jc w:val="right"/>
              <w:ind w:right="2"/>
              <w:spacing w:after="0"/>
              <w:rPr>
                <w:sz w:val="20"/>
                <w:szCs w:val="20"/>
                <w:color w:val="auto"/>
              </w:rPr>
            </w:pPr>
            <w:r>
              <w:rPr>
                <w:rFonts w:ascii="Arial" w:cs="Arial" w:eastAsia="Arial" w:hAnsi="Arial"/>
                <w:sz w:val="16"/>
                <w:szCs w:val="16"/>
                <w:color w:val="005CB8"/>
              </w:rPr>
              <w:t>$679,192</w:t>
            </w:r>
          </w:p>
        </w:tc>
      </w:tr>
      <w:tr>
        <w:trPr>
          <w:trHeight w:val="378"/>
        </w:trPr>
        <w:tc>
          <w:tcPr>
            <w:tcW w:w="480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Ajay V. Vashee</w:t>
            </w:r>
          </w:p>
        </w:tc>
        <w:tc>
          <w:tcPr>
            <w:tcW w:w="2820" w:type="dxa"/>
            <w:vAlign w:val="bottom"/>
            <w:shd w:val="clear" w:color="auto" w:fill="E5EFFD"/>
          </w:tcPr>
          <w:p>
            <w:pPr>
              <w:jc w:val="right"/>
              <w:ind w:right="142"/>
              <w:spacing w:after="0"/>
              <w:rPr>
                <w:sz w:val="20"/>
                <w:szCs w:val="20"/>
                <w:color w:val="auto"/>
              </w:rPr>
            </w:pPr>
            <w:r>
              <w:rPr>
                <w:rFonts w:ascii="Arial" w:cs="Arial" w:eastAsia="Arial" w:hAnsi="Arial"/>
                <w:sz w:val="16"/>
                <w:szCs w:val="16"/>
                <w:color w:val="005CB8"/>
              </w:rPr>
              <w:t>65%</w:t>
            </w:r>
          </w:p>
        </w:tc>
        <w:tc>
          <w:tcPr>
            <w:tcW w:w="1940" w:type="dxa"/>
            <w:vAlign w:val="bottom"/>
            <w:shd w:val="clear" w:color="auto" w:fill="E5EFFD"/>
          </w:tcPr>
          <w:p>
            <w:pPr>
              <w:jc w:val="right"/>
              <w:ind w:right="2"/>
              <w:spacing w:after="0"/>
              <w:rPr>
                <w:sz w:val="20"/>
                <w:szCs w:val="20"/>
                <w:color w:val="auto"/>
              </w:rPr>
            </w:pPr>
            <w:r>
              <w:rPr>
                <w:rFonts w:ascii="Arial" w:cs="Arial" w:eastAsia="Arial" w:hAnsi="Arial"/>
                <w:sz w:val="16"/>
                <w:szCs w:val="16"/>
                <w:color w:val="005CB8"/>
              </w:rPr>
              <w:t>$354,740</w:t>
            </w:r>
          </w:p>
        </w:tc>
      </w:tr>
      <w:tr>
        <w:trPr>
          <w:trHeight w:val="465"/>
        </w:trPr>
        <w:tc>
          <w:tcPr>
            <w:tcW w:w="480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Bharat Mediratta</w:t>
            </w:r>
            <w:r>
              <w:rPr>
                <w:rFonts w:ascii="Arial" w:cs="Arial" w:eastAsia="Arial" w:hAnsi="Arial"/>
                <w:sz w:val="26"/>
                <w:szCs w:val="26"/>
                <w:color w:val="005CB8"/>
                <w:vertAlign w:val="superscript"/>
              </w:rPr>
              <w:t>(1)</w:t>
            </w:r>
          </w:p>
        </w:tc>
        <w:tc>
          <w:tcPr>
            <w:tcW w:w="2820" w:type="dxa"/>
            <w:vAlign w:val="bottom"/>
            <w:shd w:val="clear" w:color="auto" w:fill="E5EFFD"/>
          </w:tcPr>
          <w:p>
            <w:pPr>
              <w:jc w:val="right"/>
              <w:ind w:right="142"/>
              <w:spacing w:after="0"/>
              <w:rPr>
                <w:sz w:val="20"/>
                <w:szCs w:val="20"/>
                <w:color w:val="auto"/>
              </w:rPr>
            </w:pPr>
            <w:r>
              <w:rPr>
                <w:rFonts w:ascii="Arial" w:cs="Arial" w:eastAsia="Arial" w:hAnsi="Arial"/>
                <w:sz w:val="16"/>
                <w:szCs w:val="16"/>
                <w:color w:val="005CB8"/>
              </w:rPr>
              <w:t>100%</w:t>
            </w:r>
          </w:p>
        </w:tc>
        <w:tc>
          <w:tcPr>
            <w:tcW w:w="1940" w:type="dxa"/>
            <w:vAlign w:val="bottom"/>
            <w:shd w:val="clear" w:color="auto" w:fill="E5EFFD"/>
          </w:tcPr>
          <w:p>
            <w:pPr>
              <w:jc w:val="right"/>
              <w:ind w:right="2"/>
              <w:spacing w:after="0"/>
              <w:rPr>
                <w:sz w:val="20"/>
                <w:szCs w:val="20"/>
                <w:color w:val="auto"/>
              </w:rPr>
            </w:pPr>
            <w:r>
              <w:rPr>
                <w:rFonts w:ascii="Arial" w:cs="Arial" w:eastAsia="Arial" w:hAnsi="Arial"/>
                <w:sz w:val="16"/>
                <w:szCs w:val="16"/>
                <w:color w:val="005CB8"/>
              </w:rPr>
              <w:t>$104,110</w:t>
            </w:r>
          </w:p>
        </w:tc>
      </w:tr>
      <w:tr>
        <w:trPr>
          <w:trHeight w:val="378"/>
        </w:trPr>
        <w:tc>
          <w:tcPr>
            <w:tcW w:w="480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Timothy Young</w:t>
            </w:r>
            <w:r>
              <w:rPr>
                <w:rFonts w:ascii="Arial" w:cs="Arial" w:eastAsia="Arial" w:hAnsi="Arial"/>
                <w:sz w:val="26"/>
                <w:szCs w:val="26"/>
                <w:color w:val="005CB8"/>
                <w:vertAlign w:val="superscript"/>
              </w:rPr>
              <w:t>(1)</w:t>
            </w:r>
          </w:p>
        </w:tc>
        <w:tc>
          <w:tcPr>
            <w:tcW w:w="2820" w:type="dxa"/>
            <w:vAlign w:val="bottom"/>
            <w:shd w:val="clear" w:color="auto" w:fill="E5EFFD"/>
          </w:tcPr>
          <w:p>
            <w:pPr>
              <w:jc w:val="right"/>
              <w:ind w:right="142"/>
              <w:spacing w:after="0"/>
              <w:rPr>
                <w:sz w:val="20"/>
                <w:szCs w:val="20"/>
                <w:color w:val="auto"/>
              </w:rPr>
            </w:pPr>
            <w:r>
              <w:rPr>
                <w:rFonts w:ascii="Arial" w:cs="Arial" w:eastAsia="Arial" w:hAnsi="Arial"/>
                <w:sz w:val="16"/>
                <w:szCs w:val="16"/>
                <w:color w:val="005CB8"/>
              </w:rPr>
              <w:t>100%</w:t>
            </w:r>
          </w:p>
        </w:tc>
        <w:tc>
          <w:tcPr>
            <w:tcW w:w="1940" w:type="dxa"/>
            <w:vAlign w:val="bottom"/>
            <w:shd w:val="clear" w:color="auto" w:fill="E5EFFD"/>
          </w:tcPr>
          <w:p>
            <w:pPr>
              <w:jc w:val="right"/>
              <w:ind w:right="2"/>
              <w:spacing w:after="0"/>
              <w:rPr>
                <w:sz w:val="20"/>
                <w:szCs w:val="20"/>
                <w:color w:val="auto"/>
              </w:rPr>
            </w:pPr>
            <w:r>
              <w:rPr>
                <w:rFonts w:ascii="Arial" w:cs="Arial" w:eastAsia="Arial" w:hAnsi="Arial"/>
                <w:sz w:val="16"/>
                <w:szCs w:val="16"/>
                <w:color w:val="005CB8"/>
              </w:rPr>
              <w:t>$116,438</w:t>
            </w:r>
          </w:p>
        </w:tc>
      </w:tr>
      <w:tr>
        <w:trPr>
          <w:trHeight w:val="297"/>
        </w:trPr>
        <w:tc>
          <w:tcPr>
            <w:tcW w:w="480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Yamini Rangan</w:t>
            </w:r>
          </w:p>
        </w:tc>
        <w:tc>
          <w:tcPr>
            <w:tcW w:w="2820" w:type="dxa"/>
            <w:vAlign w:val="bottom"/>
            <w:shd w:val="clear" w:color="auto" w:fill="E5EFFD"/>
          </w:tcPr>
          <w:p>
            <w:pPr>
              <w:jc w:val="right"/>
              <w:ind w:right="142"/>
              <w:spacing w:after="0"/>
              <w:rPr>
                <w:sz w:val="20"/>
                <w:szCs w:val="20"/>
                <w:color w:val="auto"/>
              </w:rPr>
            </w:pPr>
            <w:r>
              <w:rPr>
                <w:rFonts w:ascii="Arial" w:cs="Arial" w:eastAsia="Arial" w:hAnsi="Arial"/>
                <w:sz w:val="16"/>
                <w:szCs w:val="16"/>
                <w:color w:val="005CB8"/>
              </w:rPr>
              <w:t>100%</w:t>
            </w:r>
          </w:p>
        </w:tc>
        <w:tc>
          <w:tcPr>
            <w:tcW w:w="1940" w:type="dxa"/>
            <w:vAlign w:val="bottom"/>
            <w:shd w:val="clear" w:color="auto" w:fill="E5EFFD"/>
          </w:tcPr>
          <w:p>
            <w:pPr>
              <w:jc w:val="right"/>
              <w:ind w:right="2"/>
              <w:spacing w:after="0"/>
              <w:rPr>
                <w:sz w:val="20"/>
                <w:szCs w:val="20"/>
                <w:color w:val="auto"/>
              </w:rPr>
            </w:pPr>
            <w:r>
              <w:rPr>
                <w:rFonts w:ascii="Arial" w:cs="Arial" w:eastAsia="Arial" w:hAnsi="Arial"/>
                <w:sz w:val="16"/>
                <w:szCs w:val="16"/>
                <w:color w:val="005CB8"/>
              </w:rPr>
              <w:t>$530,890</w:t>
            </w:r>
          </w:p>
        </w:tc>
      </w:tr>
    </w:tbl>
    <w:p>
      <w:pPr>
        <w:spacing w:after="0" w:line="86" w:lineRule="exact"/>
        <w:rPr>
          <w:sz w:val="20"/>
          <w:szCs w:val="20"/>
          <w:color w:val="auto"/>
        </w:rPr>
      </w:pPr>
    </w:p>
    <w:p>
      <w:pPr>
        <w:ind w:left="720"/>
        <w:spacing w:after="0"/>
        <w:rPr>
          <w:sz w:val="20"/>
          <w:szCs w:val="20"/>
          <w:color w:val="auto"/>
        </w:rPr>
      </w:pPr>
      <w:r>
        <w:rPr>
          <w:rFonts w:ascii="Arial" w:cs="Arial" w:eastAsia="Arial" w:hAnsi="Arial"/>
          <w:sz w:val="14"/>
          <w:szCs w:val="14"/>
          <w:color w:val="auto"/>
        </w:rPr>
        <w:t>(1) Messrs. Mediratta and Young joined Dropbox in October 2019 and their bonus opportunities were pro-rated to their start date.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31</w:t>
            </w:r>
          </w:p>
        </w:tc>
      </w:tr>
      <w:tr>
        <w:trPr>
          <w:trHeight w:val="181"/>
        </w:trPr>
        <w:tc>
          <w:tcPr>
            <w:tcW w:w="9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35" w:name="page36"/>
    <w:bookmarkEnd w:id="35"/>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5CB8"/>
        </w:rPr>
        <w:t>EXECUTIVE COMPENSATION (continued)</w:t>
      </w:r>
    </w:p>
    <w:p>
      <w:pPr>
        <w:spacing w:after="0" w:line="386" w:lineRule="exact"/>
        <w:rPr>
          <w:sz w:val="20"/>
          <w:szCs w:val="20"/>
          <w:color w:val="auto"/>
        </w:rPr>
      </w:pPr>
    </w:p>
    <w:p>
      <w:pPr>
        <w:ind w:left="4" w:right="300"/>
        <w:spacing w:after="0" w:line="260" w:lineRule="auto"/>
        <w:rPr>
          <w:sz w:val="20"/>
          <w:szCs w:val="20"/>
          <w:color w:val="auto"/>
        </w:rPr>
      </w:pPr>
      <w:r>
        <w:rPr>
          <w:rFonts w:ascii="Arial" w:cs="Arial" w:eastAsia="Arial" w:hAnsi="Arial"/>
          <w:sz w:val="16"/>
          <w:szCs w:val="16"/>
          <w:color w:val="auto"/>
        </w:rPr>
        <w:t>Potential annual cash bonus payments for our executive officers under the 2019 Cash Bonus Plan ranged from zero to 187.5% of their target annual cash bonus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Corporate Performance Measure</w:t>
      </w:r>
    </w:p>
    <w:p>
      <w:pPr>
        <w:spacing w:after="0" w:line="187" w:lineRule="exact"/>
        <w:rPr>
          <w:sz w:val="20"/>
          <w:szCs w:val="20"/>
          <w:color w:val="auto"/>
        </w:rPr>
      </w:pPr>
    </w:p>
    <w:p>
      <w:pPr>
        <w:ind w:left="4" w:right="100"/>
        <w:spacing w:after="0" w:line="253" w:lineRule="auto"/>
        <w:rPr>
          <w:sz w:val="20"/>
          <w:szCs w:val="20"/>
          <w:color w:val="auto"/>
        </w:rPr>
      </w:pPr>
      <w:r>
        <w:rPr>
          <w:rFonts w:ascii="Arial" w:cs="Arial" w:eastAsia="Arial" w:hAnsi="Arial"/>
          <w:sz w:val="16"/>
          <w:szCs w:val="16"/>
          <w:color w:val="auto"/>
        </w:rPr>
        <w:t>The compensation committee approved annual revenue as the corporate performance measure under the 2019 Cash Bonus Plan because we believed annual revenue continued to be the best indicator of our successful execution of our annual operating plan. For purposes of the 2019 Cash Bonus Plan, “revenue” was to be calculated as reflected in our audited financial statements for 2019.</w:t>
      </w:r>
    </w:p>
    <w:p>
      <w:pPr>
        <w:spacing w:after="0" w:line="147" w:lineRule="exact"/>
        <w:rPr>
          <w:sz w:val="20"/>
          <w:szCs w:val="20"/>
          <w:color w:val="auto"/>
        </w:rPr>
      </w:pPr>
    </w:p>
    <w:p>
      <w:pPr>
        <w:ind w:left="4" w:right="280"/>
        <w:spacing w:after="0" w:line="260" w:lineRule="auto"/>
        <w:rPr>
          <w:sz w:val="20"/>
          <w:szCs w:val="20"/>
          <w:color w:val="auto"/>
        </w:rPr>
      </w:pPr>
      <w:r>
        <w:rPr>
          <w:rFonts w:ascii="Arial" w:cs="Arial" w:eastAsia="Arial" w:hAnsi="Arial"/>
          <w:sz w:val="16"/>
          <w:szCs w:val="16"/>
          <w:color w:val="auto"/>
        </w:rPr>
        <w:t>In March 2019, the compensation committee set the target performance level for annual revenue at $1,670 million under the 2019 Cash Bonus Plan and approved the performance matrix for funding the 2019 Cash Bonus Plan, as described below.</w:t>
      </w:r>
    </w:p>
    <w:p>
      <w:pPr>
        <w:spacing w:after="0" w:line="141" w:lineRule="exact"/>
        <w:rPr>
          <w:sz w:val="20"/>
          <w:szCs w:val="20"/>
          <w:color w:val="auto"/>
        </w:rPr>
      </w:pPr>
    </w:p>
    <w:p>
      <w:pPr>
        <w:ind w:left="4" w:right="240"/>
        <w:spacing w:after="0" w:line="248" w:lineRule="auto"/>
        <w:rPr>
          <w:sz w:val="20"/>
          <w:szCs w:val="20"/>
          <w:color w:val="auto"/>
        </w:rPr>
      </w:pPr>
      <w:r>
        <w:rPr>
          <w:rFonts w:ascii="Arial" w:cs="Arial" w:eastAsia="Arial" w:hAnsi="Arial"/>
          <w:sz w:val="16"/>
          <w:szCs w:val="16"/>
          <w:color w:val="auto"/>
        </w:rPr>
        <w:t>The bonus funding is 0% if we do not achieve annual revenue at the threshold performance level of 98% of the target performance level. At the threshold performance level, the bonus funding percentage was 50%. For annual revenue above the threshold performance level and below the target performance level, the bonus funding percentage increased linearly up to a bonus funding percentage of 100% of target. Upon achievement of target level ± 0.5%, the bonus funding percentage is 100%. If annual revenue was above the target performance level, the bonus funding percentage increased linearly for annual revenue starting at +0.5% achievement above target performance level up to a bonus funding percentage of 125% of target. The maximum bonus funding percentage is 125%.</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Individual Performance Factor</w:t>
      </w:r>
    </w:p>
    <w:p>
      <w:pPr>
        <w:spacing w:after="0" w:line="187" w:lineRule="exact"/>
        <w:rPr>
          <w:sz w:val="20"/>
          <w:szCs w:val="20"/>
          <w:color w:val="auto"/>
        </w:rPr>
      </w:pPr>
    </w:p>
    <w:p>
      <w:pPr>
        <w:ind w:left="4" w:right="200"/>
        <w:spacing w:after="0" w:line="248" w:lineRule="auto"/>
        <w:rPr>
          <w:sz w:val="20"/>
          <w:szCs w:val="20"/>
          <w:color w:val="auto"/>
        </w:rPr>
      </w:pPr>
      <w:r>
        <w:rPr>
          <w:rFonts w:ascii="Arial" w:cs="Arial" w:eastAsia="Arial" w:hAnsi="Arial"/>
          <w:sz w:val="16"/>
          <w:szCs w:val="16"/>
          <w:color w:val="auto"/>
        </w:rPr>
        <w:t>In determining the amount of annual cash bonus payments under the 2019 Cash Bonus Plan, the compensation committee considered an evaluation of each executive officer’s individual performance for the year. Generally, this evaluation involved, in the case of our chief executive officer, an evaluation of his performance by the compensation committee and, in the case of our other executive officers, an evaluation by our chief executive officer. These evaluations were based on a review of the various individual performance goals established for our executive officers as part of our annual performance evaluation process. For our executive officers other than our chief executive officer, these goals were established, after consultation with each executive officer. These performance goals were not intended to be formulaic, but rather to serve as the framework upon which our chief executive officer could evaluate the executive officer’s overall performance. Such performance goals were established with reference to each individual executive officer’s position or function within the company and included operational metrics that could reflect corporate or departmental goals or could include specific operational goals with respect to their area of responsibility.</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2019 Annual Cash Bonus Decisions</w:t>
      </w:r>
    </w:p>
    <w:p>
      <w:pPr>
        <w:spacing w:after="0" w:line="187" w:lineRule="exact"/>
        <w:rPr>
          <w:sz w:val="20"/>
          <w:szCs w:val="20"/>
          <w:color w:val="auto"/>
        </w:rPr>
      </w:pPr>
    </w:p>
    <w:p>
      <w:pPr>
        <w:ind w:left="4"/>
        <w:spacing w:after="0" w:line="249" w:lineRule="auto"/>
        <w:rPr>
          <w:sz w:val="20"/>
          <w:szCs w:val="20"/>
          <w:color w:val="auto"/>
        </w:rPr>
      </w:pPr>
      <w:r>
        <w:rPr>
          <w:rFonts w:ascii="Arial" w:cs="Arial" w:eastAsia="Arial" w:hAnsi="Arial"/>
          <w:sz w:val="16"/>
          <w:szCs w:val="16"/>
          <w:color w:val="auto"/>
        </w:rPr>
        <w:t>In February 2020, the compensation committee, based on its evaluation, as well as the recommendation of our chief executive officer, determined the size of the bonus pool based on our performance during 2019 and determined the cash bonus payments for our executive officers, including our named executive officers, pursuant to the 2019 Cash Bonus Plan. The compensation committee reviewed our actual net revenue performance for 2019 and determined that we had achieved net revenue of $1,661 million, which was 99.5% of our net revenue target for the year. This resulted in the bonus pool being funded at 100% with respect to the corporate performance measure.</w:t>
      </w:r>
    </w:p>
    <w:p>
      <w:pPr>
        <w:spacing w:after="0" w:line="151" w:lineRule="exact"/>
        <w:rPr>
          <w:sz w:val="20"/>
          <w:szCs w:val="20"/>
          <w:color w:val="auto"/>
        </w:rPr>
      </w:pPr>
    </w:p>
    <w:p>
      <w:pPr>
        <w:ind w:left="4" w:right="80"/>
        <w:spacing w:after="0" w:line="249" w:lineRule="auto"/>
        <w:rPr>
          <w:sz w:val="20"/>
          <w:szCs w:val="20"/>
          <w:color w:val="auto"/>
        </w:rPr>
      </w:pPr>
      <w:r>
        <w:rPr>
          <w:rFonts w:ascii="Arial" w:cs="Arial" w:eastAsia="Arial" w:hAnsi="Arial"/>
          <w:sz w:val="16"/>
          <w:szCs w:val="16"/>
          <w:color w:val="auto"/>
        </w:rPr>
        <w:t>Our chief executive officer evaluated the achievement of each executive officer against his or her individual performance objectives and formulated a recommendation for each such executive officer’s annual cash bonus payment for consideration by the compensation committee. These recommendations were based on our chief executive officer’s subjective assessment of each individual’s contributions against the personal performance objectives during the year. In the case of our chief executive officer, the compensation committee evaluated our financial and operational performance for 2019 and formulated a recommended annual cash bonus payment for him.</w:t>
      </w:r>
    </w:p>
    <w:p>
      <w:pPr>
        <w:spacing w:after="0" w:line="190" w:lineRule="exact"/>
        <w:rPr>
          <w:sz w:val="20"/>
          <w:szCs w:val="20"/>
          <w:color w:val="auto"/>
        </w:rPr>
      </w:pPr>
    </w:p>
    <w:p>
      <w:pPr>
        <w:ind w:left="524" w:hanging="524"/>
        <w:spacing w:after="0"/>
        <w:tabs>
          <w:tab w:leader="none" w:pos="524"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36" w:name="page37"/>
    <w:bookmarkEnd w:id="36"/>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5CB8"/>
        </w:rPr>
        <w:t>EXECUTIVE COMPENSATION (continued)</w:t>
      </w:r>
    </w:p>
    <w:p>
      <w:pPr>
        <w:spacing w:after="0" w:line="386" w:lineRule="exact"/>
        <w:rPr>
          <w:sz w:val="20"/>
          <w:szCs w:val="20"/>
          <w:color w:val="auto"/>
        </w:rPr>
      </w:pPr>
    </w:p>
    <w:p>
      <w:pPr>
        <w:ind w:left="4" w:right="560"/>
        <w:spacing w:after="0" w:line="260" w:lineRule="auto"/>
        <w:rPr>
          <w:sz w:val="20"/>
          <w:szCs w:val="20"/>
          <w:color w:val="auto"/>
        </w:rPr>
      </w:pPr>
      <w:r>
        <w:rPr>
          <w:rFonts w:ascii="Arial" w:cs="Arial" w:eastAsia="Arial" w:hAnsi="Arial"/>
          <w:sz w:val="16"/>
          <w:szCs w:val="16"/>
          <w:color w:val="auto"/>
        </w:rPr>
        <w:t>Based on these evaluations, the compensation committee approved the following annual cash bonus payments for our named executive officers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122555</wp:posOffset>
            </wp:positionV>
            <wp:extent cx="6077585" cy="1585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7585" cy="1585595"/>
                    </a:xfrm>
                    <a:prstGeom prst="rect">
                      <a:avLst/>
                    </a:prstGeom>
                    <a:noFill/>
                  </pic:spPr>
                </pic:pic>
              </a:graphicData>
            </a:graphic>
          </wp:anchor>
        </w:drawing>
      </w:r>
    </w:p>
    <w:p>
      <w:pPr>
        <w:spacing w:after="0" w:line="173"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4280" w:type="dxa"/>
            <w:vAlign w:val="bottom"/>
            <w:shd w:val="clear" w:color="auto" w:fill="0060EC"/>
          </w:tcPr>
          <w:p>
            <w:pPr>
              <w:spacing w:after="0"/>
              <w:rPr>
                <w:sz w:val="22"/>
                <w:szCs w:val="22"/>
                <w:color w:val="auto"/>
              </w:rPr>
            </w:pPr>
          </w:p>
        </w:tc>
        <w:tc>
          <w:tcPr>
            <w:tcW w:w="1860" w:type="dxa"/>
            <w:vAlign w:val="bottom"/>
            <w:shd w:val="clear" w:color="auto" w:fill="0060EC"/>
          </w:tcPr>
          <w:p>
            <w:pPr>
              <w:spacing w:after="0"/>
              <w:rPr>
                <w:sz w:val="22"/>
                <w:szCs w:val="22"/>
                <w:color w:val="auto"/>
              </w:rPr>
            </w:pPr>
          </w:p>
        </w:tc>
        <w:tc>
          <w:tcPr>
            <w:tcW w:w="1820" w:type="dxa"/>
            <w:vAlign w:val="bottom"/>
            <w:shd w:val="clear" w:color="auto" w:fill="0060EC"/>
          </w:tcPr>
          <w:p>
            <w:pPr>
              <w:spacing w:after="0"/>
              <w:rPr>
                <w:sz w:val="22"/>
                <w:szCs w:val="22"/>
                <w:color w:val="auto"/>
              </w:rPr>
            </w:pPr>
          </w:p>
        </w:tc>
        <w:tc>
          <w:tcPr>
            <w:tcW w:w="1600" w:type="dxa"/>
            <w:vAlign w:val="bottom"/>
            <w:shd w:val="clear" w:color="auto" w:fill="0060EC"/>
          </w:tcPr>
          <w:p>
            <w:pPr>
              <w:jc w:val="center"/>
              <w:ind w:left="42"/>
              <w:spacing w:after="0"/>
              <w:rPr>
                <w:sz w:val="20"/>
                <w:szCs w:val="20"/>
                <w:color w:val="auto"/>
              </w:rPr>
            </w:pPr>
            <w:r>
              <w:rPr>
                <w:rFonts w:ascii="Arial" w:cs="Arial" w:eastAsia="Arial" w:hAnsi="Arial"/>
                <w:sz w:val="14"/>
                <w:szCs w:val="14"/>
                <w:b w:val="1"/>
                <w:bCs w:val="1"/>
                <w:color w:val="FFFFFF"/>
              </w:rPr>
              <w:t>Percentage of</w:t>
            </w:r>
          </w:p>
        </w:tc>
      </w:tr>
      <w:tr>
        <w:trPr>
          <w:trHeight w:val="162"/>
        </w:trPr>
        <w:tc>
          <w:tcPr>
            <w:tcW w:w="4280" w:type="dxa"/>
            <w:vAlign w:val="bottom"/>
            <w:shd w:val="clear" w:color="auto" w:fill="0060EC"/>
          </w:tcPr>
          <w:p>
            <w:pPr>
              <w:spacing w:after="0"/>
              <w:rPr>
                <w:sz w:val="14"/>
                <w:szCs w:val="14"/>
                <w:color w:val="auto"/>
              </w:rPr>
            </w:pPr>
          </w:p>
        </w:tc>
        <w:tc>
          <w:tcPr>
            <w:tcW w:w="1860" w:type="dxa"/>
            <w:vAlign w:val="bottom"/>
            <w:shd w:val="clear" w:color="auto" w:fill="0060EC"/>
          </w:tcPr>
          <w:p>
            <w:pPr>
              <w:jc w:val="right"/>
              <w:ind w:right="122"/>
              <w:spacing w:after="0"/>
              <w:rPr>
                <w:sz w:val="20"/>
                <w:szCs w:val="20"/>
                <w:color w:val="auto"/>
              </w:rPr>
            </w:pPr>
            <w:r>
              <w:rPr>
                <w:rFonts w:ascii="Arial" w:cs="Arial" w:eastAsia="Arial" w:hAnsi="Arial"/>
                <w:sz w:val="14"/>
                <w:szCs w:val="14"/>
                <w:b w:val="1"/>
                <w:bCs w:val="1"/>
                <w:color w:val="FFFFFF"/>
              </w:rPr>
              <w:t>Target Annual Cash</w:t>
            </w:r>
          </w:p>
        </w:tc>
        <w:tc>
          <w:tcPr>
            <w:tcW w:w="1820" w:type="dxa"/>
            <w:vAlign w:val="bottom"/>
            <w:shd w:val="clear" w:color="auto" w:fill="0060EC"/>
          </w:tcPr>
          <w:p>
            <w:pPr>
              <w:jc w:val="right"/>
              <w:ind w:right="164"/>
              <w:spacing w:after="0"/>
              <w:rPr>
                <w:sz w:val="20"/>
                <w:szCs w:val="20"/>
                <w:color w:val="auto"/>
              </w:rPr>
            </w:pPr>
            <w:r>
              <w:rPr>
                <w:rFonts w:ascii="Arial" w:cs="Arial" w:eastAsia="Arial" w:hAnsi="Arial"/>
                <w:sz w:val="14"/>
                <w:szCs w:val="14"/>
                <w:b w:val="1"/>
                <w:bCs w:val="1"/>
                <w:color w:val="FFFFFF"/>
              </w:rPr>
              <w:t>Annual Cash Bonus</w:t>
            </w:r>
          </w:p>
        </w:tc>
        <w:tc>
          <w:tcPr>
            <w:tcW w:w="1600" w:type="dxa"/>
            <w:vAlign w:val="bottom"/>
            <w:shd w:val="clear" w:color="auto" w:fill="0060EC"/>
          </w:tcPr>
          <w:p>
            <w:pPr>
              <w:jc w:val="center"/>
              <w:ind w:left="42"/>
              <w:spacing w:after="0"/>
              <w:rPr>
                <w:sz w:val="20"/>
                <w:szCs w:val="20"/>
                <w:color w:val="auto"/>
              </w:rPr>
            </w:pPr>
            <w:r>
              <w:rPr>
                <w:rFonts w:ascii="Arial" w:cs="Arial" w:eastAsia="Arial" w:hAnsi="Arial"/>
                <w:sz w:val="14"/>
                <w:szCs w:val="14"/>
                <w:b w:val="1"/>
                <w:bCs w:val="1"/>
                <w:color w:val="FFFFFF"/>
              </w:rPr>
              <w:t>Target Annual Cash</w:t>
            </w:r>
          </w:p>
        </w:tc>
      </w:tr>
      <w:tr>
        <w:trPr>
          <w:trHeight w:val="190"/>
        </w:trPr>
        <w:tc>
          <w:tcPr>
            <w:tcW w:w="4280" w:type="dxa"/>
            <w:vAlign w:val="bottom"/>
            <w:shd w:val="clear" w:color="auto" w:fill="0060EC"/>
          </w:tcPr>
          <w:p>
            <w:pPr>
              <w:ind w:left="1280"/>
              <w:spacing w:after="0"/>
              <w:rPr>
                <w:sz w:val="20"/>
                <w:szCs w:val="20"/>
                <w:color w:val="auto"/>
              </w:rPr>
            </w:pPr>
            <w:r>
              <w:rPr>
                <w:rFonts w:ascii="Arial" w:cs="Arial" w:eastAsia="Arial" w:hAnsi="Arial"/>
                <w:sz w:val="14"/>
                <w:szCs w:val="14"/>
                <w:b w:val="1"/>
                <w:bCs w:val="1"/>
                <w:color w:val="FFFFFF"/>
              </w:rPr>
              <w:t>Named Executive Officer</w:t>
            </w:r>
          </w:p>
        </w:tc>
        <w:tc>
          <w:tcPr>
            <w:tcW w:w="1860" w:type="dxa"/>
            <w:vAlign w:val="bottom"/>
            <w:shd w:val="clear" w:color="auto" w:fill="0060EC"/>
          </w:tcPr>
          <w:p>
            <w:pPr>
              <w:jc w:val="right"/>
              <w:ind w:right="242"/>
              <w:spacing w:after="0"/>
              <w:rPr>
                <w:sz w:val="20"/>
                <w:szCs w:val="20"/>
                <w:color w:val="auto"/>
              </w:rPr>
            </w:pPr>
            <w:r>
              <w:rPr>
                <w:rFonts w:ascii="Arial" w:cs="Arial" w:eastAsia="Arial" w:hAnsi="Arial"/>
                <w:sz w:val="14"/>
                <w:szCs w:val="14"/>
                <w:b w:val="1"/>
                <w:bCs w:val="1"/>
                <w:color w:val="FFFFFF"/>
              </w:rPr>
              <w:t>Bonus Payment</w:t>
            </w:r>
          </w:p>
        </w:tc>
        <w:tc>
          <w:tcPr>
            <w:tcW w:w="1820" w:type="dxa"/>
            <w:vAlign w:val="bottom"/>
            <w:shd w:val="clear" w:color="auto" w:fill="0060EC"/>
          </w:tcPr>
          <w:p>
            <w:pPr>
              <w:jc w:val="right"/>
              <w:ind w:right="564"/>
              <w:spacing w:after="0"/>
              <w:rPr>
                <w:sz w:val="20"/>
                <w:szCs w:val="20"/>
                <w:color w:val="auto"/>
              </w:rPr>
            </w:pPr>
            <w:r>
              <w:rPr>
                <w:rFonts w:ascii="Arial" w:cs="Arial" w:eastAsia="Arial" w:hAnsi="Arial"/>
                <w:sz w:val="14"/>
                <w:szCs w:val="14"/>
                <w:b w:val="1"/>
                <w:bCs w:val="1"/>
                <w:color w:val="FFFFFF"/>
              </w:rPr>
              <w:t>Payment</w:t>
            </w:r>
          </w:p>
        </w:tc>
        <w:tc>
          <w:tcPr>
            <w:tcW w:w="1600" w:type="dxa"/>
            <w:vAlign w:val="bottom"/>
            <w:shd w:val="clear" w:color="auto" w:fill="0060EC"/>
          </w:tcPr>
          <w:p>
            <w:pPr>
              <w:jc w:val="center"/>
              <w:ind w:left="42"/>
              <w:spacing w:after="0"/>
              <w:rPr>
                <w:sz w:val="20"/>
                <w:szCs w:val="20"/>
                <w:color w:val="auto"/>
              </w:rPr>
            </w:pPr>
            <w:r>
              <w:rPr>
                <w:rFonts w:ascii="Arial" w:cs="Arial" w:eastAsia="Arial" w:hAnsi="Arial"/>
                <w:sz w:val="14"/>
                <w:szCs w:val="14"/>
                <w:b w:val="1"/>
                <w:bCs w:val="1"/>
                <w:color w:val="FFFFFF"/>
              </w:rPr>
              <w:t>Bonus Actually Paid</w:t>
            </w:r>
          </w:p>
        </w:tc>
      </w:tr>
      <w:tr>
        <w:trPr>
          <w:trHeight w:val="80"/>
        </w:trPr>
        <w:tc>
          <w:tcPr>
            <w:tcW w:w="4280" w:type="dxa"/>
            <w:vAlign w:val="bottom"/>
            <w:shd w:val="clear" w:color="auto" w:fill="0060EC"/>
          </w:tcPr>
          <w:p>
            <w:pPr>
              <w:spacing w:after="0"/>
              <w:rPr>
                <w:sz w:val="6"/>
                <w:szCs w:val="6"/>
                <w:color w:val="auto"/>
              </w:rPr>
            </w:pPr>
          </w:p>
        </w:tc>
        <w:tc>
          <w:tcPr>
            <w:tcW w:w="1860" w:type="dxa"/>
            <w:vAlign w:val="bottom"/>
            <w:shd w:val="clear" w:color="auto" w:fill="0060EC"/>
          </w:tcPr>
          <w:p>
            <w:pPr>
              <w:spacing w:after="0"/>
              <w:rPr>
                <w:sz w:val="6"/>
                <w:szCs w:val="6"/>
                <w:color w:val="auto"/>
              </w:rPr>
            </w:pPr>
          </w:p>
        </w:tc>
        <w:tc>
          <w:tcPr>
            <w:tcW w:w="1820" w:type="dxa"/>
            <w:vAlign w:val="bottom"/>
            <w:shd w:val="clear" w:color="auto" w:fill="0060EC"/>
          </w:tcPr>
          <w:p>
            <w:pPr>
              <w:spacing w:after="0"/>
              <w:rPr>
                <w:sz w:val="6"/>
                <w:szCs w:val="6"/>
                <w:color w:val="auto"/>
              </w:rPr>
            </w:pPr>
          </w:p>
        </w:tc>
        <w:tc>
          <w:tcPr>
            <w:tcW w:w="1600" w:type="dxa"/>
            <w:vAlign w:val="bottom"/>
            <w:shd w:val="clear" w:color="auto" w:fill="0060EC"/>
          </w:tcPr>
          <w:p>
            <w:pPr>
              <w:spacing w:after="0"/>
              <w:rPr>
                <w:sz w:val="6"/>
                <w:szCs w:val="6"/>
                <w:color w:val="auto"/>
              </w:rPr>
            </w:pPr>
          </w:p>
        </w:tc>
      </w:tr>
      <w:tr>
        <w:trPr>
          <w:trHeight w:val="291"/>
        </w:trPr>
        <w:tc>
          <w:tcPr>
            <w:tcW w:w="428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Andrew W. Houston</w:t>
            </w:r>
          </w:p>
        </w:tc>
        <w:tc>
          <w:tcPr>
            <w:tcW w:w="1860" w:type="dxa"/>
            <w:vAlign w:val="bottom"/>
            <w:shd w:val="clear" w:color="auto" w:fill="E5EFFD"/>
          </w:tcPr>
          <w:p>
            <w:pPr>
              <w:jc w:val="right"/>
              <w:ind w:right="122"/>
              <w:spacing w:after="0"/>
              <w:rPr>
                <w:sz w:val="20"/>
                <w:szCs w:val="20"/>
                <w:color w:val="auto"/>
              </w:rPr>
            </w:pPr>
            <w:r>
              <w:rPr>
                <w:rFonts w:ascii="Arial" w:cs="Arial" w:eastAsia="Arial" w:hAnsi="Arial"/>
                <w:sz w:val="16"/>
                <w:szCs w:val="16"/>
                <w:color w:val="005CB8"/>
              </w:rPr>
              <w:t>$679,192</w:t>
            </w:r>
          </w:p>
        </w:tc>
        <w:tc>
          <w:tcPr>
            <w:tcW w:w="1820" w:type="dxa"/>
            <w:vAlign w:val="bottom"/>
            <w:shd w:val="clear" w:color="auto" w:fill="E5EFFD"/>
          </w:tcPr>
          <w:p>
            <w:pPr>
              <w:jc w:val="right"/>
              <w:ind w:right="264"/>
              <w:spacing w:after="0"/>
              <w:rPr>
                <w:sz w:val="20"/>
                <w:szCs w:val="20"/>
                <w:color w:val="auto"/>
              </w:rPr>
            </w:pPr>
            <w:r>
              <w:rPr>
                <w:rFonts w:ascii="Arial" w:cs="Arial" w:eastAsia="Arial" w:hAnsi="Arial"/>
                <w:sz w:val="16"/>
                <w:szCs w:val="16"/>
                <w:color w:val="005CB8"/>
              </w:rPr>
              <w:t>$679,192</w:t>
            </w:r>
          </w:p>
        </w:tc>
        <w:tc>
          <w:tcPr>
            <w:tcW w:w="1600" w:type="dxa"/>
            <w:vAlign w:val="bottom"/>
            <w:shd w:val="clear" w:color="auto" w:fill="E5EFFD"/>
          </w:tcPr>
          <w:p>
            <w:pPr>
              <w:jc w:val="right"/>
              <w:ind w:right="2"/>
              <w:spacing w:after="0"/>
              <w:rPr>
                <w:sz w:val="20"/>
                <w:szCs w:val="20"/>
                <w:color w:val="auto"/>
              </w:rPr>
            </w:pPr>
            <w:r>
              <w:rPr>
                <w:rFonts w:ascii="Arial" w:cs="Arial" w:eastAsia="Arial" w:hAnsi="Arial"/>
                <w:sz w:val="16"/>
                <w:szCs w:val="16"/>
                <w:color w:val="005CB8"/>
              </w:rPr>
              <w:t>100%</w:t>
            </w:r>
          </w:p>
        </w:tc>
      </w:tr>
      <w:tr>
        <w:trPr>
          <w:trHeight w:val="378"/>
        </w:trPr>
        <w:tc>
          <w:tcPr>
            <w:tcW w:w="428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Ajay V. Vashee</w:t>
            </w:r>
          </w:p>
        </w:tc>
        <w:tc>
          <w:tcPr>
            <w:tcW w:w="1860" w:type="dxa"/>
            <w:vAlign w:val="bottom"/>
            <w:shd w:val="clear" w:color="auto" w:fill="E5EFFD"/>
          </w:tcPr>
          <w:p>
            <w:pPr>
              <w:jc w:val="right"/>
              <w:ind w:right="122"/>
              <w:spacing w:after="0"/>
              <w:rPr>
                <w:sz w:val="20"/>
                <w:szCs w:val="20"/>
                <w:color w:val="auto"/>
              </w:rPr>
            </w:pPr>
            <w:r>
              <w:rPr>
                <w:rFonts w:ascii="Arial" w:cs="Arial" w:eastAsia="Arial" w:hAnsi="Arial"/>
                <w:sz w:val="16"/>
                <w:szCs w:val="16"/>
                <w:color w:val="005CB8"/>
              </w:rPr>
              <w:t>$354,740</w:t>
            </w:r>
          </w:p>
        </w:tc>
        <w:tc>
          <w:tcPr>
            <w:tcW w:w="1820" w:type="dxa"/>
            <w:vAlign w:val="bottom"/>
            <w:shd w:val="clear" w:color="auto" w:fill="E5EFFD"/>
          </w:tcPr>
          <w:p>
            <w:pPr>
              <w:jc w:val="right"/>
              <w:ind w:right="264"/>
              <w:spacing w:after="0"/>
              <w:rPr>
                <w:sz w:val="20"/>
                <w:szCs w:val="20"/>
                <w:color w:val="auto"/>
              </w:rPr>
            </w:pPr>
            <w:r>
              <w:rPr>
                <w:rFonts w:ascii="Arial" w:cs="Arial" w:eastAsia="Arial" w:hAnsi="Arial"/>
                <w:sz w:val="16"/>
                <w:szCs w:val="16"/>
                <w:color w:val="005CB8"/>
              </w:rPr>
              <w:t>$443,425</w:t>
            </w:r>
          </w:p>
        </w:tc>
        <w:tc>
          <w:tcPr>
            <w:tcW w:w="1600" w:type="dxa"/>
            <w:vAlign w:val="bottom"/>
            <w:shd w:val="clear" w:color="auto" w:fill="E5EFFD"/>
          </w:tcPr>
          <w:p>
            <w:pPr>
              <w:jc w:val="right"/>
              <w:ind w:right="2"/>
              <w:spacing w:after="0"/>
              <w:rPr>
                <w:sz w:val="20"/>
                <w:szCs w:val="20"/>
                <w:color w:val="auto"/>
              </w:rPr>
            </w:pPr>
            <w:r>
              <w:rPr>
                <w:rFonts w:ascii="Arial" w:cs="Arial" w:eastAsia="Arial" w:hAnsi="Arial"/>
                <w:sz w:val="16"/>
                <w:szCs w:val="16"/>
                <w:color w:val="005CB8"/>
              </w:rPr>
              <w:t>125%</w:t>
            </w:r>
          </w:p>
        </w:tc>
      </w:tr>
      <w:tr>
        <w:trPr>
          <w:trHeight w:val="378"/>
        </w:trPr>
        <w:tc>
          <w:tcPr>
            <w:tcW w:w="428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Bharat Mediratta</w:t>
            </w:r>
          </w:p>
        </w:tc>
        <w:tc>
          <w:tcPr>
            <w:tcW w:w="1860" w:type="dxa"/>
            <w:vAlign w:val="bottom"/>
            <w:shd w:val="clear" w:color="auto" w:fill="E5EFFD"/>
          </w:tcPr>
          <w:p>
            <w:pPr>
              <w:jc w:val="right"/>
              <w:ind w:right="122"/>
              <w:spacing w:after="0"/>
              <w:rPr>
                <w:sz w:val="20"/>
                <w:szCs w:val="20"/>
                <w:color w:val="auto"/>
              </w:rPr>
            </w:pPr>
            <w:r>
              <w:rPr>
                <w:rFonts w:ascii="Arial" w:cs="Arial" w:eastAsia="Arial" w:hAnsi="Arial"/>
                <w:sz w:val="16"/>
                <w:szCs w:val="16"/>
                <w:color w:val="005CB8"/>
              </w:rPr>
              <w:t>$104,110</w:t>
            </w:r>
          </w:p>
        </w:tc>
        <w:tc>
          <w:tcPr>
            <w:tcW w:w="1820" w:type="dxa"/>
            <w:vAlign w:val="bottom"/>
            <w:shd w:val="clear" w:color="auto" w:fill="E5EFFD"/>
          </w:tcPr>
          <w:p>
            <w:pPr>
              <w:jc w:val="right"/>
              <w:ind w:right="264"/>
              <w:spacing w:after="0"/>
              <w:rPr>
                <w:sz w:val="20"/>
                <w:szCs w:val="20"/>
                <w:color w:val="auto"/>
              </w:rPr>
            </w:pPr>
            <w:r>
              <w:rPr>
                <w:rFonts w:ascii="Arial" w:cs="Arial" w:eastAsia="Arial" w:hAnsi="Arial"/>
                <w:sz w:val="16"/>
                <w:szCs w:val="16"/>
                <w:color w:val="005CB8"/>
              </w:rPr>
              <w:t>$104,110</w:t>
            </w:r>
          </w:p>
        </w:tc>
        <w:tc>
          <w:tcPr>
            <w:tcW w:w="1600" w:type="dxa"/>
            <w:vAlign w:val="bottom"/>
            <w:shd w:val="clear" w:color="auto" w:fill="E5EFFD"/>
          </w:tcPr>
          <w:p>
            <w:pPr>
              <w:jc w:val="right"/>
              <w:ind w:right="2"/>
              <w:spacing w:after="0"/>
              <w:rPr>
                <w:sz w:val="20"/>
                <w:szCs w:val="20"/>
                <w:color w:val="auto"/>
              </w:rPr>
            </w:pPr>
            <w:r>
              <w:rPr>
                <w:rFonts w:ascii="Arial" w:cs="Arial" w:eastAsia="Arial" w:hAnsi="Arial"/>
                <w:sz w:val="16"/>
                <w:szCs w:val="16"/>
                <w:color w:val="005CB8"/>
              </w:rPr>
              <w:t>100%</w:t>
            </w:r>
          </w:p>
        </w:tc>
      </w:tr>
      <w:tr>
        <w:trPr>
          <w:trHeight w:val="378"/>
        </w:trPr>
        <w:tc>
          <w:tcPr>
            <w:tcW w:w="428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Timothy Young</w:t>
            </w:r>
          </w:p>
        </w:tc>
        <w:tc>
          <w:tcPr>
            <w:tcW w:w="1860" w:type="dxa"/>
            <w:vAlign w:val="bottom"/>
            <w:shd w:val="clear" w:color="auto" w:fill="E5EFFD"/>
          </w:tcPr>
          <w:p>
            <w:pPr>
              <w:jc w:val="right"/>
              <w:ind w:right="122"/>
              <w:spacing w:after="0"/>
              <w:rPr>
                <w:sz w:val="20"/>
                <w:szCs w:val="20"/>
                <w:color w:val="auto"/>
              </w:rPr>
            </w:pPr>
            <w:r>
              <w:rPr>
                <w:rFonts w:ascii="Arial" w:cs="Arial" w:eastAsia="Arial" w:hAnsi="Arial"/>
                <w:sz w:val="16"/>
                <w:szCs w:val="16"/>
                <w:color w:val="005CB8"/>
              </w:rPr>
              <w:t>$116,438</w:t>
            </w:r>
          </w:p>
        </w:tc>
        <w:tc>
          <w:tcPr>
            <w:tcW w:w="1820" w:type="dxa"/>
            <w:vAlign w:val="bottom"/>
            <w:shd w:val="clear" w:color="auto" w:fill="E5EFFD"/>
          </w:tcPr>
          <w:p>
            <w:pPr>
              <w:jc w:val="right"/>
              <w:ind w:right="264"/>
              <w:spacing w:after="0"/>
              <w:rPr>
                <w:sz w:val="20"/>
                <w:szCs w:val="20"/>
                <w:color w:val="auto"/>
              </w:rPr>
            </w:pPr>
            <w:r>
              <w:rPr>
                <w:rFonts w:ascii="Arial" w:cs="Arial" w:eastAsia="Arial" w:hAnsi="Arial"/>
                <w:sz w:val="16"/>
                <w:szCs w:val="16"/>
                <w:color w:val="005CB8"/>
              </w:rPr>
              <w:t>$116,438</w:t>
            </w:r>
          </w:p>
        </w:tc>
        <w:tc>
          <w:tcPr>
            <w:tcW w:w="1600" w:type="dxa"/>
            <w:vAlign w:val="bottom"/>
            <w:shd w:val="clear" w:color="auto" w:fill="E5EFFD"/>
          </w:tcPr>
          <w:p>
            <w:pPr>
              <w:jc w:val="right"/>
              <w:ind w:right="2"/>
              <w:spacing w:after="0"/>
              <w:rPr>
                <w:sz w:val="20"/>
                <w:szCs w:val="20"/>
                <w:color w:val="auto"/>
              </w:rPr>
            </w:pPr>
            <w:r>
              <w:rPr>
                <w:rFonts w:ascii="Arial" w:cs="Arial" w:eastAsia="Arial" w:hAnsi="Arial"/>
                <w:sz w:val="16"/>
                <w:szCs w:val="16"/>
                <w:color w:val="005CB8"/>
              </w:rPr>
              <w:t>100%</w:t>
            </w:r>
          </w:p>
        </w:tc>
      </w:tr>
      <w:tr>
        <w:trPr>
          <w:trHeight w:val="384"/>
        </w:trPr>
        <w:tc>
          <w:tcPr>
            <w:tcW w:w="428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Yamini Rangan</w:t>
            </w:r>
          </w:p>
        </w:tc>
        <w:tc>
          <w:tcPr>
            <w:tcW w:w="1860" w:type="dxa"/>
            <w:vAlign w:val="bottom"/>
            <w:shd w:val="clear" w:color="auto" w:fill="E5EFFD"/>
          </w:tcPr>
          <w:p>
            <w:pPr>
              <w:jc w:val="right"/>
              <w:ind w:right="122"/>
              <w:spacing w:after="0"/>
              <w:rPr>
                <w:sz w:val="20"/>
                <w:szCs w:val="20"/>
                <w:color w:val="auto"/>
              </w:rPr>
            </w:pPr>
            <w:r>
              <w:rPr>
                <w:rFonts w:ascii="Arial" w:cs="Arial" w:eastAsia="Arial" w:hAnsi="Arial"/>
                <w:sz w:val="16"/>
                <w:szCs w:val="16"/>
                <w:color w:val="005CB8"/>
              </w:rPr>
              <w:t>$530,890</w:t>
            </w:r>
          </w:p>
        </w:tc>
        <w:tc>
          <w:tcPr>
            <w:tcW w:w="1820" w:type="dxa"/>
            <w:vAlign w:val="bottom"/>
            <w:shd w:val="clear" w:color="auto" w:fill="E5EFFD"/>
          </w:tcPr>
          <w:p>
            <w:pPr>
              <w:jc w:val="right"/>
              <w:ind w:right="104"/>
              <w:spacing w:after="0"/>
              <w:rPr>
                <w:sz w:val="20"/>
                <w:szCs w:val="20"/>
                <w:color w:val="auto"/>
              </w:rPr>
            </w:pPr>
            <w:r>
              <w:rPr>
                <w:rFonts w:ascii="Arial" w:cs="Arial" w:eastAsia="Arial" w:hAnsi="Arial"/>
                <w:sz w:val="32"/>
                <w:szCs w:val="32"/>
                <w:color w:val="005CB8"/>
                <w:vertAlign w:val="subscript"/>
              </w:rPr>
              <w:t>—</w:t>
            </w:r>
            <w:r>
              <w:rPr>
                <w:rFonts w:ascii="Arial" w:cs="Arial" w:eastAsia="Arial" w:hAnsi="Arial"/>
                <w:sz w:val="13"/>
                <w:szCs w:val="13"/>
                <w:color w:val="005CB8"/>
              </w:rPr>
              <w:t>(1)</w:t>
            </w:r>
          </w:p>
        </w:tc>
        <w:tc>
          <w:tcPr>
            <w:tcW w:w="1600" w:type="dxa"/>
            <w:vAlign w:val="bottom"/>
            <w:shd w:val="clear" w:color="auto" w:fill="E5EFFD"/>
          </w:tcPr>
          <w:p>
            <w:pPr>
              <w:jc w:val="right"/>
              <w:ind w:right="2"/>
              <w:spacing w:after="0"/>
              <w:rPr>
                <w:sz w:val="20"/>
                <w:szCs w:val="20"/>
                <w:color w:val="auto"/>
              </w:rPr>
            </w:pPr>
            <w:r>
              <w:rPr>
                <w:rFonts w:ascii="Arial" w:cs="Arial" w:eastAsia="Arial" w:hAnsi="Arial"/>
                <w:sz w:val="16"/>
                <w:szCs w:val="16"/>
                <w:color w:val="005CB8"/>
              </w:rPr>
              <w:t>0%</w:t>
            </w:r>
          </w:p>
        </w:tc>
      </w:tr>
    </w:tbl>
    <w:p>
      <w:pPr>
        <w:spacing w:after="0" w:line="86" w:lineRule="exact"/>
        <w:rPr>
          <w:sz w:val="20"/>
          <w:szCs w:val="20"/>
          <w:color w:val="auto"/>
        </w:rPr>
      </w:pPr>
    </w:p>
    <w:p>
      <w:pPr>
        <w:ind w:left="4"/>
        <w:spacing w:after="0"/>
        <w:rPr>
          <w:sz w:val="20"/>
          <w:szCs w:val="20"/>
          <w:color w:val="auto"/>
        </w:rPr>
      </w:pPr>
      <w:r>
        <w:rPr>
          <w:rFonts w:ascii="Arial" w:cs="Arial" w:eastAsia="Arial" w:hAnsi="Arial"/>
          <w:sz w:val="14"/>
          <w:szCs w:val="14"/>
          <w:color w:val="auto"/>
        </w:rPr>
        <w:t>(1) Ms. Rangan resigned from the company in January 2020.</w:t>
      </w:r>
    </w:p>
    <w:p>
      <w:pPr>
        <w:spacing w:after="0" w:line="144" w:lineRule="exact"/>
        <w:rPr>
          <w:sz w:val="20"/>
          <w:szCs w:val="20"/>
          <w:color w:val="auto"/>
        </w:rPr>
      </w:pPr>
    </w:p>
    <w:p>
      <w:pPr>
        <w:ind w:left="4" w:right="100"/>
        <w:spacing w:after="0" w:line="281" w:lineRule="auto"/>
        <w:rPr>
          <w:sz w:val="20"/>
          <w:szCs w:val="20"/>
          <w:color w:val="auto"/>
        </w:rPr>
      </w:pPr>
      <w:r>
        <w:rPr>
          <w:rFonts w:ascii="Arial" w:cs="Arial" w:eastAsia="Arial" w:hAnsi="Arial"/>
          <w:sz w:val="16"/>
          <w:szCs w:val="16"/>
          <w:color w:val="auto"/>
        </w:rPr>
        <w:t>The annual cash bonus payments made to our named executive officers for 2019 are set forth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w:t>
      </w:r>
      <w:r>
        <w:rPr>
          <w:rFonts w:ascii="Arial" w:cs="Arial" w:eastAsia="Arial" w:hAnsi="Arial"/>
          <w:sz w:val="16"/>
          <w:szCs w:val="16"/>
          <w:i w:val="1"/>
          <w:iCs w:val="1"/>
          <w:color w:val="auto"/>
        </w:rPr>
        <w:t>for Fiscal 2019</w:t>
      </w:r>
      <w:r>
        <w:rPr>
          <w:rFonts w:ascii="Arial" w:cs="Arial" w:eastAsia="Arial" w:hAnsi="Arial"/>
          <w:sz w:val="16"/>
          <w:szCs w:val="16"/>
          <w:color w:val="auto"/>
        </w:rPr>
        <w:t>” below.</w:t>
      </w:r>
    </w:p>
    <w:p>
      <w:pPr>
        <w:spacing w:after="0" w:line="2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Long-Term Equity Incentive Compensation</w:t>
      </w:r>
    </w:p>
    <w:p>
      <w:pPr>
        <w:spacing w:after="0" w:line="66" w:lineRule="exact"/>
        <w:rPr>
          <w:sz w:val="20"/>
          <w:szCs w:val="20"/>
          <w:color w:val="auto"/>
        </w:rPr>
      </w:pPr>
    </w:p>
    <w:p>
      <w:pPr>
        <w:ind w:left="4" w:right="60"/>
        <w:spacing w:after="0" w:line="251" w:lineRule="auto"/>
        <w:rPr>
          <w:sz w:val="20"/>
          <w:szCs w:val="20"/>
          <w:color w:val="auto"/>
        </w:rPr>
      </w:pPr>
      <w:r>
        <w:rPr>
          <w:rFonts w:ascii="Arial" w:cs="Arial" w:eastAsia="Arial" w:hAnsi="Arial"/>
          <w:sz w:val="16"/>
          <w:szCs w:val="16"/>
          <w:color w:val="auto"/>
        </w:rPr>
        <w:t>We view long-term equity incentive compensation in the form of equity awards as a critical element of our executive compensation program. The realized value of these equity awards bears a direct relationship to our stock price, and, therefore, these awards are an incentive for our executive officers, including our named executive officers, to create value for our stockholders. Equity awards also help us retain qualified executive officers in a competitive market.</w:t>
      </w:r>
    </w:p>
    <w:p>
      <w:pPr>
        <w:spacing w:after="0" w:line="148" w:lineRule="exact"/>
        <w:rPr>
          <w:sz w:val="20"/>
          <w:szCs w:val="20"/>
          <w:color w:val="auto"/>
        </w:rPr>
      </w:pPr>
    </w:p>
    <w:p>
      <w:pPr>
        <w:ind w:left="4" w:right="20"/>
        <w:spacing w:after="0" w:line="251" w:lineRule="auto"/>
        <w:rPr>
          <w:sz w:val="20"/>
          <w:szCs w:val="20"/>
          <w:color w:val="auto"/>
        </w:rPr>
      </w:pPr>
      <w:r>
        <w:rPr>
          <w:rFonts w:ascii="Arial" w:cs="Arial" w:eastAsia="Arial" w:hAnsi="Arial"/>
          <w:sz w:val="16"/>
          <w:szCs w:val="16"/>
          <w:color w:val="auto"/>
        </w:rPr>
        <w:t xml:space="preserve">The amount and forms of the equity awards granted to our executive officers, including our named executive officers, are determined after considering the factors described in “ </w:t>
      </w:r>
      <w:r>
        <w:rPr>
          <w:rFonts w:ascii="Arial" w:cs="Arial" w:eastAsia="Arial" w:hAnsi="Arial"/>
          <w:sz w:val="16"/>
          <w:szCs w:val="16"/>
          <w:i w:val="1"/>
          <w:iCs w:val="1"/>
          <w:color w:val="auto"/>
        </w:rPr>
        <w:t>Compensation-Setting Process</w:t>
      </w:r>
      <w:r>
        <w:rPr>
          <w:rFonts w:ascii="Arial" w:cs="Arial" w:eastAsia="Arial" w:hAnsi="Arial"/>
          <w:sz w:val="16"/>
          <w:szCs w:val="16"/>
          <w:color w:val="auto"/>
        </w:rPr>
        <w:t>” above. The size of the equity awards is also intended to be competitive and result in target total direct compensation opportunities that we believe are reasonable and appropriate taking into consideration the factors described in the preceding sentence.</w:t>
      </w:r>
    </w:p>
    <w:p>
      <w:pPr>
        <w:spacing w:after="0" w:line="148" w:lineRule="exact"/>
        <w:rPr>
          <w:sz w:val="20"/>
          <w:szCs w:val="20"/>
          <w:color w:val="auto"/>
        </w:rPr>
      </w:pPr>
    </w:p>
    <w:p>
      <w:pPr>
        <w:ind w:left="4" w:right="40"/>
        <w:spacing w:after="0" w:line="250" w:lineRule="auto"/>
        <w:rPr>
          <w:sz w:val="20"/>
          <w:szCs w:val="20"/>
          <w:color w:val="auto"/>
        </w:rPr>
      </w:pPr>
      <w:r>
        <w:rPr>
          <w:rFonts w:ascii="Arial" w:cs="Arial" w:eastAsia="Arial" w:hAnsi="Arial"/>
          <w:sz w:val="16"/>
          <w:szCs w:val="16"/>
          <w:color w:val="auto"/>
        </w:rPr>
        <w:t>In March 2019, the compensation committee approved RSU awards settled for shares of our Class A common stock to certain of our executive officers, including Mr. Vashee and Ms. Rangan (which were effective April 1, 2019). In September 2019, the compensation committee approved new hire equity grants in the form of restricted stock awards, or RSAs, to Messrs. Mediratta and Young, effective November 1, 2019. The RSAs granted to Messrs. Mediratta and Young have certain stockholder rights, such as the right to vote the shares immediately upon grant and prior to their vesting.</w:t>
      </w:r>
    </w:p>
    <w:p>
      <w:pPr>
        <w:spacing w:after="0" w:line="149" w:lineRule="exact"/>
        <w:rPr>
          <w:sz w:val="20"/>
          <w:szCs w:val="20"/>
          <w:color w:val="auto"/>
        </w:rPr>
      </w:pPr>
    </w:p>
    <w:p>
      <w:pPr>
        <w:ind w:left="4" w:right="20"/>
        <w:spacing w:after="0" w:line="253" w:lineRule="auto"/>
        <w:rPr>
          <w:sz w:val="20"/>
          <w:szCs w:val="20"/>
          <w:color w:val="auto"/>
        </w:rPr>
      </w:pPr>
      <w:r>
        <w:rPr>
          <w:rFonts w:ascii="Arial" w:cs="Arial" w:eastAsia="Arial" w:hAnsi="Arial"/>
          <w:sz w:val="16"/>
          <w:szCs w:val="16"/>
          <w:color w:val="auto"/>
        </w:rPr>
        <w:t>Differentiation was made among our executive officers based on the compensation committee’s review of the competitive market data for their respective positions, internal equity, past performance, and expected future contributions. Mr. Houston does not receive equity-based compensation in light of his significant ownership position in the company.</w:t>
      </w:r>
    </w:p>
    <w:p>
      <w:pPr>
        <w:spacing w:after="0" w:line="20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equity awards granted to our named executive officers in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077585" cy="1499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7585" cy="1499870"/>
                    </a:xfrm>
                    <a:prstGeom prst="rect">
                      <a:avLst/>
                    </a:prstGeom>
                    <a:noFill/>
                  </pic:spPr>
                </pic:pic>
              </a:graphicData>
            </a:graphic>
          </wp:anchor>
        </w:drawing>
      </w:r>
    </w:p>
    <w:p>
      <w:pPr>
        <w:spacing w:after="0" w:line="199"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5270" w:type="dxa"/>
            <w:vAlign w:val="bottom"/>
            <w:shd w:val="clear" w:color="auto" w:fill="0060EC"/>
          </w:tcPr>
          <w:p>
            <w:pPr>
              <w:spacing w:after="0"/>
              <w:rPr>
                <w:sz w:val="22"/>
                <w:szCs w:val="22"/>
                <w:color w:val="auto"/>
              </w:rPr>
            </w:pPr>
          </w:p>
        </w:tc>
        <w:tc>
          <w:tcPr>
            <w:tcW w:w="2470" w:type="dxa"/>
            <w:vAlign w:val="bottom"/>
            <w:shd w:val="clear" w:color="auto" w:fill="0060EC"/>
          </w:tcPr>
          <w:p>
            <w:pPr>
              <w:spacing w:after="0"/>
              <w:rPr>
                <w:sz w:val="22"/>
                <w:szCs w:val="22"/>
                <w:color w:val="auto"/>
              </w:rPr>
            </w:pPr>
          </w:p>
        </w:tc>
        <w:tc>
          <w:tcPr>
            <w:tcW w:w="1820" w:type="dxa"/>
            <w:vAlign w:val="bottom"/>
            <w:shd w:val="clear" w:color="auto" w:fill="0060EC"/>
          </w:tcPr>
          <w:p>
            <w:pPr>
              <w:ind w:left="560"/>
              <w:spacing w:after="0"/>
              <w:rPr>
                <w:sz w:val="20"/>
                <w:szCs w:val="20"/>
                <w:color w:val="auto"/>
              </w:rPr>
            </w:pPr>
            <w:r>
              <w:rPr>
                <w:rFonts w:ascii="Arial" w:cs="Arial" w:eastAsia="Arial" w:hAnsi="Arial"/>
                <w:sz w:val="14"/>
                <w:szCs w:val="14"/>
                <w:b w:val="1"/>
                <w:bCs w:val="1"/>
                <w:color w:val="FFFFFF"/>
              </w:rPr>
              <w:t>Aggregate Grant</w:t>
            </w:r>
          </w:p>
        </w:tc>
      </w:tr>
      <w:tr>
        <w:trPr>
          <w:trHeight w:val="190"/>
        </w:trPr>
        <w:tc>
          <w:tcPr>
            <w:tcW w:w="5270" w:type="dxa"/>
            <w:vAlign w:val="bottom"/>
            <w:shd w:val="clear" w:color="auto" w:fill="0060EC"/>
          </w:tcPr>
          <w:p>
            <w:pPr>
              <w:ind w:left="1660"/>
              <w:spacing w:after="0"/>
              <w:rPr>
                <w:sz w:val="20"/>
                <w:szCs w:val="20"/>
                <w:color w:val="auto"/>
              </w:rPr>
            </w:pPr>
            <w:r>
              <w:rPr>
                <w:rFonts w:ascii="Arial" w:cs="Arial" w:eastAsia="Arial" w:hAnsi="Arial"/>
                <w:sz w:val="14"/>
                <w:szCs w:val="14"/>
                <w:b w:val="1"/>
                <w:bCs w:val="1"/>
                <w:color w:val="FFFFFF"/>
              </w:rPr>
              <w:t>Named Executive Officer</w:t>
            </w:r>
          </w:p>
        </w:tc>
        <w:tc>
          <w:tcPr>
            <w:tcW w:w="2470" w:type="dxa"/>
            <w:vAlign w:val="bottom"/>
            <w:shd w:val="clear" w:color="auto" w:fill="0060EC"/>
          </w:tcPr>
          <w:p>
            <w:pPr>
              <w:jc w:val="right"/>
              <w:ind w:right="541"/>
              <w:spacing w:after="0"/>
              <w:rPr>
                <w:sz w:val="20"/>
                <w:szCs w:val="20"/>
                <w:color w:val="auto"/>
              </w:rPr>
            </w:pPr>
            <w:r>
              <w:rPr>
                <w:rFonts w:ascii="Arial" w:cs="Arial" w:eastAsia="Arial" w:hAnsi="Arial"/>
                <w:sz w:val="14"/>
                <w:szCs w:val="14"/>
                <w:b w:val="1"/>
                <w:bCs w:val="1"/>
                <w:color w:val="FFFFFF"/>
              </w:rPr>
              <w:t>RSUs or RSAs</w:t>
            </w:r>
          </w:p>
        </w:tc>
        <w:tc>
          <w:tcPr>
            <w:tcW w:w="1820" w:type="dxa"/>
            <w:vAlign w:val="bottom"/>
            <w:shd w:val="clear" w:color="auto" w:fill="0060EC"/>
          </w:tcPr>
          <w:p>
            <w:pPr>
              <w:ind w:left="620"/>
              <w:spacing w:after="0"/>
              <w:rPr>
                <w:sz w:val="20"/>
                <w:szCs w:val="20"/>
                <w:color w:val="auto"/>
              </w:rPr>
            </w:pPr>
            <w:r>
              <w:rPr>
                <w:rFonts w:ascii="Arial" w:cs="Arial" w:eastAsia="Arial" w:hAnsi="Arial"/>
                <w:sz w:val="14"/>
                <w:szCs w:val="14"/>
                <w:b w:val="1"/>
                <w:bCs w:val="1"/>
                <w:color w:val="FFFFFF"/>
              </w:rPr>
              <w:t>Date Fair Value</w:t>
            </w:r>
          </w:p>
        </w:tc>
      </w:tr>
      <w:tr>
        <w:trPr>
          <w:trHeight w:val="79"/>
        </w:trPr>
        <w:tc>
          <w:tcPr>
            <w:tcW w:w="5270" w:type="dxa"/>
            <w:vAlign w:val="bottom"/>
            <w:shd w:val="clear" w:color="auto" w:fill="0060EC"/>
          </w:tcPr>
          <w:p>
            <w:pPr>
              <w:spacing w:after="0"/>
              <w:rPr>
                <w:sz w:val="6"/>
                <w:szCs w:val="6"/>
                <w:color w:val="auto"/>
              </w:rPr>
            </w:pPr>
          </w:p>
        </w:tc>
        <w:tc>
          <w:tcPr>
            <w:tcW w:w="2470" w:type="dxa"/>
            <w:vAlign w:val="bottom"/>
            <w:shd w:val="clear" w:color="auto" w:fill="0060EC"/>
          </w:tcPr>
          <w:p>
            <w:pPr>
              <w:spacing w:after="0"/>
              <w:rPr>
                <w:sz w:val="6"/>
                <w:szCs w:val="6"/>
                <w:color w:val="auto"/>
              </w:rPr>
            </w:pPr>
          </w:p>
        </w:tc>
        <w:tc>
          <w:tcPr>
            <w:tcW w:w="1820" w:type="dxa"/>
            <w:vAlign w:val="bottom"/>
            <w:shd w:val="clear" w:color="auto" w:fill="0060EC"/>
          </w:tcPr>
          <w:p>
            <w:pPr>
              <w:spacing w:after="0"/>
              <w:rPr>
                <w:sz w:val="6"/>
                <w:szCs w:val="6"/>
                <w:color w:val="auto"/>
              </w:rPr>
            </w:pPr>
          </w:p>
        </w:tc>
      </w:tr>
      <w:tr>
        <w:trPr>
          <w:trHeight w:val="291"/>
        </w:trPr>
        <w:tc>
          <w:tcPr>
            <w:tcW w:w="527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Andrew W. Houston</w:t>
            </w:r>
          </w:p>
        </w:tc>
        <w:tc>
          <w:tcPr>
            <w:tcW w:w="2470" w:type="dxa"/>
            <w:vAlign w:val="bottom"/>
            <w:shd w:val="clear" w:color="auto" w:fill="E5EFFD"/>
          </w:tcPr>
          <w:p>
            <w:pPr>
              <w:jc w:val="right"/>
              <w:ind w:right="641"/>
              <w:spacing w:after="0"/>
              <w:rPr>
                <w:sz w:val="20"/>
                <w:szCs w:val="20"/>
                <w:color w:val="auto"/>
              </w:rPr>
            </w:pPr>
            <w:r>
              <w:rPr>
                <w:rFonts w:ascii="Arial" w:cs="Arial" w:eastAsia="Arial" w:hAnsi="Arial"/>
                <w:sz w:val="16"/>
                <w:szCs w:val="16"/>
                <w:color w:val="005CB8"/>
              </w:rPr>
              <w:t>—</w:t>
            </w:r>
          </w:p>
        </w:tc>
        <w:tc>
          <w:tcPr>
            <w:tcW w:w="1820" w:type="dxa"/>
            <w:vAlign w:val="bottom"/>
            <w:shd w:val="clear" w:color="auto" w:fill="E5EFFD"/>
          </w:tcPr>
          <w:p>
            <w:pPr>
              <w:ind w:left="1440"/>
              <w:spacing w:after="0"/>
              <w:rPr>
                <w:sz w:val="20"/>
                <w:szCs w:val="20"/>
                <w:color w:val="auto"/>
              </w:rPr>
            </w:pPr>
            <w:r>
              <w:rPr>
                <w:rFonts w:ascii="Arial" w:cs="Arial" w:eastAsia="Arial" w:hAnsi="Arial"/>
                <w:sz w:val="16"/>
                <w:szCs w:val="16"/>
                <w:color w:val="005CB8"/>
              </w:rPr>
              <w:t>—</w:t>
            </w:r>
          </w:p>
        </w:tc>
      </w:tr>
      <w:tr>
        <w:trPr>
          <w:trHeight w:val="465"/>
        </w:trPr>
        <w:tc>
          <w:tcPr>
            <w:tcW w:w="527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Ajay V. Vashee</w:t>
            </w:r>
          </w:p>
        </w:tc>
        <w:tc>
          <w:tcPr>
            <w:tcW w:w="2470" w:type="dxa"/>
            <w:vAlign w:val="bottom"/>
            <w:shd w:val="clear" w:color="auto" w:fill="E5EFFD"/>
          </w:tcPr>
          <w:p>
            <w:pPr>
              <w:jc w:val="right"/>
              <w:ind w:right="481"/>
              <w:spacing w:after="0"/>
              <w:rPr>
                <w:sz w:val="20"/>
                <w:szCs w:val="20"/>
                <w:color w:val="auto"/>
              </w:rPr>
            </w:pPr>
            <w:r>
              <w:rPr>
                <w:rFonts w:ascii="Arial" w:cs="Arial" w:eastAsia="Arial" w:hAnsi="Arial"/>
                <w:sz w:val="16"/>
                <w:szCs w:val="16"/>
                <w:color w:val="005CB8"/>
              </w:rPr>
              <w:t>182,837</w:t>
            </w:r>
            <w:r>
              <w:rPr>
                <w:rFonts w:ascii="Arial" w:cs="Arial" w:eastAsia="Arial" w:hAnsi="Arial"/>
                <w:sz w:val="26"/>
                <w:szCs w:val="26"/>
                <w:color w:val="005CB8"/>
                <w:vertAlign w:val="superscript"/>
              </w:rPr>
              <w:t>(1)</w:t>
            </w:r>
          </w:p>
        </w:tc>
        <w:tc>
          <w:tcPr>
            <w:tcW w:w="1820" w:type="dxa"/>
            <w:vAlign w:val="bottom"/>
            <w:shd w:val="clear" w:color="auto" w:fill="E5EFFD"/>
          </w:tcPr>
          <w:p>
            <w:pPr>
              <w:ind w:left="720"/>
              <w:spacing w:after="0"/>
              <w:rPr>
                <w:sz w:val="20"/>
                <w:szCs w:val="20"/>
                <w:color w:val="auto"/>
              </w:rPr>
            </w:pPr>
            <w:r>
              <w:rPr>
                <w:rFonts w:ascii="Arial" w:cs="Arial" w:eastAsia="Arial" w:hAnsi="Arial"/>
                <w:sz w:val="16"/>
                <w:szCs w:val="16"/>
                <w:color w:val="005CB8"/>
              </w:rPr>
              <w:t>$ 3,985,847</w:t>
            </w:r>
          </w:p>
        </w:tc>
      </w:tr>
      <w:tr>
        <w:trPr>
          <w:trHeight w:val="378"/>
        </w:trPr>
        <w:tc>
          <w:tcPr>
            <w:tcW w:w="527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Bharat Mediratta</w:t>
            </w:r>
          </w:p>
        </w:tc>
        <w:tc>
          <w:tcPr>
            <w:tcW w:w="2470" w:type="dxa"/>
            <w:vAlign w:val="bottom"/>
            <w:shd w:val="clear" w:color="auto" w:fill="E5EFFD"/>
          </w:tcPr>
          <w:p>
            <w:pPr>
              <w:jc w:val="right"/>
              <w:ind w:right="481"/>
              <w:spacing w:after="0"/>
              <w:rPr>
                <w:sz w:val="20"/>
                <w:szCs w:val="20"/>
                <w:color w:val="auto"/>
              </w:rPr>
            </w:pPr>
            <w:r>
              <w:rPr>
                <w:rFonts w:ascii="Arial" w:cs="Arial" w:eastAsia="Arial" w:hAnsi="Arial"/>
                <w:sz w:val="16"/>
                <w:szCs w:val="16"/>
                <w:color w:val="005CB8"/>
              </w:rPr>
              <w:t>1,053,108</w:t>
            </w:r>
            <w:r>
              <w:rPr>
                <w:rFonts w:ascii="Arial" w:cs="Arial" w:eastAsia="Arial" w:hAnsi="Arial"/>
                <w:sz w:val="26"/>
                <w:szCs w:val="26"/>
                <w:color w:val="005CB8"/>
                <w:vertAlign w:val="superscript"/>
              </w:rPr>
              <w:t>(2)</w:t>
            </w:r>
          </w:p>
        </w:tc>
        <w:tc>
          <w:tcPr>
            <w:tcW w:w="1820" w:type="dxa"/>
            <w:vAlign w:val="bottom"/>
            <w:shd w:val="clear" w:color="auto" w:fill="E5EFFD"/>
          </w:tcPr>
          <w:p>
            <w:pPr>
              <w:ind w:left="720"/>
              <w:spacing w:after="0"/>
              <w:rPr>
                <w:sz w:val="20"/>
                <w:szCs w:val="20"/>
                <w:color w:val="auto"/>
              </w:rPr>
            </w:pPr>
            <w:r>
              <w:rPr>
                <w:rFonts w:ascii="Arial" w:cs="Arial" w:eastAsia="Arial" w:hAnsi="Arial"/>
                <w:sz w:val="16"/>
                <w:szCs w:val="16"/>
                <w:color w:val="005CB8"/>
                <w:w w:val="98"/>
              </w:rPr>
              <w:t>$19,945,866</w:t>
            </w:r>
            <w:r>
              <w:rPr>
                <w:rFonts w:ascii="Arial" w:cs="Arial" w:eastAsia="Arial" w:hAnsi="Arial"/>
                <w:sz w:val="26"/>
                <w:szCs w:val="26"/>
                <w:color w:val="005CB8"/>
                <w:w w:val="98"/>
                <w:vertAlign w:val="superscript"/>
              </w:rPr>
              <w:t>(3)</w:t>
            </w:r>
          </w:p>
        </w:tc>
      </w:tr>
      <w:tr>
        <w:trPr>
          <w:trHeight w:val="378"/>
        </w:trPr>
        <w:tc>
          <w:tcPr>
            <w:tcW w:w="527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Timothy Young</w:t>
            </w:r>
          </w:p>
        </w:tc>
        <w:tc>
          <w:tcPr>
            <w:tcW w:w="2470" w:type="dxa"/>
            <w:vAlign w:val="bottom"/>
            <w:shd w:val="clear" w:color="auto" w:fill="E5EFFD"/>
          </w:tcPr>
          <w:p>
            <w:pPr>
              <w:jc w:val="right"/>
              <w:ind w:right="481"/>
              <w:spacing w:after="0"/>
              <w:rPr>
                <w:sz w:val="20"/>
                <w:szCs w:val="20"/>
                <w:color w:val="auto"/>
              </w:rPr>
            </w:pPr>
            <w:r>
              <w:rPr>
                <w:rFonts w:ascii="Arial" w:cs="Arial" w:eastAsia="Arial" w:hAnsi="Arial"/>
                <w:sz w:val="16"/>
                <w:szCs w:val="16"/>
                <w:color w:val="005CB8"/>
              </w:rPr>
              <w:t>1,053,108</w:t>
            </w:r>
            <w:r>
              <w:rPr>
                <w:rFonts w:ascii="Arial" w:cs="Arial" w:eastAsia="Arial" w:hAnsi="Arial"/>
                <w:sz w:val="26"/>
                <w:szCs w:val="26"/>
                <w:color w:val="005CB8"/>
                <w:vertAlign w:val="superscript"/>
              </w:rPr>
              <w:t>(2)</w:t>
            </w:r>
          </w:p>
        </w:tc>
        <w:tc>
          <w:tcPr>
            <w:tcW w:w="1820" w:type="dxa"/>
            <w:vAlign w:val="bottom"/>
            <w:shd w:val="clear" w:color="auto" w:fill="E5EFFD"/>
          </w:tcPr>
          <w:p>
            <w:pPr>
              <w:ind w:left="720"/>
              <w:spacing w:after="0"/>
              <w:rPr>
                <w:sz w:val="20"/>
                <w:szCs w:val="20"/>
                <w:color w:val="auto"/>
              </w:rPr>
            </w:pPr>
            <w:r>
              <w:rPr>
                <w:rFonts w:ascii="Arial" w:cs="Arial" w:eastAsia="Arial" w:hAnsi="Arial"/>
                <w:sz w:val="16"/>
                <w:szCs w:val="16"/>
                <w:color w:val="005CB8"/>
                <w:w w:val="98"/>
              </w:rPr>
              <w:t>$20,293,391</w:t>
            </w:r>
            <w:r>
              <w:rPr>
                <w:rFonts w:ascii="Arial" w:cs="Arial" w:eastAsia="Arial" w:hAnsi="Arial"/>
                <w:sz w:val="26"/>
                <w:szCs w:val="26"/>
                <w:color w:val="005CB8"/>
                <w:w w:val="98"/>
                <w:vertAlign w:val="superscript"/>
              </w:rPr>
              <w:t>(3)</w:t>
            </w:r>
          </w:p>
        </w:tc>
      </w:tr>
      <w:tr>
        <w:trPr>
          <w:trHeight w:val="311"/>
        </w:trPr>
        <w:tc>
          <w:tcPr>
            <w:tcW w:w="527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Yamini Rangan</w:t>
            </w:r>
          </w:p>
        </w:tc>
        <w:tc>
          <w:tcPr>
            <w:tcW w:w="2470" w:type="dxa"/>
            <w:vAlign w:val="bottom"/>
            <w:shd w:val="clear" w:color="auto" w:fill="E5EFFD"/>
          </w:tcPr>
          <w:p>
            <w:pPr>
              <w:jc w:val="right"/>
              <w:ind w:right="481"/>
              <w:spacing w:after="0"/>
              <w:rPr>
                <w:sz w:val="20"/>
                <w:szCs w:val="20"/>
                <w:color w:val="auto"/>
              </w:rPr>
            </w:pPr>
            <w:r>
              <w:rPr>
                <w:rFonts w:ascii="Arial" w:cs="Arial" w:eastAsia="Arial" w:hAnsi="Arial"/>
                <w:sz w:val="16"/>
                <w:szCs w:val="16"/>
                <w:color w:val="005CB8"/>
              </w:rPr>
              <w:t>133,783</w:t>
            </w:r>
            <w:r>
              <w:rPr>
                <w:rFonts w:ascii="Arial" w:cs="Arial" w:eastAsia="Arial" w:hAnsi="Arial"/>
                <w:sz w:val="26"/>
                <w:szCs w:val="26"/>
                <w:color w:val="005CB8"/>
                <w:vertAlign w:val="superscript"/>
              </w:rPr>
              <w:t>(1)</w:t>
            </w:r>
          </w:p>
        </w:tc>
        <w:tc>
          <w:tcPr>
            <w:tcW w:w="1820" w:type="dxa"/>
            <w:vAlign w:val="bottom"/>
            <w:shd w:val="clear" w:color="auto" w:fill="E5EFFD"/>
          </w:tcPr>
          <w:p>
            <w:pPr>
              <w:ind w:left="720"/>
              <w:spacing w:after="0"/>
              <w:rPr>
                <w:sz w:val="20"/>
                <w:szCs w:val="20"/>
                <w:color w:val="auto"/>
              </w:rPr>
            </w:pPr>
            <w:r>
              <w:rPr>
                <w:rFonts w:ascii="Arial" w:cs="Arial" w:eastAsia="Arial" w:hAnsi="Arial"/>
                <w:sz w:val="16"/>
                <w:szCs w:val="16"/>
                <w:color w:val="005CB8"/>
              </w:rPr>
              <w:t>$ 2,916,469</w:t>
            </w:r>
          </w:p>
        </w:tc>
      </w:tr>
    </w:tbl>
    <w:p>
      <w:pPr>
        <w:spacing w:after="0" w:line="113" w:lineRule="exact"/>
        <w:rPr>
          <w:sz w:val="20"/>
          <w:szCs w:val="20"/>
          <w:color w:val="auto"/>
        </w:rPr>
      </w:pPr>
    </w:p>
    <w:p>
      <w:pPr>
        <w:ind w:left="244" w:hanging="244"/>
        <w:spacing w:after="0"/>
        <w:tabs>
          <w:tab w:leader="none" w:pos="244" w:val="left"/>
        </w:tabs>
        <w:numPr>
          <w:ilvl w:val="0"/>
          <w:numId w:val="55"/>
        </w:numPr>
        <w:rPr>
          <w:rFonts w:ascii="Arial" w:cs="Arial" w:eastAsia="Arial" w:hAnsi="Arial"/>
          <w:sz w:val="14"/>
          <w:szCs w:val="14"/>
          <w:color w:val="auto"/>
        </w:rPr>
      </w:pPr>
      <w:r>
        <w:rPr>
          <w:rFonts w:ascii="Arial" w:cs="Arial" w:eastAsia="Arial" w:hAnsi="Arial"/>
          <w:sz w:val="14"/>
          <w:szCs w:val="14"/>
          <w:color w:val="auto"/>
        </w:rPr>
        <w:t>RSUs</w:t>
      </w:r>
    </w:p>
    <w:p>
      <w:pPr>
        <w:spacing w:after="0" w:line="14" w:lineRule="exact"/>
        <w:rPr>
          <w:rFonts w:ascii="Arial" w:cs="Arial" w:eastAsia="Arial" w:hAnsi="Arial"/>
          <w:sz w:val="14"/>
          <w:szCs w:val="14"/>
          <w:color w:val="auto"/>
        </w:rPr>
      </w:pPr>
    </w:p>
    <w:p>
      <w:pPr>
        <w:ind w:left="244" w:hanging="244"/>
        <w:spacing w:after="0"/>
        <w:tabs>
          <w:tab w:leader="none" w:pos="244" w:val="left"/>
        </w:tabs>
        <w:numPr>
          <w:ilvl w:val="0"/>
          <w:numId w:val="55"/>
        </w:numPr>
        <w:rPr>
          <w:rFonts w:ascii="Arial" w:cs="Arial" w:eastAsia="Arial" w:hAnsi="Arial"/>
          <w:sz w:val="14"/>
          <w:szCs w:val="14"/>
          <w:color w:val="auto"/>
        </w:rPr>
      </w:pPr>
      <w:r>
        <w:rPr>
          <w:rFonts w:ascii="Arial" w:cs="Arial" w:eastAsia="Arial" w:hAnsi="Arial"/>
          <w:sz w:val="14"/>
          <w:szCs w:val="14"/>
          <w:color w:val="auto"/>
        </w:rPr>
        <w:t>RSAs</w:t>
      </w:r>
    </w:p>
    <w:p>
      <w:pPr>
        <w:spacing w:after="0" w:line="14" w:lineRule="exact"/>
        <w:rPr>
          <w:rFonts w:ascii="Arial" w:cs="Arial" w:eastAsia="Arial" w:hAnsi="Arial"/>
          <w:sz w:val="14"/>
          <w:szCs w:val="14"/>
          <w:color w:val="auto"/>
        </w:rPr>
      </w:pPr>
    </w:p>
    <w:p>
      <w:pPr>
        <w:ind w:left="244" w:right="80" w:hanging="244"/>
        <w:spacing w:after="0" w:line="258" w:lineRule="auto"/>
        <w:tabs>
          <w:tab w:leader="none" w:pos="244"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Grant Date Fair Value for awards granted to Messrs. Mediratta and Young is based on the closing price of our Class A common stock on their respective first day of employment with us.</w:t>
      </w:r>
    </w:p>
    <w:p>
      <w:pPr>
        <w:spacing w:after="0" w:line="137" w:lineRule="exact"/>
        <w:rPr>
          <w:sz w:val="20"/>
          <w:szCs w:val="20"/>
          <w:color w:val="auto"/>
        </w:rPr>
      </w:pPr>
    </w:p>
    <w:p>
      <w:pPr>
        <w:ind w:left="4" w:right="40"/>
        <w:spacing w:after="0" w:line="260" w:lineRule="auto"/>
        <w:rPr>
          <w:sz w:val="20"/>
          <w:szCs w:val="20"/>
          <w:color w:val="auto"/>
        </w:rPr>
      </w:pPr>
      <w:r>
        <w:rPr>
          <w:rFonts w:ascii="Arial" w:cs="Arial" w:eastAsia="Arial" w:hAnsi="Arial"/>
          <w:sz w:val="16"/>
          <w:szCs w:val="16"/>
          <w:color w:val="auto"/>
        </w:rPr>
        <w:t>The time-based RSU awards granted to Mr. Vashee and Ms. Rangan vest over a four-year period in equal quarterly installments. The time-based RSAs granted to Messrs. Mediratta and Young vest over a four-year period, with one quarter of the shares vesting on</w:t>
      </w:r>
    </w:p>
    <w:p>
      <w:pPr>
        <w:sectPr>
          <w:pgSz w:w="11900" w:h="16838" w:orient="portrait"/>
          <w:cols w:equalWidth="0" w:num="1">
            <w:col w:w="9584"/>
          </w:cols>
          <w:pgMar w:left="1156" w:top="265" w:right="1159" w:bottom="1440" w:gutter="0" w:footer="0" w:header="0"/>
        </w:sectPr>
      </w:pPr>
    </w:p>
    <w:p>
      <w:pPr>
        <w:spacing w:after="0" w:line="180" w:lineRule="exact"/>
        <w:rPr>
          <w:sz w:val="20"/>
          <w:szCs w:val="20"/>
          <w:color w:val="auto"/>
        </w:rPr>
      </w:pPr>
    </w:p>
    <w:p>
      <w:pPr>
        <w:ind w:left="3624"/>
        <w:spacing w:after="0"/>
        <w:tabs>
          <w:tab w:leader="none" w:pos="9404" w:val="left"/>
        </w:tabs>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r>
        <w:rPr>
          <w:sz w:val="20"/>
          <w:szCs w:val="20"/>
          <w:color w:val="auto"/>
        </w:rPr>
        <w:tab/>
      </w:r>
      <w:r>
        <w:rPr>
          <w:rFonts w:ascii="Arial" w:cs="Arial" w:eastAsia="Arial" w:hAnsi="Arial"/>
          <w:sz w:val="14"/>
          <w:szCs w:val="14"/>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84"/>
          </w:cols>
          <w:pgMar w:left="1156" w:top="265" w:right="1159" w:bottom="1440" w:gutter="0" w:footer="0" w:header="0"/>
          <w:type w:val="continuous"/>
        </w:sectPr>
      </w:pPr>
    </w:p>
    <w:bookmarkStart w:id="37" w:name="page38"/>
    <w:bookmarkEnd w:id="37"/>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5CB8"/>
        </w:rPr>
        <w:t>EXECUTIVE COMPENSATION (continued)</w:t>
      </w:r>
    </w:p>
    <w:p>
      <w:pPr>
        <w:spacing w:after="0" w:line="386" w:lineRule="exact"/>
        <w:rPr>
          <w:sz w:val="20"/>
          <w:szCs w:val="20"/>
          <w:color w:val="auto"/>
        </w:rPr>
      </w:pPr>
    </w:p>
    <w:p>
      <w:pPr>
        <w:ind w:left="4" w:right="180"/>
        <w:spacing w:after="0" w:line="260" w:lineRule="auto"/>
        <w:rPr>
          <w:sz w:val="20"/>
          <w:szCs w:val="20"/>
          <w:color w:val="auto"/>
        </w:rPr>
      </w:pPr>
      <w:r>
        <w:rPr>
          <w:rFonts w:ascii="Arial" w:cs="Arial" w:eastAsia="Arial" w:hAnsi="Arial"/>
          <w:sz w:val="16"/>
          <w:szCs w:val="16"/>
          <w:color w:val="auto"/>
        </w:rPr>
        <w:t>November 15, 2020 and the remaining shares vesting in equal quarterly installments over the next three years, contingent upon the named executive officer remaining continuously employed in service with us through each applicable vesting date.</w:t>
      </w:r>
    </w:p>
    <w:p>
      <w:pPr>
        <w:spacing w:after="0" w:line="125" w:lineRule="exact"/>
        <w:rPr>
          <w:sz w:val="20"/>
          <w:szCs w:val="20"/>
          <w:color w:val="auto"/>
        </w:rPr>
      </w:pPr>
    </w:p>
    <w:p>
      <w:pPr>
        <w:ind w:left="4" w:right="80"/>
        <w:spacing w:after="0" w:line="281" w:lineRule="auto"/>
        <w:rPr>
          <w:sz w:val="20"/>
          <w:szCs w:val="20"/>
          <w:color w:val="auto"/>
        </w:rPr>
      </w:pPr>
      <w:r>
        <w:rPr>
          <w:rFonts w:ascii="Arial" w:cs="Arial" w:eastAsia="Arial" w:hAnsi="Arial"/>
          <w:sz w:val="16"/>
          <w:szCs w:val="16"/>
          <w:color w:val="auto"/>
        </w:rPr>
        <w:t>The equity awards granted to our named executive officers during 2019 are set forth in the “</w:t>
      </w:r>
      <w:r>
        <w:rPr>
          <w:rFonts w:ascii="Arial" w:cs="Arial" w:eastAsia="Arial" w:hAnsi="Arial"/>
          <w:sz w:val="16"/>
          <w:szCs w:val="16"/>
          <w:i w:val="1"/>
          <w:iCs w:val="1"/>
          <w:color w:val="auto"/>
        </w:rPr>
        <w:t>Summary Compensation Table for Fiscal</w:t>
      </w:r>
      <w:r>
        <w:rPr>
          <w:rFonts w:ascii="Arial" w:cs="Arial" w:eastAsia="Arial" w:hAnsi="Arial"/>
          <w:sz w:val="16"/>
          <w:szCs w:val="16"/>
          <w:color w:val="auto"/>
        </w:rPr>
        <w:t xml:space="preserve"> </w:t>
      </w:r>
      <w:r>
        <w:rPr>
          <w:rFonts w:ascii="Arial" w:cs="Arial" w:eastAsia="Arial" w:hAnsi="Arial"/>
          <w:sz w:val="16"/>
          <w:szCs w:val="16"/>
          <w:i w:val="1"/>
          <w:iCs w:val="1"/>
          <w:color w:val="auto"/>
        </w:rPr>
        <w:t>2019</w:t>
      </w:r>
      <w:r>
        <w:rPr>
          <w:rFonts w:ascii="Arial" w:cs="Arial" w:eastAsia="Arial" w:hAnsi="Arial"/>
          <w:sz w:val="16"/>
          <w:szCs w:val="16"/>
          <w:color w:val="auto"/>
        </w:rPr>
        <w:t>” and under “</w:t>
      </w:r>
      <w:r>
        <w:rPr>
          <w:rFonts w:ascii="Arial" w:cs="Arial" w:eastAsia="Arial" w:hAnsi="Arial"/>
          <w:sz w:val="16"/>
          <w:szCs w:val="16"/>
          <w:i w:val="1"/>
          <w:iCs w:val="1"/>
          <w:color w:val="auto"/>
        </w:rPr>
        <w:t>Grants of Plan-Based Awards in 2019</w:t>
      </w:r>
      <w:r>
        <w:rPr>
          <w:rFonts w:ascii="Arial" w:cs="Arial" w:eastAsia="Arial" w:hAnsi="Arial"/>
          <w:sz w:val="16"/>
          <w:szCs w:val="16"/>
          <w:color w:val="auto"/>
        </w:rPr>
        <w:t>” below.</w:t>
      </w:r>
    </w:p>
    <w:p>
      <w:pPr>
        <w:spacing w:after="0" w:line="2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Welfare and Health Benefits</w:t>
      </w:r>
    </w:p>
    <w:p>
      <w:pPr>
        <w:spacing w:after="0" w:line="66" w:lineRule="exact"/>
        <w:rPr>
          <w:sz w:val="20"/>
          <w:szCs w:val="20"/>
          <w:color w:val="auto"/>
        </w:rPr>
      </w:pPr>
    </w:p>
    <w:p>
      <w:pPr>
        <w:ind w:left="4" w:right="120"/>
        <w:spacing w:after="0" w:line="250" w:lineRule="auto"/>
        <w:rPr>
          <w:sz w:val="20"/>
          <w:szCs w:val="20"/>
          <w:color w:val="auto"/>
        </w:rPr>
      </w:pPr>
      <w:r>
        <w:rPr>
          <w:rFonts w:ascii="Arial" w:cs="Arial" w:eastAsia="Arial" w:hAnsi="Arial"/>
          <w:sz w:val="16"/>
          <w:szCs w:val="16"/>
          <w:color w:val="auto"/>
        </w:rPr>
        <w:t>We have established a tax-qualified Section 401(k) retirement savings plan for our executive officers, including our named executive officers, and other employees who satisfy certain eligibility requirements. Currently, we match contributions made by participants in the plan as follows: dollar for dollar up to $1,500 each quarter up to a maximum of $6,000. We intend for the plan to qualify under Section 401(a) of the Internal Revenue Code (the “Code”), so that contributions by participants to the plan, and income earned on plan contributions, are not taxable to participants until withdrawn from the plan.</w:t>
      </w:r>
    </w:p>
    <w:p>
      <w:pPr>
        <w:spacing w:after="0" w:line="149" w:lineRule="exact"/>
        <w:rPr>
          <w:sz w:val="20"/>
          <w:szCs w:val="20"/>
          <w:color w:val="auto"/>
        </w:rPr>
      </w:pPr>
    </w:p>
    <w:p>
      <w:pPr>
        <w:ind w:left="4" w:right="120"/>
        <w:spacing w:after="0" w:line="249" w:lineRule="auto"/>
        <w:rPr>
          <w:sz w:val="20"/>
          <w:szCs w:val="20"/>
          <w:color w:val="auto"/>
        </w:rPr>
      </w:pPr>
      <w:r>
        <w:rPr>
          <w:rFonts w:ascii="Arial" w:cs="Arial" w:eastAsia="Arial" w:hAnsi="Arial"/>
          <w:sz w:val="16"/>
          <w:szCs w:val="16"/>
          <w:color w:val="auto"/>
        </w:rPr>
        <w:t>Additional benefits received by our executive officers, including our named executive officers, include medical, dental, and vision insurance, fertility benefits, an employee assistance program, commuter and wellness reimbursement programs, health and dependent care flexible spending accounts, a commuter benefit program, health savings accounts, basic and voluntary life and accidental death and dismemberment insurance and disability insurance. Employees who earn over $260,000 per year are provided with voluntary supplemental long-term disability insurance. All of these benefits are provided to our executive officers on the same basis as to all of our employees.</w:t>
      </w:r>
    </w:p>
    <w:p>
      <w:pPr>
        <w:spacing w:after="0" w:line="151" w:lineRule="exact"/>
        <w:rPr>
          <w:sz w:val="20"/>
          <w:szCs w:val="20"/>
          <w:color w:val="auto"/>
        </w:rPr>
      </w:pPr>
    </w:p>
    <w:p>
      <w:pPr>
        <w:ind w:left="4" w:right="240"/>
        <w:spacing w:after="0" w:line="253" w:lineRule="auto"/>
        <w:rPr>
          <w:sz w:val="20"/>
          <w:szCs w:val="20"/>
          <w:color w:val="auto"/>
        </w:rPr>
      </w:pPr>
      <w:r>
        <w:rPr>
          <w:rFonts w:ascii="Arial" w:cs="Arial" w:eastAsia="Arial" w:hAnsi="Arial"/>
          <w:sz w:val="16"/>
          <w:szCs w:val="16"/>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33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Perquisites and Other Personal Benefits</w:t>
      </w:r>
    </w:p>
    <w:p>
      <w:pPr>
        <w:spacing w:after="0" w:line="52" w:lineRule="exact"/>
        <w:rPr>
          <w:sz w:val="20"/>
          <w:szCs w:val="20"/>
          <w:color w:val="auto"/>
        </w:rPr>
      </w:pPr>
    </w:p>
    <w:p>
      <w:pPr>
        <w:ind w:left="4" w:right="140"/>
        <w:spacing w:after="0" w:line="249"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executive officers, including our named executive officers, except as generally made available to our employees, or in situations where we believe it is appropriate to assist an individual in the performance of their duties, to make him or her more efficient and effective, and for recruitment and retention purposes. During 2019, none of our named executive officers received perquisites or other personal benefits that were, in the aggregate, $10,000 or more for each individual.</w:t>
      </w:r>
    </w:p>
    <w:p>
      <w:pPr>
        <w:spacing w:after="0" w:line="151" w:lineRule="exact"/>
        <w:rPr>
          <w:sz w:val="20"/>
          <w:szCs w:val="20"/>
          <w:color w:val="auto"/>
        </w:rPr>
      </w:pPr>
    </w:p>
    <w:p>
      <w:pPr>
        <w:ind w:left="4" w:right="580"/>
        <w:spacing w:after="0" w:line="253"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355" w:lineRule="exact"/>
        <w:rPr>
          <w:sz w:val="20"/>
          <w:szCs w:val="20"/>
          <w:color w:val="auto"/>
        </w:rPr>
      </w:pPr>
    </w:p>
    <w:p>
      <w:pPr>
        <w:ind w:left="4"/>
        <w:spacing w:after="0"/>
        <w:rPr>
          <w:sz w:val="20"/>
          <w:szCs w:val="20"/>
          <w:color w:val="auto"/>
        </w:rPr>
      </w:pPr>
      <w:r>
        <w:rPr>
          <w:rFonts w:ascii="Arial" w:cs="Arial" w:eastAsia="Arial" w:hAnsi="Arial"/>
          <w:sz w:val="26"/>
          <w:szCs w:val="26"/>
          <w:color w:val="005CB8"/>
        </w:rPr>
        <w:t>Employment Arrangements</w:t>
      </w:r>
    </w:p>
    <w:p>
      <w:pPr>
        <w:spacing w:after="0" w:line="169" w:lineRule="exact"/>
        <w:rPr>
          <w:sz w:val="20"/>
          <w:szCs w:val="20"/>
          <w:color w:val="auto"/>
        </w:rPr>
      </w:pPr>
    </w:p>
    <w:p>
      <w:pPr>
        <w:ind w:left="4"/>
        <w:spacing w:after="0" w:line="253" w:lineRule="auto"/>
        <w:rPr>
          <w:sz w:val="20"/>
          <w:szCs w:val="20"/>
          <w:color w:val="auto"/>
        </w:rPr>
      </w:pPr>
      <w:r>
        <w:rPr>
          <w:rFonts w:ascii="Arial" w:cs="Arial" w:eastAsia="Arial" w:hAnsi="Arial"/>
          <w:sz w:val="16"/>
          <w:szCs w:val="16"/>
          <w:color w:val="auto"/>
        </w:rPr>
        <w:t>We have entered into written employment letters with our chief executive officer and each of our other executive officers, including our other named executive officers. Each of these arrangements was approved on our behalf by the compensation committee or our board of directors.</w:t>
      </w:r>
    </w:p>
    <w:p>
      <w:pPr>
        <w:spacing w:after="0" w:line="147" w:lineRule="exact"/>
        <w:rPr>
          <w:sz w:val="20"/>
          <w:szCs w:val="20"/>
          <w:color w:val="auto"/>
        </w:rPr>
      </w:pPr>
    </w:p>
    <w:p>
      <w:pPr>
        <w:jc w:val="both"/>
        <w:ind w:left="4" w:right="200"/>
        <w:spacing w:after="0" w:line="251" w:lineRule="auto"/>
        <w:rPr>
          <w:sz w:val="20"/>
          <w:szCs w:val="20"/>
          <w:color w:val="auto"/>
        </w:rPr>
      </w:pPr>
      <w:r>
        <w:rPr>
          <w:rFonts w:ascii="Arial" w:cs="Arial" w:eastAsia="Arial" w:hAnsi="Arial"/>
          <w:sz w:val="16"/>
          <w:szCs w:val="16"/>
          <w:color w:val="auto"/>
        </w:rPr>
        <w:t>In filling each of our executive positions, our board of directors or the compensation committee, as applicable, recognized that we would need to develop competitive compensation packages to attract qualified candidates in a dynamic labor market. At the same time, our board of directors and the compensation committee were sensitive to the need to integrate new executive officers into the executive compensation structure, balancing both competitive and internal equity considerations.</w:t>
      </w:r>
    </w:p>
    <w:p>
      <w:pPr>
        <w:spacing w:after="0" w:line="148" w:lineRule="exact"/>
        <w:rPr>
          <w:sz w:val="20"/>
          <w:szCs w:val="20"/>
          <w:color w:val="auto"/>
        </w:rPr>
      </w:pPr>
    </w:p>
    <w:p>
      <w:pPr>
        <w:ind w:left="4" w:right="60"/>
        <w:spacing w:after="0" w:line="248" w:lineRule="auto"/>
        <w:rPr>
          <w:sz w:val="20"/>
          <w:szCs w:val="20"/>
          <w:color w:val="auto"/>
        </w:rPr>
      </w:pPr>
      <w:r>
        <w:rPr>
          <w:rFonts w:ascii="Arial" w:cs="Arial" w:eastAsia="Arial" w:hAnsi="Arial"/>
          <w:sz w:val="16"/>
          <w:szCs w:val="16"/>
          <w:color w:val="auto"/>
        </w:rPr>
        <w:t>Each of our employment arrangements provides for “at will” employment (meaning that either we or the executive officer may terminate the employment relationship at any time with or without cause) and sets forth the initial compensation arrangements for the executive officer, including an initial base salary, participation in our employee benefit programs, an equity award recommendation, and, in some cases, sign-on bonuses and reimbursement or payment of relocation expenses. These employment arrangements also prohibit the executive officer from engaging directly or indirectly in competition with us during their employment, diverting our customers to a competitor, or disclosing our confidential information or business practices, and recruiting or soliciting any of our employees for a period after their employment.</w:t>
      </w:r>
    </w:p>
    <w:p>
      <w:pPr>
        <w:spacing w:after="0" w:line="193" w:lineRule="exact"/>
        <w:rPr>
          <w:sz w:val="20"/>
          <w:szCs w:val="20"/>
          <w:color w:val="auto"/>
        </w:rPr>
      </w:pPr>
    </w:p>
    <w:p>
      <w:pPr>
        <w:ind w:left="524" w:hanging="524"/>
        <w:spacing w:after="0"/>
        <w:tabs>
          <w:tab w:leader="none" w:pos="524"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38" w:name="page39"/>
    <w:bookmarkEnd w:id="38"/>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EXECUTIVE COMPENSATION (continued)</w:t>
      </w:r>
    </w:p>
    <w:p>
      <w:pPr>
        <w:spacing w:after="0" w:line="386" w:lineRule="exact"/>
        <w:rPr>
          <w:sz w:val="20"/>
          <w:szCs w:val="20"/>
          <w:color w:val="auto"/>
        </w:rPr>
      </w:pPr>
    </w:p>
    <w:p>
      <w:pPr>
        <w:ind w:left="720" w:right="1000"/>
        <w:spacing w:after="0" w:line="260" w:lineRule="auto"/>
        <w:rPr>
          <w:sz w:val="20"/>
          <w:szCs w:val="20"/>
          <w:color w:val="auto"/>
        </w:rPr>
      </w:pPr>
      <w:r>
        <w:rPr>
          <w:rFonts w:ascii="Arial" w:cs="Arial" w:eastAsia="Arial" w:hAnsi="Arial"/>
          <w:sz w:val="16"/>
          <w:szCs w:val="16"/>
          <w:color w:val="auto"/>
        </w:rPr>
        <w:t>Our named executive officers are also eligible to enter into change in control and severance agreements with the company. These post-employment compensation terms are discussed in “</w:t>
      </w:r>
      <w:r>
        <w:rPr>
          <w:rFonts w:ascii="Arial" w:cs="Arial" w:eastAsia="Arial" w:hAnsi="Arial"/>
          <w:sz w:val="16"/>
          <w:szCs w:val="16"/>
          <w:i w:val="1"/>
          <w:iCs w:val="1"/>
          <w:color w:val="auto"/>
        </w:rPr>
        <w:t>Post-Employment Compensation</w:t>
      </w:r>
      <w:r>
        <w:rPr>
          <w:rFonts w:ascii="Arial" w:cs="Arial" w:eastAsia="Arial" w:hAnsi="Arial"/>
          <w:sz w:val="16"/>
          <w:szCs w:val="16"/>
          <w:color w:val="auto"/>
        </w:rPr>
        <w:t>” below.</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26"/>
          <w:szCs w:val="26"/>
          <w:color w:val="005CB8"/>
        </w:rPr>
        <w:t>Post-Employment Compensation</w:t>
      </w:r>
    </w:p>
    <w:p>
      <w:pPr>
        <w:spacing w:after="0" w:line="169" w:lineRule="exact"/>
        <w:rPr>
          <w:sz w:val="20"/>
          <w:szCs w:val="20"/>
          <w:color w:val="auto"/>
        </w:rPr>
      </w:pPr>
    </w:p>
    <w:p>
      <w:pPr>
        <w:jc w:val="both"/>
        <w:ind w:left="720" w:right="800"/>
        <w:spacing w:after="0" w:line="253" w:lineRule="auto"/>
        <w:rPr>
          <w:sz w:val="20"/>
          <w:szCs w:val="20"/>
          <w:color w:val="auto"/>
        </w:rPr>
      </w:pPr>
      <w:r>
        <w:rPr>
          <w:rFonts w:ascii="Arial" w:cs="Arial" w:eastAsia="Arial" w:hAnsi="Arial"/>
          <w:sz w:val="16"/>
          <w:szCs w:val="16"/>
          <w:color w:val="auto"/>
        </w:rPr>
        <w:t>We have entered into change in control and severance agreements with each of our executive officers, including each of our named executive officers. These agreements provide these individuals with certain protection in the event of their termination of employment under specified circumstances, including following a change in control of the company.</w:t>
      </w:r>
    </w:p>
    <w:p>
      <w:pPr>
        <w:spacing w:after="0" w:line="147" w:lineRule="exact"/>
        <w:rPr>
          <w:sz w:val="20"/>
          <w:szCs w:val="20"/>
          <w:color w:val="auto"/>
        </w:rPr>
      </w:pPr>
    </w:p>
    <w:p>
      <w:pPr>
        <w:ind w:left="720" w:right="880"/>
        <w:spacing w:after="0" w:line="248" w:lineRule="auto"/>
        <w:rPr>
          <w:sz w:val="20"/>
          <w:szCs w:val="20"/>
          <w:color w:val="auto"/>
        </w:rPr>
      </w:pPr>
      <w:r>
        <w:rPr>
          <w:rFonts w:ascii="Arial" w:cs="Arial" w:eastAsia="Arial" w:hAnsi="Arial"/>
          <w:sz w:val="16"/>
          <w:szCs w:val="16"/>
          <w:color w:val="auto"/>
        </w:rPr>
        <w:t>We believe that these protections were necessary to induce these individuals to accept a demanding position with the company and help retain them. These arrangements provide reasonable compensation to an executive officer if they leave our employ under certain circumstances to facilitate transition to new employment. Further, in some instances, we seek to mitigate any potential employer liability and avoid future disputes or litigation by requiring a departing executive officer to sign a separation and release agreement as a condition to receiving post-employment compensation payments or benefits. We also believe that these arrangements help maintain our executive officers’ continued focus and dedication to their assigned duties to maximize stockholder value if there is a potential transaction that could involve a change in control of the company. The terms and conditions were approved by our board of directors after an analysis of competitive market data.</w:t>
      </w:r>
    </w:p>
    <w:p>
      <w:pPr>
        <w:spacing w:after="0" w:line="153" w:lineRule="exact"/>
        <w:rPr>
          <w:sz w:val="20"/>
          <w:szCs w:val="20"/>
          <w:color w:val="auto"/>
        </w:rPr>
      </w:pPr>
    </w:p>
    <w:p>
      <w:pPr>
        <w:ind w:left="720" w:right="780"/>
        <w:spacing w:after="0" w:line="250" w:lineRule="auto"/>
        <w:rPr>
          <w:sz w:val="20"/>
          <w:szCs w:val="20"/>
          <w:color w:val="auto"/>
        </w:rPr>
      </w:pPr>
      <w:r>
        <w:rPr>
          <w:rFonts w:ascii="Arial" w:cs="Arial" w:eastAsia="Arial" w:hAnsi="Arial"/>
          <w:sz w:val="16"/>
          <w:szCs w:val="16"/>
          <w:color w:val="auto"/>
        </w:rPr>
        <w:t>All payments and benefits in the event of a change in control of the company are payable only if there is a subsequent loss of employment by an executive officer (a so-called “double-trigger” arrangement). In the case of the acceleration of vesting of outstanding equity awards,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w:t>
      </w:r>
    </w:p>
    <w:p>
      <w:pPr>
        <w:spacing w:after="0" w:line="18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Hedging and Pledging Prohibitions</w:t>
      </w:r>
    </w:p>
    <w:p>
      <w:pPr>
        <w:spacing w:after="0" w:line="52" w:lineRule="exact"/>
        <w:rPr>
          <w:sz w:val="20"/>
          <w:szCs w:val="20"/>
          <w:color w:val="auto"/>
        </w:rPr>
      </w:pPr>
    </w:p>
    <w:p>
      <w:pPr>
        <w:ind w:left="720" w:right="760"/>
        <w:spacing w:after="0" w:line="250" w:lineRule="auto"/>
        <w:rPr>
          <w:sz w:val="20"/>
          <w:szCs w:val="20"/>
          <w:color w:val="auto"/>
        </w:rPr>
      </w:pPr>
      <w:r>
        <w:rPr>
          <w:rFonts w:ascii="Arial" w:cs="Arial" w:eastAsia="Arial" w:hAnsi="Arial"/>
          <w:sz w:val="16"/>
          <w:szCs w:val="16"/>
          <w:color w:val="auto"/>
        </w:rPr>
        <w:t>As part of our Insider Trading Policy, our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 In addition, our employees (including our executive officers and the non-employee members of our board of directors) are prohibited from holding our common stock in a margin account or pledging our securities as collateral for a loan.</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26"/>
          <w:szCs w:val="26"/>
          <w:color w:val="005CB8"/>
        </w:rPr>
        <w:t>Tax and Accounting Considerations</w:t>
      </w:r>
    </w:p>
    <w:p>
      <w:pPr>
        <w:spacing w:after="0" w:line="169" w:lineRule="exact"/>
        <w:rPr>
          <w:sz w:val="20"/>
          <w:szCs w:val="20"/>
          <w:color w:val="auto"/>
        </w:rPr>
      </w:pPr>
    </w:p>
    <w:p>
      <w:pPr>
        <w:ind w:left="720" w:right="960"/>
        <w:spacing w:after="0" w:line="260" w:lineRule="auto"/>
        <w:rPr>
          <w:sz w:val="20"/>
          <w:szCs w:val="20"/>
          <w:color w:val="auto"/>
        </w:rPr>
      </w:pPr>
      <w:r>
        <w:rPr>
          <w:rFonts w:ascii="Arial" w:cs="Arial" w:eastAsia="Arial" w:hAnsi="Arial"/>
          <w:sz w:val="16"/>
          <w:szCs w:val="16"/>
          <w:color w:val="auto"/>
        </w:rPr>
        <w:t>We take the applicable tax and accounting requirements into consideration in designing and operating our executive compensation program.</w:t>
      </w:r>
    </w:p>
    <w:p>
      <w:pPr>
        <w:spacing w:after="0" w:line="17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Deductibility of Executive Compensation</w:t>
      </w:r>
    </w:p>
    <w:p>
      <w:pPr>
        <w:spacing w:after="0" w:line="66" w:lineRule="exact"/>
        <w:rPr>
          <w:sz w:val="20"/>
          <w:szCs w:val="20"/>
          <w:color w:val="auto"/>
        </w:rPr>
      </w:pPr>
    </w:p>
    <w:p>
      <w:pPr>
        <w:ind w:left="720" w:right="740"/>
        <w:spacing w:after="0" w:line="248" w:lineRule="auto"/>
        <w:rPr>
          <w:sz w:val="20"/>
          <w:szCs w:val="20"/>
          <w:color w:val="auto"/>
        </w:rPr>
      </w:pPr>
      <w:r>
        <w:rPr>
          <w:rFonts w:ascii="Arial" w:cs="Arial" w:eastAsia="Arial" w:hAnsi="Arial"/>
          <w:sz w:val="16"/>
          <w:szCs w:val="16"/>
          <w:color w:val="auto"/>
        </w:rPr>
        <w:t>Generally, Section 162(m) of the Code disallows public companies a tax deduction for federal income tax purposes of remuneration in excess of $1 million paid to their chief executive officer and certain other current and former executive officers that are “covered employees” within the meaning of Section 162(m) of the Code, subject to certain exceptions. The regulations promulgated under Section 162(m) of the Code currently contain a transition rule that applies to companies, such as ours, that become subject to Section 162(m) of the Code by reason of becoming publicly held. Under this rule, certain compensation granted during a transition period (and, with respect to RSU awards, that is paid out before the end of the transition period) currently is not counted toward the deduction limitations of Section 162(m) of the Code if the compensation is paid under a compensation arrangement that was in existence before the effective date of the initial public offering, and certain other requirements are met. While certain of our equity awards may be eligible to be excluded from our deductibility limitation of Section 162(m) of the Code pursuant to this transition rule, the compensation committee has not adopted a policy that all equity or other compensation must be deductible.</w:t>
      </w:r>
    </w:p>
    <w:p>
      <w:pPr>
        <w:spacing w:after="0" w:line="151" w:lineRule="exact"/>
        <w:rPr>
          <w:sz w:val="20"/>
          <w:szCs w:val="20"/>
          <w:color w:val="auto"/>
        </w:rPr>
      </w:pPr>
    </w:p>
    <w:p>
      <w:pPr>
        <w:ind w:left="720" w:right="800"/>
        <w:spacing w:after="0" w:line="251" w:lineRule="auto"/>
        <w:rPr>
          <w:sz w:val="20"/>
          <w:szCs w:val="20"/>
          <w:color w:val="auto"/>
        </w:rPr>
      </w:pPr>
      <w:r>
        <w:rPr>
          <w:rFonts w:ascii="Arial" w:cs="Arial" w:eastAsia="Arial" w:hAnsi="Arial"/>
          <w:sz w:val="16"/>
          <w:szCs w:val="16"/>
          <w:color w:val="auto"/>
        </w:rPr>
        <w:t>In approving the amount and form of compensation for our executive officers, the compensation committee considers all elements of our cost of providing such compensation, including the potential impact of Section 162(m) of the Code. The compensation committee may, in its judgment, approve compensation that may not be deductible for federal income tax purposes when it believes that such compensation is in our best interests or the best interests of our stockholders.</w:t>
      </w:r>
    </w:p>
    <w:p>
      <w:pPr>
        <w:spacing w:after="0" w:line="148" w:lineRule="exact"/>
        <w:rPr>
          <w:sz w:val="20"/>
          <w:szCs w:val="20"/>
          <w:color w:val="auto"/>
        </w:rPr>
      </w:pPr>
    </w:p>
    <w:p>
      <w:pPr>
        <w:ind w:left="720" w:right="940"/>
        <w:spacing w:after="0" w:line="253" w:lineRule="auto"/>
        <w:rPr>
          <w:sz w:val="20"/>
          <w:szCs w:val="20"/>
          <w:color w:val="auto"/>
        </w:rPr>
      </w:pPr>
      <w:r>
        <w:rPr>
          <w:rFonts w:ascii="Arial" w:cs="Arial" w:eastAsia="Arial" w:hAnsi="Arial"/>
          <w:sz w:val="16"/>
          <w:szCs w:val="16"/>
          <w:color w:val="auto"/>
        </w:rPr>
        <w:t>While the transition rule for newly-public companies may help minimize the effect of the Section 162(m) deduction limit in the short-term, it is possible, going forward, that some portion of our executive officer compensation might not be fully deductible by us for federal income tax purposes.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35</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39" w:name="page40"/>
    <w:bookmarkEnd w:id="39"/>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5CB8"/>
        </w:rPr>
        <w:t>EXECUTIVE COMPENSATION (continued)</w:t>
      </w:r>
    </w:p>
    <w:p>
      <w:pPr>
        <w:spacing w:after="0" w:line="36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Taxation of Parachute Payments and Deferred Compensation</w:t>
      </w:r>
    </w:p>
    <w:p>
      <w:pPr>
        <w:spacing w:after="0" w:line="52"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We do not provide, and have no obligation to provide, any of our named executive officers with a “gross-up” payment for any tax liability he or she might owe because of the application of Sections 280G, 4999 or 409A of the Code. If any of the payments or benefits provided for under the change in control and severance agreements or otherwise payable to a named executive officer would constitute “parachute payments” within the meaning of Section 280G of the Code and could be subject to the related excise tax, he or she would receive either full payment of such payments and benefits or such lesser amount that would cause no portion of the payments and benefits being subject to the excise tax, whichever results in the greater after-tax benefits to our named executive officer.</w:t>
      </w:r>
    </w:p>
    <w:p>
      <w:pPr>
        <w:spacing w:after="0" w:line="36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Accounting for Stock-Based Compensation</w:t>
      </w:r>
    </w:p>
    <w:p>
      <w:pPr>
        <w:spacing w:after="0" w:line="66"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Our compensation committee considers accounting effects in designing compensation plans and arrangements for our executive officers and other employees. Chief among these is ASC Topic 718, the standard which governs the accounting treatment of stock-based compensation awards. ASC Topic 718 requires companies to measure the compensation expense for all share-based payment awards made to employees and directors, including stock options and restricted stock awards, based on the grant date “fair value” of these awards. This calculation is performed for accounting purposes and reported in the compensation tables below, even though our executive officers may realize no value from their awards. ASC Topic 718 also requires companies to recognize the compensation cost of their share-based payment awards in their income statements over the period that an executive officer is required to render service in exchange for the option or other award.</w:t>
      </w:r>
    </w:p>
    <w:p>
      <w:pPr>
        <w:spacing w:after="0" w:line="153" w:lineRule="exact"/>
        <w:rPr>
          <w:sz w:val="20"/>
          <w:szCs w:val="20"/>
          <w:color w:val="auto"/>
        </w:rPr>
      </w:pPr>
    </w:p>
    <w:p>
      <w:pPr>
        <w:ind w:left="4" w:right="40"/>
        <w:spacing w:after="0" w:line="248" w:lineRule="auto"/>
        <w:rPr>
          <w:sz w:val="20"/>
          <w:szCs w:val="20"/>
          <w:color w:val="auto"/>
        </w:rPr>
      </w:pPr>
      <w:r>
        <w:rPr>
          <w:rFonts w:ascii="Arial" w:cs="Arial" w:eastAsia="Arial" w:hAnsi="Arial"/>
          <w:sz w:val="16"/>
          <w:szCs w:val="16"/>
          <w:color w:val="auto"/>
        </w:rPr>
        <w:t>In December 2017, the board of directors approved a grant to our co-founders of RSAs with respect to 14.7 million shares of Class A common stock in the aggregate, or collectively, the Co-Founder Grants, of which 10.3 million RSAs were granted to Mr. Houston, our co-founder, chief executive officer and chairman of the board of directors, and 4.4 million RSAs were granted to Mr. Ferdowsi, our co-founder and director. These Co-Founder Grants have service-based, market-based, and performance-based vesting conditions. The Co-Founder Grants are eligible to vest over the ten-year period following the date Dropbox’s shares of Class A common stock began trading on Nasdaq in connection with our IPO, which occurred on March 23, 2018. The Co-Founder Grants comprise nine tranches that are eligible to vest based on the achievement of stock price goals (each, a “Stock Price Target”), measured over a consecutive thirty-day trading period during the Performance Period, which began on January 1, 2019.</w:t>
      </w:r>
    </w:p>
    <w:p>
      <w:pPr>
        <w:spacing w:after="0" w:line="153"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We estimated the grant date fair value of the Co-Founder Grants using a model based on multiple stock price paths developed through the use of a Monte Carlo simulation that incorporates into the valuation the possibility that the Stock Price Targets may not be satisfied. The average grant date fair value of each Co-Founder Grant was estimated to be $10.60 per share. We recognize the total stock-based compensation expense over the requisite service period of each tranche, which ranged from 2.9 to 6.9 years, using the accelerated attribution method. If the Stock Price Targets are met sooner than the derived service period, we will adjust our stock-based compensation to reflect the cumulative expense associated with the vested awards. We will recognize stock-based compensation expense if the requisite service period is provided, regardless of whether the market conditions are achieved.</w:t>
      </w:r>
    </w:p>
    <w:p>
      <w:pPr>
        <w:spacing w:after="0" w:line="154" w:lineRule="exact"/>
        <w:rPr>
          <w:sz w:val="20"/>
          <w:szCs w:val="20"/>
          <w:color w:val="auto"/>
        </w:rPr>
      </w:pPr>
    </w:p>
    <w:p>
      <w:pPr>
        <w:jc w:val="both"/>
        <w:ind w:left="4" w:right="180"/>
        <w:spacing w:after="0" w:line="246" w:lineRule="auto"/>
        <w:rPr>
          <w:sz w:val="20"/>
          <w:szCs w:val="20"/>
          <w:color w:val="auto"/>
        </w:rPr>
      </w:pPr>
      <w:r>
        <w:rPr>
          <w:rFonts w:ascii="Arial" w:cs="Arial" w:eastAsia="Arial" w:hAnsi="Arial"/>
          <w:sz w:val="16"/>
          <w:szCs w:val="16"/>
          <w:color w:val="auto"/>
        </w:rPr>
        <w:t>In March 2020, Mr. Ferdowsi resigned as a member of the board and as an officer of the company. As a result, he ceased to satisfy the service-based vesting condition of his Co-Founder Grant as of March 19, 2020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None of the 4.4 million RSAs subject to Mr. Ferdowsi’s Co-Founder Grant had vested prior to the Expiration Date. Accordingly, all were forfeited by</w:t>
      </w:r>
    </w:p>
    <w:p>
      <w:pPr>
        <w:spacing w:after="0" w:line="1" w:lineRule="exact"/>
        <w:rPr>
          <w:sz w:val="20"/>
          <w:szCs w:val="20"/>
          <w:color w:val="auto"/>
        </w:rPr>
      </w:pPr>
    </w:p>
    <w:p>
      <w:pPr>
        <w:ind w:left="4" w:right="40"/>
        <w:spacing w:after="0" w:line="251" w:lineRule="auto"/>
        <w:rPr>
          <w:sz w:val="20"/>
          <w:szCs w:val="20"/>
          <w:color w:val="auto"/>
        </w:rPr>
      </w:pPr>
      <w:r>
        <w:rPr>
          <w:rFonts w:ascii="Arial" w:cs="Arial" w:eastAsia="Arial" w:hAnsi="Arial"/>
          <w:sz w:val="16"/>
          <w:szCs w:val="16"/>
          <w:color w:val="auto"/>
        </w:rPr>
        <w:t>Mr. Ferdowsi and reacquired by the Company as of that date. This forfeiture also resulted in a full reversal of the historical stock-based compensation expense related to Mr. Ferdowsi’s award that had been recognized by the company prior to the Expiration Date. Any future stock-based compensation expense that would have been taken related to Mr. Ferdowsi’s award will be cancelled. See “</w:t>
      </w:r>
      <w:r>
        <w:rPr>
          <w:rFonts w:ascii="Arial" w:cs="Arial" w:eastAsia="Arial" w:hAnsi="Arial"/>
          <w:sz w:val="16"/>
          <w:szCs w:val="16"/>
          <w:i w:val="1"/>
          <w:iCs w:val="1"/>
          <w:color w:val="auto"/>
        </w:rPr>
        <w:t>Co-Founder Grants</w:t>
      </w:r>
      <w:r>
        <w:rPr>
          <w:rFonts w:ascii="Arial" w:cs="Arial" w:eastAsia="Arial" w:hAnsi="Arial"/>
          <w:sz w:val="16"/>
          <w:szCs w:val="16"/>
          <w:color w:val="auto"/>
        </w:rPr>
        <w:t>” below.</w:t>
      </w:r>
    </w:p>
    <w:p>
      <w:pPr>
        <w:spacing w:after="0" w:line="187" w:lineRule="exact"/>
        <w:rPr>
          <w:sz w:val="20"/>
          <w:szCs w:val="20"/>
          <w:color w:val="auto"/>
        </w:rPr>
      </w:pPr>
    </w:p>
    <w:p>
      <w:pPr>
        <w:ind w:left="524" w:hanging="524"/>
        <w:spacing w:after="0"/>
        <w:tabs>
          <w:tab w:leader="none" w:pos="524"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40" w:name="page41"/>
    <w:bookmarkEnd w:id="40"/>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EXECUTIVE COMPENSATION</w:t>
      </w:r>
    </w:p>
    <w:p>
      <w:pPr>
        <w:spacing w:after="0" w:line="351" w:lineRule="exact"/>
        <w:rPr>
          <w:sz w:val="20"/>
          <w:szCs w:val="20"/>
          <w:color w:val="auto"/>
        </w:rPr>
      </w:pPr>
    </w:p>
    <w:p>
      <w:pPr>
        <w:ind w:left="720"/>
        <w:spacing w:after="0"/>
        <w:rPr>
          <w:sz w:val="20"/>
          <w:szCs w:val="20"/>
          <w:color w:val="auto"/>
        </w:rPr>
      </w:pPr>
      <w:r>
        <w:rPr>
          <w:rFonts w:ascii="Arial" w:cs="Arial" w:eastAsia="Arial" w:hAnsi="Arial"/>
          <w:sz w:val="26"/>
          <w:szCs w:val="26"/>
          <w:color w:val="005CB8"/>
        </w:rPr>
        <w:t>Report of the Compensation Committee</w:t>
      </w:r>
    </w:p>
    <w:p>
      <w:pPr>
        <w:spacing w:after="0" w:line="169" w:lineRule="exact"/>
        <w:rPr>
          <w:sz w:val="20"/>
          <w:szCs w:val="20"/>
          <w:color w:val="auto"/>
        </w:rPr>
      </w:pPr>
    </w:p>
    <w:p>
      <w:pPr>
        <w:ind w:left="720" w:right="800"/>
        <w:spacing w:after="0" w:line="251"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provided above. Based on its review and discussions, the compensation committee recommended to the board of directors that the Compensation Discussion and Analysis be included in this proxy statement and Dropbox’s Annual Report on Form 10-K for our fiscal year ended December 31, 2019.</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Respectfully submitted by the members of the compensation committee of the board of directors:</w:t>
      </w:r>
    </w:p>
    <w:p>
      <w:pPr>
        <w:spacing w:after="0" w:line="14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Condoleezza Rice (Chair)</w:t>
      </w:r>
    </w:p>
    <w:p>
      <w:pPr>
        <w:spacing w:after="0" w:line="2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Robert J. Mylod, Jr.</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Karen Peacock</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R. Bryan Schreier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38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37</w:t>
            </w:r>
          </w:p>
        </w:tc>
      </w:tr>
      <w:tr>
        <w:trPr>
          <w:trHeight w:val="181"/>
        </w:trPr>
        <w:tc>
          <w:tcPr>
            <w:tcW w:w="9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41" w:name="page42"/>
    <w:bookmarkEnd w:id="41"/>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5CB8"/>
        </w:rPr>
        <w:t>EXECUTIVE COMPENSATION (continued)</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26"/>
          <w:szCs w:val="26"/>
          <w:color w:val="005CB8"/>
        </w:rPr>
        <w:t>Compensation Risk Assessment</w:t>
      </w:r>
    </w:p>
    <w:p>
      <w:pPr>
        <w:spacing w:after="0" w:line="169" w:lineRule="exact"/>
        <w:rPr>
          <w:sz w:val="20"/>
          <w:szCs w:val="20"/>
          <w:color w:val="auto"/>
        </w:rPr>
      </w:pPr>
    </w:p>
    <w:p>
      <w:pPr>
        <w:ind w:left="4" w:right="40"/>
        <w:spacing w:after="0" w:line="249" w:lineRule="auto"/>
        <w:rPr>
          <w:sz w:val="20"/>
          <w:szCs w:val="20"/>
          <w:color w:val="auto"/>
        </w:rPr>
      </w:pPr>
      <w:r>
        <w:rPr>
          <w:rFonts w:ascii="Arial" w:cs="Arial" w:eastAsia="Arial" w:hAnsi="Arial"/>
          <w:sz w:val="16"/>
          <w:szCs w:val="16"/>
          <w:color w:val="auto"/>
        </w:rPr>
        <w:t>Our management regularly assesses and discusses with the compensation committee our compensation programs, policies, and practices for our employees as they relate to our risk management. In this regard, we undertake a risk review of our employee compensation programs, policies, and practices (including our executive compensation program) each year to determine whether these programs, policies, and practices contain features that might create undue risks or encourage unnecessary and excessive risk-taking that could threaten our value. Based upon this review, we believe that any risks arising from such programs, policies, and practices are not reasonably likely to have a material adverse effect on us.</w:t>
      </w:r>
    </w:p>
    <w:p>
      <w:pPr>
        <w:spacing w:after="0" w:line="151" w:lineRule="exact"/>
        <w:rPr>
          <w:sz w:val="20"/>
          <w:szCs w:val="20"/>
          <w:color w:val="auto"/>
        </w:rPr>
      </w:pPr>
    </w:p>
    <w:p>
      <w:pPr>
        <w:ind w:left="4"/>
        <w:spacing w:after="0" w:line="248" w:lineRule="auto"/>
        <w:rPr>
          <w:sz w:val="20"/>
          <w:szCs w:val="20"/>
          <w:color w:val="auto"/>
        </w:rPr>
      </w:pPr>
      <w:r>
        <w:rPr>
          <w:rFonts w:ascii="Arial" w:cs="Arial" w:eastAsia="Arial" w:hAnsi="Arial"/>
          <w:sz w:val="16"/>
          <w:szCs w:val="16"/>
          <w:color w:val="auto"/>
        </w:rPr>
        <w:t>Our employees’ base salaries are fixed in amount and thus we do not believe that they encourage excessive risk-taking. While performance-based cash bonuses and sales commissions focus on achievement of short-term or annual goals, which may encourage the taking of short-term risks at the expense of long-term results, we believe that our compensation policies and the risk mitigation features of our cash bonus plans help mitigate this risk and our performance-based cash bonuses and sales commissions are limited, representing a small portion of the total compensation opportunities available to most non-executive employees. We also believe that our performance-based cash bonuses and sales commissions appropriately balance risk and the desire to focus our employees on specific short-term goals important to our success, and do not encourage unnecessary or excessive risk-taking.</w:t>
      </w:r>
    </w:p>
    <w:p>
      <w:pPr>
        <w:spacing w:after="0" w:line="154" w:lineRule="exact"/>
        <w:rPr>
          <w:sz w:val="20"/>
          <w:szCs w:val="20"/>
          <w:color w:val="auto"/>
        </w:rPr>
      </w:pPr>
    </w:p>
    <w:p>
      <w:pPr>
        <w:ind w:left="4" w:right="60"/>
        <w:spacing w:after="0" w:line="250" w:lineRule="auto"/>
        <w:rPr>
          <w:sz w:val="20"/>
          <w:szCs w:val="20"/>
          <w:color w:val="auto"/>
        </w:rPr>
      </w:pPr>
      <w:r>
        <w:rPr>
          <w:rFonts w:ascii="Arial" w:cs="Arial" w:eastAsia="Arial" w:hAnsi="Arial"/>
          <w:sz w:val="16"/>
          <w:szCs w:val="16"/>
          <w:color w:val="auto"/>
        </w:rPr>
        <w:t>A significant proportion of the compensation provided to most of our employees involves long-term incentive compensation in the form of equity awards that we believe are important to help further align our employees’ interests with those of our stockholders. These equity awards directly tie their expectations of compensation to their contributions to the long-term value of our company. We do not believe that these equity awards encourage unnecessary or excessive risk-taking given their multi-year vesting schedules and since their ultimate value is tied to our stock price.</w:t>
      </w:r>
    </w:p>
    <w:p>
      <w:pPr>
        <w:spacing w:after="0" w:line="188" w:lineRule="exact"/>
        <w:rPr>
          <w:sz w:val="20"/>
          <w:szCs w:val="20"/>
          <w:color w:val="auto"/>
        </w:rPr>
      </w:pPr>
    </w:p>
    <w:p>
      <w:pPr>
        <w:ind w:left="524" w:hanging="524"/>
        <w:spacing w:after="0"/>
        <w:tabs>
          <w:tab w:leader="none" w:pos="524"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42" w:name="page43"/>
    <w:bookmarkEnd w:id="42"/>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EXECUTIVE COMPENSATION (continued)</w:t>
      </w:r>
    </w:p>
    <w:p>
      <w:pPr>
        <w:spacing w:after="0" w:line="378" w:lineRule="exact"/>
        <w:rPr>
          <w:sz w:val="20"/>
          <w:szCs w:val="20"/>
          <w:color w:val="auto"/>
        </w:rPr>
      </w:pPr>
    </w:p>
    <w:p>
      <w:pPr>
        <w:ind w:left="720"/>
        <w:spacing w:after="0"/>
        <w:rPr>
          <w:sz w:val="20"/>
          <w:szCs w:val="20"/>
          <w:color w:val="auto"/>
        </w:rPr>
      </w:pPr>
      <w:r>
        <w:rPr>
          <w:rFonts w:ascii="Arial" w:cs="Arial" w:eastAsia="Arial" w:hAnsi="Arial"/>
          <w:sz w:val="26"/>
          <w:szCs w:val="26"/>
          <w:color w:val="005CB8"/>
        </w:rPr>
        <w:t>Summary Compensation Table for Fiscal Year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131445</wp:posOffset>
            </wp:positionV>
            <wp:extent cx="6077585" cy="52889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7585" cy="5288915"/>
                    </a:xfrm>
                    <a:prstGeom prst="rect">
                      <a:avLst/>
                    </a:prstGeom>
                    <a:noFill/>
                  </pic:spPr>
                </pic:pic>
              </a:graphicData>
            </a:graphic>
          </wp:anchor>
        </w:drawing>
      </w:r>
    </w:p>
    <w:p>
      <w:pPr>
        <w:spacing w:after="0" w:line="187"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1980" w:type="dxa"/>
            <w:vAlign w:val="bottom"/>
            <w:shd w:val="clear" w:color="auto" w:fill="0060EC"/>
          </w:tcPr>
          <w:p>
            <w:pPr>
              <w:spacing w:after="0"/>
              <w:rPr>
                <w:sz w:val="22"/>
                <w:szCs w:val="22"/>
                <w:color w:val="auto"/>
              </w:rPr>
            </w:pPr>
          </w:p>
        </w:tc>
        <w:tc>
          <w:tcPr>
            <w:tcW w:w="760" w:type="dxa"/>
            <w:vAlign w:val="bottom"/>
            <w:shd w:val="clear" w:color="auto" w:fill="0060EC"/>
          </w:tcPr>
          <w:p>
            <w:pPr>
              <w:spacing w:after="0"/>
              <w:rPr>
                <w:sz w:val="22"/>
                <w:szCs w:val="22"/>
                <w:color w:val="auto"/>
              </w:rPr>
            </w:pPr>
          </w:p>
        </w:tc>
        <w:tc>
          <w:tcPr>
            <w:tcW w:w="880" w:type="dxa"/>
            <w:vAlign w:val="bottom"/>
            <w:shd w:val="clear" w:color="auto" w:fill="0060EC"/>
          </w:tcPr>
          <w:p>
            <w:pPr>
              <w:spacing w:after="0"/>
              <w:rPr>
                <w:sz w:val="22"/>
                <w:szCs w:val="22"/>
                <w:color w:val="auto"/>
              </w:rPr>
            </w:pPr>
          </w:p>
        </w:tc>
        <w:tc>
          <w:tcPr>
            <w:tcW w:w="780" w:type="dxa"/>
            <w:vAlign w:val="bottom"/>
            <w:shd w:val="clear" w:color="auto" w:fill="0060EC"/>
          </w:tcPr>
          <w:p>
            <w:pPr>
              <w:spacing w:after="0"/>
              <w:rPr>
                <w:sz w:val="22"/>
                <w:szCs w:val="22"/>
                <w:color w:val="auto"/>
              </w:rPr>
            </w:pPr>
          </w:p>
        </w:tc>
        <w:tc>
          <w:tcPr>
            <w:tcW w:w="1460" w:type="dxa"/>
            <w:vAlign w:val="bottom"/>
            <w:shd w:val="clear" w:color="auto" w:fill="0060EC"/>
          </w:tcPr>
          <w:p>
            <w:pPr>
              <w:spacing w:after="0"/>
              <w:rPr>
                <w:sz w:val="22"/>
                <w:szCs w:val="22"/>
                <w:color w:val="auto"/>
              </w:rPr>
            </w:pPr>
          </w:p>
        </w:tc>
        <w:tc>
          <w:tcPr>
            <w:tcW w:w="130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Non-equity</w:t>
            </w:r>
          </w:p>
        </w:tc>
        <w:tc>
          <w:tcPr>
            <w:tcW w:w="1260" w:type="dxa"/>
            <w:vAlign w:val="bottom"/>
            <w:shd w:val="clear" w:color="auto" w:fill="0060EC"/>
          </w:tcPr>
          <w:p>
            <w:pPr>
              <w:spacing w:after="0"/>
              <w:rPr>
                <w:sz w:val="22"/>
                <w:szCs w:val="22"/>
                <w:color w:val="auto"/>
              </w:rPr>
            </w:pPr>
          </w:p>
        </w:tc>
        <w:tc>
          <w:tcPr>
            <w:tcW w:w="1140" w:type="dxa"/>
            <w:vAlign w:val="bottom"/>
            <w:shd w:val="clear" w:color="auto" w:fill="0060EC"/>
          </w:tcPr>
          <w:p>
            <w:pPr>
              <w:spacing w:after="0"/>
              <w:rPr>
                <w:sz w:val="22"/>
                <w:szCs w:val="22"/>
                <w:color w:val="auto"/>
              </w:rPr>
            </w:pPr>
          </w:p>
        </w:tc>
      </w:tr>
      <w:tr>
        <w:trPr>
          <w:trHeight w:val="162"/>
        </w:trPr>
        <w:tc>
          <w:tcPr>
            <w:tcW w:w="1980" w:type="dxa"/>
            <w:vAlign w:val="bottom"/>
            <w:shd w:val="clear" w:color="auto" w:fill="0060EC"/>
          </w:tcPr>
          <w:p>
            <w:pPr>
              <w:spacing w:after="0"/>
              <w:rPr>
                <w:sz w:val="14"/>
                <w:szCs w:val="14"/>
                <w:color w:val="auto"/>
              </w:rPr>
            </w:pPr>
          </w:p>
        </w:tc>
        <w:tc>
          <w:tcPr>
            <w:tcW w:w="760" w:type="dxa"/>
            <w:vAlign w:val="bottom"/>
            <w:shd w:val="clear" w:color="auto" w:fill="0060EC"/>
          </w:tcPr>
          <w:p>
            <w:pPr>
              <w:spacing w:after="0"/>
              <w:rPr>
                <w:sz w:val="14"/>
                <w:szCs w:val="14"/>
                <w:color w:val="auto"/>
              </w:rPr>
            </w:pPr>
          </w:p>
        </w:tc>
        <w:tc>
          <w:tcPr>
            <w:tcW w:w="880" w:type="dxa"/>
            <w:vAlign w:val="bottom"/>
            <w:shd w:val="clear" w:color="auto" w:fill="0060EC"/>
          </w:tcPr>
          <w:p>
            <w:pPr>
              <w:spacing w:after="0"/>
              <w:rPr>
                <w:sz w:val="14"/>
                <w:szCs w:val="14"/>
                <w:color w:val="auto"/>
              </w:rPr>
            </w:pPr>
          </w:p>
        </w:tc>
        <w:tc>
          <w:tcPr>
            <w:tcW w:w="780" w:type="dxa"/>
            <w:vAlign w:val="bottom"/>
            <w:shd w:val="clear" w:color="auto" w:fill="0060EC"/>
          </w:tcPr>
          <w:p>
            <w:pPr>
              <w:spacing w:after="0"/>
              <w:rPr>
                <w:sz w:val="14"/>
                <w:szCs w:val="14"/>
                <w:color w:val="auto"/>
              </w:rPr>
            </w:pPr>
          </w:p>
        </w:tc>
        <w:tc>
          <w:tcPr>
            <w:tcW w:w="146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Stock</w:t>
            </w:r>
          </w:p>
        </w:tc>
        <w:tc>
          <w:tcPr>
            <w:tcW w:w="130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260" w:type="dxa"/>
            <w:vAlign w:val="bottom"/>
            <w:shd w:val="clear" w:color="auto" w:fill="0060EC"/>
          </w:tcPr>
          <w:p>
            <w:pPr>
              <w:ind w:left="320"/>
              <w:spacing w:after="0"/>
              <w:rPr>
                <w:sz w:val="20"/>
                <w:szCs w:val="20"/>
                <w:color w:val="auto"/>
              </w:rPr>
            </w:pPr>
            <w:r>
              <w:rPr>
                <w:rFonts w:ascii="Arial" w:cs="Arial" w:eastAsia="Arial" w:hAnsi="Arial"/>
                <w:sz w:val="14"/>
                <w:szCs w:val="14"/>
                <w:b w:val="1"/>
                <w:bCs w:val="1"/>
                <w:color w:val="FFFFFF"/>
              </w:rPr>
              <w:t>All other</w:t>
            </w:r>
          </w:p>
        </w:tc>
        <w:tc>
          <w:tcPr>
            <w:tcW w:w="1140" w:type="dxa"/>
            <w:vAlign w:val="bottom"/>
            <w:shd w:val="clear" w:color="auto" w:fill="0060EC"/>
          </w:tcPr>
          <w:p>
            <w:pPr>
              <w:spacing w:after="0"/>
              <w:rPr>
                <w:sz w:val="14"/>
                <w:szCs w:val="14"/>
                <w:color w:val="auto"/>
              </w:rPr>
            </w:pPr>
          </w:p>
        </w:tc>
      </w:tr>
      <w:tr>
        <w:trPr>
          <w:trHeight w:val="148"/>
        </w:trPr>
        <w:tc>
          <w:tcPr>
            <w:tcW w:w="1980" w:type="dxa"/>
            <w:vAlign w:val="bottom"/>
            <w:shd w:val="clear" w:color="auto" w:fill="0060EC"/>
          </w:tcPr>
          <w:p>
            <w:pPr>
              <w:spacing w:after="0"/>
              <w:rPr>
                <w:sz w:val="12"/>
                <w:szCs w:val="12"/>
                <w:color w:val="auto"/>
              </w:rPr>
            </w:pPr>
          </w:p>
        </w:tc>
        <w:tc>
          <w:tcPr>
            <w:tcW w:w="760" w:type="dxa"/>
            <w:vAlign w:val="bottom"/>
            <w:shd w:val="clear" w:color="auto" w:fill="0060EC"/>
          </w:tcPr>
          <w:p>
            <w:pPr>
              <w:spacing w:after="0"/>
              <w:rPr>
                <w:sz w:val="12"/>
                <w:szCs w:val="12"/>
                <w:color w:val="auto"/>
              </w:rPr>
            </w:pPr>
          </w:p>
        </w:tc>
        <w:tc>
          <w:tcPr>
            <w:tcW w:w="880" w:type="dxa"/>
            <w:vAlign w:val="bottom"/>
            <w:shd w:val="clear" w:color="auto" w:fill="0060EC"/>
          </w:tcPr>
          <w:p>
            <w:pPr>
              <w:jc w:val="center"/>
              <w:spacing w:after="0" w:line="148" w:lineRule="exact"/>
              <w:rPr>
                <w:sz w:val="20"/>
                <w:szCs w:val="20"/>
                <w:color w:val="auto"/>
              </w:rPr>
            </w:pPr>
            <w:r>
              <w:rPr>
                <w:rFonts w:ascii="Arial" w:cs="Arial" w:eastAsia="Arial" w:hAnsi="Arial"/>
                <w:sz w:val="14"/>
                <w:szCs w:val="14"/>
                <w:b w:val="1"/>
                <w:bCs w:val="1"/>
                <w:color w:val="FFFFFF"/>
              </w:rPr>
              <w:t>Salary</w:t>
            </w:r>
          </w:p>
        </w:tc>
        <w:tc>
          <w:tcPr>
            <w:tcW w:w="780" w:type="dxa"/>
            <w:vAlign w:val="bottom"/>
            <w:shd w:val="clear" w:color="auto" w:fill="0060EC"/>
          </w:tcPr>
          <w:p>
            <w:pPr>
              <w:ind w:left="140"/>
              <w:spacing w:after="0" w:line="148" w:lineRule="exact"/>
              <w:rPr>
                <w:sz w:val="20"/>
                <w:szCs w:val="20"/>
                <w:color w:val="auto"/>
              </w:rPr>
            </w:pPr>
            <w:r>
              <w:rPr>
                <w:rFonts w:ascii="Arial" w:cs="Arial" w:eastAsia="Arial" w:hAnsi="Arial"/>
                <w:sz w:val="14"/>
                <w:szCs w:val="14"/>
                <w:b w:val="1"/>
                <w:bCs w:val="1"/>
                <w:color w:val="FFFFFF"/>
              </w:rPr>
              <w:t>Bonus</w:t>
            </w:r>
          </w:p>
        </w:tc>
        <w:tc>
          <w:tcPr>
            <w:tcW w:w="1460" w:type="dxa"/>
            <w:vAlign w:val="bottom"/>
            <w:shd w:val="clear" w:color="auto" w:fill="0060EC"/>
          </w:tcPr>
          <w:p>
            <w:pPr>
              <w:jc w:val="center"/>
              <w:spacing w:after="0" w:line="148" w:lineRule="exact"/>
              <w:rPr>
                <w:sz w:val="20"/>
                <w:szCs w:val="20"/>
                <w:color w:val="auto"/>
              </w:rPr>
            </w:pPr>
            <w:r>
              <w:rPr>
                <w:rFonts w:ascii="Arial" w:cs="Arial" w:eastAsia="Arial" w:hAnsi="Arial"/>
                <w:sz w:val="14"/>
                <w:szCs w:val="14"/>
                <w:b w:val="1"/>
                <w:bCs w:val="1"/>
                <w:color w:val="FFFFFF"/>
                <w:w w:val="99"/>
              </w:rPr>
              <w:t>awards</w:t>
            </w:r>
          </w:p>
        </w:tc>
        <w:tc>
          <w:tcPr>
            <w:tcW w:w="1300" w:type="dxa"/>
            <w:vAlign w:val="bottom"/>
            <w:shd w:val="clear" w:color="auto" w:fill="0060EC"/>
          </w:tcPr>
          <w:p>
            <w:pPr>
              <w:jc w:val="center"/>
              <w:spacing w:after="0" w:line="148" w:lineRule="exact"/>
              <w:rPr>
                <w:sz w:val="20"/>
                <w:szCs w:val="20"/>
                <w:color w:val="auto"/>
              </w:rPr>
            </w:pPr>
            <w:r>
              <w:rPr>
                <w:rFonts w:ascii="Arial" w:cs="Arial" w:eastAsia="Arial" w:hAnsi="Arial"/>
                <w:sz w:val="14"/>
                <w:szCs w:val="14"/>
                <w:b w:val="1"/>
                <w:bCs w:val="1"/>
                <w:color w:val="FFFFFF"/>
              </w:rPr>
              <w:t>compensation</w:t>
            </w:r>
          </w:p>
        </w:tc>
        <w:tc>
          <w:tcPr>
            <w:tcW w:w="1260" w:type="dxa"/>
            <w:vAlign w:val="bottom"/>
            <w:shd w:val="clear" w:color="auto" w:fill="0060EC"/>
          </w:tcPr>
          <w:p>
            <w:pPr>
              <w:ind w:left="140"/>
              <w:spacing w:after="0" w:line="148" w:lineRule="exact"/>
              <w:rPr>
                <w:sz w:val="20"/>
                <w:szCs w:val="20"/>
                <w:color w:val="auto"/>
              </w:rPr>
            </w:pPr>
            <w:r>
              <w:rPr>
                <w:rFonts w:ascii="Arial" w:cs="Arial" w:eastAsia="Arial" w:hAnsi="Arial"/>
                <w:sz w:val="14"/>
                <w:szCs w:val="14"/>
                <w:b w:val="1"/>
                <w:bCs w:val="1"/>
                <w:color w:val="FFFFFF"/>
              </w:rPr>
              <w:t>compensation</w:t>
            </w:r>
          </w:p>
        </w:tc>
        <w:tc>
          <w:tcPr>
            <w:tcW w:w="1140" w:type="dxa"/>
            <w:vAlign w:val="bottom"/>
            <w:shd w:val="clear" w:color="auto" w:fill="0060EC"/>
          </w:tcPr>
          <w:p>
            <w:pPr>
              <w:jc w:val="right"/>
              <w:ind w:right="281"/>
              <w:spacing w:after="0" w:line="148" w:lineRule="exact"/>
              <w:rPr>
                <w:sz w:val="20"/>
                <w:szCs w:val="20"/>
                <w:color w:val="auto"/>
              </w:rPr>
            </w:pPr>
            <w:r>
              <w:rPr>
                <w:rFonts w:ascii="Arial" w:cs="Arial" w:eastAsia="Arial" w:hAnsi="Arial"/>
                <w:sz w:val="14"/>
                <w:szCs w:val="14"/>
                <w:b w:val="1"/>
                <w:bCs w:val="1"/>
                <w:color w:val="FFFFFF"/>
              </w:rPr>
              <w:t>Total</w:t>
            </w:r>
          </w:p>
        </w:tc>
      </w:tr>
      <w:tr>
        <w:trPr>
          <w:trHeight w:val="283"/>
        </w:trPr>
        <w:tc>
          <w:tcPr>
            <w:tcW w:w="1980" w:type="dxa"/>
            <w:vAlign w:val="bottom"/>
            <w:shd w:val="clear" w:color="auto" w:fill="0060EC"/>
          </w:tcPr>
          <w:p>
            <w:pPr>
              <w:ind w:left="40"/>
              <w:spacing w:after="0"/>
              <w:rPr>
                <w:sz w:val="20"/>
                <w:szCs w:val="20"/>
                <w:color w:val="auto"/>
              </w:rPr>
            </w:pPr>
            <w:r>
              <w:rPr>
                <w:rFonts w:ascii="Arial" w:cs="Arial" w:eastAsia="Arial" w:hAnsi="Arial"/>
                <w:sz w:val="14"/>
                <w:szCs w:val="14"/>
                <w:b w:val="1"/>
                <w:bCs w:val="1"/>
                <w:color w:val="FFFFFF"/>
              </w:rPr>
              <w:t>Name and principal position</w:t>
            </w:r>
          </w:p>
        </w:tc>
        <w:tc>
          <w:tcPr>
            <w:tcW w:w="760" w:type="dxa"/>
            <w:vAlign w:val="bottom"/>
            <w:shd w:val="clear" w:color="auto" w:fill="0060EC"/>
          </w:tcPr>
          <w:p>
            <w:pPr>
              <w:jc w:val="center"/>
              <w:ind w:left="60"/>
              <w:spacing w:after="0"/>
              <w:rPr>
                <w:sz w:val="20"/>
                <w:szCs w:val="20"/>
                <w:color w:val="auto"/>
              </w:rPr>
            </w:pPr>
            <w:r>
              <w:rPr>
                <w:rFonts w:ascii="Arial" w:cs="Arial" w:eastAsia="Arial" w:hAnsi="Arial"/>
                <w:sz w:val="14"/>
                <w:szCs w:val="14"/>
                <w:b w:val="1"/>
                <w:bCs w:val="1"/>
                <w:color w:val="FFFFFF"/>
                <w:w w:val="98"/>
              </w:rPr>
              <w:t>Year</w:t>
            </w:r>
          </w:p>
        </w:tc>
        <w:tc>
          <w:tcPr>
            <w:tcW w:w="88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w w:val="93"/>
              </w:rPr>
              <w:t>($)</w:t>
            </w:r>
          </w:p>
        </w:tc>
        <w:tc>
          <w:tcPr>
            <w:tcW w:w="780" w:type="dxa"/>
            <w:vAlign w:val="bottom"/>
            <w:shd w:val="clear" w:color="auto" w:fill="0060EC"/>
          </w:tcPr>
          <w:p>
            <w:pPr>
              <w:ind w:left="280"/>
              <w:spacing w:after="0"/>
              <w:rPr>
                <w:sz w:val="20"/>
                <w:szCs w:val="20"/>
                <w:color w:val="auto"/>
              </w:rPr>
            </w:pPr>
            <w:r>
              <w:rPr>
                <w:rFonts w:ascii="Arial" w:cs="Arial" w:eastAsia="Arial" w:hAnsi="Arial"/>
                <w:sz w:val="14"/>
                <w:szCs w:val="14"/>
                <w:b w:val="1"/>
                <w:bCs w:val="1"/>
                <w:color w:val="FFFFFF"/>
              </w:rPr>
              <w:t>($)</w:t>
            </w:r>
          </w:p>
        </w:tc>
        <w:tc>
          <w:tcPr>
            <w:tcW w:w="1460" w:type="dxa"/>
            <w:vAlign w:val="bottom"/>
            <w:shd w:val="clear" w:color="auto" w:fill="0060EC"/>
          </w:tcPr>
          <w:p>
            <w:pPr>
              <w:jc w:val="center"/>
              <w:spacing w:after="0" w:line="284" w:lineRule="exact"/>
              <w:rPr>
                <w:sz w:val="20"/>
                <w:szCs w:val="20"/>
                <w:color w:val="auto"/>
              </w:rPr>
            </w:pPr>
            <w:r>
              <w:rPr>
                <w:rFonts w:ascii="Arial" w:cs="Arial" w:eastAsia="Arial" w:hAnsi="Arial"/>
                <w:sz w:val="28"/>
                <w:szCs w:val="28"/>
                <w:b w:val="1"/>
                <w:bCs w:val="1"/>
                <w:color w:val="FFFFFF"/>
                <w:w w:val="85"/>
                <w:vertAlign w:val="subscript"/>
              </w:rPr>
              <w:t>($)</w:t>
            </w:r>
            <w:r>
              <w:rPr>
                <w:rFonts w:ascii="Arial" w:cs="Arial" w:eastAsia="Arial" w:hAnsi="Arial"/>
                <w:sz w:val="12"/>
                <w:szCs w:val="12"/>
                <w:b w:val="1"/>
                <w:bCs w:val="1"/>
                <w:color w:val="FFFFFF"/>
                <w:w w:val="85"/>
              </w:rPr>
              <w:t>(1)</w:t>
            </w:r>
          </w:p>
        </w:tc>
        <w:tc>
          <w:tcPr>
            <w:tcW w:w="1300" w:type="dxa"/>
            <w:vAlign w:val="bottom"/>
            <w:shd w:val="clear" w:color="auto" w:fill="0060EC"/>
          </w:tcPr>
          <w:p>
            <w:pPr>
              <w:jc w:val="center"/>
              <w:spacing w:after="0" w:line="284" w:lineRule="exact"/>
              <w:rPr>
                <w:sz w:val="20"/>
                <w:szCs w:val="20"/>
                <w:color w:val="auto"/>
              </w:rPr>
            </w:pPr>
            <w:r>
              <w:rPr>
                <w:rFonts w:ascii="Arial" w:cs="Arial" w:eastAsia="Arial" w:hAnsi="Arial"/>
                <w:sz w:val="28"/>
                <w:szCs w:val="28"/>
                <w:b w:val="1"/>
                <w:bCs w:val="1"/>
                <w:color w:val="FFFFFF"/>
                <w:w w:val="85"/>
                <w:vertAlign w:val="subscript"/>
              </w:rPr>
              <w:t>($)</w:t>
            </w:r>
            <w:r>
              <w:rPr>
                <w:rFonts w:ascii="Arial" w:cs="Arial" w:eastAsia="Arial" w:hAnsi="Arial"/>
                <w:sz w:val="12"/>
                <w:szCs w:val="12"/>
                <w:b w:val="1"/>
                <w:bCs w:val="1"/>
                <w:color w:val="FFFFFF"/>
                <w:w w:val="85"/>
              </w:rPr>
              <w:t>(2)</w:t>
            </w:r>
          </w:p>
        </w:tc>
        <w:tc>
          <w:tcPr>
            <w:tcW w:w="1260" w:type="dxa"/>
            <w:vAlign w:val="bottom"/>
            <w:shd w:val="clear" w:color="auto" w:fill="0060EC"/>
          </w:tcPr>
          <w:p>
            <w:pPr>
              <w:ind w:left="480"/>
              <w:spacing w:after="0" w:line="284"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(3)</w:t>
            </w:r>
          </w:p>
        </w:tc>
        <w:tc>
          <w:tcPr>
            <w:tcW w:w="1140" w:type="dxa"/>
            <w:vAlign w:val="bottom"/>
            <w:shd w:val="clear" w:color="auto" w:fill="0060EC"/>
          </w:tcPr>
          <w:p>
            <w:pPr>
              <w:jc w:val="right"/>
              <w:ind w:right="341"/>
              <w:spacing w:after="0"/>
              <w:rPr>
                <w:sz w:val="20"/>
                <w:szCs w:val="20"/>
                <w:color w:val="auto"/>
              </w:rPr>
            </w:pPr>
            <w:r>
              <w:rPr>
                <w:rFonts w:ascii="Arial" w:cs="Arial" w:eastAsia="Arial" w:hAnsi="Arial"/>
                <w:sz w:val="14"/>
                <w:szCs w:val="14"/>
                <w:b w:val="1"/>
                <w:bCs w:val="1"/>
                <w:color w:val="FFFFFF"/>
              </w:rPr>
              <w:t>($)</w:t>
            </w:r>
          </w:p>
        </w:tc>
      </w:tr>
      <w:tr>
        <w:trPr>
          <w:trHeight w:val="265"/>
        </w:trPr>
        <w:tc>
          <w:tcPr>
            <w:tcW w:w="1980" w:type="dxa"/>
            <w:vAlign w:val="bottom"/>
          </w:tcPr>
          <w:p>
            <w:pPr>
              <w:ind w:left="60"/>
              <w:spacing w:after="0"/>
              <w:rPr>
                <w:sz w:val="20"/>
                <w:szCs w:val="20"/>
                <w:color w:val="auto"/>
              </w:rPr>
            </w:pPr>
            <w:r>
              <w:rPr>
                <w:rFonts w:ascii="Arial" w:cs="Arial" w:eastAsia="Arial" w:hAnsi="Arial"/>
                <w:sz w:val="16"/>
                <w:szCs w:val="16"/>
                <w:b w:val="1"/>
                <w:bCs w:val="1"/>
                <w:color w:val="005CB8"/>
              </w:rPr>
              <w:t>Andrew W. Houston</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5"/>
        </w:trPr>
        <w:tc>
          <w:tcPr>
            <w:tcW w:w="3620" w:type="dxa"/>
            <w:vAlign w:val="bottom"/>
            <w:gridSpan w:val="3"/>
          </w:tcPr>
          <w:p>
            <w:pPr>
              <w:ind w:left="60"/>
              <w:spacing w:after="0"/>
              <w:rPr>
                <w:sz w:val="20"/>
                <w:szCs w:val="20"/>
                <w:color w:val="auto"/>
              </w:rPr>
            </w:pPr>
            <w:r>
              <w:rPr>
                <w:rFonts w:ascii="Arial" w:cs="Arial" w:eastAsia="Arial" w:hAnsi="Arial"/>
                <w:sz w:val="16"/>
                <w:szCs w:val="16"/>
                <w:b w:val="1"/>
                <w:bCs w:val="1"/>
                <w:i w:val="1"/>
                <w:iCs w:val="1"/>
                <w:color w:val="005CB8"/>
              </w:rPr>
              <w:t>Chief Executive Officer and Co-Founder</w:t>
            </w: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87"/>
        </w:trPr>
        <w:tc>
          <w:tcPr>
            <w:tcW w:w="1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91"/>
        </w:trPr>
        <w:tc>
          <w:tcPr>
            <w:tcW w:w="1980" w:type="dxa"/>
            <w:vAlign w:val="bottom"/>
            <w:shd w:val="clear" w:color="auto" w:fill="E5EFFD"/>
          </w:tcPr>
          <w:p>
            <w:pPr>
              <w:spacing w:after="0"/>
              <w:rPr>
                <w:sz w:val="24"/>
                <w:szCs w:val="24"/>
                <w:color w:val="auto"/>
              </w:rPr>
            </w:pPr>
          </w:p>
        </w:tc>
        <w:tc>
          <w:tcPr>
            <w:tcW w:w="760" w:type="dxa"/>
            <w:vAlign w:val="bottom"/>
            <w:shd w:val="clear" w:color="auto" w:fill="E5EFFD"/>
          </w:tcPr>
          <w:p>
            <w:pPr>
              <w:jc w:val="center"/>
              <w:ind w:left="80"/>
              <w:spacing w:after="0"/>
              <w:rPr>
                <w:sz w:val="20"/>
                <w:szCs w:val="20"/>
                <w:color w:val="auto"/>
              </w:rPr>
            </w:pPr>
            <w:r>
              <w:rPr>
                <w:rFonts w:ascii="Arial" w:cs="Arial" w:eastAsia="Arial" w:hAnsi="Arial"/>
                <w:sz w:val="16"/>
                <w:szCs w:val="16"/>
                <w:color w:val="005CB8"/>
              </w:rPr>
              <w:t>2019</w:t>
            </w:r>
          </w:p>
        </w:tc>
        <w:tc>
          <w:tcPr>
            <w:tcW w:w="880" w:type="dxa"/>
            <w:vAlign w:val="bottom"/>
            <w:shd w:val="clear" w:color="auto" w:fill="E5EFFD"/>
          </w:tcPr>
          <w:p>
            <w:pPr>
              <w:jc w:val="center"/>
              <w:spacing w:after="0"/>
              <w:rPr>
                <w:sz w:val="20"/>
                <w:szCs w:val="20"/>
                <w:color w:val="auto"/>
              </w:rPr>
            </w:pPr>
            <w:r>
              <w:rPr>
                <w:rFonts w:ascii="Arial" w:cs="Arial" w:eastAsia="Arial" w:hAnsi="Arial"/>
                <w:sz w:val="16"/>
                <w:szCs w:val="16"/>
                <w:color w:val="005CB8"/>
              </w:rPr>
              <w:t>700,000</w:t>
            </w:r>
          </w:p>
        </w:tc>
        <w:tc>
          <w:tcPr>
            <w:tcW w:w="780" w:type="dxa"/>
            <w:vAlign w:val="bottom"/>
            <w:shd w:val="clear" w:color="auto" w:fill="E5EFFD"/>
          </w:tcPr>
          <w:p>
            <w:pPr>
              <w:ind w:left="260"/>
              <w:spacing w:after="0"/>
              <w:rPr>
                <w:sz w:val="20"/>
                <w:szCs w:val="20"/>
                <w:color w:val="auto"/>
              </w:rPr>
            </w:pPr>
            <w:r>
              <w:rPr>
                <w:rFonts w:ascii="Arial" w:cs="Arial" w:eastAsia="Arial" w:hAnsi="Arial"/>
                <w:sz w:val="16"/>
                <w:szCs w:val="16"/>
                <w:color w:val="005CB8"/>
              </w:rPr>
              <w:t>—</w:t>
            </w:r>
          </w:p>
        </w:tc>
        <w:tc>
          <w:tcPr>
            <w:tcW w:w="1460" w:type="dxa"/>
            <w:vAlign w:val="bottom"/>
            <w:shd w:val="clear" w:color="auto" w:fill="E5EFFD"/>
          </w:tcPr>
          <w:p>
            <w:pPr>
              <w:jc w:val="right"/>
              <w:ind w:right="283"/>
              <w:spacing w:after="0"/>
              <w:rPr>
                <w:sz w:val="20"/>
                <w:szCs w:val="20"/>
                <w:color w:val="auto"/>
              </w:rPr>
            </w:pPr>
            <w:r>
              <w:rPr>
                <w:rFonts w:ascii="Arial" w:cs="Arial" w:eastAsia="Arial" w:hAnsi="Arial"/>
                <w:sz w:val="16"/>
                <w:szCs w:val="16"/>
                <w:color w:val="005CB8"/>
              </w:rPr>
              <w:t>—</w:t>
            </w:r>
          </w:p>
        </w:tc>
        <w:tc>
          <w:tcPr>
            <w:tcW w:w="1300" w:type="dxa"/>
            <w:vAlign w:val="bottom"/>
            <w:shd w:val="clear" w:color="auto" w:fill="E5EFFD"/>
          </w:tcPr>
          <w:p>
            <w:pPr>
              <w:jc w:val="center"/>
              <w:spacing w:after="0"/>
              <w:rPr>
                <w:sz w:val="20"/>
                <w:szCs w:val="20"/>
                <w:color w:val="auto"/>
              </w:rPr>
            </w:pPr>
            <w:r>
              <w:rPr>
                <w:rFonts w:ascii="Arial" w:cs="Arial" w:eastAsia="Arial" w:hAnsi="Arial"/>
                <w:sz w:val="16"/>
                <w:szCs w:val="16"/>
                <w:color w:val="005CB8"/>
              </w:rPr>
              <w:t>679,192</w:t>
            </w:r>
          </w:p>
        </w:tc>
        <w:tc>
          <w:tcPr>
            <w:tcW w:w="1260" w:type="dxa"/>
            <w:vAlign w:val="bottom"/>
            <w:shd w:val="clear" w:color="auto" w:fill="E5EFFD"/>
          </w:tcPr>
          <w:p>
            <w:pPr>
              <w:ind w:left="500"/>
              <w:spacing w:after="0"/>
              <w:rPr>
                <w:sz w:val="20"/>
                <w:szCs w:val="20"/>
                <w:color w:val="auto"/>
              </w:rPr>
            </w:pPr>
            <w:r>
              <w:rPr>
                <w:rFonts w:ascii="Arial" w:cs="Arial" w:eastAsia="Arial" w:hAnsi="Arial"/>
                <w:sz w:val="16"/>
                <w:szCs w:val="16"/>
                <w:color w:val="005CB8"/>
              </w:rPr>
              <w:t>6,000</w:t>
            </w:r>
          </w:p>
        </w:tc>
        <w:tc>
          <w:tcPr>
            <w:tcW w:w="114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1,385,192</w:t>
            </w:r>
          </w:p>
        </w:tc>
      </w:tr>
      <w:tr>
        <w:trPr>
          <w:trHeight w:val="378"/>
        </w:trPr>
        <w:tc>
          <w:tcPr>
            <w:tcW w:w="1980" w:type="dxa"/>
            <w:vAlign w:val="bottom"/>
            <w:shd w:val="clear" w:color="auto" w:fill="E5EFFD"/>
          </w:tcPr>
          <w:p>
            <w:pPr>
              <w:spacing w:after="0"/>
              <w:rPr>
                <w:sz w:val="24"/>
                <w:szCs w:val="24"/>
                <w:color w:val="auto"/>
              </w:rPr>
            </w:pPr>
          </w:p>
        </w:tc>
        <w:tc>
          <w:tcPr>
            <w:tcW w:w="760" w:type="dxa"/>
            <w:vAlign w:val="bottom"/>
            <w:shd w:val="clear" w:color="auto" w:fill="E5EFFD"/>
          </w:tcPr>
          <w:p>
            <w:pPr>
              <w:jc w:val="center"/>
              <w:ind w:left="80"/>
              <w:spacing w:after="0"/>
              <w:rPr>
                <w:sz w:val="20"/>
                <w:szCs w:val="20"/>
                <w:color w:val="auto"/>
              </w:rPr>
            </w:pPr>
            <w:r>
              <w:rPr>
                <w:rFonts w:ascii="Arial" w:cs="Arial" w:eastAsia="Arial" w:hAnsi="Arial"/>
                <w:sz w:val="16"/>
                <w:szCs w:val="16"/>
                <w:color w:val="005CB8"/>
              </w:rPr>
              <w:t>2018</w:t>
            </w:r>
          </w:p>
        </w:tc>
        <w:tc>
          <w:tcPr>
            <w:tcW w:w="880" w:type="dxa"/>
            <w:vAlign w:val="bottom"/>
            <w:shd w:val="clear" w:color="auto" w:fill="E5EFFD"/>
          </w:tcPr>
          <w:p>
            <w:pPr>
              <w:jc w:val="center"/>
              <w:spacing w:after="0"/>
              <w:rPr>
                <w:sz w:val="20"/>
                <w:szCs w:val="20"/>
                <w:color w:val="auto"/>
              </w:rPr>
            </w:pPr>
            <w:r>
              <w:rPr>
                <w:rFonts w:ascii="Arial" w:cs="Arial" w:eastAsia="Arial" w:hAnsi="Arial"/>
                <w:sz w:val="16"/>
                <w:szCs w:val="16"/>
                <w:color w:val="005CB8"/>
              </w:rPr>
              <w:t>675,000</w:t>
            </w:r>
          </w:p>
        </w:tc>
        <w:tc>
          <w:tcPr>
            <w:tcW w:w="780" w:type="dxa"/>
            <w:vAlign w:val="bottom"/>
            <w:shd w:val="clear" w:color="auto" w:fill="E5EFFD"/>
          </w:tcPr>
          <w:p>
            <w:pPr>
              <w:ind w:left="260"/>
              <w:spacing w:after="0"/>
              <w:rPr>
                <w:sz w:val="20"/>
                <w:szCs w:val="20"/>
                <w:color w:val="auto"/>
              </w:rPr>
            </w:pPr>
            <w:r>
              <w:rPr>
                <w:rFonts w:ascii="Arial" w:cs="Arial" w:eastAsia="Arial" w:hAnsi="Arial"/>
                <w:sz w:val="16"/>
                <w:szCs w:val="16"/>
                <w:color w:val="005CB8"/>
              </w:rPr>
              <w:t>—</w:t>
            </w:r>
          </w:p>
        </w:tc>
        <w:tc>
          <w:tcPr>
            <w:tcW w:w="1460" w:type="dxa"/>
            <w:vAlign w:val="bottom"/>
            <w:shd w:val="clear" w:color="auto" w:fill="E5EFFD"/>
          </w:tcPr>
          <w:p>
            <w:pPr>
              <w:jc w:val="right"/>
              <w:ind w:right="283"/>
              <w:spacing w:after="0"/>
              <w:rPr>
                <w:sz w:val="20"/>
                <w:szCs w:val="20"/>
                <w:color w:val="auto"/>
              </w:rPr>
            </w:pPr>
            <w:r>
              <w:rPr>
                <w:rFonts w:ascii="Arial" w:cs="Arial" w:eastAsia="Arial" w:hAnsi="Arial"/>
                <w:sz w:val="16"/>
                <w:szCs w:val="16"/>
                <w:color w:val="005CB8"/>
              </w:rPr>
              <w:t>—</w:t>
            </w:r>
          </w:p>
        </w:tc>
        <w:tc>
          <w:tcPr>
            <w:tcW w:w="1300" w:type="dxa"/>
            <w:vAlign w:val="bottom"/>
            <w:shd w:val="clear" w:color="auto" w:fill="E5EFFD"/>
          </w:tcPr>
          <w:p>
            <w:pPr>
              <w:jc w:val="center"/>
              <w:spacing w:after="0"/>
              <w:rPr>
                <w:sz w:val="20"/>
                <w:szCs w:val="20"/>
                <w:color w:val="auto"/>
              </w:rPr>
            </w:pPr>
            <w:r>
              <w:rPr>
                <w:rFonts w:ascii="Arial" w:cs="Arial" w:eastAsia="Arial" w:hAnsi="Arial"/>
                <w:sz w:val="16"/>
                <w:szCs w:val="16"/>
                <w:color w:val="005CB8"/>
              </w:rPr>
              <w:t>548,049</w:t>
            </w:r>
          </w:p>
        </w:tc>
        <w:tc>
          <w:tcPr>
            <w:tcW w:w="1260" w:type="dxa"/>
            <w:vAlign w:val="bottom"/>
            <w:shd w:val="clear" w:color="auto" w:fill="E5EFFD"/>
          </w:tcPr>
          <w:p>
            <w:pPr>
              <w:ind w:left="500"/>
              <w:spacing w:after="0"/>
              <w:rPr>
                <w:sz w:val="20"/>
                <w:szCs w:val="20"/>
                <w:color w:val="auto"/>
              </w:rPr>
            </w:pPr>
            <w:r>
              <w:rPr>
                <w:rFonts w:ascii="Arial" w:cs="Arial" w:eastAsia="Arial" w:hAnsi="Arial"/>
                <w:sz w:val="16"/>
                <w:szCs w:val="16"/>
                <w:color w:val="005CB8"/>
              </w:rPr>
              <w:t>6,000</w:t>
            </w:r>
          </w:p>
        </w:tc>
        <w:tc>
          <w:tcPr>
            <w:tcW w:w="114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1,229,049</w:t>
            </w:r>
          </w:p>
        </w:tc>
      </w:tr>
      <w:tr>
        <w:trPr>
          <w:trHeight w:val="465"/>
        </w:trPr>
        <w:tc>
          <w:tcPr>
            <w:tcW w:w="1980" w:type="dxa"/>
            <w:vAlign w:val="bottom"/>
            <w:shd w:val="clear" w:color="auto" w:fill="E5EFFD"/>
          </w:tcPr>
          <w:p>
            <w:pPr>
              <w:spacing w:after="0"/>
              <w:rPr>
                <w:sz w:val="24"/>
                <w:szCs w:val="24"/>
                <w:color w:val="auto"/>
              </w:rPr>
            </w:pPr>
          </w:p>
        </w:tc>
        <w:tc>
          <w:tcPr>
            <w:tcW w:w="760" w:type="dxa"/>
            <w:vAlign w:val="bottom"/>
            <w:shd w:val="clear" w:color="auto" w:fill="E5EFFD"/>
          </w:tcPr>
          <w:p>
            <w:pPr>
              <w:jc w:val="center"/>
              <w:ind w:left="80"/>
              <w:spacing w:after="0"/>
              <w:rPr>
                <w:sz w:val="20"/>
                <w:szCs w:val="20"/>
                <w:color w:val="auto"/>
              </w:rPr>
            </w:pPr>
            <w:r>
              <w:rPr>
                <w:rFonts w:ascii="Arial" w:cs="Arial" w:eastAsia="Arial" w:hAnsi="Arial"/>
                <w:sz w:val="16"/>
                <w:szCs w:val="16"/>
                <w:color w:val="005CB8"/>
              </w:rPr>
              <w:t>2017</w:t>
            </w:r>
          </w:p>
        </w:tc>
        <w:tc>
          <w:tcPr>
            <w:tcW w:w="880" w:type="dxa"/>
            <w:vAlign w:val="bottom"/>
            <w:shd w:val="clear" w:color="auto" w:fill="E5EFFD"/>
          </w:tcPr>
          <w:p>
            <w:pPr>
              <w:jc w:val="center"/>
              <w:spacing w:after="0"/>
              <w:rPr>
                <w:sz w:val="20"/>
                <w:szCs w:val="20"/>
                <w:color w:val="auto"/>
              </w:rPr>
            </w:pPr>
            <w:r>
              <w:rPr>
                <w:rFonts w:ascii="Arial" w:cs="Arial" w:eastAsia="Arial" w:hAnsi="Arial"/>
                <w:sz w:val="16"/>
                <w:szCs w:val="16"/>
                <w:color w:val="005CB8"/>
              </w:rPr>
              <w:t>400,000</w:t>
            </w:r>
          </w:p>
        </w:tc>
        <w:tc>
          <w:tcPr>
            <w:tcW w:w="780" w:type="dxa"/>
            <w:vAlign w:val="bottom"/>
            <w:shd w:val="clear" w:color="auto" w:fill="E5EFFD"/>
          </w:tcPr>
          <w:p>
            <w:pPr>
              <w:ind w:left="260"/>
              <w:spacing w:after="0"/>
              <w:rPr>
                <w:sz w:val="20"/>
                <w:szCs w:val="20"/>
                <w:color w:val="auto"/>
              </w:rPr>
            </w:pPr>
            <w:r>
              <w:rPr>
                <w:rFonts w:ascii="Arial" w:cs="Arial" w:eastAsia="Arial" w:hAnsi="Arial"/>
                <w:sz w:val="16"/>
                <w:szCs w:val="16"/>
                <w:color w:val="005CB8"/>
              </w:rPr>
              <w:t>—</w:t>
            </w:r>
          </w:p>
        </w:tc>
        <w:tc>
          <w:tcPr>
            <w:tcW w:w="1460" w:type="dxa"/>
            <w:vAlign w:val="bottom"/>
            <w:shd w:val="clear" w:color="auto" w:fill="E5EFFD"/>
          </w:tcPr>
          <w:p>
            <w:pPr>
              <w:jc w:val="right"/>
              <w:ind w:right="103"/>
              <w:spacing w:after="0"/>
              <w:rPr>
                <w:sz w:val="20"/>
                <w:szCs w:val="20"/>
                <w:color w:val="auto"/>
              </w:rPr>
            </w:pPr>
            <w:r>
              <w:rPr>
                <w:rFonts w:ascii="Arial" w:cs="Arial" w:eastAsia="Arial" w:hAnsi="Arial"/>
                <w:sz w:val="16"/>
                <w:szCs w:val="16"/>
                <w:color w:val="005CB8"/>
              </w:rPr>
              <w:t>109,569,500</w:t>
            </w:r>
            <w:r>
              <w:rPr>
                <w:rFonts w:ascii="Arial" w:cs="Arial" w:eastAsia="Arial" w:hAnsi="Arial"/>
                <w:sz w:val="26"/>
                <w:szCs w:val="26"/>
                <w:color w:val="005CB8"/>
                <w:vertAlign w:val="superscript"/>
              </w:rPr>
              <w:t>(4)</w:t>
            </w:r>
          </w:p>
        </w:tc>
        <w:tc>
          <w:tcPr>
            <w:tcW w:w="1300" w:type="dxa"/>
            <w:vAlign w:val="bottom"/>
            <w:shd w:val="clear" w:color="auto" w:fill="E5EFFD"/>
          </w:tcPr>
          <w:p>
            <w:pPr>
              <w:jc w:val="center"/>
              <w:spacing w:after="0"/>
              <w:rPr>
                <w:sz w:val="20"/>
                <w:szCs w:val="20"/>
                <w:color w:val="auto"/>
              </w:rPr>
            </w:pPr>
            <w:r>
              <w:rPr>
                <w:rFonts w:ascii="Arial" w:cs="Arial" w:eastAsia="Arial" w:hAnsi="Arial"/>
                <w:sz w:val="16"/>
                <w:szCs w:val="16"/>
                <w:color w:val="005CB8"/>
              </w:rPr>
              <w:t>260,000</w:t>
            </w:r>
          </w:p>
        </w:tc>
        <w:tc>
          <w:tcPr>
            <w:tcW w:w="1260" w:type="dxa"/>
            <w:vAlign w:val="bottom"/>
            <w:shd w:val="clear" w:color="auto" w:fill="E5EFFD"/>
          </w:tcPr>
          <w:p>
            <w:pPr>
              <w:ind w:left="500"/>
              <w:spacing w:after="0"/>
              <w:rPr>
                <w:sz w:val="20"/>
                <w:szCs w:val="20"/>
                <w:color w:val="auto"/>
              </w:rPr>
            </w:pPr>
            <w:r>
              <w:rPr>
                <w:rFonts w:ascii="Arial" w:cs="Arial" w:eastAsia="Arial" w:hAnsi="Arial"/>
                <w:sz w:val="16"/>
                <w:szCs w:val="16"/>
                <w:color w:val="005CB8"/>
              </w:rPr>
              <w:t>3,000</w:t>
            </w:r>
          </w:p>
        </w:tc>
        <w:tc>
          <w:tcPr>
            <w:tcW w:w="114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110,232,500</w:t>
            </w:r>
          </w:p>
        </w:tc>
      </w:tr>
      <w:tr>
        <w:trPr>
          <w:trHeight w:val="229"/>
        </w:trPr>
        <w:tc>
          <w:tcPr>
            <w:tcW w:w="1980" w:type="dxa"/>
            <w:vAlign w:val="bottom"/>
            <w:shd w:val="clear" w:color="auto" w:fill="E5EFFD"/>
          </w:tcPr>
          <w:p>
            <w:pPr>
              <w:spacing w:after="0"/>
              <w:rPr>
                <w:sz w:val="19"/>
                <w:szCs w:val="19"/>
                <w:color w:val="auto"/>
              </w:rPr>
            </w:pPr>
          </w:p>
        </w:tc>
        <w:tc>
          <w:tcPr>
            <w:tcW w:w="760" w:type="dxa"/>
            <w:vAlign w:val="bottom"/>
            <w:shd w:val="clear" w:color="auto" w:fill="E5EFFD"/>
          </w:tcPr>
          <w:p>
            <w:pPr>
              <w:spacing w:after="0"/>
              <w:rPr>
                <w:sz w:val="19"/>
                <w:szCs w:val="19"/>
                <w:color w:val="auto"/>
              </w:rPr>
            </w:pPr>
          </w:p>
        </w:tc>
        <w:tc>
          <w:tcPr>
            <w:tcW w:w="880" w:type="dxa"/>
            <w:vAlign w:val="bottom"/>
            <w:shd w:val="clear" w:color="auto" w:fill="E5EFFD"/>
          </w:tcPr>
          <w:p>
            <w:pPr>
              <w:spacing w:after="0"/>
              <w:rPr>
                <w:sz w:val="19"/>
                <w:szCs w:val="19"/>
                <w:color w:val="auto"/>
              </w:rPr>
            </w:pPr>
          </w:p>
        </w:tc>
        <w:tc>
          <w:tcPr>
            <w:tcW w:w="780" w:type="dxa"/>
            <w:vAlign w:val="bottom"/>
            <w:shd w:val="clear" w:color="auto" w:fill="E5EFFD"/>
          </w:tcPr>
          <w:p>
            <w:pPr>
              <w:spacing w:after="0"/>
              <w:rPr>
                <w:sz w:val="19"/>
                <w:szCs w:val="19"/>
                <w:color w:val="auto"/>
              </w:rPr>
            </w:pPr>
          </w:p>
        </w:tc>
        <w:tc>
          <w:tcPr>
            <w:tcW w:w="1460" w:type="dxa"/>
            <w:vAlign w:val="bottom"/>
            <w:shd w:val="clear" w:color="auto" w:fill="E5EFFD"/>
          </w:tcPr>
          <w:p>
            <w:pPr>
              <w:spacing w:after="0"/>
              <w:rPr>
                <w:sz w:val="19"/>
                <w:szCs w:val="19"/>
                <w:color w:val="auto"/>
              </w:rPr>
            </w:pPr>
          </w:p>
        </w:tc>
        <w:tc>
          <w:tcPr>
            <w:tcW w:w="1300" w:type="dxa"/>
            <w:vAlign w:val="bottom"/>
            <w:shd w:val="clear" w:color="auto" w:fill="E5EFFD"/>
          </w:tcPr>
          <w:p>
            <w:pPr>
              <w:spacing w:after="0"/>
              <w:rPr>
                <w:sz w:val="19"/>
                <w:szCs w:val="19"/>
                <w:color w:val="auto"/>
              </w:rPr>
            </w:pPr>
          </w:p>
        </w:tc>
        <w:tc>
          <w:tcPr>
            <w:tcW w:w="1260" w:type="dxa"/>
            <w:vAlign w:val="bottom"/>
            <w:shd w:val="clear" w:color="auto" w:fill="E5EFFD"/>
          </w:tcPr>
          <w:p>
            <w:pPr>
              <w:spacing w:after="0"/>
              <w:rPr>
                <w:sz w:val="19"/>
                <w:szCs w:val="19"/>
                <w:color w:val="auto"/>
              </w:rPr>
            </w:pPr>
          </w:p>
        </w:tc>
        <w:tc>
          <w:tcPr>
            <w:tcW w:w="1140" w:type="dxa"/>
            <w:vAlign w:val="bottom"/>
            <w:shd w:val="clear" w:color="auto" w:fill="E5EFFD"/>
          </w:tcPr>
          <w:p>
            <w:pPr>
              <w:spacing w:after="0"/>
              <w:rPr>
                <w:sz w:val="19"/>
                <w:szCs w:val="19"/>
                <w:color w:val="auto"/>
              </w:rPr>
            </w:pPr>
          </w:p>
        </w:tc>
      </w:tr>
      <w:tr>
        <w:trPr>
          <w:trHeight w:val="265"/>
        </w:trPr>
        <w:tc>
          <w:tcPr>
            <w:tcW w:w="1980" w:type="dxa"/>
            <w:vAlign w:val="bottom"/>
          </w:tcPr>
          <w:p>
            <w:pPr>
              <w:ind w:left="60"/>
              <w:spacing w:after="0" w:line="266" w:lineRule="exact"/>
              <w:rPr>
                <w:sz w:val="20"/>
                <w:szCs w:val="20"/>
                <w:color w:val="auto"/>
              </w:rPr>
            </w:pPr>
            <w:r>
              <w:rPr>
                <w:rFonts w:ascii="Arial" w:cs="Arial" w:eastAsia="Arial" w:hAnsi="Arial"/>
                <w:sz w:val="16"/>
                <w:szCs w:val="16"/>
                <w:b w:val="1"/>
                <w:bCs w:val="1"/>
                <w:color w:val="005CB8"/>
              </w:rPr>
              <w:t>Ajay V. Vashee</w:t>
            </w:r>
            <w:r>
              <w:rPr>
                <w:rFonts w:ascii="Arial" w:cs="Arial" w:eastAsia="Arial" w:hAnsi="Arial"/>
                <w:sz w:val="26"/>
                <w:szCs w:val="26"/>
                <w:b w:val="1"/>
                <w:bCs w:val="1"/>
                <w:color w:val="005CB8"/>
                <w:vertAlign w:val="superscript"/>
              </w:rPr>
              <w:t>(5)</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5"/>
        </w:trPr>
        <w:tc>
          <w:tcPr>
            <w:tcW w:w="1980" w:type="dxa"/>
            <w:vAlign w:val="bottom"/>
          </w:tcPr>
          <w:p>
            <w:pPr>
              <w:ind w:left="60"/>
              <w:spacing w:after="0"/>
              <w:rPr>
                <w:sz w:val="20"/>
                <w:szCs w:val="20"/>
                <w:color w:val="auto"/>
              </w:rPr>
            </w:pPr>
            <w:r>
              <w:rPr>
                <w:rFonts w:ascii="Arial" w:cs="Arial" w:eastAsia="Arial" w:hAnsi="Arial"/>
                <w:sz w:val="16"/>
                <w:szCs w:val="16"/>
                <w:b w:val="1"/>
                <w:bCs w:val="1"/>
                <w:i w:val="1"/>
                <w:iCs w:val="1"/>
                <w:color w:val="005CB8"/>
              </w:rPr>
              <w:t>Chief Financial Officer</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87"/>
        </w:trPr>
        <w:tc>
          <w:tcPr>
            <w:tcW w:w="1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91"/>
        </w:trPr>
        <w:tc>
          <w:tcPr>
            <w:tcW w:w="1980" w:type="dxa"/>
            <w:vAlign w:val="bottom"/>
            <w:shd w:val="clear" w:color="auto" w:fill="E5EFFD"/>
          </w:tcPr>
          <w:p>
            <w:pPr>
              <w:spacing w:after="0"/>
              <w:rPr>
                <w:sz w:val="24"/>
                <w:szCs w:val="24"/>
                <w:color w:val="auto"/>
              </w:rPr>
            </w:pPr>
          </w:p>
        </w:tc>
        <w:tc>
          <w:tcPr>
            <w:tcW w:w="760" w:type="dxa"/>
            <w:vAlign w:val="bottom"/>
            <w:shd w:val="clear" w:color="auto" w:fill="E5EFFD"/>
          </w:tcPr>
          <w:p>
            <w:pPr>
              <w:jc w:val="center"/>
              <w:ind w:left="80"/>
              <w:spacing w:after="0"/>
              <w:rPr>
                <w:sz w:val="20"/>
                <w:szCs w:val="20"/>
                <w:color w:val="auto"/>
              </w:rPr>
            </w:pPr>
            <w:r>
              <w:rPr>
                <w:rFonts w:ascii="Arial" w:cs="Arial" w:eastAsia="Arial" w:hAnsi="Arial"/>
                <w:sz w:val="16"/>
                <w:szCs w:val="16"/>
                <w:color w:val="005CB8"/>
              </w:rPr>
              <w:t>2019</w:t>
            </w:r>
          </w:p>
        </w:tc>
        <w:tc>
          <w:tcPr>
            <w:tcW w:w="880" w:type="dxa"/>
            <w:vAlign w:val="bottom"/>
            <w:shd w:val="clear" w:color="auto" w:fill="E5EFFD"/>
          </w:tcPr>
          <w:p>
            <w:pPr>
              <w:jc w:val="center"/>
              <w:spacing w:after="0"/>
              <w:rPr>
                <w:sz w:val="20"/>
                <w:szCs w:val="20"/>
                <w:color w:val="auto"/>
              </w:rPr>
            </w:pPr>
            <w:r>
              <w:rPr>
                <w:rFonts w:ascii="Arial" w:cs="Arial" w:eastAsia="Arial" w:hAnsi="Arial"/>
                <w:sz w:val="16"/>
                <w:szCs w:val="16"/>
                <w:color w:val="005CB8"/>
              </w:rPr>
              <w:t>545,833</w:t>
            </w:r>
          </w:p>
        </w:tc>
        <w:tc>
          <w:tcPr>
            <w:tcW w:w="780" w:type="dxa"/>
            <w:vAlign w:val="bottom"/>
            <w:shd w:val="clear" w:color="auto" w:fill="E5EFFD"/>
          </w:tcPr>
          <w:p>
            <w:pPr>
              <w:ind w:left="260"/>
              <w:spacing w:after="0"/>
              <w:rPr>
                <w:sz w:val="20"/>
                <w:szCs w:val="20"/>
                <w:color w:val="auto"/>
              </w:rPr>
            </w:pPr>
            <w:r>
              <w:rPr>
                <w:rFonts w:ascii="Arial" w:cs="Arial" w:eastAsia="Arial" w:hAnsi="Arial"/>
                <w:sz w:val="16"/>
                <w:szCs w:val="16"/>
                <w:color w:val="005CB8"/>
              </w:rPr>
              <w:t>—</w:t>
            </w:r>
          </w:p>
        </w:tc>
        <w:tc>
          <w:tcPr>
            <w:tcW w:w="1460" w:type="dxa"/>
            <w:vAlign w:val="bottom"/>
            <w:shd w:val="clear" w:color="auto" w:fill="E5EFFD"/>
          </w:tcPr>
          <w:p>
            <w:pPr>
              <w:jc w:val="right"/>
              <w:ind w:right="283"/>
              <w:spacing w:after="0"/>
              <w:rPr>
                <w:sz w:val="20"/>
                <w:szCs w:val="20"/>
                <w:color w:val="auto"/>
              </w:rPr>
            </w:pPr>
            <w:r>
              <w:rPr>
                <w:rFonts w:ascii="Arial" w:cs="Arial" w:eastAsia="Arial" w:hAnsi="Arial"/>
                <w:sz w:val="16"/>
                <w:szCs w:val="16"/>
                <w:color w:val="005CB8"/>
              </w:rPr>
              <w:t>3,985,847</w:t>
            </w:r>
          </w:p>
        </w:tc>
        <w:tc>
          <w:tcPr>
            <w:tcW w:w="1300" w:type="dxa"/>
            <w:vAlign w:val="bottom"/>
            <w:shd w:val="clear" w:color="auto" w:fill="E5EFFD"/>
          </w:tcPr>
          <w:p>
            <w:pPr>
              <w:jc w:val="center"/>
              <w:spacing w:after="0"/>
              <w:rPr>
                <w:sz w:val="20"/>
                <w:szCs w:val="20"/>
                <w:color w:val="auto"/>
              </w:rPr>
            </w:pPr>
            <w:r>
              <w:rPr>
                <w:rFonts w:ascii="Arial" w:cs="Arial" w:eastAsia="Arial" w:hAnsi="Arial"/>
                <w:sz w:val="16"/>
                <w:szCs w:val="16"/>
                <w:color w:val="005CB8"/>
              </w:rPr>
              <w:t>443,425</w:t>
            </w:r>
          </w:p>
        </w:tc>
        <w:tc>
          <w:tcPr>
            <w:tcW w:w="1260" w:type="dxa"/>
            <w:vAlign w:val="bottom"/>
            <w:shd w:val="clear" w:color="auto" w:fill="E5EFFD"/>
          </w:tcPr>
          <w:p>
            <w:pPr>
              <w:ind w:left="500"/>
              <w:spacing w:after="0"/>
              <w:rPr>
                <w:sz w:val="20"/>
                <w:szCs w:val="20"/>
                <w:color w:val="auto"/>
              </w:rPr>
            </w:pPr>
            <w:r>
              <w:rPr>
                <w:rFonts w:ascii="Arial" w:cs="Arial" w:eastAsia="Arial" w:hAnsi="Arial"/>
                <w:sz w:val="16"/>
                <w:szCs w:val="16"/>
                <w:color w:val="005CB8"/>
              </w:rPr>
              <w:t>6,000</w:t>
            </w:r>
          </w:p>
        </w:tc>
        <w:tc>
          <w:tcPr>
            <w:tcW w:w="114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4,981,105</w:t>
            </w:r>
          </w:p>
        </w:tc>
      </w:tr>
      <w:tr>
        <w:trPr>
          <w:trHeight w:val="378"/>
        </w:trPr>
        <w:tc>
          <w:tcPr>
            <w:tcW w:w="1980" w:type="dxa"/>
            <w:vAlign w:val="bottom"/>
            <w:shd w:val="clear" w:color="auto" w:fill="E5EFFD"/>
          </w:tcPr>
          <w:p>
            <w:pPr>
              <w:spacing w:after="0"/>
              <w:rPr>
                <w:sz w:val="24"/>
                <w:szCs w:val="24"/>
                <w:color w:val="auto"/>
              </w:rPr>
            </w:pPr>
          </w:p>
        </w:tc>
        <w:tc>
          <w:tcPr>
            <w:tcW w:w="760" w:type="dxa"/>
            <w:vAlign w:val="bottom"/>
            <w:shd w:val="clear" w:color="auto" w:fill="E5EFFD"/>
          </w:tcPr>
          <w:p>
            <w:pPr>
              <w:jc w:val="center"/>
              <w:ind w:left="80"/>
              <w:spacing w:after="0"/>
              <w:rPr>
                <w:sz w:val="20"/>
                <w:szCs w:val="20"/>
                <w:color w:val="auto"/>
              </w:rPr>
            </w:pPr>
            <w:r>
              <w:rPr>
                <w:rFonts w:ascii="Arial" w:cs="Arial" w:eastAsia="Arial" w:hAnsi="Arial"/>
                <w:sz w:val="16"/>
                <w:szCs w:val="16"/>
                <w:color w:val="005CB8"/>
              </w:rPr>
              <w:t>2018</w:t>
            </w:r>
          </w:p>
        </w:tc>
        <w:tc>
          <w:tcPr>
            <w:tcW w:w="880" w:type="dxa"/>
            <w:vAlign w:val="bottom"/>
            <w:shd w:val="clear" w:color="auto" w:fill="E5EFFD"/>
          </w:tcPr>
          <w:p>
            <w:pPr>
              <w:jc w:val="center"/>
              <w:spacing w:after="0"/>
              <w:rPr>
                <w:sz w:val="20"/>
                <w:szCs w:val="20"/>
                <w:color w:val="auto"/>
              </w:rPr>
            </w:pPr>
            <w:r>
              <w:rPr>
                <w:rFonts w:ascii="Arial" w:cs="Arial" w:eastAsia="Arial" w:hAnsi="Arial"/>
                <w:sz w:val="16"/>
                <w:szCs w:val="16"/>
                <w:color w:val="005CB8"/>
              </w:rPr>
              <w:t>491,667</w:t>
            </w:r>
          </w:p>
        </w:tc>
        <w:tc>
          <w:tcPr>
            <w:tcW w:w="780" w:type="dxa"/>
            <w:vAlign w:val="bottom"/>
            <w:shd w:val="clear" w:color="auto" w:fill="E5EFFD"/>
          </w:tcPr>
          <w:p>
            <w:pPr>
              <w:ind w:left="260"/>
              <w:spacing w:after="0"/>
              <w:rPr>
                <w:sz w:val="20"/>
                <w:szCs w:val="20"/>
                <w:color w:val="auto"/>
              </w:rPr>
            </w:pPr>
            <w:r>
              <w:rPr>
                <w:rFonts w:ascii="Arial" w:cs="Arial" w:eastAsia="Arial" w:hAnsi="Arial"/>
                <w:sz w:val="16"/>
                <w:szCs w:val="16"/>
                <w:color w:val="005CB8"/>
              </w:rPr>
              <w:t>—</w:t>
            </w:r>
          </w:p>
        </w:tc>
        <w:tc>
          <w:tcPr>
            <w:tcW w:w="1460" w:type="dxa"/>
            <w:vAlign w:val="bottom"/>
            <w:shd w:val="clear" w:color="auto" w:fill="E5EFFD"/>
          </w:tcPr>
          <w:p>
            <w:pPr>
              <w:jc w:val="right"/>
              <w:ind w:right="283"/>
              <w:spacing w:after="0"/>
              <w:rPr>
                <w:sz w:val="20"/>
                <w:szCs w:val="20"/>
                <w:color w:val="auto"/>
              </w:rPr>
            </w:pPr>
            <w:r>
              <w:rPr>
                <w:rFonts w:ascii="Arial" w:cs="Arial" w:eastAsia="Arial" w:hAnsi="Arial"/>
                <w:sz w:val="16"/>
                <w:szCs w:val="16"/>
                <w:color w:val="005CB8"/>
              </w:rPr>
              <w:t>5,201,503</w:t>
            </w:r>
          </w:p>
        </w:tc>
        <w:tc>
          <w:tcPr>
            <w:tcW w:w="1300" w:type="dxa"/>
            <w:vAlign w:val="bottom"/>
            <w:shd w:val="clear" w:color="auto" w:fill="E5EFFD"/>
          </w:tcPr>
          <w:p>
            <w:pPr>
              <w:jc w:val="center"/>
              <w:spacing w:after="0"/>
              <w:rPr>
                <w:sz w:val="20"/>
                <w:szCs w:val="20"/>
                <w:color w:val="auto"/>
              </w:rPr>
            </w:pPr>
            <w:r>
              <w:rPr>
                <w:rFonts w:ascii="Arial" w:cs="Arial" w:eastAsia="Arial" w:hAnsi="Arial"/>
                <w:sz w:val="16"/>
                <w:szCs w:val="16"/>
                <w:color w:val="005CB8"/>
              </w:rPr>
              <w:t>599,025</w:t>
            </w:r>
          </w:p>
        </w:tc>
        <w:tc>
          <w:tcPr>
            <w:tcW w:w="1260" w:type="dxa"/>
            <w:vAlign w:val="bottom"/>
            <w:shd w:val="clear" w:color="auto" w:fill="E5EFFD"/>
          </w:tcPr>
          <w:p>
            <w:pPr>
              <w:ind w:left="500"/>
              <w:spacing w:after="0"/>
              <w:rPr>
                <w:sz w:val="20"/>
                <w:szCs w:val="20"/>
                <w:color w:val="auto"/>
              </w:rPr>
            </w:pPr>
            <w:r>
              <w:rPr>
                <w:rFonts w:ascii="Arial" w:cs="Arial" w:eastAsia="Arial" w:hAnsi="Arial"/>
                <w:sz w:val="16"/>
                <w:szCs w:val="16"/>
                <w:color w:val="005CB8"/>
              </w:rPr>
              <w:t>6,000</w:t>
            </w:r>
          </w:p>
        </w:tc>
        <w:tc>
          <w:tcPr>
            <w:tcW w:w="114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6,298,195</w:t>
            </w:r>
          </w:p>
        </w:tc>
      </w:tr>
      <w:tr>
        <w:trPr>
          <w:trHeight w:val="378"/>
        </w:trPr>
        <w:tc>
          <w:tcPr>
            <w:tcW w:w="1980" w:type="dxa"/>
            <w:vAlign w:val="bottom"/>
            <w:shd w:val="clear" w:color="auto" w:fill="E5EFFD"/>
          </w:tcPr>
          <w:p>
            <w:pPr>
              <w:spacing w:after="0"/>
              <w:rPr>
                <w:sz w:val="24"/>
                <w:szCs w:val="24"/>
                <w:color w:val="auto"/>
              </w:rPr>
            </w:pPr>
          </w:p>
        </w:tc>
        <w:tc>
          <w:tcPr>
            <w:tcW w:w="760" w:type="dxa"/>
            <w:vAlign w:val="bottom"/>
            <w:shd w:val="clear" w:color="auto" w:fill="E5EFFD"/>
          </w:tcPr>
          <w:p>
            <w:pPr>
              <w:jc w:val="center"/>
              <w:ind w:left="80"/>
              <w:spacing w:after="0"/>
              <w:rPr>
                <w:sz w:val="20"/>
                <w:szCs w:val="20"/>
                <w:color w:val="auto"/>
              </w:rPr>
            </w:pPr>
            <w:r>
              <w:rPr>
                <w:rFonts w:ascii="Arial" w:cs="Arial" w:eastAsia="Arial" w:hAnsi="Arial"/>
                <w:sz w:val="16"/>
                <w:szCs w:val="16"/>
                <w:color w:val="005CB8"/>
              </w:rPr>
              <w:t>2017</w:t>
            </w:r>
          </w:p>
        </w:tc>
        <w:tc>
          <w:tcPr>
            <w:tcW w:w="880" w:type="dxa"/>
            <w:vAlign w:val="bottom"/>
            <w:shd w:val="clear" w:color="auto" w:fill="E5EFFD"/>
          </w:tcPr>
          <w:p>
            <w:pPr>
              <w:jc w:val="center"/>
              <w:spacing w:after="0"/>
              <w:rPr>
                <w:sz w:val="20"/>
                <w:szCs w:val="20"/>
                <w:color w:val="auto"/>
              </w:rPr>
            </w:pPr>
            <w:r>
              <w:rPr>
                <w:rFonts w:ascii="Arial" w:cs="Arial" w:eastAsia="Arial" w:hAnsi="Arial"/>
                <w:sz w:val="16"/>
                <w:szCs w:val="16"/>
                <w:color w:val="005CB8"/>
              </w:rPr>
              <w:t>400,000</w:t>
            </w:r>
          </w:p>
        </w:tc>
        <w:tc>
          <w:tcPr>
            <w:tcW w:w="780" w:type="dxa"/>
            <w:vAlign w:val="bottom"/>
            <w:shd w:val="clear" w:color="auto" w:fill="E5EFFD"/>
          </w:tcPr>
          <w:p>
            <w:pPr>
              <w:ind w:left="260"/>
              <w:spacing w:after="0"/>
              <w:rPr>
                <w:sz w:val="20"/>
                <w:szCs w:val="20"/>
                <w:color w:val="auto"/>
              </w:rPr>
            </w:pPr>
            <w:r>
              <w:rPr>
                <w:rFonts w:ascii="Arial" w:cs="Arial" w:eastAsia="Arial" w:hAnsi="Arial"/>
                <w:sz w:val="16"/>
                <w:szCs w:val="16"/>
                <w:color w:val="005CB8"/>
              </w:rPr>
              <w:t>—</w:t>
            </w:r>
          </w:p>
        </w:tc>
        <w:tc>
          <w:tcPr>
            <w:tcW w:w="1460" w:type="dxa"/>
            <w:vAlign w:val="bottom"/>
            <w:shd w:val="clear" w:color="auto" w:fill="E5EFFD"/>
          </w:tcPr>
          <w:p>
            <w:pPr>
              <w:jc w:val="right"/>
              <w:ind w:right="283"/>
              <w:spacing w:after="0"/>
              <w:rPr>
                <w:sz w:val="20"/>
                <w:szCs w:val="20"/>
                <w:color w:val="auto"/>
              </w:rPr>
            </w:pPr>
            <w:r>
              <w:rPr>
                <w:rFonts w:ascii="Arial" w:cs="Arial" w:eastAsia="Arial" w:hAnsi="Arial"/>
                <w:sz w:val="16"/>
                <w:szCs w:val="16"/>
                <w:color w:val="005CB8"/>
              </w:rPr>
              <w:t>1,217,544</w:t>
            </w:r>
          </w:p>
        </w:tc>
        <w:tc>
          <w:tcPr>
            <w:tcW w:w="1300" w:type="dxa"/>
            <w:vAlign w:val="bottom"/>
            <w:shd w:val="clear" w:color="auto" w:fill="E5EFFD"/>
          </w:tcPr>
          <w:p>
            <w:pPr>
              <w:jc w:val="center"/>
              <w:spacing w:after="0"/>
              <w:rPr>
                <w:sz w:val="20"/>
                <w:szCs w:val="20"/>
                <w:color w:val="auto"/>
              </w:rPr>
            </w:pPr>
            <w:r>
              <w:rPr>
                <w:rFonts w:ascii="Arial" w:cs="Arial" w:eastAsia="Arial" w:hAnsi="Arial"/>
                <w:sz w:val="16"/>
                <w:szCs w:val="16"/>
                <w:color w:val="005CB8"/>
              </w:rPr>
              <w:t>260,000</w:t>
            </w:r>
          </w:p>
        </w:tc>
        <w:tc>
          <w:tcPr>
            <w:tcW w:w="1260" w:type="dxa"/>
            <w:vAlign w:val="bottom"/>
            <w:shd w:val="clear" w:color="auto" w:fill="E5EFFD"/>
          </w:tcPr>
          <w:p>
            <w:pPr>
              <w:ind w:left="500"/>
              <w:spacing w:after="0"/>
              <w:rPr>
                <w:sz w:val="20"/>
                <w:szCs w:val="20"/>
                <w:color w:val="auto"/>
              </w:rPr>
            </w:pPr>
            <w:r>
              <w:rPr>
                <w:rFonts w:ascii="Arial" w:cs="Arial" w:eastAsia="Arial" w:hAnsi="Arial"/>
                <w:sz w:val="16"/>
                <w:szCs w:val="16"/>
                <w:color w:val="005CB8"/>
              </w:rPr>
              <w:t>3,000</w:t>
            </w:r>
          </w:p>
        </w:tc>
        <w:tc>
          <w:tcPr>
            <w:tcW w:w="114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1,880,544</w:t>
            </w:r>
          </w:p>
        </w:tc>
      </w:tr>
      <w:tr>
        <w:trPr>
          <w:trHeight w:val="317"/>
        </w:trPr>
        <w:tc>
          <w:tcPr>
            <w:tcW w:w="1980" w:type="dxa"/>
            <w:vAlign w:val="bottom"/>
            <w:shd w:val="clear" w:color="auto" w:fill="E5EFFD"/>
          </w:tcPr>
          <w:p>
            <w:pPr>
              <w:spacing w:after="0"/>
              <w:rPr>
                <w:sz w:val="24"/>
                <w:szCs w:val="24"/>
                <w:color w:val="auto"/>
              </w:rPr>
            </w:pPr>
          </w:p>
        </w:tc>
        <w:tc>
          <w:tcPr>
            <w:tcW w:w="760" w:type="dxa"/>
            <w:vAlign w:val="bottom"/>
            <w:shd w:val="clear" w:color="auto" w:fill="E5EFFD"/>
          </w:tcPr>
          <w:p>
            <w:pPr>
              <w:spacing w:after="0"/>
              <w:rPr>
                <w:sz w:val="24"/>
                <w:szCs w:val="24"/>
                <w:color w:val="auto"/>
              </w:rPr>
            </w:pPr>
          </w:p>
        </w:tc>
        <w:tc>
          <w:tcPr>
            <w:tcW w:w="880" w:type="dxa"/>
            <w:vAlign w:val="bottom"/>
            <w:shd w:val="clear" w:color="auto" w:fill="E5EFFD"/>
          </w:tcPr>
          <w:p>
            <w:pPr>
              <w:spacing w:after="0"/>
              <w:rPr>
                <w:sz w:val="24"/>
                <w:szCs w:val="24"/>
                <w:color w:val="auto"/>
              </w:rPr>
            </w:pPr>
          </w:p>
        </w:tc>
        <w:tc>
          <w:tcPr>
            <w:tcW w:w="780" w:type="dxa"/>
            <w:vAlign w:val="bottom"/>
            <w:shd w:val="clear" w:color="auto" w:fill="E5EFFD"/>
          </w:tcPr>
          <w:p>
            <w:pPr>
              <w:spacing w:after="0"/>
              <w:rPr>
                <w:sz w:val="24"/>
                <w:szCs w:val="24"/>
                <w:color w:val="auto"/>
              </w:rPr>
            </w:pPr>
          </w:p>
        </w:tc>
        <w:tc>
          <w:tcPr>
            <w:tcW w:w="1460" w:type="dxa"/>
            <w:vAlign w:val="bottom"/>
            <w:shd w:val="clear" w:color="auto" w:fill="E5EFFD"/>
          </w:tcPr>
          <w:p>
            <w:pPr>
              <w:spacing w:after="0"/>
              <w:rPr>
                <w:sz w:val="24"/>
                <w:szCs w:val="24"/>
                <w:color w:val="auto"/>
              </w:rPr>
            </w:pPr>
          </w:p>
        </w:tc>
        <w:tc>
          <w:tcPr>
            <w:tcW w:w="1300" w:type="dxa"/>
            <w:vAlign w:val="bottom"/>
            <w:shd w:val="clear" w:color="auto" w:fill="E5EFFD"/>
          </w:tcPr>
          <w:p>
            <w:pPr>
              <w:spacing w:after="0"/>
              <w:rPr>
                <w:sz w:val="24"/>
                <w:szCs w:val="24"/>
                <w:color w:val="auto"/>
              </w:rPr>
            </w:pPr>
          </w:p>
        </w:tc>
        <w:tc>
          <w:tcPr>
            <w:tcW w:w="1260" w:type="dxa"/>
            <w:vAlign w:val="bottom"/>
            <w:shd w:val="clear" w:color="auto" w:fill="E5EFFD"/>
          </w:tcPr>
          <w:p>
            <w:pPr>
              <w:spacing w:after="0"/>
              <w:rPr>
                <w:sz w:val="24"/>
                <w:szCs w:val="24"/>
                <w:color w:val="auto"/>
              </w:rPr>
            </w:pPr>
          </w:p>
        </w:tc>
        <w:tc>
          <w:tcPr>
            <w:tcW w:w="1140" w:type="dxa"/>
            <w:vAlign w:val="bottom"/>
            <w:shd w:val="clear" w:color="auto" w:fill="E5EFFD"/>
          </w:tcPr>
          <w:p>
            <w:pPr>
              <w:spacing w:after="0"/>
              <w:rPr>
                <w:sz w:val="24"/>
                <w:szCs w:val="24"/>
                <w:color w:val="auto"/>
              </w:rPr>
            </w:pPr>
          </w:p>
        </w:tc>
      </w:tr>
    </w:tbl>
    <w:p>
      <w:pPr>
        <w:ind w:left="780"/>
        <w:spacing w:after="0" w:line="229" w:lineRule="auto"/>
        <w:rPr>
          <w:sz w:val="20"/>
          <w:szCs w:val="20"/>
          <w:color w:val="auto"/>
        </w:rPr>
      </w:pPr>
      <w:r>
        <w:rPr>
          <w:rFonts w:ascii="Arial" w:cs="Arial" w:eastAsia="Arial" w:hAnsi="Arial"/>
          <w:sz w:val="16"/>
          <w:szCs w:val="16"/>
          <w:b w:val="1"/>
          <w:bCs w:val="1"/>
          <w:color w:val="005CB8"/>
        </w:rPr>
        <w:t>Bharat Mediratta</w:t>
      </w:r>
      <w:r>
        <w:rPr>
          <w:rFonts w:ascii="Arial" w:cs="Arial" w:eastAsia="Arial" w:hAnsi="Arial"/>
          <w:sz w:val="26"/>
          <w:szCs w:val="26"/>
          <w:b w:val="1"/>
          <w:bCs w:val="1"/>
          <w:color w:val="005CB8"/>
          <w:vertAlign w:val="superscript"/>
        </w:rPr>
        <w:t>(6)(7)</w:t>
      </w:r>
    </w:p>
    <w:p>
      <w:pPr>
        <w:ind w:left="780"/>
        <w:spacing w:after="0"/>
        <w:rPr>
          <w:sz w:val="20"/>
          <w:szCs w:val="20"/>
          <w:color w:val="auto"/>
        </w:rPr>
      </w:pPr>
      <w:r>
        <w:rPr>
          <w:rFonts w:ascii="Arial" w:cs="Arial" w:eastAsia="Arial" w:hAnsi="Arial"/>
          <w:sz w:val="16"/>
          <w:szCs w:val="16"/>
          <w:b w:val="1"/>
          <w:bCs w:val="1"/>
          <w:i w:val="1"/>
          <w:iCs w:val="1"/>
          <w:color w:val="005CB8"/>
        </w:rPr>
        <w:t>Chief Technology Officer and Senior Vice President, Platform</w:t>
      </w:r>
    </w:p>
    <w:p>
      <w:pPr>
        <w:sectPr>
          <w:pgSz w:w="11900" w:h="16838" w:orient="portrait"/>
          <w:cols w:equalWidth="0" w:num="1">
            <w:col w:w="11020"/>
          </w:cols>
          <w:pgMar w:left="440" w:top="265" w:right="439" w:bottom="1440" w:gutter="0" w:footer="0" w:header="0"/>
        </w:sectPr>
      </w:pPr>
    </w:p>
    <w:p>
      <w:pPr>
        <w:spacing w:after="0" w:line="194" w:lineRule="exact"/>
        <w:rPr>
          <w:sz w:val="20"/>
          <w:szCs w:val="20"/>
          <w:color w:val="auto"/>
        </w:rPr>
      </w:pPr>
    </w:p>
    <w:p>
      <w:pPr>
        <w:ind w:left="2980"/>
        <w:spacing w:after="0"/>
        <w:tabs>
          <w:tab w:leader="none" w:pos="3580" w:val="left"/>
        </w:tabs>
        <w:rPr>
          <w:sz w:val="20"/>
          <w:szCs w:val="20"/>
          <w:color w:val="auto"/>
        </w:rPr>
      </w:pPr>
      <w:r>
        <w:rPr>
          <w:rFonts w:ascii="Arial" w:cs="Arial" w:eastAsia="Arial" w:hAnsi="Arial"/>
          <w:sz w:val="16"/>
          <w:szCs w:val="16"/>
          <w:color w:val="005CB8"/>
        </w:rPr>
        <w:t>2019</w:t>
        <w:tab/>
        <w:t>104,167</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005CB8"/>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005CB8"/>
        </w:rPr>
        <w:t>19,945,866</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005CB8"/>
        </w:rPr>
        <w:t>104,110</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005CB8"/>
        </w:rPr>
        <w:t>1,500</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005CB8"/>
        </w:rPr>
        <w:t>20,155,643</w:t>
      </w:r>
    </w:p>
    <w:p>
      <w:pPr>
        <w:spacing w:after="0" w:line="200" w:lineRule="exact"/>
        <w:rPr>
          <w:sz w:val="20"/>
          <w:szCs w:val="20"/>
          <w:color w:val="auto"/>
        </w:rPr>
      </w:pPr>
    </w:p>
    <w:p>
      <w:pPr>
        <w:sectPr>
          <w:pgSz w:w="11900" w:h="16838" w:orient="portrait"/>
          <w:cols w:equalWidth="0" w:num="6">
            <w:col w:w="4200" w:space="400"/>
            <w:col w:w="160" w:space="660"/>
            <w:col w:w="800" w:space="720"/>
            <w:col w:w="720" w:space="720"/>
            <w:col w:w="400" w:space="600"/>
            <w:col w:w="1640"/>
          </w:cols>
          <w:pgMar w:left="440" w:top="265" w:right="439" w:bottom="1440" w:gutter="0" w:footer="0" w:header="0"/>
          <w:type w:val="continuous"/>
        </w:sectPr>
      </w:pPr>
    </w:p>
    <w:p>
      <w:pPr>
        <w:spacing w:after="0" w:line="114"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005CB8"/>
        </w:rPr>
        <w:t>Timothy Young</w:t>
      </w:r>
      <w:r>
        <w:rPr>
          <w:rFonts w:ascii="Arial" w:cs="Arial" w:eastAsia="Arial" w:hAnsi="Arial"/>
          <w:sz w:val="26"/>
          <w:szCs w:val="26"/>
          <w:b w:val="1"/>
          <w:bCs w:val="1"/>
          <w:color w:val="005CB8"/>
          <w:vertAlign w:val="superscript"/>
        </w:rPr>
        <w:t>(6)(7)</w:t>
      </w:r>
    </w:p>
    <w:p>
      <w:pPr>
        <w:ind w:left="780"/>
        <w:spacing w:after="0"/>
        <w:rPr>
          <w:sz w:val="20"/>
          <w:szCs w:val="20"/>
          <w:color w:val="auto"/>
        </w:rPr>
      </w:pPr>
      <w:r>
        <w:rPr>
          <w:rFonts w:ascii="Arial" w:cs="Arial" w:eastAsia="Arial" w:hAnsi="Arial"/>
          <w:sz w:val="16"/>
          <w:szCs w:val="16"/>
          <w:b w:val="1"/>
          <w:bCs w:val="1"/>
          <w:i w:val="1"/>
          <w:iCs w:val="1"/>
          <w:color w:val="005CB8"/>
        </w:rPr>
        <w:t>Senior Vice President and General Manager, Core Dropbox</w:t>
      </w:r>
    </w:p>
    <w:p>
      <w:pPr>
        <w:sectPr>
          <w:pgSz w:w="11900" w:h="16838" w:orient="portrait"/>
          <w:cols w:equalWidth="0" w:num="1">
            <w:col w:w="11020"/>
          </w:cols>
          <w:pgMar w:left="440" w:top="265" w:right="439" w:bottom="1440" w:gutter="0" w:footer="0" w:header="0"/>
          <w:type w:val="continuous"/>
        </w:sectPr>
      </w:pPr>
    </w:p>
    <w:p>
      <w:pPr>
        <w:spacing w:after="0" w:line="194" w:lineRule="exact"/>
        <w:rPr>
          <w:sz w:val="20"/>
          <w:szCs w:val="20"/>
          <w:color w:val="auto"/>
        </w:rPr>
      </w:pPr>
    </w:p>
    <w:p>
      <w:pPr>
        <w:ind w:left="2980"/>
        <w:spacing w:after="0"/>
        <w:tabs>
          <w:tab w:leader="none" w:pos="3580" w:val="left"/>
        </w:tabs>
        <w:rPr>
          <w:sz w:val="20"/>
          <w:szCs w:val="20"/>
          <w:color w:val="auto"/>
        </w:rPr>
      </w:pPr>
      <w:r>
        <w:rPr>
          <w:rFonts w:ascii="Arial" w:cs="Arial" w:eastAsia="Arial" w:hAnsi="Arial"/>
          <w:sz w:val="16"/>
          <w:szCs w:val="16"/>
          <w:color w:val="005CB8"/>
        </w:rPr>
        <w:t>2019</w:t>
        <w:tab/>
        <w:t>115,705</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005CB8"/>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005CB8"/>
        </w:rPr>
        <w:t>20,293,391</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005CB8"/>
        </w:rPr>
        <w:t>116,438</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005CB8"/>
        </w:rPr>
        <w:t>1,500</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005CB8"/>
        </w:rPr>
        <w:t>20,527,034</w:t>
      </w:r>
    </w:p>
    <w:p>
      <w:pPr>
        <w:spacing w:after="0" w:line="200" w:lineRule="exact"/>
        <w:rPr>
          <w:sz w:val="20"/>
          <w:szCs w:val="20"/>
          <w:color w:val="auto"/>
        </w:rPr>
      </w:pPr>
    </w:p>
    <w:p>
      <w:pPr>
        <w:sectPr>
          <w:pgSz w:w="11900" w:h="16838" w:orient="portrait"/>
          <w:cols w:equalWidth="0" w:num="6">
            <w:col w:w="4200" w:space="400"/>
            <w:col w:w="160" w:space="660"/>
            <w:col w:w="800" w:space="720"/>
            <w:col w:w="720" w:space="720"/>
            <w:col w:w="400" w:space="600"/>
            <w:col w:w="1640"/>
          </w:cols>
          <w:pgMar w:left="440" w:top="265" w:right="439" w:bottom="1440" w:gutter="0" w:footer="0" w:header="0"/>
          <w:type w:val="continuous"/>
        </w:sectPr>
      </w:pPr>
    </w:p>
    <w:p>
      <w:pPr>
        <w:spacing w:after="0" w:line="114"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005CB8"/>
        </w:rPr>
        <w:t>Yamini Rangan</w:t>
      </w:r>
      <w:r>
        <w:rPr>
          <w:rFonts w:ascii="Arial" w:cs="Arial" w:eastAsia="Arial" w:hAnsi="Arial"/>
          <w:sz w:val="26"/>
          <w:szCs w:val="26"/>
          <w:b w:val="1"/>
          <w:bCs w:val="1"/>
          <w:color w:val="005CB8"/>
          <w:vertAlign w:val="superscript"/>
        </w:rPr>
        <w:t>(8)</w:t>
      </w:r>
    </w:p>
    <w:p>
      <w:pPr>
        <w:ind w:left="780"/>
        <w:spacing w:after="0"/>
        <w:rPr>
          <w:sz w:val="20"/>
          <w:szCs w:val="20"/>
          <w:color w:val="auto"/>
        </w:rPr>
      </w:pPr>
      <w:r>
        <w:rPr>
          <w:rFonts w:ascii="Arial" w:cs="Arial" w:eastAsia="Arial" w:hAnsi="Arial"/>
          <w:sz w:val="16"/>
          <w:szCs w:val="16"/>
          <w:b w:val="1"/>
          <w:bCs w:val="1"/>
          <w:i w:val="1"/>
          <w:iCs w:val="1"/>
          <w:color w:val="005CB8"/>
        </w:rPr>
        <w:t>Chief Customer Officer</w:t>
      </w:r>
    </w:p>
    <w:p>
      <w:pPr>
        <w:spacing w:after="0" w:line="98" w:lineRule="exact"/>
        <w:rPr>
          <w:sz w:val="20"/>
          <w:szCs w:val="20"/>
          <w:color w:val="auto"/>
        </w:rPr>
      </w:pPr>
    </w:p>
    <w:tbl>
      <w:tblPr>
        <w:tblLayout w:type="fixed"/>
        <w:tblInd w:w="720" w:type="dxa"/>
        <w:tblCellMar>
          <w:top w:w="0" w:type="dxa"/>
          <w:left w:w="0" w:type="dxa"/>
          <w:bottom w:w="0" w:type="dxa"/>
          <w:right w:w="0" w:type="dxa"/>
        </w:tblCellMar>
      </w:tblPr>
      <w:tr>
        <w:trPr>
          <w:trHeight w:val="378"/>
        </w:trPr>
        <w:tc>
          <w:tcPr>
            <w:tcW w:w="2740" w:type="dxa"/>
            <w:vAlign w:val="bottom"/>
            <w:shd w:val="clear" w:color="auto" w:fill="E5EFFD"/>
          </w:tcPr>
          <w:p>
            <w:pPr>
              <w:jc w:val="right"/>
              <w:ind w:right="39"/>
              <w:spacing w:after="0"/>
              <w:rPr>
                <w:sz w:val="20"/>
                <w:szCs w:val="20"/>
                <w:color w:val="auto"/>
              </w:rPr>
            </w:pPr>
            <w:r>
              <w:rPr>
                <w:rFonts w:ascii="Arial" w:cs="Arial" w:eastAsia="Arial" w:hAnsi="Arial"/>
                <w:sz w:val="16"/>
                <w:szCs w:val="16"/>
                <w:color w:val="005CB8"/>
              </w:rPr>
              <w:t>2019</w:t>
            </w:r>
          </w:p>
        </w:tc>
        <w:tc>
          <w:tcPr>
            <w:tcW w:w="940" w:type="dxa"/>
            <w:vAlign w:val="bottom"/>
            <w:shd w:val="clear" w:color="auto" w:fill="E5EFFD"/>
          </w:tcPr>
          <w:p>
            <w:pPr>
              <w:jc w:val="right"/>
              <w:ind w:right="119"/>
              <w:spacing w:after="0"/>
              <w:rPr>
                <w:sz w:val="20"/>
                <w:szCs w:val="20"/>
                <w:color w:val="auto"/>
              </w:rPr>
            </w:pPr>
            <w:r>
              <w:rPr>
                <w:rFonts w:ascii="Arial" w:cs="Arial" w:eastAsia="Arial" w:hAnsi="Arial"/>
                <w:sz w:val="16"/>
                <w:szCs w:val="16"/>
                <w:color w:val="005CB8"/>
              </w:rPr>
              <w:t>545,834</w:t>
            </w:r>
          </w:p>
        </w:tc>
        <w:tc>
          <w:tcPr>
            <w:tcW w:w="740" w:type="dxa"/>
            <w:vAlign w:val="bottom"/>
            <w:shd w:val="clear" w:color="auto" w:fill="E5EFFD"/>
          </w:tcPr>
          <w:p>
            <w:pPr>
              <w:ind w:left="200"/>
              <w:spacing w:after="0"/>
              <w:rPr>
                <w:sz w:val="20"/>
                <w:szCs w:val="20"/>
                <w:color w:val="auto"/>
              </w:rPr>
            </w:pPr>
            <w:r>
              <w:rPr>
                <w:rFonts w:ascii="Arial" w:cs="Arial" w:eastAsia="Arial" w:hAnsi="Arial"/>
                <w:sz w:val="16"/>
                <w:szCs w:val="16"/>
                <w:color w:val="005CB8"/>
              </w:rPr>
              <w:t>—</w:t>
            </w:r>
          </w:p>
        </w:tc>
        <w:tc>
          <w:tcPr>
            <w:tcW w:w="1560" w:type="dxa"/>
            <w:vAlign w:val="bottom"/>
            <w:shd w:val="clear" w:color="auto" w:fill="E5EFFD"/>
          </w:tcPr>
          <w:p>
            <w:pPr>
              <w:ind w:left="360"/>
              <w:spacing w:after="0"/>
              <w:rPr>
                <w:sz w:val="20"/>
                <w:szCs w:val="20"/>
                <w:color w:val="auto"/>
              </w:rPr>
            </w:pPr>
            <w:r>
              <w:rPr>
                <w:rFonts w:ascii="Arial" w:cs="Arial" w:eastAsia="Arial" w:hAnsi="Arial"/>
                <w:sz w:val="16"/>
                <w:szCs w:val="16"/>
                <w:color w:val="005CB8"/>
              </w:rPr>
              <w:t>2,916,469</w:t>
            </w:r>
            <w:r>
              <w:rPr>
                <w:rFonts w:ascii="Arial" w:cs="Arial" w:eastAsia="Arial" w:hAnsi="Arial"/>
                <w:sz w:val="26"/>
                <w:szCs w:val="26"/>
                <w:color w:val="005CB8"/>
                <w:vertAlign w:val="superscript"/>
              </w:rPr>
              <w:t>(9)</w:t>
            </w:r>
          </w:p>
        </w:tc>
        <w:tc>
          <w:tcPr>
            <w:tcW w:w="1160" w:type="dxa"/>
            <w:vAlign w:val="bottom"/>
            <w:shd w:val="clear" w:color="auto" w:fill="E5EFFD"/>
          </w:tcPr>
          <w:p>
            <w:pPr>
              <w:jc w:val="right"/>
              <w:ind w:right="259"/>
              <w:spacing w:after="0"/>
              <w:rPr>
                <w:sz w:val="20"/>
                <w:szCs w:val="20"/>
                <w:color w:val="auto"/>
              </w:rPr>
            </w:pPr>
            <w:r>
              <w:rPr>
                <w:rFonts w:ascii="Arial" w:cs="Arial" w:eastAsia="Arial" w:hAnsi="Arial"/>
                <w:sz w:val="16"/>
                <w:szCs w:val="16"/>
                <w:color w:val="005CB8"/>
              </w:rPr>
              <w:t>—</w:t>
            </w:r>
          </w:p>
        </w:tc>
        <w:tc>
          <w:tcPr>
            <w:tcW w:w="1400" w:type="dxa"/>
            <w:vAlign w:val="bottom"/>
            <w:shd w:val="clear" w:color="auto" w:fill="E5EFFD"/>
          </w:tcPr>
          <w:p>
            <w:pPr>
              <w:jc w:val="right"/>
              <w:ind w:right="159"/>
              <w:spacing w:after="0"/>
              <w:rPr>
                <w:sz w:val="20"/>
                <w:szCs w:val="20"/>
                <w:color w:val="auto"/>
              </w:rPr>
            </w:pPr>
            <w:r>
              <w:rPr>
                <w:rFonts w:ascii="Arial" w:cs="Arial" w:eastAsia="Arial" w:hAnsi="Arial"/>
                <w:sz w:val="16"/>
                <w:szCs w:val="16"/>
                <w:color w:val="005CB8"/>
              </w:rPr>
              <w:t>506,000</w:t>
            </w:r>
            <w:r>
              <w:rPr>
                <w:rFonts w:ascii="Arial" w:cs="Arial" w:eastAsia="Arial" w:hAnsi="Arial"/>
                <w:sz w:val="26"/>
                <w:szCs w:val="26"/>
                <w:color w:val="005CB8"/>
                <w:vertAlign w:val="superscript"/>
              </w:rPr>
              <w:t>(10)</w:t>
            </w:r>
          </w:p>
        </w:tc>
        <w:tc>
          <w:tcPr>
            <w:tcW w:w="102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3,968,303</w:t>
            </w:r>
          </w:p>
        </w:tc>
      </w:tr>
      <w:tr>
        <w:trPr>
          <w:trHeight w:val="310"/>
        </w:trPr>
        <w:tc>
          <w:tcPr>
            <w:tcW w:w="2740" w:type="dxa"/>
            <w:vAlign w:val="bottom"/>
            <w:shd w:val="clear" w:color="auto" w:fill="E5EFFD"/>
          </w:tcPr>
          <w:p>
            <w:pPr>
              <w:jc w:val="right"/>
              <w:ind w:right="39"/>
              <w:spacing w:after="0"/>
              <w:rPr>
                <w:sz w:val="20"/>
                <w:szCs w:val="20"/>
                <w:color w:val="auto"/>
              </w:rPr>
            </w:pPr>
            <w:r>
              <w:rPr>
                <w:rFonts w:ascii="Arial" w:cs="Arial" w:eastAsia="Arial" w:hAnsi="Arial"/>
                <w:sz w:val="16"/>
                <w:szCs w:val="16"/>
                <w:color w:val="005CB8"/>
              </w:rPr>
              <w:t>2018</w:t>
            </w:r>
          </w:p>
        </w:tc>
        <w:tc>
          <w:tcPr>
            <w:tcW w:w="940" w:type="dxa"/>
            <w:vAlign w:val="bottom"/>
            <w:shd w:val="clear" w:color="auto" w:fill="E5EFFD"/>
          </w:tcPr>
          <w:p>
            <w:pPr>
              <w:jc w:val="right"/>
              <w:ind w:right="119"/>
              <w:spacing w:after="0"/>
              <w:rPr>
                <w:sz w:val="20"/>
                <w:szCs w:val="20"/>
                <w:color w:val="auto"/>
              </w:rPr>
            </w:pPr>
            <w:r>
              <w:rPr>
                <w:rFonts w:ascii="Arial" w:cs="Arial" w:eastAsia="Arial" w:hAnsi="Arial"/>
                <w:sz w:val="16"/>
                <w:szCs w:val="16"/>
                <w:color w:val="005CB8"/>
              </w:rPr>
              <w:t>428,054</w:t>
            </w:r>
          </w:p>
        </w:tc>
        <w:tc>
          <w:tcPr>
            <w:tcW w:w="740" w:type="dxa"/>
            <w:vAlign w:val="bottom"/>
            <w:shd w:val="clear" w:color="auto" w:fill="E5EFFD"/>
          </w:tcPr>
          <w:p>
            <w:pPr>
              <w:ind w:left="200"/>
              <w:spacing w:after="0"/>
              <w:rPr>
                <w:sz w:val="20"/>
                <w:szCs w:val="20"/>
                <w:color w:val="auto"/>
              </w:rPr>
            </w:pPr>
            <w:r>
              <w:rPr>
                <w:rFonts w:ascii="Arial" w:cs="Arial" w:eastAsia="Arial" w:hAnsi="Arial"/>
                <w:sz w:val="16"/>
                <w:szCs w:val="16"/>
                <w:color w:val="005CB8"/>
              </w:rPr>
              <w:t>—</w:t>
            </w:r>
          </w:p>
        </w:tc>
        <w:tc>
          <w:tcPr>
            <w:tcW w:w="1560" w:type="dxa"/>
            <w:vAlign w:val="bottom"/>
            <w:shd w:val="clear" w:color="auto" w:fill="E5EFFD"/>
          </w:tcPr>
          <w:p>
            <w:pPr>
              <w:ind w:left="360"/>
              <w:spacing w:after="0"/>
              <w:rPr>
                <w:sz w:val="20"/>
                <w:szCs w:val="20"/>
                <w:color w:val="auto"/>
              </w:rPr>
            </w:pPr>
            <w:r>
              <w:rPr>
                <w:rFonts w:ascii="Arial" w:cs="Arial" w:eastAsia="Arial" w:hAnsi="Arial"/>
                <w:sz w:val="16"/>
                <w:szCs w:val="16"/>
                <w:color w:val="005CB8"/>
              </w:rPr>
              <w:t>3,391,546</w:t>
            </w:r>
            <w:r>
              <w:rPr>
                <w:rFonts w:ascii="Arial" w:cs="Arial" w:eastAsia="Arial" w:hAnsi="Arial"/>
                <w:sz w:val="26"/>
                <w:szCs w:val="26"/>
                <w:color w:val="005CB8"/>
                <w:vertAlign w:val="superscript"/>
              </w:rPr>
              <w:t>(11)</w:t>
            </w:r>
          </w:p>
        </w:tc>
        <w:tc>
          <w:tcPr>
            <w:tcW w:w="1160" w:type="dxa"/>
            <w:vAlign w:val="bottom"/>
            <w:shd w:val="clear" w:color="auto" w:fill="E5EFFD"/>
          </w:tcPr>
          <w:p>
            <w:pPr>
              <w:jc w:val="right"/>
              <w:ind w:right="239"/>
              <w:spacing w:after="0"/>
              <w:rPr>
                <w:sz w:val="20"/>
                <w:szCs w:val="20"/>
                <w:color w:val="auto"/>
              </w:rPr>
            </w:pPr>
            <w:r>
              <w:rPr>
                <w:rFonts w:ascii="Arial" w:cs="Arial" w:eastAsia="Arial" w:hAnsi="Arial"/>
                <w:sz w:val="16"/>
                <w:szCs w:val="16"/>
                <w:color w:val="005CB8"/>
              </w:rPr>
              <w:t>383,745</w:t>
            </w:r>
          </w:p>
        </w:tc>
        <w:tc>
          <w:tcPr>
            <w:tcW w:w="1400" w:type="dxa"/>
            <w:vAlign w:val="bottom"/>
            <w:shd w:val="clear" w:color="auto" w:fill="E5EFFD"/>
          </w:tcPr>
          <w:p>
            <w:pPr>
              <w:jc w:val="right"/>
              <w:ind w:right="399"/>
              <w:spacing w:after="0"/>
              <w:rPr>
                <w:sz w:val="20"/>
                <w:szCs w:val="20"/>
                <w:color w:val="auto"/>
              </w:rPr>
            </w:pPr>
            <w:r>
              <w:rPr>
                <w:rFonts w:ascii="Arial" w:cs="Arial" w:eastAsia="Arial" w:hAnsi="Arial"/>
                <w:sz w:val="16"/>
                <w:szCs w:val="16"/>
                <w:color w:val="005CB8"/>
              </w:rPr>
              <w:t>6,000</w:t>
            </w:r>
          </w:p>
        </w:tc>
        <w:tc>
          <w:tcPr>
            <w:tcW w:w="102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4,209,345</w:t>
            </w:r>
          </w:p>
        </w:tc>
      </w:tr>
    </w:tbl>
    <w:p>
      <w:pPr>
        <w:spacing w:after="0" w:line="113" w:lineRule="exact"/>
        <w:rPr>
          <w:sz w:val="20"/>
          <w:szCs w:val="20"/>
          <w:color w:val="auto"/>
        </w:rPr>
      </w:pPr>
    </w:p>
    <w:p>
      <w:pPr>
        <w:ind w:left="960" w:right="1120" w:hanging="244"/>
        <w:spacing w:after="0" w:line="193" w:lineRule="auto"/>
        <w:tabs>
          <w:tab w:leader="none" w:pos="96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Unless otherwise described in the footnotes below, the amounts reported represent the aggregate grant-date fair value of RSUs calculated in accordance with ASC Topic 718.</w:t>
      </w:r>
    </w:p>
    <w:p>
      <w:pPr>
        <w:spacing w:after="0" w:line="1" w:lineRule="exact"/>
        <w:rPr>
          <w:rFonts w:ascii="Arial" w:cs="Arial" w:eastAsia="Arial" w:hAnsi="Arial"/>
          <w:sz w:val="22"/>
          <w:szCs w:val="22"/>
          <w:color w:val="auto"/>
          <w:vertAlign w:val="superscript"/>
        </w:rPr>
      </w:pPr>
    </w:p>
    <w:p>
      <w:pPr>
        <w:ind w:left="960" w:right="980" w:hanging="244"/>
        <w:spacing w:after="0" w:line="220" w:lineRule="auto"/>
        <w:tabs>
          <w:tab w:leader="none" w:pos="96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The amounts reported represent the amounts payable under our cash bonus plans for 2017, 2018, and 2019, respectively. See “</w:t>
      </w:r>
      <w:r>
        <w:rPr>
          <w:rFonts w:ascii="Arial" w:cs="Arial" w:eastAsia="Arial" w:hAnsi="Arial"/>
          <w:sz w:val="14"/>
          <w:szCs w:val="14"/>
          <w:i w:val="1"/>
          <w:iCs w:val="1"/>
          <w:color w:val="auto"/>
        </w:rPr>
        <w:t>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Elements—Cash Bonuses</w:t>
      </w:r>
      <w:r>
        <w:rPr>
          <w:rFonts w:ascii="Arial" w:cs="Arial" w:eastAsia="Arial" w:hAnsi="Arial"/>
          <w:sz w:val="14"/>
          <w:szCs w:val="14"/>
          <w:color w:val="auto"/>
        </w:rPr>
        <w:t>” above.</w:t>
      </w:r>
    </w:p>
    <w:p>
      <w:pPr>
        <w:ind w:left="960" w:hanging="244"/>
        <w:spacing w:after="0" w:line="219" w:lineRule="auto"/>
        <w:tabs>
          <w:tab w:leader="none" w:pos="96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Unless otherwise noted, the amount reported reflects matching 401(k) contributions of $3,000 in 2017 and $6,000 in 2018 and 2019.</w:t>
      </w:r>
    </w:p>
    <w:p>
      <w:pPr>
        <w:spacing w:after="0" w:line="3" w:lineRule="exact"/>
        <w:rPr>
          <w:rFonts w:ascii="Arial" w:cs="Arial" w:eastAsia="Arial" w:hAnsi="Arial"/>
          <w:sz w:val="18"/>
          <w:szCs w:val="18"/>
          <w:color w:val="auto"/>
          <w:vertAlign w:val="superscript"/>
        </w:rPr>
      </w:pPr>
    </w:p>
    <w:p>
      <w:pPr>
        <w:ind w:left="960" w:right="800" w:hanging="244"/>
        <w:spacing w:after="0" w:line="231" w:lineRule="auto"/>
        <w:tabs>
          <w:tab w:leader="none" w:pos="96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The amount reported represents the aggregate grant-date fair value of RSAs calculated in accordance with ASC Topic 718. RSAs are eligible to vest over a period of up to ten years based on the achievement of certain stock price goals measured over a consecutive thirty-day trading period during a performance period. We calculated the grant date fair value based on multiple stock price paths developed through the use of a Monte Carlo simulation. The assumptions used in calculating the grant-date fair value of the RSAs reported in this column are set forth in “</w:t>
      </w:r>
      <w:r>
        <w:rPr>
          <w:rFonts w:ascii="Arial" w:cs="Arial" w:eastAsia="Arial" w:hAnsi="Arial"/>
          <w:sz w:val="14"/>
          <w:szCs w:val="14"/>
          <w:i w:val="1"/>
          <w:iCs w:val="1"/>
          <w:color w:val="auto"/>
        </w:rPr>
        <w:t>Accounting for</w:t>
      </w:r>
      <w:r>
        <w:rPr>
          <w:rFonts w:ascii="Arial" w:cs="Arial" w:eastAsia="Arial" w:hAnsi="Arial"/>
          <w:sz w:val="14"/>
          <w:szCs w:val="14"/>
          <w:color w:val="auto"/>
        </w:rPr>
        <w:t xml:space="preserve"> </w:t>
      </w:r>
      <w:r>
        <w:rPr>
          <w:rFonts w:ascii="Arial" w:cs="Arial" w:eastAsia="Arial" w:hAnsi="Arial"/>
          <w:sz w:val="14"/>
          <w:szCs w:val="14"/>
          <w:i w:val="1"/>
          <w:iCs w:val="1"/>
          <w:color w:val="auto"/>
        </w:rPr>
        <w:t>Stock-Based Compensation</w:t>
      </w:r>
      <w:r>
        <w:rPr>
          <w:rFonts w:ascii="Arial" w:cs="Arial" w:eastAsia="Arial" w:hAnsi="Arial"/>
          <w:sz w:val="14"/>
          <w:szCs w:val="14"/>
          <w:color w:val="auto"/>
        </w:rPr>
        <w:t>” above.</w:t>
      </w:r>
    </w:p>
    <w:p>
      <w:pPr>
        <w:spacing w:after="0" w:line="4" w:lineRule="exact"/>
        <w:rPr>
          <w:rFonts w:ascii="Arial" w:cs="Arial" w:eastAsia="Arial" w:hAnsi="Arial"/>
          <w:sz w:val="18"/>
          <w:szCs w:val="18"/>
          <w:color w:val="auto"/>
          <w:vertAlign w:val="superscript"/>
        </w:rPr>
      </w:pPr>
    </w:p>
    <w:p>
      <w:pPr>
        <w:ind w:left="960" w:right="760" w:hanging="244"/>
        <w:spacing w:after="0" w:line="232" w:lineRule="auto"/>
        <w:tabs>
          <w:tab w:leader="none" w:pos="96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 xml:space="preserve">In February 2019, the compensation committee reviewed the base salaries of our executive officers, including our named executive officers, taking into consideration a competitive market analysis and the recommendations of our chief executive officer, as well as the other factors described in </w:t>
      </w:r>
      <w:r>
        <w:rPr>
          <w:rFonts w:ascii="Arial" w:cs="Arial" w:eastAsia="Arial" w:hAnsi="Arial"/>
          <w:sz w:val="14"/>
          <w:szCs w:val="14"/>
          <w:i w:val="1"/>
          <w:iCs w:val="1"/>
          <w:color w:val="auto"/>
        </w:rPr>
        <w:t>“Compensation-Setting Process—Setting Target Total Direct Compensation</w:t>
      </w:r>
      <w:r>
        <w:rPr>
          <w:rFonts w:ascii="Arial" w:cs="Arial" w:eastAsia="Arial" w:hAnsi="Arial"/>
          <w:sz w:val="14"/>
          <w:szCs w:val="14"/>
          <w:color w:val="auto"/>
        </w:rPr>
        <w:t>,” above. Following this review, in March 2019, the compensation</w:t>
      </w:r>
      <w:r>
        <w:rPr>
          <w:rFonts w:ascii="Arial" w:cs="Arial" w:eastAsia="Arial" w:hAnsi="Arial"/>
          <w:sz w:val="14"/>
          <w:szCs w:val="14"/>
          <w:i w:val="1"/>
          <w:iCs w:val="1"/>
          <w:color w:val="auto"/>
        </w:rPr>
        <w:t xml:space="preserve"> </w:t>
      </w:r>
      <w:r>
        <w:rPr>
          <w:rFonts w:ascii="Arial" w:cs="Arial" w:eastAsia="Arial" w:hAnsi="Arial"/>
          <w:sz w:val="14"/>
          <w:szCs w:val="14"/>
          <w:color w:val="auto"/>
        </w:rPr>
        <w:t>committee approved a base salary increase to $550,000 for Mr. Vashee, effective February 1, 2019. Mr. Vashee also received a time-based RSU award, effective April 1, 2019, with a grant date fair value of $3,985,847, with such shares vesting in equal quarterly installments over four years from the award grant date, contingent upon his remaining continuously employed by us through each applicable vesting date.</w:t>
      </w:r>
    </w:p>
    <w:p>
      <w:pPr>
        <w:spacing w:after="0" w:line="20" w:lineRule="exact"/>
        <w:rPr>
          <w:rFonts w:ascii="Arial" w:cs="Arial" w:eastAsia="Arial" w:hAnsi="Arial"/>
          <w:sz w:val="18"/>
          <w:szCs w:val="18"/>
          <w:color w:val="auto"/>
          <w:vertAlign w:val="superscript"/>
        </w:rPr>
      </w:pPr>
    </w:p>
    <w:p>
      <w:pPr>
        <w:ind w:left="960" w:right="940" w:hanging="244"/>
        <w:spacing w:after="0" w:line="217" w:lineRule="auto"/>
        <w:tabs>
          <w:tab w:leader="none" w:pos="96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Messrs. Mediratta and Young joined us in October 2019, and therefore their respective salaries and non-equity incentive plan compensation set forth in the table above were prorated for the portion of 2019 in which they were employed with us.</w:t>
      </w:r>
    </w:p>
    <w:p>
      <w:pPr>
        <w:spacing w:after="0" w:line="4" w:lineRule="exact"/>
        <w:rPr>
          <w:rFonts w:ascii="Arial" w:cs="Arial" w:eastAsia="Arial" w:hAnsi="Arial"/>
          <w:sz w:val="18"/>
          <w:szCs w:val="18"/>
          <w:color w:val="auto"/>
          <w:vertAlign w:val="superscript"/>
        </w:rPr>
      </w:pPr>
    </w:p>
    <w:p>
      <w:pPr>
        <w:ind w:left="960" w:right="920" w:hanging="244"/>
        <w:spacing w:after="0" w:line="217" w:lineRule="auto"/>
        <w:tabs>
          <w:tab w:leader="none" w:pos="960" w:val="left"/>
        </w:tabs>
        <w:numPr>
          <w:ilvl w:val="0"/>
          <w:numId w:val="59"/>
        </w:numPr>
        <w:rPr>
          <w:rFonts w:ascii="Arial" w:cs="Arial" w:eastAsia="Arial" w:hAnsi="Arial"/>
          <w:sz w:val="18"/>
          <w:szCs w:val="18"/>
          <w:color w:val="auto"/>
          <w:vertAlign w:val="superscript"/>
        </w:rPr>
      </w:pPr>
      <w:r>
        <w:rPr>
          <w:rFonts w:ascii="Arial" w:cs="Arial" w:eastAsia="Arial" w:hAnsi="Arial"/>
          <w:sz w:val="14"/>
          <w:szCs w:val="14"/>
          <w:color w:val="auto"/>
        </w:rPr>
        <w:t>The Grant Date Fair Value for Messrs. Mediratta and Young are based on the closing price of our Class A common stock on their respective first day of employment with us.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39</w:t>
            </w:r>
          </w:p>
        </w:tc>
      </w:tr>
      <w:tr>
        <w:trPr>
          <w:trHeight w:val="167"/>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type w:val="continuous"/>
        </w:sectPr>
      </w:pPr>
    </w:p>
    <w:bookmarkStart w:id="43" w:name="page44"/>
    <w:bookmarkEnd w:id="43"/>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5CB8"/>
        </w:rPr>
        <w:t>EXECUTIVE COMPENSATION (continued)</w:t>
      </w:r>
    </w:p>
    <w:p>
      <w:pPr>
        <w:spacing w:after="0" w:line="389" w:lineRule="exact"/>
        <w:rPr>
          <w:sz w:val="20"/>
          <w:szCs w:val="20"/>
          <w:color w:val="auto"/>
        </w:rPr>
      </w:pPr>
    </w:p>
    <w:p>
      <w:pPr>
        <w:ind w:left="244" w:hanging="244"/>
        <w:spacing w:after="0" w:line="225" w:lineRule="auto"/>
        <w:tabs>
          <w:tab w:leader="none" w:pos="244"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 xml:space="preserve">In February 2019, the compensation committee reviewed the base salaries and target annual cash bonus opportunities of our executive officers, including our named executive officers, taking into consideration a competitive market analysis and the recommendations of our chief executive officer, as well as the other factors described in </w:t>
      </w:r>
      <w:r>
        <w:rPr>
          <w:rFonts w:ascii="Arial" w:cs="Arial" w:eastAsia="Arial" w:hAnsi="Arial"/>
          <w:sz w:val="14"/>
          <w:szCs w:val="14"/>
          <w:i w:val="1"/>
          <w:iCs w:val="1"/>
          <w:color w:val="auto"/>
        </w:rPr>
        <w:t>“Compensation-Setting Process—Setting Target Total Direct Compensation</w:t>
      </w:r>
      <w:r>
        <w:rPr>
          <w:rFonts w:ascii="Arial" w:cs="Arial" w:eastAsia="Arial" w:hAnsi="Arial"/>
          <w:sz w:val="14"/>
          <w:szCs w:val="14"/>
          <w:color w:val="auto"/>
        </w:rPr>
        <w:t>,” above. Following this review, in March 2019, the compensation committee approved a base salary increase to $550,000 and an increase the target annual cash bonus opportunity (as a percentage of base salary) for Ms. Rangan, effective February 1, 2019. Ms. Rangan also received a time-based RSU award, effective April 1, 2019, with a grant date fair value of $2,916,469, with such shares vesting in equal quarterly installments over four years from the award grant date, contingent upon her remaining continuously employed by us through each applicable vesting date.</w:t>
      </w:r>
    </w:p>
    <w:p>
      <w:pPr>
        <w:spacing w:after="0" w:line="1" w:lineRule="exact"/>
        <w:rPr>
          <w:rFonts w:ascii="Arial" w:cs="Arial" w:eastAsia="Arial" w:hAnsi="Arial"/>
          <w:sz w:val="22"/>
          <w:szCs w:val="22"/>
          <w:color w:val="auto"/>
          <w:vertAlign w:val="superscript"/>
        </w:rPr>
      </w:pPr>
    </w:p>
    <w:p>
      <w:pPr>
        <w:ind w:left="244" w:hanging="244"/>
        <w:spacing w:after="0" w:line="183" w:lineRule="auto"/>
        <w:tabs>
          <w:tab w:leader="none" w:pos="244" w:val="left"/>
        </w:tabs>
        <w:numPr>
          <w:ilvl w:val="0"/>
          <w:numId w:val="60"/>
        </w:numPr>
        <w:rPr>
          <w:rFonts w:ascii="Arial" w:cs="Arial" w:eastAsia="Arial" w:hAnsi="Arial"/>
          <w:sz w:val="20"/>
          <w:szCs w:val="20"/>
          <w:color w:val="auto"/>
          <w:vertAlign w:val="superscript"/>
        </w:rPr>
      </w:pPr>
      <w:r>
        <w:rPr>
          <w:rFonts w:ascii="Arial" w:cs="Arial" w:eastAsia="Arial" w:hAnsi="Arial"/>
          <w:sz w:val="14"/>
          <w:szCs w:val="14"/>
          <w:color w:val="auto"/>
        </w:rPr>
        <w:t>108,699 unvested RSUs, representing a grant date fair value of $2,369,638, were forfeited upon Ms. Rangan’s resignation in January 2020.</w:t>
      </w:r>
    </w:p>
    <w:p>
      <w:pPr>
        <w:spacing w:after="0" w:line="3" w:lineRule="exact"/>
        <w:rPr>
          <w:rFonts w:ascii="Arial" w:cs="Arial" w:eastAsia="Arial" w:hAnsi="Arial"/>
          <w:sz w:val="20"/>
          <w:szCs w:val="20"/>
          <w:color w:val="auto"/>
          <w:vertAlign w:val="superscript"/>
        </w:rPr>
      </w:pPr>
    </w:p>
    <w:p>
      <w:pPr>
        <w:ind w:left="244" w:hanging="244"/>
        <w:spacing w:after="0" w:line="189" w:lineRule="auto"/>
        <w:tabs>
          <w:tab w:leader="none" w:pos="244" w:val="left"/>
        </w:tabs>
        <w:numPr>
          <w:ilvl w:val="0"/>
          <w:numId w:val="60"/>
        </w:numPr>
        <w:rPr>
          <w:rFonts w:ascii="Arial" w:cs="Arial" w:eastAsia="Arial" w:hAnsi="Arial"/>
          <w:sz w:val="19"/>
          <w:szCs w:val="19"/>
          <w:color w:val="auto"/>
          <w:vertAlign w:val="superscript"/>
        </w:rPr>
      </w:pPr>
      <w:r>
        <w:rPr>
          <w:rFonts w:ascii="Arial" w:cs="Arial" w:eastAsia="Arial" w:hAnsi="Arial"/>
          <w:sz w:val="13"/>
          <w:szCs w:val="13"/>
          <w:color w:val="auto"/>
        </w:rPr>
        <w:t>Amount reported represents a matching 401(k) contribution of $6,000 and a transition incentive payment of $500,000.</w:t>
      </w:r>
    </w:p>
    <w:p>
      <w:pPr>
        <w:spacing w:after="0" w:line="16" w:lineRule="exact"/>
        <w:rPr>
          <w:rFonts w:ascii="Arial" w:cs="Arial" w:eastAsia="Arial" w:hAnsi="Arial"/>
          <w:sz w:val="19"/>
          <w:szCs w:val="19"/>
          <w:color w:val="auto"/>
          <w:vertAlign w:val="superscript"/>
        </w:rPr>
      </w:pPr>
    </w:p>
    <w:p>
      <w:pPr>
        <w:ind w:left="244" w:hanging="244"/>
        <w:spacing w:after="0" w:line="189" w:lineRule="auto"/>
        <w:tabs>
          <w:tab w:leader="none" w:pos="244" w:val="left"/>
        </w:tabs>
        <w:numPr>
          <w:ilvl w:val="0"/>
          <w:numId w:val="60"/>
        </w:numPr>
        <w:rPr>
          <w:rFonts w:ascii="Arial" w:cs="Arial" w:eastAsia="Arial" w:hAnsi="Arial"/>
          <w:sz w:val="19"/>
          <w:szCs w:val="19"/>
          <w:color w:val="auto"/>
          <w:vertAlign w:val="superscript"/>
        </w:rPr>
      </w:pPr>
      <w:r>
        <w:rPr>
          <w:rFonts w:ascii="Arial" w:cs="Arial" w:eastAsia="Arial" w:hAnsi="Arial"/>
          <w:sz w:val="13"/>
          <w:szCs w:val="13"/>
          <w:color w:val="auto"/>
        </w:rPr>
        <w:t>91,122 unvested RSUs, representing a grant date fair value of $2,256,630, were forfeited upon Ms. Rangan’s resignation in January 2020.</w:t>
      </w:r>
    </w:p>
    <w:p>
      <w:pPr>
        <w:spacing w:after="0" w:line="188" w:lineRule="exact"/>
        <w:rPr>
          <w:sz w:val="20"/>
          <w:szCs w:val="20"/>
          <w:color w:val="auto"/>
        </w:rPr>
      </w:pPr>
    </w:p>
    <w:p>
      <w:pPr>
        <w:ind w:left="524" w:hanging="524"/>
        <w:spacing w:after="0"/>
        <w:tabs>
          <w:tab w:leader="none" w:pos="524"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44"/>
          </w:cols>
          <w:pgMar w:left="1156" w:top="265" w:right="1199" w:bottom="1440" w:gutter="0" w:footer="0" w:header="0"/>
        </w:sectPr>
      </w:pPr>
    </w:p>
    <w:bookmarkStart w:id="44" w:name="page45"/>
    <w:bookmarkEnd w:id="44"/>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EXECUTIVE COMPENSATION (continued)</w:t>
      </w:r>
    </w:p>
    <w:p>
      <w:pPr>
        <w:spacing w:after="0" w:line="378" w:lineRule="exact"/>
        <w:rPr>
          <w:sz w:val="20"/>
          <w:szCs w:val="20"/>
          <w:color w:val="auto"/>
        </w:rPr>
      </w:pPr>
    </w:p>
    <w:p>
      <w:pPr>
        <w:ind w:left="720"/>
        <w:spacing w:after="0"/>
        <w:rPr>
          <w:sz w:val="20"/>
          <w:szCs w:val="20"/>
          <w:color w:val="auto"/>
        </w:rPr>
      </w:pPr>
      <w:r>
        <w:rPr>
          <w:rFonts w:ascii="Arial" w:cs="Arial" w:eastAsia="Arial" w:hAnsi="Arial"/>
          <w:sz w:val="26"/>
          <w:szCs w:val="26"/>
          <w:color w:val="005CB8"/>
        </w:rPr>
        <w:t>Grants of Plan-Based Awards in 2019</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shows all plan-based awards granted to our named executive officers during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139065</wp:posOffset>
            </wp:positionV>
            <wp:extent cx="6077585" cy="2768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7585" cy="2768600"/>
                    </a:xfrm>
                    <a:prstGeom prst="rect">
                      <a:avLst/>
                    </a:prstGeom>
                    <a:noFill/>
                  </pic:spPr>
                </pic:pic>
              </a:graphicData>
            </a:graphic>
          </wp:anchor>
        </w:drawing>
      </w:r>
    </w:p>
    <w:p>
      <w:pPr>
        <w:spacing w:after="0" w:line="199" w:lineRule="exact"/>
        <w:rPr>
          <w:sz w:val="20"/>
          <w:szCs w:val="20"/>
          <w:color w:val="auto"/>
        </w:rPr>
      </w:pPr>
    </w:p>
    <w:tbl>
      <w:tblPr>
        <w:tblLayout w:type="fixed"/>
        <w:tblInd w:w="720" w:type="dxa"/>
        <w:tblCellMar>
          <w:top w:w="0" w:type="dxa"/>
          <w:left w:w="0" w:type="dxa"/>
          <w:bottom w:w="0" w:type="dxa"/>
          <w:right w:w="0" w:type="dxa"/>
        </w:tblCellMar>
      </w:tblPr>
      <w:tr>
        <w:trPr>
          <w:trHeight w:val="243"/>
        </w:trPr>
        <w:tc>
          <w:tcPr>
            <w:tcW w:w="2180" w:type="dxa"/>
            <w:vAlign w:val="bottom"/>
            <w:shd w:val="clear" w:color="auto" w:fill="0060EC"/>
          </w:tcPr>
          <w:p>
            <w:pPr>
              <w:spacing w:after="0"/>
              <w:rPr>
                <w:sz w:val="21"/>
                <w:szCs w:val="21"/>
                <w:color w:val="auto"/>
              </w:rPr>
            </w:pPr>
          </w:p>
        </w:tc>
        <w:tc>
          <w:tcPr>
            <w:tcW w:w="1600" w:type="dxa"/>
            <w:vAlign w:val="bottom"/>
            <w:shd w:val="clear" w:color="auto" w:fill="0060EC"/>
          </w:tcPr>
          <w:p>
            <w:pPr>
              <w:spacing w:after="0"/>
              <w:rPr>
                <w:sz w:val="21"/>
                <w:szCs w:val="21"/>
                <w:color w:val="auto"/>
              </w:rPr>
            </w:pPr>
          </w:p>
        </w:tc>
        <w:tc>
          <w:tcPr>
            <w:tcW w:w="3060" w:type="dxa"/>
            <w:vAlign w:val="bottom"/>
            <w:gridSpan w:val="3"/>
            <w:shd w:val="clear" w:color="auto" w:fill="0060EC"/>
          </w:tcPr>
          <w:p>
            <w:pPr>
              <w:jc w:val="right"/>
              <w:ind w:right="241"/>
              <w:spacing w:after="0"/>
              <w:rPr>
                <w:sz w:val="20"/>
                <w:szCs w:val="20"/>
                <w:color w:val="auto"/>
              </w:rPr>
            </w:pPr>
            <w:r>
              <w:rPr>
                <w:rFonts w:ascii="Arial" w:cs="Arial" w:eastAsia="Arial" w:hAnsi="Arial"/>
                <w:sz w:val="14"/>
                <w:szCs w:val="14"/>
                <w:b w:val="1"/>
                <w:bCs w:val="1"/>
                <w:color w:val="FFFFFF"/>
              </w:rPr>
              <w:t>Estimated Future Payouts Under Non-</w:t>
            </w:r>
          </w:p>
        </w:tc>
        <w:tc>
          <w:tcPr>
            <w:tcW w:w="1480" w:type="dxa"/>
            <w:vAlign w:val="bottom"/>
            <w:shd w:val="clear" w:color="auto" w:fill="0060EC"/>
          </w:tcPr>
          <w:p>
            <w:pPr>
              <w:spacing w:after="0"/>
              <w:rPr>
                <w:sz w:val="21"/>
                <w:szCs w:val="21"/>
                <w:color w:val="auto"/>
              </w:rPr>
            </w:pPr>
          </w:p>
        </w:tc>
        <w:tc>
          <w:tcPr>
            <w:tcW w:w="1240" w:type="dxa"/>
            <w:vAlign w:val="bottom"/>
            <w:shd w:val="clear" w:color="auto" w:fill="0060EC"/>
          </w:tcPr>
          <w:p>
            <w:pPr>
              <w:spacing w:after="0"/>
              <w:rPr>
                <w:sz w:val="21"/>
                <w:szCs w:val="21"/>
                <w:color w:val="auto"/>
              </w:rPr>
            </w:pPr>
          </w:p>
        </w:tc>
      </w:tr>
      <w:tr>
        <w:trPr>
          <w:trHeight w:val="283"/>
        </w:trPr>
        <w:tc>
          <w:tcPr>
            <w:tcW w:w="2180" w:type="dxa"/>
            <w:vAlign w:val="bottom"/>
            <w:shd w:val="clear" w:color="auto" w:fill="0060EC"/>
          </w:tcPr>
          <w:p>
            <w:pPr>
              <w:spacing w:after="0"/>
              <w:rPr>
                <w:sz w:val="24"/>
                <w:szCs w:val="24"/>
                <w:color w:val="auto"/>
              </w:rPr>
            </w:pPr>
          </w:p>
        </w:tc>
        <w:tc>
          <w:tcPr>
            <w:tcW w:w="1600" w:type="dxa"/>
            <w:vAlign w:val="bottom"/>
            <w:shd w:val="clear" w:color="auto" w:fill="0060EC"/>
          </w:tcPr>
          <w:p>
            <w:pPr>
              <w:spacing w:after="0"/>
              <w:rPr>
                <w:sz w:val="24"/>
                <w:szCs w:val="24"/>
                <w:color w:val="auto"/>
              </w:rPr>
            </w:pPr>
          </w:p>
        </w:tc>
        <w:tc>
          <w:tcPr>
            <w:tcW w:w="3060" w:type="dxa"/>
            <w:vAlign w:val="bottom"/>
            <w:gridSpan w:val="3"/>
            <w:shd w:val="clear" w:color="auto" w:fill="0060EC"/>
          </w:tcPr>
          <w:p>
            <w:pPr>
              <w:jc w:val="right"/>
              <w:ind w:right="381"/>
              <w:spacing w:after="0"/>
              <w:rPr>
                <w:sz w:val="20"/>
                <w:szCs w:val="20"/>
                <w:color w:val="auto"/>
              </w:rPr>
            </w:pPr>
            <w:r>
              <w:rPr>
                <w:rFonts w:ascii="Arial" w:cs="Arial" w:eastAsia="Arial" w:hAnsi="Arial"/>
                <w:sz w:val="14"/>
                <w:szCs w:val="14"/>
                <w:b w:val="1"/>
                <w:bCs w:val="1"/>
                <w:color w:val="FFFFFF"/>
              </w:rPr>
              <w:t>Equity Incentive Plan Award($)</w:t>
            </w:r>
            <w:r>
              <w:rPr>
                <w:rFonts w:ascii="Arial" w:cs="Arial" w:eastAsia="Arial" w:hAnsi="Arial"/>
                <w:sz w:val="23"/>
                <w:szCs w:val="23"/>
                <w:b w:val="1"/>
                <w:bCs w:val="1"/>
                <w:color w:val="FFFFFF"/>
                <w:vertAlign w:val="superscript"/>
              </w:rPr>
              <w:t>(1)</w:t>
            </w:r>
          </w:p>
        </w:tc>
        <w:tc>
          <w:tcPr>
            <w:tcW w:w="2720" w:type="dxa"/>
            <w:vAlign w:val="bottom"/>
            <w:gridSpan w:val="2"/>
            <w:shd w:val="clear" w:color="auto" w:fill="0060EC"/>
          </w:tcPr>
          <w:p>
            <w:pPr>
              <w:jc w:val="right"/>
              <w:ind w:right="801"/>
              <w:spacing w:after="0"/>
              <w:rPr>
                <w:sz w:val="20"/>
                <w:szCs w:val="20"/>
                <w:color w:val="auto"/>
              </w:rPr>
            </w:pPr>
            <w:r>
              <w:rPr>
                <w:rFonts w:ascii="Arial" w:cs="Arial" w:eastAsia="Arial" w:hAnsi="Arial"/>
                <w:sz w:val="14"/>
                <w:szCs w:val="14"/>
                <w:b w:val="1"/>
                <w:bCs w:val="1"/>
                <w:color w:val="FFFFFF"/>
              </w:rPr>
              <w:t>Equity Grants</w:t>
            </w:r>
          </w:p>
        </w:tc>
      </w:tr>
      <w:tr>
        <w:trPr>
          <w:trHeight w:val="229"/>
        </w:trPr>
        <w:tc>
          <w:tcPr>
            <w:tcW w:w="2180" w:type="dxa"/>
            <w:vAlign w:val="bottom"/>
            <w:shd w:val="clear" w:color="auto" w:fill="0060EC"/>
          </w:tcPr>
          <w:p>
            <w:pPr>
              <w:spacing w:after="0"/>
              <w:rPr>
                <w:sz w:val="19"/>
                <w:szCs w:val="19"/>
                <w:color w:val="auto"/>
              </w:rPr>
            </w:pPr>
          </w:p>
        </w:tc>
        <w:tc>
          <w:tcPr>
            <w:tcW w:w="1600" w:type="dxa"/>
            <w:vAlign w:val="bottom"/>
            <w:shd w:val="clear" w:color="auto" w:fill="0060EC"/>
          </w:tcPr>
          <w:p>
            <w:pPr>
              <w:spacing w:after="0"/>
              <w:rPr>
                <w:sz w:val="19"/>
                <w:szCs w:val="19"/>
                <w:color w:val="auto"/>
              </w:rPr>
            </w:pPr>
          </w:p>
        </w:tc>
        <w:tc>
          <w:tcPr>
            <w:tcW w:w="1040" w:type="dxa"/>
            <w:vAlign w:val="bottom"/>
            <w:shd w:val="clear" w:color="auto" w:fill="0060EC"/>
          </w:tcPr>
          <w:p>
            <w:pPr>
              <w:spacing w:after="0"/>
              <w:rPr>
                <w:sz w:val="19"/>
                <w:szCs w:val="19"/>
                <w:color w:val="auto"/>
              </w:rPr>
            </w:pPr>
          </w:p>
        </w:tc>
        <w:tc>
          <w:tcPr>
            <w:tcW w:w="920" w:type="dxa"/>
            <w:vAlign w:val="bottom"/>
            <w:shd w:val="clear" w:color="auto" w:fill="0060EC"/>
          </w:tcPr>
          <w:p>
            <w:pPr>
              <w:spacing w:after="0"/>
              <w:rPr>
                <w:sz w:val="19"/>
                <w:szCs w:val="19"/>
                <w:color w:val="auto"/>
              </w:rPr>
            </w:pPr>
          </w:p>
        </w:tc>
        <w:tc>
          <w:tcPr>
            <w:tcW w:w="1100" w:type="dxa"/>
            <w:vAlign w:val="bottom"/>
            <w:shd w:val="clear" w:color="auto" w:fill="0060EC"/>
          </w:tcPr>
          <w:p>
            <w:pPr>
              <w:spacing w:after="0"/>
              <w:rPr>
                <w:sz w:val="19"/>
                <w:szCs w:val="19"/>
                <w:color w:val="auto"/>
              </w:rPr>
            </w:pPr>
          </w:p>
        </w:tc>
        <w:tc>
          <w:tcPr>
            <w:tcW w:w="1480" w:type="dxa"/>
            <w:vAlign w:val="bottom"/>
            <w:shd w:val="clear" w:color="auto" w:fill="0060EC"/>
          </w:tcPr>
          <w:p>
            <w:pPr>
              <w:spacing w:after="0"/>
              <w:rPr>
                <w:sz w:val="19"/>
                <w:szCs w:val="19"/>
                <w:color w:val="auto"/>
              </w:rPr>
            </w:pPr>
          </w:p>
        </w:tc>
        <w:tc>
          <w:tcPr>
            <w:tcW w:w="1240" w:type="dxa"/>
            <w:vAlign w:val="bottom"/>
            <w:shd w:val="clear" w:color="auto" w:fill="0060EC"/>
          </w:tcPr>
          <w:p>
            <w:pPr>
              <w:jc w:val="right"/>
              <w:ind w:right="1"/>
              <w:spacing w:after="0"/>
              <w:rPr>
                <w:sz w:val="20"/>
                <w:szCs w:val="20"/>
                <w:color w:val="auto"/>
              </w:rPr>
            </w:pPr>
            <w:r>
              <w:rPr>
                <w:rFonts w:ascii="Arial" w:cs="Arial" w:eastAsia="Arial" w:hAnsi="Arial"/>
                <w:sz w:val="14"/>
                <w:szCs w:val="14"/>
                <w:b w:val="1"/>
                <w:bCs w:val="1"/>
                <w:color w:val="FFFFFF"/>
              </w:rPr>
              <w:t>Grant Date Fair</w:t>
            </w:r>
          </w:p>
        </w:tc>
      </w:tr>
      <w:tr>
        <w:trPr>
          <w:trHeight w:val="284"/>
        </w:trPr>
        <w:tc>
          <w:tcPr>
            <w:tcW w:w="2180" w:type="dxa"/>
            <w:vAlign w:val="bottom"/>
            <w:shd w:val="clear" w:color="auto" w:fill="0060EC"/>
          </w:tcPr>
          <w:p>
            <w:pPr>
              <w:ind w:left="60"/>
              <w:spacing w:after="0"/>
              <w:rPr>
                <w:sz w:val="20"/>
                <w:szCs w:val="20"/>
                <w:color w:val="auto"/>
              </w:rPr>
            </w:pPr>
            <w:r>
              <w:rPr>
                <w:rFonts w:ascii="Arial" w:cs="Arial" w:eastAsia="Arial" w:hAnsi="Arial"/>
                <w:sz w:val="14"/>
                <w:szCs w:val="14"/>
                <w:b w:val="1"/>
                <w:bCs w:val="1"/>
                <w:color w:val="FFFFFF"/>
              </w:rPr>
              <w:t>Name</w:t>
            </w:r>
          </w:p>
        </w:tc>
        <w:tc>
          <w:tcPr>
            <w:tcW w:w="1600" w:type="dxa"/>
            <w:vAlign w:val="bottom"/>
            <w:shd w:val="clear" w:color="auto" w:fill="0060EC"/>
          </w:tcPr>
          <w:p>
            <w:pPr>
              <w:jc w:val="right"/>
              <w:ind w:right="80"/>
              <w:spacing w:after="0"/>
              <w:rPr>
                <w:sz w:val="20"/>
                <w:szCs w:val="20"/>
                <w:color w:val="auto"/>
              </w:rPr>
            </w:pPr>
            <w:r>
              <w:rPr>
                <w:rFonts w:ascii="Arial" w:cs="Arial" w:eastAsia="Arial" w:hAnsi="Arial"/>
                <w:sz w:val="14"/>
                <w:szCs w:val="14"/>
                <w:b w:val="1"/>
                <w:bCs w:val="1"/>
                <w:color w:val="FFFFFF"/>
              </w:rPr>
              <w:t>Grant Date</w:t>
            </w:r>
          </w:p>
        </w:tc>
        <w:tc>
          <w:tcPr>
            <w:tcW w:w="1040" w:type="dxa"/>
            <w:vAlign w:val="bottom"/>
            <w:shd w:val="clear" w:color="auto" w:fill="0060EC"/>
          </w:tcPr>
          <w:p>
            <w:pPr>
              <w:jc w:val="right"/>
              <w:ind w:right="102"/>
              <w:spacing w:after="0"/>
              <w:rPr>
                <w:sz w:val="20"/>
                <w:szCs w:val="20"/>
                <w:color w:val="auto"/>
              </w:rPr>
            </w:pPr>
            <w:r>
              <w:rPr>
                <w:rFonts w:ascii="Arial" w:cs="Arial" w:eastAsia="Arial" w:hAnsi="Arial"/>
                <w:sz w:val="14"/>
                <w:szCs w:val="14"/>
                <w:b w:val="1"/>
                <w:bCs w:val="1"/>
                <w:color w:val="FFFFFF"/>
              </w:rPr>
              <w:t>Threshold</w:t>
            </w:r>
          </w:p>
        </w:tc>
        <w:tc>
          <w:tcPr>
            <w:tcW w:w="920" w:type="dxa"/>
            <w:vAlign w:val="bottom"/>
            <w:shd w:val="clear" w:color="auto" w:fill="0060EC"/>
          </w:tcPr>
          <w:p>
            <w:pPr>
              <w:jc w:val="right"/>
              <w:ind w:right="81"/>
              <w:spacing w:after="0"/>
              <w:rPr>
                <w:sz w:val="20"/>
                <w:szCs w:val="20"/>
                <w:color w:val="auto"/>
              </w:rPr>
            </w:pPr>
            <w:r>
              <w:rPr>
                <w:rFonts w:ascii="Arial" w:cs="Arial" w:eastAsia="Arial" w:hAnsi="Arial"/>
                <w:sz w:val="14"/>
                <w:szCs w:val="14"/>
                <w:b w:val="1"/>
                <w:bCs w:val="1"/>
                <w:color w:val="FFFFFF"/>
              </w:rPr>
              <w:t>Target</w:t>
            </w:r>
          </w:p>
        </w:tc>
        <w:tc>
          <w:tcPr>
            <w:tcW w:w="1100" w:type="dxa"/>
            <w:vAlign w:val="bottom"/>
            <w:shd w:val="clear" w:color="auto" w:fill="0060EC"/>
          </w:tcPr>
          <w:p>
            <w:pPr>
              <w:jc w:val="right"/>
              <w:ind w:right="121"/>
              <w:spacing w:after="0"/>
              <w:rPr>
                <w:sz w:val="20"/>
                <w:szCs w:val="20"/>
                <w:color w:val="auto"/>
              </w:rPr>
            </w:pPr>
            <w:r>
              <w:rPr>
                <w:rFonts w:ascii="Arial" w:cs="Arial" w:eastAsia="Arial" w:hAnsi="Arial"/>
                <w:sz w:val="14"/>
                <w:szCs w:val="14"/>
                <w:b w:val="1"/>
                <w:bCs w:val="1"/>
                <w:color w:val="FFFFFF"/>
              </w:rPr>
              <w:t>Maximum</w:t>
            </w:r>
          </w:p>
        </w:tc>
        <w:tc>
          <w:tcPr>
            <w:tcW w:w="1480" w:type="dxa"/>
            <w:vAlign w:val="bottom"/>
            <w:shd w:val="clear" w:color="auto" w:fill="0060EC"/>
          </w:tcPr>
          <w:p>
            <w:pPr>
              <w:jc w:val="right"/>
              <w:ind w:right="61"/>
              <w:spacing w:after="0"/>
              <w:rPr>
                <w:sz w:val="20"/>
                <w:szCs w:val="20"/>
                <w:color w:val="auto"/>
              </w:rPr>
            </w:pPr>
            <w:r>
              <w:rPr>
                <w:rFonts w:ascii="Arial" w:cs="Arial" w:eastAsia="Arial" w:hAnsi="Arial"/>
                <w:sz w:val="14"/>
                <w:szCs w:val="14"/>
                <w:b w:val="1"/>
                <w:bCs w:val="1"/>
                <w:color w:val="FFFFFF"/>
              </w:rPr>
              <w:t>Number of Units</w:t>
            </w:r>
          </w:p>
        </w:tc>
        <w:tc>
          <w:tcPr>
            <w:tcW w:w="1240" w:type="dxa"/>
            <w:vAlign w:val="bottom"/>
            <w:shd w:val="clear" w:color="auto" w:fill="0060EC"/>
          </w:tcPr>
          <w:p>
            <w:pPr>
              <w:jc w:val="right"/>
              <w:spacing w:after="0"/>
              <w:rPr>
                <w:sz w:val="20"/>
                <w:szCs w:val="20"/>
                <w:color w:val="auto"/>
              </w:rPr>
            </w:pPr>
            <w:r>
              <w:rPr>
                <w:rFonts w:ascii="Arial" w:cs="Arial" w:eastAsia="Arial" w:hAnsi="Arial"/>
                <w:sz w:val="14"/>
                <w:szCs w:val="14"/>
                <w:b w:val="1"/>
                <w:bCs w:val="1"/>
                <w:color w:val="FFFFFF"/>
              </w:rPr>
              <w:t>Value($)</w:t>
            </w:r>
            <w:r>
              <w:rPr>
                <w:rFonts w:ascii="Arial" w:cs="Arial" w:eastAsia="Arial" w:hAnsi="Arial"/>
                <w:sz w:val="23"/>
                <w:szCs w:val="23"/>
                <w:b w:val="1"/>
                <w:bCs w:val="1"/>
                <w:color w:val="FFFFFF"/>
                <w:vertAlign w:val="superscript"/>
              </w:rPr>
              <w:t>(2)</w:t>
            </w:r>
          </w:p>
        </w:tc>
      </w:tr>
      <w:tr>
        <w:trPr>
          <w:trHeight w:val="291"/>
        </w:trPr>
        <w:tc>
          <w:tcPr>
            <w:tcW w:w="218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Andrew W. Houston</w:t>
            </w:r>
          </w:p>
        </w:tc>
        <w:tc>
          <w:tcPr>
            <w:tcW w:w="1600" w:type="dxa"/>
            <w:vAlign w:val="bottom"/>
            <w:shd w:val="clear" w:color="auto" w:fill="E5EFFD"/>
          </w:tcPr>
          <w:p>
            <w:pPr>
              <w:jc w:val="right"/>
              <w:ind w:right="80"/>
              <w:spacing w:after="0"/>
              <w:rPr>
                <w:sz w:val="20"/>
                <w:szCs w:val="20"/>
                <w:color w:val="auto"/>
              </w:rPr>
            </w:pPr>
            <w:r>
              <w:rPr>
                <w:rFonts w:ascii="Arial" w:cs="Arial" w:eastAsia="Arial" w:hAnsi="Arial"/>
                <w:sz w:val="16"/>
                <w:szCs w:val="16"/>
                <w:color w:val="005CB8"/>
              </w:rPr>
              <w:t>3/6/2019</w:t>
            </w:r>
          </w:p>
        </w:tc>
        <w:tc>
          <w:tcPr>
            <w:tcW w:w="1040" w:type="dxa"/>
            <w:vAlign w:val="bottom"/>
            <w:shd w:val="clear" w:color="auto" w:fill="E5EFFD"/>
          </w:tcPr>
          <w:p>
            <w:pPr>
              <w:jc w:val="right"/>
              <w:ind w:right="102"/>
              <w:spacing w:after="0"/>
              <w:rPr>
                <w:sz w:val="20"/>
                <w:szCs w:val="20"/>
                <w:color w:val="auto"/>
              </w:rPr>
            </w:pPr>
            <w:r>
              <w:rPr>
                <w:rFonts w:ascii="Arial" w:cs="Arial" w:eastAsia="Arial" w:hAnsi="Arial"/>
                <w:sz w:val="16"/>
                <w:szCs w:val="16"/>
                <w:color w:val="005CB8"/>
              </w:rPr>
              <w:t>339,596</w:t>
            </w:r>
          </w:p>
        </w:tc>
        <w:tc>
          <w:tcPr>
            <w:tcW w:w="920" w:type="dxa"/>
            <w:vAlign w:val="bottom"/>
            <w:shd w:val="clear" w:color="auto" w:fill="E5EFFD"/>
          </w:tcPr>
          <w:p>
            <w:pPr>
              <w:jc w:val="right"/>
              <w:ind w:right="101"/>
              <w:spacing w:after="0"/>
              <w:rPr>
                <w:sz w:val="20"/>
                <w:szCs w:val="20"/>
                <w:color w:val="auto"/>
              </w:rPr>
            </w:pPr>
            <w:r>
              <w:rPr>
                <w:rFonts w:ascii="Arial" w:cs="Arial" w:eastAsia="Arial" w:hAnsi="Arial"/>
                <w:sz w:val="16"/>
                <w:szCs w:val="16"/>
                <w:color w:val="005CB8"/>
              </w:rPr>
              <w:t>679,192</w:t>
            </w:r>
          </w:p>
        </w:tc>
        <w:tc>
          <w:tcPr>
            <w:tcW w:w="1100" w:type="dxa"/>
            <w:vAlign w:val="bottom"/>
            <w:shd w:val="clear" w:color="auto" w:fill="E5EFFD"/>
          </w:tcPr>
          <w:p>
            <w:pPr>
              <w:jc w:val="right"/>
              <w:ind w:right="121"/>
              <w:spacing w:after="0"/>
              <w:rPr>
                <w:sz w:val="20"/>
                <w:szCs w:val="20"/>
                <w:color w:val="auto"/>
              </w:rPr>
            </w:pPr>
            <w:r>
              <w:rPr>
                <w:rFonts w:ascii="Arial" w:cs="Arial" w:eastAsia="Arial" w:hAnsi="Arial"/>
                <w:sz w:val="16"/>
                <w:szCs w:val="16"/>
                <w:color w:val="005CB8"/>
              </w:rPr>
              <w:t>1,273,485</w:t>
            </w:r>
          </w:p>
        </w:tc>
        <w:tc>
          <w:tcPr>
            <w:tcW w:w="1480" w:type="dxa"/>
            <w:vAlign w:val="bottom"/>
            <w:shd w:val="clear" w:color="auto" w:fill="E5EFFD"/>
          </w:tcPr>
          <w:p>
            <w:pPr>
              <w:jc w:val="right"/>
              <w:ind w:right="241"/>
              <w:spacing w:after="0"/>
              <w:rPr>
                <w:sz w:val="20"/>
                <w:szCs w:val="20"/>
                <w:color w:val="auto"/>
              </w:rPr>
            </w:pPr>
            <w:r>
              <w:rPr>
                <w:rFonts w:ascii="Arial" w:cs="Arial" w:eastAsia="Arial" w:hAnsi="Arial"/>
                <w:sz w:val="16"/>
                <w:szCs w:val="16"/>
                <w:color w:val="005CB8"/>
              </w:rPr>
              <w:t>—</w:t>
            </w:r>
          </w:p>
        </w:tc>
        <w:tc>
          <w:tcPr>
            <w:tcW w:w="124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w:t>
            </w:r>
          </w:p>
        </w:tc>
      </w:tr>
      <w:tr>
        <w:trPr>
          <w:trHeight w:val="73"/>
        </w:trPr>
        <w:tc>
          <w:tcPr>
            <w:tcW w:w="2180" w:type="dxa"/>
            <w:vAlign w:val="bottom"/>
            <w:shd w:val="clear" w:color="auto" w:fill="E5EFFD"/>
          </w:tcPr>
          <w:p>
            <w:pPr>
              <w:spacing w:after="0"/>
              <w:rPr>
                <w:sz w:val="6"/>
                <w:szCs w:val="6"/>
                <w:color w:val="auto"/>
              </w:rPr>
            </w:pPr>
          </w:p>
        </w:tc>
        <w:tc>
          <w:tcPr>
            <w:tcW w:w="1600" w:type="dxa"/>
            <w:vAlign w:val="bottom"/>
            <w:shd w:val="clear" w:color="auto" w:fill="E5EFFD"/>
          </w:tcPr>
          <w:p>
            <w:pPr>
              <w:spacing w:after="0"/>
              <w:rPr>
                <w:sz w:val="6"/>
                <w:szCs w:val="6"/>
                <w:color w:val="auto"/>
              </w:rPr>
            </w:pPr>
          </w:p>
        </w:tc>
        <w:tc>
          <w:tcPr>
            <w:tcW w:w="1040" w:type="dxa"/>
            <w:vAlign w:val="bottom"/>
            <w:shd w:val="clear" w:color="auto" w:fill="E5EFFD"/>
          </w:tcPr>
          <w:p>
            <w:pPr>
              <w:spacing w:after="0"/>
              <w:rPr>
                <w:sz w:val="6"/>
                <w:szCs w:val="6"/>
                <w:color w:val="auto"/>
              </w:rPr>
            </w:pPr>
          </w:p>
        </w:tc>
        <w:tc>
          <w:tcPr>
            <w:tcW w:w="920" w:type="dxa"/>
            <w:vAlign w:val="bottom"/>
            <w:shd w:val="clear" w:color="auto" w:fill="E5EFFD"/>
          </w:tcPr>
          <w:p>
            <w:pPr>
              <w:spacing w:after="0"/>
              <w:rPr>
                <w:sz w:val="6"/>
                <w:szCs w:val="6"/>
                <w:color w:val="auto"/>
              </w:rPr>
            </w:pPr>
          </w:p>
        </w:tc>
        <w:tc>
          <w:tcPr>
            <w:tcW w:w="1100" w:type="dxa"/>
            <w:vAlign w:val="bottom"/>
            <w:shd w:val="clear" w:color="auto" w:fill="E5EFFD"/>
          </w:tcPr>
          <w:p>
            <w:pPr>
              <w:spacing w:after="0"/>
              <w:rPr>
                <w:sz w:val="6"/>
                <w:szCs w:val="6"/>
                <w:color w:val="auto"/>
              </w:rPr>
            </w:pPr>
          </w:p>
        </w:tc>
        <w:tc>
          <w:tcPr>
            <w:tcW w:w="1480" w:type="dxa"/>
            <w:vAlign w:val="bottom"/>
            <w:shd w:val="clear" w:color="auto" w:fill="E5EFFD"/>
          </w:tcPr>
          <w:p>
            <w:pPr>
              <w:spacing w:after="0"/>
              <w:rPr>
                <w:sz w:val="6"/>
                <w:szCs w:val="6"/>
                <w:color w:val="auto"/>
              </w:rPr>
            </w:pPr>
          </w:p>
        </w:tc>
        <w:tc>
          <w:tcPr>
            <w:tcW w:w="1240" w:type="dxa"/>
            <w:vAlign w:val="bottom"/>
            <w:shd w:val="clear" w:color="auto" w:fill="E5EFFD"/>
          </w:tcPr>
          <w:p>
            <w:pPr>
              <w:spacing w:after="0"/>
              <w:rPr>
                <w:sz w:val="6"/>
                <w:szCs w:val="6"/>
                <w:color w:val="auto"/>
              </w:rPr>
            </w:pPr>
          </w:p>
        </w:tc>
      </w:tr>
      <w:tr>
        <w:trPr>
          <w:trHeight w:val="278"/>
        </w:trPr>
        <w:tc>
          <w:tcPr>
            <w:tcW w:w="2180" w:type="dxa"/>
            <w:vAlign w:val="bottom"/>
          </w:tcPr>
          <w:p>
            <w:pPr>
              <w:ind w:left="60"/>
              <w:spacing w:after="0"/>
              <w:rPr>
                <w:sz w:val="20"/>
                <w:szCs w:val="20"/>
                <w:color w:val="auto"/>
              </w:rPr>
            </w:pPr>
            <w:r>
              <w:rPr>
                <w:rFonts w:ascii="Arial" w:cs="Arial" w:eastAsia="Arial" w:hAnsi="Arial"/>
                <w:sz w:val="16"/>
                <w:szCs w:val="16"/>
                <w:color w:val="005CB8"/>
              </w:rPr>
              <w:t>Ajay V. Vashee</w:t>
            </w:r>
          </w:p>
        </w:tc>
        <w:tc>
          <w:tcPr>
            <w:tcW w:w="1600" w:type="dxa"/>
            <w:vAlign w:val="bottom"/>
          </w:tcPr>
          <w:p>
            <w:pPr>
              <w:jc w:val="right"/>
              <w:ind w:right="80"/>
              <w:spacing w:after="0"/>
              <w:rPr>
                <w:sz w:val="20"/>
                <w:szCs w:val="20"/>
                <w:color w:val="auto"/>
              </w:rPr>
            </w:pPr>
            <w:r>
              <w:rPr>
                <w:rFonts w:ascii="Arial" w:cs="Arial" w:eastAsia="Arial" w:hAnsi="Arial"/>
                <w:sz w:val="16"/>
                <w:szCs w:val="16"/>
                <w:color w:val="005CB8"/>
              </w:rPr>
              <w:t>3/6/2019</w:t>
            </w:r>
          </w:p>
        </w:tc>
        <w:tc>
          <w:tcPr>
            <w:tcW w:w="1040" w:type="dxa"/>
            <w:vAlign w:val="bottom"/>
          </w:tcPr>
          <w:p>
            <w:pPr>
              <w:jc w:val="right"/>
              <w:ind w:right="102"/>
              <w:spacing w:after="0"/>
              <w:rPr>
                <w:sz w:val="20"/>
                <w:szCs w:val="20"/>
                <w:color w:val="auto"/>
              </w:rPr>
            </w:pPr>
            <w:r>
              <w:rPr>
                <w:rFonts w:ascii="Arial" w:cs="Arial" w:eastAsia="Arial" w:hAnsi="Arial"/>
                <w:sz w:val="16"/>
                <w:szCs w:val="16"/>
                <w:color w:val="005CB8"/>
              </w:rPr>
              <w:t>177,370</w:t>
            </w:r>
          </w:p>
        </w:tc>
        <w:tc>
          <w:tcPr>
            <w:tcW w:w="920" w:type="dxa"/>
            <w:vAlign w:val="bottom"/>
          </w:tcPr>
          <w:p>
            <w:pPr>
              <w:jc w:val="right"/>
              <w:ind w:right="101"/>
              <w:spacing w:after="0"/>
              <w:rPr>
                <w:sz w:val="20"/>
                <w:szCs w:val="20"/>
                <w:color w:val="auto"/>
              </w:rPr>
            </w:pPr>
            <w:r>
              <w:rPr>
                <w:rFonts w:ascii="Arial" w:cs="Arial" w:eastAsia="Arial" w:hAnsi="Arial"/>
                <w:sz w:val="16"/>
                <w:szCs w:val="16"/>
                <w:color w:val="005CB8"/>
              </w:rPr>
              <w:t>354,740</w:t>
            </w:r>
          </w:p>
        </w:tc>
        <w:tc>
          <w:tcPr>
            <w:tcW w:w="1100" w:type="dxa"/>
            <w:vAlign w:val="bottom"/>
          </w:tcPr>
          <w:p>
            <w:pPr>
              <w:jc w:val="right"/>
              <w:ind w:right="121"/>
              <w:spacing w:after="0"/>
              <w:rPr>
                <w:sz w:val="20"/>
                <w:szCs w:val="20"/>
                <w:color w:val="auto"/>
              </w:rPr>
            </w:pPr>
            <w:r>
              <w:rPr>
                <w:rFonts w:ascii="Arial" w:cs="Arial" w:eastAsia="Arial" w:hAnsi="Arial"/>
                <w:sz w:val="16"/>
                <w:szCs w:val="16"/>
                <w:color w:val="005CB8"/>
              </w:rPr>
              <w:t>665,137</w:t>
            </w:r>
          </w:p>
        </w:tc>
        <w:tc>
          <w:tcPr>
            <w:tcW w:w="1480" w:type="dxa"/>
            <w:vAlign w:val="bottom"/>
          </w:tcPr>
          <w:p>
            <w:pPr>
              <w:jc w:val="right"/>
              <w:ind w:right="241"/>
              <w:spacing w:after="0"/>
              <w:rPr>
                <w:sz w:val="20"/>
                <w:szCs w:val="20"/>
                <w:color w:val="auto"/>
              </w:rPr>
            </w:pPr>
            <w:r>
              <w:rPr>
                <w:rFonts w:ascii="Arial" w:cs="Arial" w:eastAsia="Arial" w:hAnsi="Arial"/>
                <w:sz w:val="16"/>
                <w:szCs w:val="16"/>
                <w:color w:val="005CB8"/>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005CB8"/>
              </w:rPr>
              <w:t>—</w:t>
            </w:r>
          </w:p>
        </w:tc>
      </w:tr>
      <w:tr>
        <w:trPr>
          <w:trHeight w:val="378"/>
        </w:trPr>
        <w:tc>
          <w:tcPr>
            <w:tcW w:w="2180" w:type="dxa"/>
            <w:vAlign w:val="bottom"/>
          </w:tcPr>
          <w:p>
            <w:pPr>
              <w:spacing w:after="0"/>
              <w:rPr>
                <w:sz w:val="24"/>
                <w:szCs w:val="24"/>
                <w:color w:val="auto"/>
              </w:rPr>
            </w:pPr>
          </w:p>
        </w:tc>
        <w:tc>
          <w:tcPr>
            <w:tcW w:w="1600" w:type="dxa"/>
            <w:vAlign w:val="bottom"/>
          </w:tcPr>
          <w:p>
            <w:pPr>
              <w:jc w:val="right"/>
              <w:ind w:right="80"/>
              <w:spacing w:after="0"/>
              <w:rPr>
                <w:sz w:val="20"/>
                <w:szCs w:val="20"/>
                <w:color w:val="auto"/>
              </w:rPr>
            </w:pPr>
            <w:r>
              <w:rPr>
                <w:rFonts w:ascii="Arial" w:cs="Arial" w:eastAsia="Arial" w:hAnsi="Arial"/>
                <w:sz w:val="16"/>
                <w:szCs w:val="16"/>
                <w:color w:val="005CB8"/>
              </w:rPr>
              <w:t>4/1/2019</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jc w:val="right"/>
              <w:ind w:right="241"/>
              <w:spacing w:after="0"/>
              <w:rPr>
                <w:sz w:val="20"/>
                <w:szCs w:val="20"/>
                <w:color w:val="auto"/>
              </w:rPr>
            </w:pPr>
            <w:r>
              <w:rPr>
                <w:rFonts w:ascii="Arial" w:cs="Arial" w:eastAsia="Arial" w:hAnsi="Arial"/>
                <w:sz w:val="16"/>
                <w:szCs w:val="16"/>
                <w:color w:val="005CB8"/>
              </w:rPr>
              <w:t>182,837</w:t>
            </w:r>
          </w:p>
        </w:tc>
        <w:tc>
          <w:tcPr>
            <w:tcW w:w="1240" w:type="dxa"/>
            <w:vAlign w:val="bottom"/>
          </w:tcPr>
          <w:p>
            <w:pPr>
              <w:jc w:val="right"/>
              <w:ind w:right="21"/>
              <w:spacing w:after="0"/>
              <w:rPr>
                <w:sz w:val="20"/>
                <w:szCs w:val="20"/>
                <w:color w:val="auto"/>
              </w:rPr>
            </w:pPr>
            <w:r>
              <w:rPr>
                <w:rFonts w:ascii="Arial" w:cs="Arial" w:eastAsia="Arial" w:hAnsi="Arial"/>
                <w:sz w:val="16"/>
                <w:szCs w:val="16"/>
                <w:color w:val="005CB8"/>
              </w:rPr>
              <w:t>3,985,847</w:t>
            </w:r>
          </w:p>
        </w:tc>
      </w:tr>
      <w:tr>
        <w:trPr>
          <w:trHeight w:val="87"/>
        </w:trPr>
        <w:tc>
          <w:tcPr>
            <w:tcW w:w="21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378"/>
        </w:trPr>
        <w:tc>
          <w:tcPr>
            <w:tcW w:w="218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Bharat Mediratta</w:t>
            </w:r>
            <w:r>
              <w:rPr>
                <w:rFonts w:ascii="Arial" w:cs="Arial" w:eastAsia="Arial" w:hAnsi="Arial"/>
                <w:sz w:val="26"/>
                <w:szCs w:val="26"/>
                <w:color w:val="005CB8"/>
                <w:vertAlign w:val="superscript"/>
              </w:rPr>
              <w:t>(3)</w:t>
            </w:r>
          </w:p>
        </w:tc>
        <w:tc>
          <w:tcPr>
            <w:tcW w:w="1600" w:type="dxa"/>
            <w:vAlign w:val="bottom"/>
            <w:shd w:val="clear" w:color="auto" w:fill="E5EFFD"/>
          </w:tcPr>
          <w:p>
            <w:pPr>
              <w:jc w:val="right"/>
              <w:ind w:right="80"/>
              <w:spacing w:after="0"/>
              <w:rPr>
                <w:sz w:val="20"/>
                <w:szCs w:val="20"/>
                <w:color w:val="auto"/>
              </w:rPr>
            </w:pPr>
            <w:r>
              <w:rPr>
                <w:rFonts w:ascii="Arial" w:cs="Arial" w:eastAsia="Arial" w:hAnsi="Arial"/>
                <w:sz w:val="16"/>
                <w:szCs w:val="16"/>
                <w:color w:val="005CB8"/>
              </w:rPr>
              <w:t>3/6/2019</w:t>
            </w:r>
          </w:p>
        </w:tc>
        <w:tc>
          <w:tcPr>
            <w:tcW w:w="1040" w:type="dxa"/>
            <w:vAlign w:val="bottom"/>
            <w:shd w:val="clear" w:color="auto" w:fill="E5EFFD"/>
          </w:tcPr>
          <w:p>
            <w:pPr>
              <w:jc w:val="right"/>
              <w:ind w:right="102"/>
              <w:spacing w:after="0"/>
              <w:rPr>
                <w:sz w:val="20"/>
                <w:szCs w:val="20"/>
                <w:color w:val="auto"/>
              </w:rPr>
            </w:pPr>
            <w:r>
              <w:rPr>
                <w:rFonts w:ascii="Arial" w:cs="Arial" w:eastAsia="Arial" w:hAnsi="Arial"/>
                <w:sz w:val="16"/>
                <w:szCs w:val="16"/>
                <w:color w:val="005CB8"/>
              </w:rPr>
              <w:t>52,055</w:t>
            </w:r>
          </w:p>
        </w:tc>
        <w:tc>
          <w:tcPr>
            <w:tcW w:w="920" w:type="dxa"/>
            <w:vAlign w:val="bottom"/>
            <w:shd w:val="clear" w:color="auto" w:fill="E5EFFD"/>
          </w:tcPr>
          <w:p>
            <w:pPr>
              <w:jc w:val="right"/>
              <w:ind w:right="101"/>
              <w:spacing w:after="0"/>
              <w:rPr>
                <w:sz w:val="20"/>
                <w:szCs w:val="20"/>
                <w:color w:val="auto"/>
              </w:rPr>
            </w:pPr>
            <w:r>
              <w:rPr>
                <w:rFonts w:ascii="Arial" w:cs="Arial" w:eastAsia="Arial" w:hAnsi="Arial"/>
                <w:sz w:val="16"/>
                <w:szCs w:val="16"/>
                <w:color w:val="005CB8"/>
              </w:rPr>
              <w:t>104,110</w:t>
            </w:r>
          </w:p>
        </w:tc>
        <w:tc>
          <w:tcPr>
            <w:tcW w:w="1100" w:type="dxa"/>
            <w:vAlign w:val="bottom"/>
            <w:shd w:val="clear" w:color="auto" w:fill="E5EFFD"/>
          </w:tcPr>
          <w:p>
            <w:pPr>
              <w:jc w:val="right"/>
              <w:ind w:right="121"/>
              <w:spacing w:after="0"/>
              <w:rPr>
                <w:sz w:val="20"/>
                <w:szCs w:val="20"/>
                <w:color w:val="auto"/>
              </w:rPr>
            </w:pPr>
            <w:r>
              <w:rPr>
                <w:rFonts w:ascii="Arial" w:cs="Arial" w:eastAsia="Arial" w:hAnsi="Arial"/>
                <w:sz w:val="16"/>
                <w:szCs w:val="16"/>
                <w:color w:val="005CB8"/>
              </w:rPr>
              <w:t>195,206</w:t>
            </w:r>
          </w:p>
        </w:tc>
        <w:tc>
          <w:tcPr>
            <w:tcW w:w="1480" w:type="dxa"/>
            <w:vAlign w:val="bottom"/>
            <w:shd w:val="clear" w:color="auto" w:fill="E5EFFD"/>
          </w:tcPr>
          <w:p>
            <w:pPr>
              <w:jc w:val="right"/>
              <w:ind w:right="241"/>
              <w:spacing w:after="0"/>
              <w:rPr>
                <w:sz w:val="20"/>
                <w:szCs w:val="20"/>
                <w:color w:val="auto"/>
              </w:rPr>
            </w:pPr>
            <w:r>
              <w:rPr>
                <w:rFonts w:ascii="Arial" w:cs="Arial" w:eastAsia="Arial" w:hAnsi="Arial"/>
                <w:sz w:val="16"/>
                <w:szCs w:val="16"/>
                <w:color w:val="005CB8"/>
              </w:rPr>
              <w:t>—</w:t>
            </w:r>
          </w:p>
        </w:tc>
        <w:tc>
          <w:tcPr>
            <w:tcW w:w="124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w:t>
            </w:r>
          </w:p>
        </w:tc>
      </w:tr>
      <w:tr>
        <w:trPr>
          <w:trHeight w:val="291"/>
        </w:trPr>
        <w:tc>
          <w:tcPr>
            <w:tcW w:w="2180" w:type="dxa"/>
            <w:vAlign w:val="bottom"/>
            <w:shd w:val="clear" w:color="auto" w:fill="E5EFFD"/>
          </w:tcPr>
          <w:p>
            <w:pPr>
              <w:spacing w:after="0"/>
              <w:rPr>
                <w:sz w:val="24"/>
                <w:szCs w:val="24"/>
                <w:color w:val="auto"/>
              </w:rPr>
            </w:pPr>
          </w:p>
        </w:tc>
        <w:tc>
          <w:tcPr>
            <w:tcW w:w="1600" w:type="dxa"/>
            <w:vAlign w:val="bottom"/>
            <w:shd w:val="clear" w:color="auto" w:fill="E5EFFD"/>
          </w:tcPr>
          <w:p>
            <w:pPr>
              <w:jc w:val="right"/>
              <w:ind w:right="80"/>
              <w:spacing w:after="0"/>
              <w:rPr>
                <w:sz w:val="20"/>
                <w:szCs w:val="20"/>
                <w:color w:val="auto"/>
              </w:rPr>
            </w:pPr>
            <w:r>
              <w:rPr>
                <w:rFonts w:ascii="Arial" w:cs="Arial" w:eastAsia="Arial" w:hAnsi="Arial"/>
                <w:sz w:val="16"/>
                <w:szCs w:val="16"/>
                <w:color w:val="005CB8"/>
              </w:rPr>
              <w:t>11/1/2019</w:t>
            </w:r>
          </w:p>
        </w:tc>
        <w:tc>
          <w:tcPr>
            <w:tcW w:w="1040" w:type="dxa"/>
            <w:vAlign w:val="bottom"/>
            <w:shd w:val="clear" w:color="auto" w:fill="E5EFFD"/>
          </w:tcPr>
          <w:p>
            <w:pPr>
              <w:spacing w:after="0"/>
              <w:rPr>
                <w:sz w:val="24"/>
                <w:szCs w:val="24"/>
                <w:color w:val="auto"/>
              </w:rPr>
            </w:pPr>
          </w:p>
        </w:tc>
        <w:tc>
          <w:tcPr>
            <w:tcW w:w="920" w:type="dxa"/>
            <w:vAlign w:val="bottom"/>
            <w:shd w:val="clear" w:color="auto" w:fill="E5EFFD"/>
          </w:tcPr>
          <w:p>
            <w:pPr>
              <w:spacing w:after="0"/>
              <w:rPr>
                <w:sz w:val="24"/>
                <w:szCs w:val="24"/>
                <w:color w:val="auto"/>
              </w:rPr>
            </w:pPr>
          </w:p>
        </w:tc>
        <w:tc>
          <w:tcPr>
            <w:tcW w:w="1100" w:type="dxa"/>
            <w:vAlign w:val="bottom"/>
            <w:shd w:val="clear" w:color="auto" w:fill="E5EFFD"/>
          </w:tcPr>
          <w:p>
            <w:pPr>
              <w:spacing w:after="0"/>
              <w:rPr>
                <w:sz w:val="24"/>
                <w:szCs w:val="24"/>
                <w:color w:val="auto"/>
              </w:rPr>
            </w:pPr>
          </w:p>
        </w:tc>
        <w:tc>
          <w:tcPr>
            <w:tcW w:w="1480" w:type="dxa"/>
            <w:vAlign w:val="bottom"/>
            <w:shd w:val="clear" w:color="auto" w:fill="E5EFFD"/>
          </w:tcPr>
          <w:p>
            <w:pPr>
              <w:jc w:val="right"/>
              <w:ind w:right="241"/>
              <w:spacing w:after="0"/>
              <w:rPr>
                <w:sz w:val="20"/>
                <w:szCs w:val="20"/>
                <w:color w:val="auto"/>
              </w:rPr>
            </w:pPr>
            <w:r>
              <w:rPr>
                <w:rFonts w:ascii="Arial" w:cs="Arial" w:eastAsia="Arial" w:hAnsi="Arial"/>
                <w:sz w:val="16"/>
                <w:szCs w:val="16"/>
                <w:color w:val="005CB8"/>
              </w:rPr>
              <w:t>1,053,108</w:t>
            </w:r>
          </w:p>
        </w:tc>
        <w:tc>
          <w:tcPr>
            <w:tcW w:w="124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19,945,866</w:t>
            </w:r>
          </w:p>
        </w:tc>
      </w:tr>
      <w:tr>
        <w:trPr>
          <w:trHeight w:val="87"/>
        </w:trPr>
        <w:tc>
          <w:tcPr>
            <w:tcW w:w="2180" w:type="dxa"/>
            <w:vAlign w:val="bottom"/>
            <w:shd w:val="clear" w:color="auto" w:fill="E5EFFD"/>
          </w:tcPr>
          <w:p>
            <w:pPr>
              <w:spacing w:after="0"/>
              <w:rPr>
                <w:sz w:val="7"/>
                <w:szCs w:val="7"/>
                <w:color w:val="auto"/>
              </w:rPr>
            </w:pPr>
          </w:p>
        </w:tc>
        <w:tc>
          <w:tcPr>
            <w:tcW w:w="1600" w:type="dxa"/>
            <w:vAlign w:val="bottom"/>
            <w:shd w:val="clear" w:color="auto" w:fill="E5EFFD"/>
          </w:tcPr>
          <w:p>
            <w:pPr>
              <w:spacing w:after="0"/>
              <w:rPr>
                <w:sz w:val="7"/>
                <w:szCs w:val="7"/>
                <w:color w:val="auto"/>
              </w:rPr>
            </w:pPr>
          </w:p>
        </w:tc>
        <w:tc>
          <w:tcPr>
            <w:tcW w:w="1040" w:type="dxa"/>
            <w:vAlign w:val="bottom"/>
            <w:shd w:val="clear" w:color="auto" w:fill="E5EFFD"/>
          </w:tcPr>
          <w:p>
            <w:pPr>
              <w:spacing w:after="0"/>
              <w:rPr>
                <w:sz w:val="7"/>
                <w:szCs w:val="7"/>
                <w:color w:val="auto"/>
              </w:rPr>
            </w:pPr>
          </w:p>
        </w:tc>
        <w:tc>
          <w:tcPr>
            <w:tcW w:w="920" w:type="dxa"/>
            <w:vAlign w:val="bottom"/>
            <w:shd w:val="clear" w:color="auto" w:fill="E5EFFD"/>
          </w:tcPr>
          <w:p>
            <w:pPr>
              <w:spacing w:after="0"/>
              <w:rPr>
                <w:sz w:val="7"/>
                <w:szCs w:val="7"/>
                <w:color w:val="auto"/>
              </w:rPr>
            </w:pPr>
          </w:p>
        </w:tc>
        <w:tc>
          <w:tcPr>
            <w:tcW w:w="1100" w:type="dxa"/>
            <w:vAlign w:val="bottom"/>
            <w:shd w:val="clear" w:color="auto" w:fill="E5EFFD"/>
          </w:tcPr>
          <w:p>
            <w:pPr>
              <w:spacing w:after="0"/>
              <w:rPr>
                <w:sz w:val="7"/>
                <w:szCs w:val="7"/>
                <w:color w:val="auto"/>
              </w:rPr>
            </w:pPr>
          </w:p>
        </w:tc>
        <w:tc>
          <w:tcPr>
            <w:tcW w:w="1480" w:type="dxa"/>
            <w:vAlign w:val="bottom"/>
            <w:shd w:val="clear" w:color="auto" w:fill="E5EFFD"/>
          </w:tcPr>
          <w:p>
            <w:pPr>
              <w:spacing w:after="0"/>
              <w:rPr>
                <w:sz w:val="7"/>
                <w:szCs w:val="7"/>
                <w:color w:val="auto"/>
              </w:rPr>
            </w:pPr>
          </w:p>
        </w:tc>
        <w:tc>
          <w:tcPr>
            <w:tcW w:w="1240" w:type="dxa"/>
            <w:vAlign w:val="bottom"/>
            <w:shd w:val="clear" w:color="auto" w:fill="E5EFFD"/>
          </w:tcPr>
          <w:p>
            <w:pPr>
              <w:spacing w:after="0"/>
              <w:rPr>
                <w:sz w:val="7"/>
                <w:szCs w:val="7"/>
                <w:color w:val="auto"/>
              </w:rPr>
            </w:pPr>
          </w:p>
        </w:tc>
      </w:tr>
      <w:tr>
        <w:trPr>
          <w:trHeight w:val="426"/>
        </w:trPr>
        <w:tc>
          <w:tcPr>
            <w:tcW w:w="2180" w:type="dxa"/>
            <w:vAlign w:val="bottom"/>
          </w:tcPr>
          <w:p>
            <w:pPr>
              <w:ind w:left="60"/>
              <w:spacing w:after="0"/>
              <w:rPr>
                <w:sz w:val="20"/>
                <w:szCs w:val="20"/>
                <w:color w:val="auto"/>
              </w:rPr>
            </w:pPr>
            <w:r>
              <w:rPr>
                <w:rFonts w:ascii="Arial" w:cs="Arial" w:eastAsia="Arial" w:hAnsi="Arial"/>
                <w:sz w:val="16"/>
                <w:szCs w:val="16"/>
                <w:color w:val="005CB8"/>
              </w:rPr>
              <w:t>Timothy Young</w:t>
            </w:r>
            <w:r>
              <w:rPr>
                <w:rFonts w:ascii="Arial" w:cs="Arial" w:eastAsia="Arial" w:hAnsi="Arial"/>
                <w:sz w:val="26"/>
                <w:szCs w:val="26"/>
                <w:color w:val="005CB8"/>
                <w:vertAlign w:val="superscript"/>
              </w:rPr>
              <w:t>(3)</w:t>
            </w:r>
          </w:p>
        </w:tc>
        <w:tc>
          <w:tcPr>
            <w:tcW w:w="1600" w:type="dxa"/>
            <w:vAlign w:val="bottom"/>
          </w:tcPr>
          <w:p>
            <w:pPr>
              <w:jc w:val="right"/>
              <w:ind w:right="80"/>
              <w:spacing w:after="0"/>
              <w:rPr>
                <w:sz w:val="20"/>
                <w:szCs w:val="20"/>
                <w:color w:val="auto"/>
              </w:rPr>
            </w:pPr>
            <w:r>
              <w:rPr>
                <w:rFonts w:ascii="Arial" w:cs="Arial" w:eastAsia="Arial" w:hAnsi="Arial"/>
                <w:sz w:val="16"/>
                <w:szCs w:val="16"/>
                <w:color w:val="005CB8"/>
              </w:rPr>
              <w:t>3/6/2019</w:t>
            </w:r>
          </w:p>
        </w:tc>
        <w:tc>
          <w:tcPr>
            <w:tcW w:w="1040" w:type="dxa"/>
            <w:vAlign w:val="bottom"/>
          </w:tcPr>
          <w:p>
            <w:pPr>
              <w:jc w:val="right"/>
              <w:ind w:right="102"/>
              <w:spacing w:after="0"/>
              <w:rPr>
                <w:sz w:val="20"/>
                <w:szCs w:val="20"/>
                <w:color w:val="auto"/>
              </w:rPr>
            </w:pPr>
            <w:r>
              <w:rPr>
                <w:rFonts w:ascii="Arial" w:cs="Arial" w:eastAsia="Arial" w:hAnsi="Arial"/>
                <w:sz w:val="16"/>
                <w:szCs w:val="16"/>
                <w:color w:val="005CB8"/>
              </w:rPr>
              <w:t>58,219</w:t>
            </w:r>
          </w:p>
        </w:tc>
        <w:tc>
          <w:tcPr>
            <w:tcW w:w="920" w:type="dxa"/>
            <w:vAlign w:val="bottom"/>
          </w:tcPr>
          <w:p>
            <w:pPr>
              <w:jc w:val="right"/>
              <w:ind w:right="101"/>
              <w:spacing w:after="0"/>
              <w:rPr>
                <w:sz w:val="20"/>
                <w:szCs w:val="20"/>
                <w:color w:val="auto"/>
              </w:rPr>
            </w:pPr>
            <w:r>
              <w:rPr>
                <w:rFonts w:ascii="Arial" w:cs="Arial" w:eastAsia="Arial" w:hAnsi="Arial"/>
                <w:sz w:val="16"/>
                <w:szCs w:val="16"/>
                <w:color w:val="005CB8"/>
              </w:rPr>
              <w:t>116,438</w:t>
            </w:r>
          </w:p>
        </w:tc>
        <w:tc>
          <w:tcPr>
            <w:tcW w:w="1100" w:type="dxa"/>
            <w:vAlign w:val="bottom"/>
          </w:tcPr>
          <w:p>
            <w:pPr>
              <w:jc w:val="right"/>
              <w:ind w:right="121"/>
              <w:spacing w:after="0"/>
              <w:rPr>
                <w:sz w:val="20"/>
                <w:szCs w:val="20"/>
                <w:color w:val="auto"/>
              </w:rPr>
            </w:pPr>
            <w:r>
              <w:rPr>
                <w:rFonts w:ascii="Arial" w:cs="Arial" w:eastAsia="Arial" w:hAnsi="Arial"/>
                <w:sz w:val="16"/>
                <w:szCs w:val="16"/>
                <w:color w:val="005CB8"/>
              </w:rPr>
              <w:t>218,321</w:t>
            </w:r>
          </w:p>
        </w:tc>
        <w:tc>
          <w:tcPr>
            <w:tcW w:w="1480" w:type="dxa"/>
            <w:vAlign w:val="bottom"/>
          </w:tcPr>
          <w:p>
            <w:pPr>
              <w:jc w:val="right"/>
              <w:ind w:right="241"/>
              <w:spacing w:after="0"/>
              <w:rPr>
                <w:sz w:val="20"/>
                <w:szCs w:val="20"/>
                <w:color w:val="auto"/>
              </w:rPr>
            </w:pPr>
            <w:r>
              <w:rPr>
                <w:rFonts w:ascii="Arial" w:cs="Arial" w:eastAsia="Arial" w:hAnsi="Arial"/>
                <w:sz w:val="16"/>
                <w:szCs w:val="16"/>
                <w:color w:val="005CB8"/>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005CB8"/>
              </w:rPr>
              <w:t>—</w:t>
            </w:r>
          </w:p>
        </w:tc>
      </w:tr>
      <w:tr>
        <w:trPr>
          <w:trHeight w:val="243"/>
        </w:trPr>
        <w:tc>
          <w:tcPr>
            <w:tcW w:w="2180" w:type="dxa"/>
            <w:vAlign w:val="bottom"/>
          </w:tcPr>
          <w:p>
            <w:pPr>
              <w:spacing w:after="0"/>
              <w:rPr>
                <w:sz w:val="21"/>
                <w:szCs w:val="21"/>
                <w:color w:val="auto"/>
              </w:rPr>
            </w:pPr>
          </w:p>
        </w:tc>
        <w:tc>
          <w:tcPr>
            <w:tcW w:w="1600" w:type="dxa"/>
            <w:vAlign w:val="bottom"/>
          </w:tcPr>
          <w:p>
            <w:pPr>
              <w:jc w:val="right"/>
              <w:ind w:right="80"/>
              <w:spacing w:after="0"/>
              <w:rPr>
                <w:sz w:val="20"/>
                <w:szCs w:val="20"/>
                <w:color w:val="auto"/>
              </w:rPr>
            </w:pPr>
            <w:r>
              <w:rPr>
                <w:rFonts w:ascii="Arial" w:cs="Arial" w:eastAsia="Arial" w:hAnsi="Arial"/>
                <w:sz w:val="16"/>
                <w:szCs w:val="16"/>
                <w:color w:val="005CB8"/>
              </w:rPr>
              <w:t>11/1/2019</w:t>
            </w: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80" w:type="dxa"/>
            <w:vAlign w:val="bottom"/>
          </w:tcPr>
          <w:p>
            <w:pPr>
              <w:jc w:val="right"/>
              <w:ind w:right="241"/>
              <w:spacing w:after="0"/>
              <w:rPr>
                <w:sz w:val="20"/>
                <w:szCs w:val="20"/>
                <w:color w:val="auto"/>
              </w:rPr>
            </w:pPr>
            <w:r>
              <w:rPr>
                <w:rFonts w:ascii="Arial" w:cs="Arial" w:eastAsia="Arial" w:hAnsi="Arial"/>
                <w:sz w:val="16"/>
                <w:szCs w:val="16"/>
                <w:color w:val="005CB8"/>
              </w:rPr>
              <w:t>1,053,108</w:t>
            </w:r>
          </w:p>
        </w:tc>
        <w:tc>
          <w:tcPr>
            <w:tcW w:w="1240" w:type="dxa"/>
            <w:vAlign w:val="bottom"/>
          </w:tcPr>
          <w:p>
            <w:pPr>
              <w:jc w:val="right"/>
              <w:ind w:right="21"/>
              <w:spacing w:after="0"/>
              <w:rPr>
                <w:sz w:val="20"/>
                <w:szCs w:val="20"/>
                <w:color w:val="auto"/>
              </w:rPr>
            </w:pPr>
            <w:r>
              <w:rPr>
                <w:rFonts w:ascii="Arial" w:cs="Arial" w:eastAsia="Arial" w:hAnsi="Arial"/>
                <w:sz w:val="16"/>
                <w:szCs w:val="16"/>
                <w:color w:val="005CB8"/>
              </w:rPr>
              <w:t>20,293,391</w:t>
            </w:r>
          </w:p>
        </w:tc>
      </w:tr>
      <w:tr>
        <w:trPr>
          <w:trHeight w:val="87"/>
        </w:trPr>
        <w:tc>
          <w:tcPr>
            <w:tcW w:w="21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91"/>
        </w:trPr>
        <w:tc>
          <w:tcPr>
            <w:tcW w:w="218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Yamini Rangan</w:t>
            </w:r>
          </w:p>
        </w:tc>
        <w:tc>
          <w:tcPr>
            <w:tcW w:w="1600" w:type="dxa"/>
            <w:vAlign w:val="bottom"/>
            <w:shd w:val="clear" w:color="auto" w:fill="E5EFFD"/>
          </w:tcPr>
          <w:p>
            <w:pPr>
              <w:jc w:val="right"/>
              <w:ind w:right="80"/>
              <w:spacing w:after="0"/>
              <w:rPr>
                <w:sz w:val="20"/>
                <w:szCs w:val="20"/>
                <w:color w:val="auto"/>
              </w:rPr>
            </w:pPr>
            <w:r>
              <w:rPr>
                <w:rFonts w:ascii="Arial" w:cs="Arial" w:eastAsia="Arial" w:hAnsi="Arial"/>
                <w:sz w:val="16"/>
                <w:szCs w:val="16"/>
                <w:color w:val="005CB8"/>
              </w:rPr>
              <w:t>3/6/2019</w:t>
            </w:r>
          </w:p>
        </w:tc>
        <w:tc>
          <w:tcPr>
            <w:tcW w:w="1040" w:type="dxa"/>
            <w:vAlign w:val="bottom"/>
            <w:shd w:val="clear" w:color="auto" w:fill="E5EFFD"/>
          </w:tcPr>
          <w:p>
            <w:pPr>
              <w:jc w:val="right"/>
              <w:ind w:right="102"/>
              <w:spacing w:after="0"/>
              <w:rPr>
                <w:sz w:val="20"/>
                <w:szCs w:val="20"/>
                <w:color w:val="auto"/>
              </w:rPr>
            </w:pPr>
            <w:r>
              <w:rPr>
                <w:rFonts w:ascii="Arial" w:cs="Arial" w:eastAsia="Arial" w:hAnsi="Arial"/>
                <w:sz w:val="16"/>
                <w:szCs w:val="16"/>
                <w:color w:val="005CB8"/>
              </w:rPr>
              <w:t>265,445</w:t>
            </w:r>
          </w:p>
        </w:tc>
        <w:tc>
          <w:tcPr>
            <w:tcW w:w="920" w:type="dxa"/>
            <w:vAlign w:val="bottom"/>
            <w:shd w:val="clear" w:color="auto" w:fill="E5EFFD"/>
          </w:tcPr>
          <w:p>
            <w:pPr>
              <w:jc w:val="right"/>
              <w:ind w:right="101"/>
              <w:spacing w:after="0"/>
              <w:rPr>
                <w:sz w:val="20"/>
                <w:szCs w:val="20"/>
                <w:color w:val="auto"/>
              </w:rPr>
            </w:pPr>
            <w:r>
              <w:rPr>
                <w:rFonts w:ascii="Arial" w:cs="Arial" w:eastAsia="Arial" w:hAnsi="Arial"/>
                <w:sz w:val="16"/>
                <w:szCs w:val="16"/>
                <w:color w:val="005CB8"/>
              </w:rPr>
              <w:t>530,890</w:t>
            </w:r>
          </w:p>
        </w:tc>
        <w:tc>
          <w:tcPr>
            <w:tcW w:w="1100" w:type="dxa"/>
            <w:vAlign w:val="bottom"/>
            <w:shd w:val="clear" w:color="auto" w:fill="E5EFFD"/>
          </w:tcPr>
          <w:p>
            <w:pPr>
              <w:jc w:val="right"/>
              <w:ind w:right="121"/>
              <w:spacing w:after="0"/>
              <w:rPr>
                <w:sz w:val="20"/>
                <w:szCs w:val="20"/>
                <w:color w:val="auto"/>
              </w:rPr>
            </w:pPr>
            <w:r>
              <w:rPr>
                <w:rFonts w:ascii="Arial" w:cs="Arial" w:eastAsia="Arial" w:hAnsi="Arial"/>
                <w:sz w:val="16"/>
                <w:szCs w:val="16"/>
                <w:color w:val="005CB8"/>
              </w:rPr>
              <w:t>995,418</w:t>
            </w:r>
          </w:p>
        </w:tc>
        <w:tc>
          <w:tcPr>
            <w:tcW w:w="1480" w:type="dxa"/>
            <w:vAlign w:val="bottom"/>
            <w:shd w:val="clear" w:color="auto" w:fill="E5EFFD"/>
          </w:tcPr>
          <w:p>
            <w:pPr>
              <w:jc w:val="right"/>
              <w:ind w:right="241"/>
              <w:spacing w:after="0"/>
              <w:rPr>
                <w:sz w:val="20"/>
                <w:szCs w:val="20"/>
                <w:color w:val="auto"/>
              </w:rPr>
            </w:pPr>
            <w:r>
              <w:rPr>
                <w:rFonts w:ascii="Arial" w:cs="Arial" w:eastAsia="Arial" w:hAnsi="Arial"/>
                <w:sz w:val="16"/>
                <w:szCs w:val="16"/>
                <w:color w:val="005CB8"/>
              </w:rPr>
              <w:t>—</w:t>
            </w:r>
          </w:p>
        </w:tc>
        <w:tc>
          <w:tcPr>
            <w:tcW w:w="124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w:t>
            </w:r>
          </w:p>
        </w:tc>
      </w:tr>
      <w:tr>
        <w:trPr>
          <w:trHeight w:val="397"/>
        </w:trPr>
        <w:tc>
          <w:tcPr>
            <w:tcW w:w="2180" w:type="dxa"/>
            <w:vAlign w:val="bottom"/>
            <w:shd w:val="clear" w:color="auto" w:fill="E5EFFD"/>
          </w:tcPr>
          <w:p>
            <w:pPr>
              <w:spacing w:after="0"/>
              <w:rPr>
                <w:sz w:val="24"/>
                <w:szCs w:val="24"/>
                <w:color w:val="auto"/>
              </w:rPr>
            </w:pPr>
          </w:p>
        </w:tc>
        <w:tc>
          <w:tcPr>
            <w:tcW w:w="1600" w:type="dxa"/>
            <w:vAlign w:val="bottom"/>
            <w:shd w:val="clear" w:color="auto" w:fill="E5EFFD"/>
          </w:tcPr>
          <w:p>
            <w:pPr>
              <w:jc w:val="right"/>
              <w:ind w:right="80"/>
              <w:spacing w:after="0"/>
              <w:rPr>
                <w:sz w:val="20"/>
                <w:szCs w:val="20"/>
                <w:color w:val="auto"/>
              </w:rPr>
            </w:pPr>
            <w:r>
              <w:rPr>
                <w:rFonts w:ascii="Arial" w:cs="Arial" w:eastAsia="Arial" w:hAnsi="Arial"/>
                <w:sz w:val="16"/>
                <w:szCs w:val="16"/>
                <w:color w:val="005CB8"/>
              </w:rPr>
              <w:t>4/1/2019</w:t>
            </w:r>
          </w:p>
        </w:tc>
        <w:tc>
          <w:tcPr>
            <w:tcW w:w="1040" w:type="dxa"/>
            <w:vAlign w:val="bottom"/>
            <w:shd w:val="clear" w:color="auto" w:fill="E5EFFD"/>
          </w:tcPr>
          <w:p>
            <w:pPr>
              <w:spacing w:after="0"/>
              <w:rPr>
                <w:sz w:val="24"/>
                <w:szCs w:val="24"/>
                <w:color w:val="auto"/>
              </w:rPr>
            </w:pPr>
          </w:p>
        </w:tc>
        <w:tc>
          <w:tcPr>
            <w:tcW w:w="920" w:type="dxa"/>
            <w:vAlign w:val="bottom"/>
            <w:shd w:val="clear" w:color="auto" w:fill="E5EFFD"/>
          </w:tcPr>
          <w:p>
            <w:pPr>
              <w:spacing w:after="0"/>
              <w:rPr>
                <w:sz w:val="24"/>
                <w:szCs w:val="24"/>
                <w:color w:val="auto"/>
              </w:rPr>
            </w:pPr>
          </w:p>
        </w:tc>
        <w:tc>
          <w:tcPr>
            <w:tcW w:w="1100" w:type="dxa"/>
            <w:vAlign w:val="bottom"/>
            <w:shd w:val="clear" w:color="auto" w:fill="E5EFFD"/>
          </w:tcPr>
          <w:p>
            <w:pPr>
              <w:spacing w:after="0"/>
              <w:rPr>
                <w:sz w:val="24"/>
                <w:szCs w:val="24"/>
                <w:color w:val="auto"/>
              </w:rPr>
            </w:pPr>
          </w:p>
        </w:tc>
        <w:tc>
          <w:tcPr>
            <w:tcW w:w="148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133,783</w:t>
            </w:r>
            <w:r>
              <w:rPr>
                <w:rFonts w:ascii="Arial" w:cs="Arial" w:eastAsia="Arial" w:hAnsi="Arial"/>
                <w:sz w:val="26"/>
                <w:szCs w:val="26"/>
                <w:color w:val="005CB8"/>
                <w:vertAlign w:val="superscript"/>
              </w:rPr>
              <w:t>(4)</w:t>
            </w:r>
          </w:p>
        </w:tc>
        <w:tc>
          <w:tcPr>
            <w:tcW w:w="124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2,916,469</w:t>
            </w:r>
          </w:p>
        </w:tc>
      </w:tr>
    </w:tbl>
    <w:p>
      <w:pPr>
        <w:spacing w:after="0" w:line="85" w:lineRule="exact"/>
        <w:rPr>
          <w:sz w:val="20"/>
          <w:szCs w:val="20"/>
          <w:color w:val="auto"/>
        </w:rPr>
      </w:pPr>
    </w:p>
    <w:p>
      <w:pPr>
        <w:ind w:left="960" w:right="1060" w:hanging="244"/>
        <w:spacing w:after="0" w:line="201" w:lineRule="auto"/>
        <w:tabs>
          <w:tab w:leader="none" w:pos="96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Each of these grants was made pursuant to our 2019 Cash Bonus Plan, as described in greater detail under “</w:t>
      </w:r>
      <w:r>
        <w:rPr>
          <w:rFonts w:ascii="Arial" w:cs="Arial" w:eastAsia="Arial" w:hAnsi="Arial"/>
          <w:sz w:val="14"/>
          <w:szCs w:val="14"/>
          <w:i w:val="1"/>
          <w:iCs w:val="1"/>
          <w:color w:val="auto"/>
        </w:rPr>
        <w:t>Compensation Elements—Cash</w:t>
      </w:r>
      <w:r>
        <w:rPr>
          <w:rFonts w:ascii="Arial" w:cs="Arial" w:eastAsia="Arial" w:hAnsi="Arial"/>
          <w:sz w:val="14"/>
          <w:szCs w:val="14"/>
          <w:color w:val="auto"/>
        </w:rPr>
        <w:t xml:space="preserve"> </w:t>
      </w:r>
      <w:r>
        <w:rPr>
          <w:rFonts w:ascii="Arial" w:cs="Arial" w:eastAsia="Arial" w:hAnsi="Arial"/>
          <w:sz w:val="14"/>
          <w:szCs w:val="14"/>
          <w:i w:val="1"/>
          <w:iCs w:val="1"/>
          <w:color w:val="auto"/>
        </w:rPr>
        <w:t>Bonus</w:t>
      </w:r>
      <w:r>
        <w:rPr>
          <w:rFonts w:ascii="Arial" w:cs="Arial" w:eastAsia="Arial" w:hAnsi="Arial"/>
          <w:sz w:val="14"/>
          <w:szCs w:val="14"/>
          <w:color w:val="auto"/>
        </w:rPr>
        <w:t>” above.</w:t>
      </w:r>
    </w:p>
    <w:p>
      <w:pPr>
        <w:spacing w:after="0" w:line="1" w:lineRule="exact"/>
        <w:rPr>
          <w:rFonts w:ascii="Arial" w:cs="Arial" w:eastAsia="Arial" w:hAnsi="Arial"/>
          <w:sz w:val="22"/>
          <w:szCs w:val="22"/>
          <w:color w:val="auto"/>
          <w:vertAlign w:val="superscript"/>
        </w:rPr>
      </w:pPr>
    </w:p>
    <w:p>
      <w:pPr>
        <w:ind w:left="960" w:hanging="244"/>
        <w:spacing w:after="0" w:line="219" w:lineRule="auto"/>
        <w:tabs>
          <w:tab w:leader="none" w:pos="960"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Amounts reported represent the aggregate grant-date fair value of RSUs calculated in accordance with ASC Topic 718.</w:t>
      </w:r>
    </w:p>
    <w:p>
      <w:pPr>
        <w:spacing w:after="0" w:line="3" w:lineRule="exact"/>
        <w:rPr>
          <w:rFonts w:ascii="Arial" w:cs="Arial" w:eastAsia="Arial" w:hAnsi="Arial"/>
          <w:sz w:val="18"/>
          <w:szCs w:val="18"/>
          <w:color w:val="auto"/>
          <w:vertAlign w:val="superscript"/>
        </w:rPr>
      </w:pPr>
    </w:p>
    <w:p>
      <w:pPr>
        <w:ind w:left="960" w:right="920" w:hanging="244"/>
        <w:spacing w:after="0" w:line="217" w:lineRule="auto"/>
        <w:tabs>
          <w:tab w:leader="none" w:pos="960"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The Grant Date Fair Value for Messrs. Mediratta and Young are based on the closing price of our Class A common stock on their respective first day of employment with us.</w:t>
      </w:r>
    </w:p>
    <w:p>
      <w:pPr>
        <w:spacing w:after="0" w:line="1" w:lineRule="exact"/>
        <w:rPr>
          <w:rFonts w:ascii="Arial" w:cs="Arial" w:eastAsia="Arial" w:hAnsi="Arial"/>
          <w:sz w:val="18"/>
          <w:szCs w:val="18"/>
          <w:color w:val="auto"/>
          <w:vertAlign w:val="superscript"/>
        </w:rPr>
      </w:pPr>
    </w:p>
    <w:p>
      <w:pPr>
        <w:ind w:left="960" w:hanging="244"/>
        <w:spacing w:after="0" w:line="203" w:lineRule="auto"/>
        <w:tabs>
          <w:tab w:leader="none" w:pos="960" w:val="left"/>
        </w:tabs>
        <w:numPr>
          <w:ilvl w:val="0"/>
          <w:numId w:val="62"/>
        </w:numPr>
        <w:rPr>
          <w:rFonts w:ascii="Arial" w:cs="Arial" w:eastAsia="Arial" w:hAnsi="Arial"/>
          <w:sz w:val="18"/>
          <w:szCs w:val="18"/>
          <w:color w:val="auto"/>
          <w:vertAlign w:val="superscript"/>
        </w:rPr>
      </w:pPr>
      <w:r>
        <w:rPr>
          <w:rFonts w:ascii="Arial" w:cs="Arial" w:eastAsia="Arial" w:hAnsi="Arial"/>
          <w:sz w:val="14"/>
          <w:szCs w:val="14"/>
          <w:color w:val="auto"/>
        </w:rPr>
        <w:t>108,699 unvested RSUs, representing a grant date fair value of $2,369,638, were forfeited upon Ms. Rangan’s resignation in January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41</w:t>
            </w:r>
          </w:p>
        </w:tc>
      </w:tr>
      <w:tr>
        <w:trPr>
          <w:trHeight w:val="181"/>
        </w:trPr>
        <w:tc>
          <w:tcPr>
            <w:tcW w:w="9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45" w:name="page46"/>
    <w:bookmarkEnd w:id="45"/>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5CB8"/>
        </w:rPr>
        <w:t>EXECUTIVE COMPENSATION (continued)</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26"/>
          <w:szCs w:val="26"/>
          <w:color w:val="005CB8"/>
        </w:rPr>
        <w:t>Outstanding Equity Awards at 2019 Year-End</w:t>
      </w:r>
    </w:p>
    <w:p>
      <w:pPr>
        <w:spacing w:after="0" w:line="196" w:lineRule="exact"/>
        <w:rPr>
          <w:sz w:val="20"/>
          <w:szCs w:val="20"/>
          <w:color w:val="auto"/>
        </w:rPr>
      </w:pPr>
    </w:p>
    <w:p>
      <w:pPr>
        <w:ind w:left="4" w:right="920"/>
        <w:spacing w:after="0" w:line="260" w:lineRule="auto"/>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97155</wp:posOffset>
            </wp:positionV>
            <wp:extent cx="6077585" cy="3351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7585" cy="3351530"/>
                    </a:xfrm>
                    <a:prstGeom prst="rect">
                      <a:avLst/>
                    </a:prstGeom>
                    <a:noFill/>
                  </pic:spPr>
                </pic:pic>
              </a:graphicData>
            </a:graphic>
          </wp:anchor>
        </w:drawing>
      </w:r>
    </w:p>
    <w:p>
      <w:pPr>
        <w:spacing w:after="0" w:line="133"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2180" w:type="dxa"/>
            <w:vAlign w:val="bottom"/>
            <w:shd w:val="clear" w:color="auto" w:fill="0060EC"/>
          </w:tcPr>
          <w:p>
            <w:pPr>
              <w:spacing w:after="0"/>
              <w:rPr>
                <w:sz w:val="24"/>
                <w:szCs w:val="24"/>
                <w:color w:val="auto"/>
              </w:rPr>
            </w:pPr>
          </w:p>
        </w:tc>
        <w:tc>
          <w:tcPr>
            <w:tcW w:w="1220" w:type="dxa"/>
            <w:vAlign w:val="bottom"/>
            <w:shd w:val="clear" w:color="auto" w:fill="0060EC"/>
          </w:tcPr>
          <w:p>
            <w:pPr>
              <w:spacing w:after="0"/>
              <w:rPr>
                <w:sz w:val="24"/>
                <w:szCs w:val="24"/>
                <w:color w:val="auto"/>
              </w:rPr>
            </w:pPr>
          </w:p>
        </w:tc>
        <w:tc>
          <w:tcPr>
            <w:tcW w:w="2180" w:type="dxa"/>
            <w:vAlign w:val="bottom"/>
            <w:gridSpan w:val="2"/>
            <w:shd w:val="clear" w:color="auto" w:fill="0060EC"/>
          </w:tcPr>
          <w:p>
            <w:pPr>
              <w:jc w:val="right"/>
              <w:ind w:right="522"/>
              <w:spacing w:after="0"/>
              <w:rPr>
                <w:sz w:val="20"/>
                <w:szCs w:val="20"/>
                <w:color w:val="auto"/>
              </w:rPr>
            </w:pPr>
            <w:r>
              <w:rPr>
                <w:rFonts w:ascii="Arial" w:cs="Arial" w:eastAsia="Arial" w:hAnsi="Arial"/>
                <w:sz w:val="14"/>
                <w:szCs w:val="14"/>
                <w:b w:val="1"/>
                <w:bCs w:val="1"/>
                <w:color w:val="FFFFFF"/>
              </w:rPr>
              <w:t>Option awards</w:t>
            </w:r>
          </w:p>
        </w:tc>
        <w:tc>
          <w:tcPr>
            <w:tcW w:w="800" w:type="dxa"/>
            <w:vAlign w:val="bottom"/>
            <w:shd w:val="clear" w:color="auto" w:fill="0060EC"/>
          </w:tcPr>
          <w:p>
            <w:pPr>
              <w:spacing w:after="0"/>
              <w:rPr>
                <w:sz w:val="24"/>
                <w:szCs w:val="24"/>
                <w:color w:val="auto"/>
              </w:rPr>
            </w:pPr>
          </w:p>
        </w:tc>
        <w:tc>
          <w:tcPr>
            <w:tcW w:w="900" w:type="dxa"/>
            <w:vAlign w:val="bottom"/>
            <w:shd w:val="clear" w:color="auto" w:fill="0060EC"/>
          </w:tcPr>
          <w:p>
            <w:pPr>
              <w:spacing w:after="0"/>
              <w:rPr>
                <w:sz w:val="24"/>
                <w:szCs w:val="24"/>
                <w:color w:val="auto"/>
              </w:rPr>
            </w:pPr>
          </w:p>
        </w:tc>
        <w:tc>
          <w:tcPr>
            <w:tcW w:w="2280" w:type="dxa"/>
            <w:vAlign w:val="bottom"/>
            <w:gridSpan w:val="2"/>
            <w:shd w:val="clear" w:color="auto" w:fill="0060EC"/>
          </w:tcPr>
          <w:p>
            <w:pPr>
              <w:jc w:val="right"/>
              <w:ind w:right="562"/>
              <w:spacing w:after="0"/>
              <w:rPr>
                <w:sz w:val="20"/>
                <w:szCs w:val="20"/>
                <w:color w:val="auto"/>
              </w:rPr>
            </w:pPr>
            <w:r>
              <w:rPr>
                <w:rFonts w:ascii="Arial" w:cs="Arial" w:eastAsia="Arial" w:hAnsi="Arial"/>
                <w:sz w:val="14"/>
                <w:szCs w:val="14"/>
                <w:b w:val="1"/>
                <w:bCs w:val="1"/>
                <w:color w:val="FFFFFF"/>
              </w:rPr>
              <w:t>Stock Awards</w:t>
            </w:r>
          </w:p>
        </w:tc>
      </w:tr>
      <w:tr>
        <w:trPr>
          <w:trHeight w:val="296"/>
        </w:trPr>
        <w:tc>
          <w:tcPr>
            <w:tcW w:w="2180" w:type="dxa"/>
            <w:vAlign w:val="bottom"/>
            <w:shd w:val="clear" w:color="auto" w:fill="0060EC"/>
          </w:tcPr>
          <w:p>
            <w:pPr>
              <w:spacing w:after="0"/>
              <w:rPr>
                <w:sz w:val="24"/>
                <w:szCs w:val="24"/>
                <w:color w:val="auto"/>
              </w:rPr>
            </w:pPr>
          </w:p>
        </w:tc>
        <w:tc>
          <w:tcPr>
            <w:tcW w:w="1220" w:type="dxa"/>
            <w:vAlign w:val="bottom"/>
            <w:shd w:val="clear" w:color="auto" w:fill="0060EC"/>
          </w:tcPr>
          <w:p>
            <w:pPr>
              <w:spacing w:after="0"/>
              <w:rPr>
                <w:sz w:val="24"/>
                <w:szCs w:val="24"/>
                <w:color w:val="auto"/>
              </w:rPr>
            </w:pPr>
          </w:p>
        </w:tc>
        <w:tc>
          <w:tcPr>
            <w:tcW w:w="1020" w:type="dxa"/>
            <w:vAlign w:val="bottom"/>
            <w:shd w:val="clear" w:color="auto" w:fill="0060EC"/>
          </w:tcPr>
          <w:p>
            <w:pPr>
              <w:jc w:val="center"/>
              <w:ind w:right="23"/>
              <w:spacing w:after="0"/>
              <w:rPr>
                <w:sz w:val="20"/>
                <w:szCs w:val="20"/>
                <w:color w:val="auto"/>
              </w:rPr>
            </w:pPr>
            <w:r>
              <w:rPr>
                <w:rFonts w:ascii="Arial" w:cs="Arial" w:eastAsia="Arial" w:hAnsi="Arial"/>
                <w:sz w:val="14"/>
                <w:szCs w:val="14"/>
                <w:b w:val="1"/>
                <w:bCs w:val="1"/>
                <w:color w:val="FFFFFF"/>
              </w:rPr>
              <w:t>Number of</w:t>
            </w:r>
          </w:p>
        </w:tc>
        <w:tc>
          <w:tcPr>
            <w:tcW w:w="116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Number of</w:t>
            </w:r>
          </w:p>
        </w:tc>
        <w:tc>
          <w:tcPr>
            <w:tcW w:w="800" w:type="dxa"/>
            <w:vAlign w:val="bottom"/>
            <w:shd w:val="clear" w:color="auto" w:fill="0060EC"/>
          </w:tcPr>
          <w:p>
            <w:pPr>
              <w:spacing w:after="0"/>
              <w:rPr>
                <w:sz w:val="24"/>
                <w:szCs w:val="24"/>
                <w:color w:val="auto"/>
              </w:rPr>
            </w:pPr>
          </w:p>
        </w:tc>
        <w:tc>
          <w:tcPr>
            <w:tcW w:w="900" w:type="dxa"/>
            <w:vAlign w:val="bottom"/>
            <w:shd w:val="clear" w:color="auto" w:fill="0060EC"/>
          </w:tcPr>
          <w:p>
            <w:pPr>
              <w:spacing w:after="0"/>
              <w:rPr>
                <w:sz w:val="24"/>
                <w:szCs w:val="24"/>
                <w:color w:val="auto"/>
              </w:rPr>
            </w:pPr>
          </w:p>
        </w:tc>
        <w:tc>
          <w:tcPr>
            <w:tcW w:w="1140" w:type="dxa"/>
            <w:vAlign w:val="bottom"/>
            <w:shd w:val="clear" w:color="auto" w:fill="0060EC"/>
          </w:tcPr>
          <w:p>
            <w:pPr>
              <w:spacing w:after="0"/>
              <w:rPr>
                <w:sz w:val="24"/>
                <w:szCs w:val="24"/>
                <w:color w:val="auto"/>
              </w:rPr>
            </w:pPr>
          </w:p>
        </w:tc>
        <w:tc>
          <w:tcPr>
            <w:tcW w:w="1140" w:type="dxa"/>
            <w:vAlign w:val="bottom"/>
            <w:shd w:val="clear" w:color="auto" w:fill="0060EC"/>
          </w:tcPr>
          <w:p>
            <w:pPr>
              <w:spacing w:after="0"/>
              <w:rPr>
                <w:sz w:val="24"/>
                <w:szCs w:val="24"/>
                <w:color w:val="auto"/>
              </w:rPr>
            </w:pPr>
          </w:p>
        </w:tc>
      </w:tr>
      <w:tr>
        <w:trPr>
          <w:trHeight w:val="162"/>
        </w:trPr>
        <w:tc>
          <w:tcPr>
            <w:tcW w:w="2180" w:type="dxa"/>
            <w:vAlign w:val="bottom"/>
            <w:shd w:val="clear" w:color="auto" w:fill="0060EC"/>
          </w:tcPr>
          <w:p>
            <w:pPr>
              <w:spacing w:after="0"/>
              <w:rPr>
                <w:sz w:val="14"/>
                <w:szCs w:val="14"/>
                <w:color w:val="auto"/>
              </w:rPr>
            </w:pPr>
          </w:p>
        </w:tc>
        <w:tc>
          <w:tcPr>
            <w:tcW w:w="1220" w:type="dxa"/>
            <w:vAlign w:val="bottom"/>
            <w:shd w:val="clear" w:color="auto" w:fill="0060EC"/>
          </w:tcPr>
          <w:p>
            <w:pPr>
              <w:spacing w:after="0"/>
              <w:rPr>
                <w:sz w:val="14"/>
                <w:szCs w:val="14"/>
                <w:color w:val="auto"/>
              </w:rPr>
            </w:pPr>
          </w:p>
        </w:tc>
        <w:tc>
          <w:tcPr>
            <w:tcW w:w="1020" w:type="dxa"/>
            <w:vAlign w:val="bottom"/>
            <w:shd w:val="clear" w:color="auto" w:fill="0060EC"/>
          </w:tcPr>
          <w:p>
            <w:pPr>
              <w:jc w:val="center"/>
              <w:ind w:right="23"/>
              <w:spacing w:after="0"/>
              <w:rPr>
                <w:sz w:val="20"/>
                <w:szCs w:val="20"/>
                <w:color w:val="auto"/>
              </w:rPr>
            </w:pPr>
            <w:r>
              <w:rPr>
                <w:rFonts w:ascii="Arial" w:cs="Arial" w:eastAsia="Arial" w:hAnsi="Arial"/>
                <w:sz w:val="14"/>
                <w:szCs w:val="14"/>
                <w:b w:val="1"/>
                <w:bCs w:val="1"/>
                <w:color w:val="FFFFFF"/>
              </w:rPr>
              <w:t>Securities</w:t>
            </w:r>
          </w:p>
        </w:tc>
        <w:tc>
          <w:tcPr>
            <w:tcW w:w="116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Securities</w:t>
            </w:r>
          </w:p>
        </w:tc>
        <w:tc>
          <w:tcPr>
            <w:tcW w:w="800" w:type="dxa"/>
            <w:vAlign w:val="bottom"/>
            <w:shd w:val="clear" w:color="auto" w:fill="0060EC"/>
          </w:tcPr>
          <w:p>
            <w:pPr>
              <w:spacing w:after="0"/>
              <w:rPr>
                <w:sz w:val="14"/>
                <w:szCs w:val="14"/>
                <w:color w:val="auto"/>
              </w:rPr>
            </w:pPr>
          </w:p>
        </w:tc>
        <w:tc>
          <w:tcPr>
            <w:tcW w:w="900" w:type="dxa"/>
            <w:vAlign w:val="bottom"/>
            <w:shd w:val="clear" w:color="auto" w:fill="0060EC"/>
          </w:tcPr>
          <w:p>
            <w:pPr>
              <w:spacing w:after="0"/>
              <w:rPr>
                <w:sz w:val="14"/>
                <w:szCs w:val="14"/>
                <w:color w:val="auto"/>
              </w:rPr>
            </w:pPr>
          </w:p>
        </w:tc>
        <w:tc>
          <w:tcPr>
            <w:tcW w:w="114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Number of</w:t>
            </w:r>
          </w:p>
        </w:tc>
        <w:tc>
          <w:tcPr>
            <w:tcW w:w="114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Market value</w:t>
            </w:r>
          </w:p>
        </w:tc>
      </w:tr>
      <w:tr>
        <w:trPr>
          <w:trHeight w:val="162"/>
        </w:trPr>
        <w:tc>
          <w:tcPr>
            <w:tcW w:w="2180" w:type="dxa"/>
            <w:vAlign w:val="bottom"/>
            <w:shd w:val="clear" w:color="auto" w:fill="0060EC"/>
          </w:tcPr>
          <w:p>
            <w:pPr>
              <w:spacing w:after="0"/>
              <w:rPr>
                <w:sz w:val="14"/>
                <w:szCs w:val="14"/>
                <w:color w:val="auto"/>
              </w:rPr>
            </w:pPr>
          </w:p>
        </w:tc>
        <w:tc>
          <w:tcPr>
            <w:tcW w:w="1220" w:type="dxa"/>
            <w:vAlign w:val="bottom"/>
            <w:shd w:val="clear" w:color="auto" w:fill="0060EC"/>
          </w:tcPr>
          <w:p>
            <w:pPr>
              <w:spacing w:after="0"/>
              <w:rPr>
                <w:sz w:val="14"/>
                <w:szCs w:val="14"/>
                <w:color w:val="auto"/>
              </w:rPr>
            </w:pPr>
          </w:p>
        </w:tc>
        <w:tc>
          <w:tcPr>
            <w:tcW w:w="1020" w:type="dxa"/>
            <w:vAlign w:val="bottom"/>
            <w:shd w:val="clear" w:color="auto" w:fill="0060EC"/>
          </w:tcPr>
          <w:p>
            <w:pPr>
              <w:jc w:val="center"/>
              <w:ind w:right="23"/>
              <w:spacing w:after="0"/>
              <w:rPr>
                <w:sz w:val="20"/>
                <w:szCs w:val="20"/>
                <w:color w:val="auto"/>
              </w:rPr>
            </w:pPr>
            <w:r>
              <w:rPr>
                <w:rFonts w:ascii="Arial" w:cs="Arial" w:eastAsia="Arial" w:hAnsi="Arial"/>
                <w:sz w:val="14"/>
                <w:szCs w:val="14"/>
                <w:b w:val="1"/>
                <w:bCs w:val="1"/>
                <w:color w:val="FFFFFF"/>
              </w:rPr>
              <w:t>Underlying</w:t>
            </w:r>
          </w:p>
        </w:tc>
        <w:tc>
          <w:tcPr>
            <w:tcW w:w="116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Underlying</w:t>
            </w:r>
          </w:p>
        </w:tc>
        <w:tc>
          <w:tcPr>
            <w:tcW w:w="80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Option</w:t>
            </w:r>
          </w:p>
        </w:tc>
        <w:tc>
          <w:tcPr>
            <w:tcW w:w="900" w:type="dxa"/>
            <w:vAlign w:val="bottom"/>
            <w:shd w:val="clear" w:color="auto" w:fill="0060EC"/>
          </w:tcPr>
          <w:p>
            <w:pPr>
              <w:spacing w:after="0"/>
              <w:rPr>
                <w:sz w:val="14"/>
                <w:szCs w:val="14"/>
                <w:color w:val="auto"/>
              </w:rPr>
            </w:pPr>
          </w:p>
        </w:tc>
        <w:tc>
          <w:tcPr>
            <w:tcW w:w="114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shares or</w:t>
            </w:r>
          </w:p>
        </w:tc>
        <w:tc>
          <w:tcPr>
            <w:tcW w:w="114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of shares or</w:t>
            </w:r>
          </w:p>
        </w:tc>
      </w:tr>
      <w:tr>
        <w:trPr>
          <w:trHeight w:val="162"/>
        </w:trPr>
        <w:tc>
          <w:tcPr>
            <w:tcW w:w="2180" w:type="dxa"/>
            <w:vAlign w:val="bottom"/>
            <w:shd w:val="clear" w:color="auto" w:fill="0060EC"/>
          </w:tcPr>
          <w:p>
            <w:pPr>
              <w:spacing w:after="0"/>
              <w:rPr>
                <w:sz w:val="14"/>
                <w:szCs w:val="14"/>
                <w:color w:val="auto"/>
              </w:rPr>
            </w:pPr>
          </w:p>
        </w:tc>
        <w:tc>
          <w:tcPr>
            <w:tcW w:w="1220" w:type="dxa"/>
            <w:vAlign w:val="bottom"/>
            <w:shd w:val="clear" w:color="auto" w:fill="0060EC"/>
          </w:tcPr>
          <w:p>
            <w:pPr>
              <w:spacing w:after="0"/>
              <w:rPr>
                <w:sz w:val="14"/>
                <w:szCs w:val="14"/>
                <w:color w:val="auto"/>
              </w:rPr>
            </w:pPr>
          </w:p>
        </w:tc>
        <w:tc>
          <w:tcPr>
            <w:tcW w:w="1020" w:type="dxa"/>
            <w:vAlign w:val="bottom"/>
            <w:shd w:val="clear" w:color="auto" w:fill="0060EC"/>
          </w:tcPr>
          <w:p>
            <w:pPr>
              <w:jc w:val="right"/>
              <w:ind w:right="23"/>
              <w:spacing w:after="0"/>
              <w:rPr>
                <w:sz w:val="20"/>
                <w:szCs w:val="20"/>
                <w:color w:val="auto"/>
              </w:rPr>
            </w:pPr>
            <w:r>
              <w:rPr>
                <w:rFonts w:ascii="Arial" w:cs="Arial" w:eastAsia="Arial" w:hAnsi="Arial"/>
                <w:sz w:val="14"/>
                <w:szCs w:val="14"/>
                <w:b w:val="1"/>
                <w:bCs w:val="1"/>
                <w:color w:val="FFFFFF"/>
              </w:rPr>
              <w:t>Unexercised</w:t>
            </w:r>
          </w:p>
        </w:tc>
        <w:tc>
          <w:tcPr>
            <w:tcW w:w="116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Unexercised</w:t>
            </w:r>
          </w:p>
        </w:tc>
        <w:tc>
          <w:tcPr>
            <w:tcW w:w="800" w:type="dxa"/>
            <w:vAlign w:val="bottom"/>
            <w:shd w:val="clear" w:color="auto" w:fill="0060EC"/>
          </w:tcPr>
          <w:p>
            <w:pPr>
              <w:jc w:val="right"/>
              <w:ind w:right="21"/>
              <w:spacing w:after="0"/>
              <w:rPr>
                <w:sz w:val="20"/>
                <w:szCs w:val="20"/>
                <w:color w:val="auto"/>
              </w:rPr>
            </w:pPr>
            <w:r>
              <w:rPr>
                <w:rFonts w:ascii="Arial" w:cs="Arial" w:eastAsia="Arial" w:hAnsi="Arial"/>
                <w:sz w:val="14"/>
                <w:szCs w:val="14"/>
                <w:b w:val="1"/>
                <w:bCs w:val="1"/>
                <w:color w:val="FFFFFF"/>
              </w:rPr>
              <w:t>Exercise</w:t>
            </w:r>
          </w:p>
        </w:tc>
        <w:tc>
          <w:tcPr>
            <w:tcW w:w="90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Option</w:t>
            </w:r>
          </w:p>
        </w:tc>
        <w:tc>
          <w:tcPr>
            <w:tcW w:w="114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units of stock</w:t>
            </w:r>
          </w:p>
        </w:tc>
        <w:tc>
          <w:tcPr>
            <w:tcW w:w="114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units of stock</w:t>
            </w:r>
          </w:p>
        </w:tc>
      </w:tr>
      <w:tr>
        <w:trPr>
          <w:trHeight w:val="148"/>
        </w:trPr>
        <w:tc>
          <w:tcPr>
            <w:tcW w:w="2180" w:type="dxa"/>
            <w:vAlign w:val="bottom"/>
            <w:shd w:val="clear" w:color="auto" w:fill="0060EC"/>
          </w:tcPr>
          <w:p>
            <w:pPr>
              <w:spacing w:after="0"/>
              <w:rPr>
                <w:sz w:val="12"/>
                <w:szCs w:val="12"/>
                <w:color w:val="auto"/>
              </w:rPr>
            </w:pPr>
          </w:p>
        </w:tc>
        <w:tc>
          <w:tcPr>
            <w:tcW w:w="1220" w:type="dxa"/>
            <w:vAlign w:val="bottom"/>
            <w:shd w:val="clear" w:color="auto" w:fill="0060EC"/>
          </w:tcPr>
          <w:p>
            <w:pPr>
              <w:spacing w:after="0"/>
              <w:rPr>
                <w:sz w:val="12"/>
                <w:szCs w:val="12"/>
                <w:color w:val="auto"/>
              </w:rPr>
            </w:pPr>
          </w:p>
        </w:tc>
        <w:tc>
          <w:tcPr>
            <w:tcW w:w="1020" w:type="dxa"/>
            <w:vAlign w:val="bottom"/>
            <w:shd w:val="clear" w:color="auto" w:fill="0060EC"/>
          </w:tcPr>
          <w:p>
            <w:pPr>
              <w:jc w:val="center"/>
              <w:ind w:right="3"/>
              <w:spacing w:after="0" w:line="148" w:lineRule="exact"/>
              <w:rPr>
                <w:sz w:val="20"/>
                <w:szCs w:val="20"/>
                <w:color w:val="auto"/>
              </w:rPr>
            </w:pPr>
            <w:r>
              <w:rPr>
                <w:rFonts w:ascii="Arial" w:cs="Arial" w:eastAsia="Arial" w:hAnsi="Arial"/>
                <w:sz w:val="14"/>
                <w:szCs w:val="14"/>
                <w:b w:val="1"/>
                <w:bCs w:val="1"/>
                <w:color w:val="FFFFFF"/>
              </w:rPr>
              <w:t>Options</w:t>
            </w:r>
          </w:p>
        </w:tc>
        <w:tc>
          <w:tcPr>
            <w:tcW w:w="1160" w:type="dxa"/>
            <w:vAlign w:val="bottom"/>
            <w:shd w:val="clear" w:color="auto" w:fill="0060EC"/>
          </w:tcPr>
          <w:p>
            <w:pPr>
              <w:jc w:val="center"/>
              <w:spacing w:after="0" w:line="148" w:lineRule="exact"/>
              <w:rPr>
                <w:sz w:val="20"/>
                <w:szCs w:val="20"/>
                <w:color w:val="auto"/>
              </w:rPr>
            </w:pPr>
            <w:r>
              <w:rPr>
                <w:rFonts w:ascii="Arial" w:cs="Arial" w:eastAsia="Arial" w:hAnsi="Arial"/>
                <w:sz w:val="14"/>
                <w:szCs w:val="14"/>
                <w:b w:val="1"/>
                <w:bCs w:val="1"/>
                <w:color w:val="FFFFFF"/>
              </w:rPr>
              <w:t>Options</w:t>
            </w:r>
          </w:p>
        </w:tc>
        <w:tc>
          <w:tcPr>
            <w:tcW w:w="800" w:type="dxa"/>
            <w:vAlign w:val="bottom"/>
            <w:shd w:val="clear" w:color="auto" w:fill="0060EC"/>
          </w:tcPr>
          <w:p>
            <w:pPr>
              <w:jc w:val="center"/>
              <w:spacing w:after="0" w:line="148" w:lineRule="exact"/>
              <w:rPr>
                <w:sz w:val="20"/>
                <w:szCs w:val="20"/>
                <w:color w:val="auto"/>
              </w:rPr>
            </w:pPr>
            <w:r>
              <w:rPr>
                <w:rFonts w:ascii="Arial" w:cs="Arial" w:eastAsia="Arial" w:hAnsi="Arial"/>
                <w:sz w:val="14"/>
                <w:szCs w:val="14"/>
                <w:b w:val="1"/>
                <w:bCs w:val="1"/>
                <w:color w:val="FFFFFF"/>
              </w:rPr>
              <w:t>Price</w:t>
            </w:r>
          </w:p>
        </w:tc>
        <w:tc>
          <w:tcPr>
            <w:tcW w:w="900" w:type="dxa"/>
            <w:vAlign w:val="bottom"/>
            <w:shd w:val="clear" w:color="auto" w:fill="0060EC"/>
          </w:tcPr>
          <w:p>
            <w:pPr>
              <w:jc w:val="center"/>
              <w:spacing w:after="0" w:line="148" w:lineRule="exact"/>
              <w:rPr>
                <w:sz w:val="20"/>
                <w:szCs w:val="20"/>
                <w:color w:val="auto"/>
              </w:rPr>
            </w:pPr>
            <w:r>
              <w:rPr>
                <w:rFonts w:ascii="Arial" w:cs="Arial" w:eastAsia="Arial" w:hAnsi="Arial"/>
                <w:sz w:val="14"/>
                <w:szCs w:val="14"/>
                <w:b w:val="1"/>
                <w:bCs w:val="1"/>
                <w:color w:val="FFFFFF"/>
              </w:rPr>
              <w:t>Expiration</w:t>
            </w:r>
          </w:p>
        </w:tc>
        <w:tc>
          <w:tcPr>
            <w:tcW w:w="1140" w:type="dxa"/>
            <w:vAlign w:val="bottom"/>
            <w:shd w:val="clear" w:color="auto" w:fill="0060EC"/>
          </w:tcPr>
          <w:p>
            <w:pPr>
              <w:jc w:val="center"/>
              <w:spacing w:after="0" w:line="148" w:lineRule="exact"/>
              <w:rPr>
                <w:sz w:val="20"/>
                <w:szCs w:val="20"/>
                <w:color w:val="auto"/>
              </w:rPr>
            </w:pPr>
            <w:r>
              <w:rPr>
                <w:rFonts w:ascii="Arial" w:cs="Arial" w:eastAsia="Arial" w:hAnsi="Arial"/>
                <w:sz w:val="14"/>
                <w:szCs w:val="14"/>
                <w:b w:val="1"/>
                <w:bCs w:val="1"/>
                <w:color w:val="FFFFFF"/>
              </w:rPr>
              <w:t>that have not</w:t>
            </w:r>
          </w:p>
        </w:tc>
        <w:tc>
          <w:tcPr>
            <w:tcW w:w="1140" w:type="dxa"/>
            <w:vAlign w:val="bottom"/>
            <w:shd w:val="clear" w:color="auto" w:fill="0060EC"/>
          </w:tcPr>
          <w:p>
            <w:pPr>
              <w:jc w:val="center"/>
              <w:spacing w:after="0" w:line="148" w:lineRule="exact"/>
              <w:rPr>
                <w:sz w:val="20"/>
                <w:szCs w:val="20"/>
                <w:color w:val="auto"/>
              </w:rPr>
            </w:pPr>
            <w:r>
              <w:rPr>
                <w:rFonts w:ascii="Arial" w:cs="Arial" w:eastAsia="Arial" w:hAnsi="Arial"/>
                <w:sz w:val="14"/>
                <w:szCs w:val="14"/>
                <w:b w:val="1"/>
                <w:bCs w:val="1"/>
                <w:color w:val="FFFFFF"/>
              </w:rPr>
              <w:t>that have not</w:t>
            </w:r>
          </w:p>
        </w:tc>
      </w:tr>
      <w:tr>
        <w:trPr>
          <w:trHeight w:val="270"/>
        </w:trPr>
        <w:tc>
          <w:tcPr>
            <w:tcW w:w="2180" w:type="dxa"/>
            <w:vAlign w:val="bottom"/>
            <w:shd w:val="clear" w:color="auto" w:fill="0060EC"/>
          </w:tcPr>
          <w:p>
            <w:pPr>
              <w:ind w:left="40"/>
              <w:spacing w:after="0"/>
              <w:rPr>
                <w:sz w:val="20"/>
                <w:szCs w:val="20"/>
                <w:color w:val="auto"/>
              </w:rPr>
            </w:pPr>
            <w:r>
              <w:rPr>
                <w:rFonts w:ascii="Arial" w:cs="Arial" w:eastAsia="Arial" w:hAnsi="Arial"/>
                <w:sz w:val="14"/>
                <w:szCs w:val="14"/>
                <w:b w:val="1"/>
                <w:bCs w:val="1"/>
                <w:color w:val="FFFFFF"/>
              </w:rPr>
              <w:t>Name</w:t>
            </w:r>
          </w:p>
        </w:tc>
        <w:tc>
          <w:tcPr>
            <w:tcW w:w="1220" w:type="dxa"/>
            <w:vAlign w:val="bottom"/>
            <w:shd w:val="clear" w:color="auto" w:fill="0060EC"/>
          </w:tcPr>
          <w:p>
            <w:pPr>
              <w:jc w:val="right"/>
              <w:ind w:right="60"/>
              <w:spacing w:after="0"/>
              <w:rPr>
                <w:sz w:val="20"/>
                <w:szCs w:val="20"/>
                <w:color w:val="auto"/>
              </w:rPr>
            </w:pPr>
            <w:r>
              <w:rPr>
                <w:rFonts w:ascii="Arial" w:cs="Arial" w:eastAsia="Arial" w:hAnsi="Arial"/>
                <w:sz w:val="14"/>
                <w:szCs w:val="14"/>
                <w:b w:val="1"/>
                <w:bCs w:val="1"/>
                <w:color w:val="FFFFFF"/>
              </w:rPr>
              <w:t>Grant date</w:t>
            </w:r>
          </w:p>
        </w:tc>
        <w:tc>
          <w:tcPr>
            <w:tcW w:w="102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Exercisable</w:t>
            </w:r>
          </w:p>
        </w:tc>
        <w:tc>
          <w:tcPr>
            <w:tcW w:w="1160" w:type="dxa"/>
            <w:vAlign w:val="bottom"/>
            <w:shd w:val="clear" w:color="auto" w:fill="0060EC"/>
          </w:tcPr>
          <w:p>
            <w:pPr>
              <w:jc w:val="right"/>
              <w:ind w:right="22"/>
              <w:spacing w:after="0"/>
              <w:rPr>
                <w:sz w:val="20"/>
                <w:szCs w:val="20"/>
                <w:color w:val="auto"/>
              </w:rPr>
            </w:pPr>
            <w:r>
              <w:rPr>
                <w:rFonts w:ascii="Arial" w:cs="Arial" w:eastAsia="Arial" w:hAnsi="Arial"/>
                <w:sz w:val="14"/>
                <w:szCs w:val="14"/>
                <w:b w:val="1"/>
                <w:bCs w:val="1"/>
                <w:color w:val="FFFFFF"/>
              </w:rPr>
              <w:t>Unexercisable</w:t>
            </w:r>
          </w:p>
        </w:tc>
        <w:tc>
          <w:tcPr>
            <w:tcW w:w="80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Date</w:t>
            </w:r>
          </w:p>
        </w:tc>
        <w:tc>
          <w:tcPr>
            <w:tcW w:w="114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vested</w:t>
            </w:r>
          </w:p>
        </w:tc>
        <w:tc>
          <w:tcPr>
            <w:tcW w:w="114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w w:val="97"/>
              </w:rPr>
              <w:t>vested ($)</w:t>
            </w:r>
            <w:r>
              <w:rPr>
                <w:rFonts w:ascii="Arial" w:cs="Arial" w:eastAsia="Arial" w:hAnsi="Arial"/>
                <w:sz w:val="23"/>
                <w:szCs w:val="23"/>
                <w:b w:val="1"/>
                <w:bCs w:val="1"/>
                <w:color w:val="FFFFFF"/>
                <w:w w:val="97"/>
                <w:vertAlign w:val="superscript"/>
              </w:rPr>
              <w:t>(1)</w:t>
            </w:r>
          </w:p>
        </w:tc>
      </w:tr>
      <w:tr>
        <w:trPr>
          <w:trHeight w:val="338"/>
        </w:trPr>
        <w:tc>
          <w:tcPr>
            <w:tcW w:w="2180" w:type="dxa"/>
            <w:vAlign w:val="bottom"/>
            <w:shd w:val="clear" w:color="auto" w:fill="E5EFFD"/>
          </w:tcPr>
          <w:p>
            <w:pPr>
              <w:ind w:left="40"/>
              <w:spacing w:after="0"/>
              <w:rPr>
                <w:sz w:val="20"/>
                <w:szCs w:val="20"/>
                <w:color w:val="auto"/>
              </w:rPr>
            </w:pPr>
            <w:r>
              <w:rPr>
                <w:rFonts w:ascii="Arial" w:cs="Arial" w:eastAsia="Arial" w:hAnsi="Arial"/>
                <w:sz w:val="16"/>
                <w:szCs w:val="16"/>
                <w:color w:val="005CB8"/>
              </w:rPr>
              <w:t>Andrew W. Houston</w:t>
            </w:r>
          </w:p>
        </w:tc>
        <w:tc>
          <w:tcPr>
            <w:tcW w:w="1220" w:type="dxa"/>
            <w:vAlign w:val="bottom"/>
            <w:shd w:val="clear" w:color="auto" w:fill="E5EFFD"/>
          </w:tcPr>
          <w:p>
            <w:pPr>
              <w:jc w:val="right"/>
              <w:ind w:right="80"/>
              <w:spacing w:after="0"/>
              <w:rPr>
                <w:sz w:val="20"/>
                <w:szCs w:val="20"/>
                <w:color w:val="auto"/>
              </w:rPr>
            </w:pPr>
            <w:r>
              <w:rPr>
                <w:rFonts w:ascii="Arial" w:cs="Arial" w:eastAsia="Arial" w:hAnsi="Arial"/>
                <w:sz w:val="16"/>
                <w:szCs w:val="16"/>
                <w:color w:val="005CB8"/>
              </w:rPr>
              <w:t>12/12/17</w:t>
            </w:r>
            <w:r>
              <w:rPr>
                <w:rFonts w:ascii="Arial" w:cs="Arial" w:eastAsia="Arial" w:hAnsi="Arial"/>
                <w:sz w:val="26"/>
                <w:szCs w:val="26"/>
                <w:color w:val="005CB8"/>
                <w:vertAlign w:val="superscript"/>
              </w:rPr>
              <w:t>(2)</w:t>
            </w:r>
          </w:p>
        </w:tc>
        <w:tc>
          <w:tcPr>
            <w:tcW w:w="1020" w:type="dxa"/>
            <w:vAlign w:val="bottom"/>
            <w:shd w:val="clear" w:color="auto" w:fill="E5EFFD"/>
          </w:tcPr>
          <w:p>
            <w:pPr>
              <w:jc w:val="right"/>
              <w:ind w:right="43"/>
              <w:spacing w:after="0"/>
              <w:rPr>
                <w:sz w:val="20"/>
                <w:szCs w:val="20"/>
                <w:color w:val="auto"/>
              </w:rPr>
            </w:pPr>
            <w:r>
              <w:rPr>
                <w:rFonts w:ascii="Arial" w:cs="Arial" w:eastAsia="Arial" w:hAnsi="Arial"/>
                <w:sz w:val="16"/>
                <w:szCs w:val="16"/>
                <w:color w:val="005CB8"/>
              </w:rPr>
              <w:t>—</w:t>
            </w:r>
          </w:p>
        </w:tc>
        <w:tc>
          <w:tcPr>
            <w:tcW w:w="1160" w:type="dxa"/>
            <w:vAlign w:val="bottom"/>
            <w:shd w:val="clear" w:color="auto" w:fill="E5EFFD"/>
          </w:tcPr>
          <w:p>
            <w:pPr>
              <w:jc w:val="right"/>
              <w:ind w:right="22"/>
              <w:spacing w:after="0"/>
              <w:rPr>
                <w:sz w:val="20"/>
                <w:szCs w:val="20"/>
                <w:color w:val="auto"/>
              </w:rPr>
            </w:pPr>
            <w:r>
              <w:rPr>
                <w:rFonts w:ascii="Arial" w:cs="Arial" w:eastAsia="Arial" w:hAnsi="Arial"/>
                <w:sz w:val="16"/>
                <w:szCs w:val="16"/>
                <w:color w:val="005CB8"/>
              </w:rPr>
              <w:t>—</w:t>
            </w:r>
          </w:p>
        </w:tc>
        <w:tc>
          <w:tcPr>
            <w:tcW w:w="800" w:type="dxa"/>
            <w:vAlign w:val="bottom"/>
            <w:shd w:val="clear" w:color="auto" w:fill="E5EFFD"/>
          </w:tcPr>
          <w:p>
            <w:pPr>
              <w:jc w:val="right"/>
              <w:ind w:right="41"/>
              <w:spacing w:after="0"/>
              <w:rPr>
                <w:sz w:val="20"/>
                <w:szCs w:val="20"/>
                <w:color w:val="auto"/>
              </w:rPr>
            </w:pPr>
            <w:r>
              <w:rPr>
                <w:rFonts w:ascii="Arial" w:cs="Arial" w:eastAsia="Arial" w:hAnsi="Arial"/>
                <w:sz w:val="16"/>
                <w:szCs w:val="16"/>
                <w:color w:val="005CB8"/>
              </w:rPr>
              <w:t>—</w:t>
            </w:r>
          </w:p>
        </w:tc>
        <w:tc>
          <w:tcPr>
            <w:tcW w:w="900" w:type="dxa"/>
            <w:vAlign w:val="bottom"/>
            <w:shd w:val="clear" w:color="auto" w:fill="E5EFFD"/>
          </w:tcPr>
          <w:p>
            <w:pPr>
              <w:ind w:left="620"/>
              <w:spacing w:after="0"/>
              <w:rPr>
                <w:sz w:val="20"/>
                <w:szCs w:val="20"/>
                <w:color w:val="auto"/>
              </w:rPr>
            </w:pPr>
            <w:r>
              <w:rPr>
                <w:rFonts w:ascii="Arial" w:cs="Arial" w:eastAsia="Arial" w:hAnsi="Arial"/>
                <w:sz w:val="16"/>
                <w:szCs w:val="16"/>
                <w:color w:val="005CB8"/>
              </w:rPr>
              <w:t>—</w:t>
            </w:r>
          </w:p>
        </w:tc>
        <w:tc>
          <w:tcPr>
            <w:tcW w:w="1140" w:type="dxa"/>
            <w:vAlign w:val="bottom"/>
            <w:shd w:val="clear" w:color="auto" w:fill="E5EFFD"/>
          </w:tcPr>
          <w:p>
            <w:pPr>
              <w:jc w:val="right"/>
              <w:ind w:right="42"/>
              <w:spacing w:after="0"/>
              <w:rPr>
                <w:sz w:val="20"/>
                <w:szCs w:val="20"/>
                <w:color w:val="auto"/>
              </w:rPr>
            </w:pPr>
            <w:r>
              <w:rPr>
                <w:rFonts w:ascii="Arial" w:cs="Arial" w:eastAsia="Arial" w:hAnsi="Arial"/>
                <w:sz w:val="16"/>
                <w:szCs w:val="16"/>
                <w:color w:val="005CB8"/>
              </w:rPr>
              <w:t>10,333,333</w:t>
            </w:r>
          </w:p>
        </w:tc>
        <w:tc>
          <w:tcPr>
            <w:tcW w:w="1140" w:type="dxa"/>
            <w:vAlign w:val="bottom"/>
            <w:shd w:val="clear" w:color="auto" w:fill="E5EFFD"/>
          </w:tcPr>
          <w:p>
            <w:pPr>
              <w:jc w:val="right"/>
              <w:ind w:right="42"/>
              <w:spacing w:after="0"/>
              <w:rPr>
                <w:sz w:val="20"/>
                <w:szCs w:val="20"/>
                <w:color w:val="auto"/>
              </w:rPr>
            </w:pPr>
            <w:r>
              <w:rPr>
                <w:rFonts w:ascii="Arial" w:cs="Arial" w:eastAsia="Arial" w:hAnsi="Arial"/>
                <w:sz w:val="16"/>
                <w:szCs w:val="16"/>
                <w:color w:val="005CB8"/>
              </w:rPr>
              <w:t>185,069,994</w:t>
            </w:r>
          </w:p>
        </w:tc>
      </w:tr>
      <w:tr>
        <w:trPr>
          <w:trHeight w:val="399"/>
        </w:trPr>
        <w:tc>
          <w:tcPr>
            <w:tcW w:w="2180" w:type="dxa"/>
            <w:vAlign w:val="bottom"/>
          </w:tcPr>
          <w:p>
            <w:pPr>
              <w:ind w:left="40"/>
              <w:spacing w:after="0"/>
              <w:rPr>
                <w:sz w:val="20"/>
                <w:szCs w:val="20"/>
                <w:color w:val="auto"/>
              </w:rPr>
            </w:pPr>
            <w:r>
              <w:rPr>
                <w:rFonts w:ascii="Arial" w:cs="Arial" w:eastAsia="Arial" w:hAnsi="Arial"/>
                <w:sz w:val="16"/>
                <w:szCs w:val="16"/>
                <w:color w:val="005CB8"/>
              </w:rPr>
              <w:t>Ajay V. Vashee</w:t>
            </w:r>
          </w:p>
        </w:tc>
        <w:tc>
          <w:tcPr>
            <w:tcW w:w="1220" w:type="dxa"/>
            <w:vAlign w:val="bottom"/>
          </w:tcPr>
          <w:p>
            <w:pPr>
              <w:jc w:val="right"/>
              <w:ind w:right="80"/>
              <w:spacing w:after="0"/>
              <w:rPr>
                <w:sz w:val="20"/>
                <w:szCs w:val="20"/>
                <w:color w:val="auto"/>
              </w:rPr>
            </w:pPr>
            <w:r>
              <w:rPr>
                <w:rFonts w:ascii="Arial" w:cs="Arial" w:eastAsia="Arial" w:hAnsi="Arial"/>
                <w:sz w:val="16"/>
                <w:szCs w:val="16"/>
                <w:color w:val="005CB8"/>
              </w:rPr>
              <w:t>5/4/2017</w:t>
            </w:r>
            <w:r>
              <w:rPr>
                <w:rFonts w:ascii="Arial" w:cs="Arial" w:eastAsia="Arial" w:hAnsi="Arial"/>
                <w:sz w:val="26"/>
                <w:szCs w:val="26"/>
                <w:color w:val="005CB8"/>
                <w:vertAlign w:val="superscript"/>
              </w:rPr>
              <w:t>(3)</w:t>
            </w:r>
          </w:p>
        </w:tc>
        <w:tc>
          <w:tcPr>
            <w:tcW w:w="1020" w:type="dxa"/>
            <w:vAlign w:val="bottom"/>
          </w:tcPr>
          <w:p>
            <w:pPr>
              <w:jc w:val="right"/>
              <w:ind w:right="43"/>
              <w:spacing w:after="0"/>
              <w:rPr>
                <w:sz w:val="20"/>
                <w:szCs w:val="20"/>
                <w:color w:val="auto"/>
              </w:rPr>
            </w:pPr>
            <w:r>
              <w:rPr>
                <w:rFonts w:ascii="Arial" w:cs="Arial" w:eastAsia="Arial" w:hAnsi="Arial"/>
                <w:sz w:val="16"/>
                <w:szCs w:val="16"/>
                <w:color w:val="005CB8"/>
              </w:rPr>
              <w:t>—</w:t>
            </w:r>
          </w:p>
        </w:tc>
        <w:tc>
          <w:tcPr>
            <w:tcW w:w="1160" w:type="dxa"/>
            <w:vAlign w:val="bottom"/>
          </w:tcPr>
          <w:p>
            <w:pPr>
              <w:jc w:val="right"/>
              <w:ind w:right="22"/>
              <w:spacing w:after="0"/>
              <w:rPr>
                <w:sz w:val="20"/>
                <w:szCs w:val="20"/>
                <w:color w:val="auto"/>
              </w:rPr>
            </w:pPr>
            <w:r>
              <w:rPr>
                <w:rFonts w:ascii="Arial" w:cs="Arial" w:eastAsia="Arial" w:hAnsi="Arial"/>
                <w:sz w:val="16"/>
                <w:szCs w:val="16"/>
                <w:color w:val="005CB8"/>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005CB8"/>
              </w:rPr>
              <w:t>—</w:t>
            </w:r>
          </w:p>
        </w:tc>
        <w:tc>
          <w:tcPr>
            <w:tcW w:w="900" w:type="dxa"/>
            <w:vAlign w:val="bottom"/>
          </w:tcPr>
          <w:p>
            <w:pPr>
              <w:ind w:left="620"/>
              <w:spacing w:after="0"/>
              <w:rPr>
                <w:sz w:val="20"/>
                <w:szCs w:val="20"/>
                <w:color w:val="auto"/>
              </w:rPr>
            </w:pPr>
            <w:r>
              <w:rPr>
                <w:rFonts w:ascii="Arial" w:cs="Arial" w:eastAsia="Arial" w:hAnsi="Arial"/>
                <w:sz w:val="16"/>
                <w:szCs w:val="16"/>
                <w:color w:val="005CB8"/>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005CB8"/>
              </w:rPr>
              <w:t>26,664</w:t>
            </w:r>
          </w:p>
        </w:tc>
        <w:tc>
          <w:tcPr>
            <w:tcW w:w="1140" w:type="dxa"/>
            <w:vAlign w:val="bottom"/>
          </w:tcPr>
          <w:p>
            <w:pPr>
              <w:jc w:val="right"/>
              <w:ind w:right="42"/>
              <w:spacing w:after="0"/>
              <w:rPr>
                <w:sz w:val="20"/>
                <w:szCs w:val="20"/>
                <w:color w:val="auto"/>
              </w:rPr>
            </w:pPr>
            <w:r>
              <w:rPr>
                <w:rFonts w:ascii="Arial" w:cs="Arial" w:eastAsia="Arial" w:hAnsi="Arial"/>
                <w:sz w:val="16"/>
                <w:szCs w:val="16"/>
                <w:color w:val="005CB8"/>
              </w:rPr>
              <w:t>477,552</w:t>
            </w:r>
          </w:p>
        </w:tc>
      </w:tr>
      <w:tr>
        <w:trPr>
          <w:trHeight w:val="351"/>
        </w:trPr>
        <w:tc>
          <w:tcPr>
            <w:tcW w:w="2180" w:type="dxa"/>
            <w:vAlign w:val="bottom"/>
          </w:tcPr>
          <w:p>
            <w:pPr>
              <w:spacing w:after="0"/>
              <w:rPr>
                <w:sz w:val="24"/>
                <w:szCs w:val="24"/>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005CB8"/>
              </w:rPr>
              <w:t>2/22/2018</w:t>
            </w:r>
            <w:r>
              <w:rPr>
                <w:rFonts w:ascii="Arial" w:cs="Arial" w:eastAsia="Arial" w:hAnsi="Arial"/>
                <w:sz w:val="26"/>
                <w:szCs w:val="26"/>
                <w:color w:val="005CB8"/>
                <w:vertAlign w:val="superscript"/>
              </w:rPr>
              <w:t>(4)</w:t>
            </w:r>
          </w:p>
        </w:tc>
        <w:tc>
          <w:tcPr>
            <w:tcW w:w="1020" w:type="dxa"/>
            <w:vAlign w:val="bottom"/>
          </w:tcPr>
          <w:p>
            <w:pPr>
              <w:jc w:val="right"/>
              <w:ind w:right="43"/>
              <w:spacing w:after="0"/>
              <w:rPr>
                <w:sz w:val="20"/>
                <w:szCs w:val="20"/>
                <w:color w:val="auto"/>
              </w:rPr>
            </w:pPr>
            <w:r>
              <w:rPr>
                <w:rFonts w:ascii="Arial" w:cs="Arial" w:eastAsia="Arial" w:hAnsi="Arial"/>
                <w:sz w:val="16"/>
                <w:szCs w:val="16"/>
                <w:color w:val="005CB8"/>
              </w:rPr>
              <w:t>—</w:t>
            </w:r>
          </w:p>
        </w:tc>
        <w:tc>
          <w:tcPr>
            <w:tcW w:w="1160" w:type="dxa"/>
            <w:vAlign w:val="bottom"/>
          </w:tcPr>
          <w:p>
            <w:pPr>
              <w:jc w:val="right"/>
              <w:ind w:right="22"/>
              <w:spacing w:after="0"/>
              <w:rPr>
                <w:sz w:val="20"/>
                <w:szCs w:val="20"/>
                <w:color w:val="auto"/>
              </w:rPr>
            </w:pPr>
            <w:r>
              <w:rPr>
                <w:rFonts w:ascii="Arial" w:cs="Arial" w:eastAsia="Arial" w:hAnsi="Arial"/>
                <w:sz w:val="16"/>
                <w:szCs w:val="16"/>
                <w:color w:val="005CB8"/>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005CB8"/>
              </w:rPr>
              <w:t>—</w:t>
            </w:r>
          </w:p>
        </w:tc>
        <w:tc>
          <w:tcPr>
            <w:tcW w:w="900" w:type="dxa"/>
            <w:vAlign w:val="bottom"/>
          </w:tcPr>
          <w:p>
            <w:pPr>
              <w:ind w:left="620"/>
              <w:spacing w:after="0"/>
              <w:rPr>
                <w:sz w:val="20"/>
                <w:szCs w:val="20"/>
                <w:color w:val="auto"/>
              </w:rPr>
            </w:pPr>
            <w:r>
              <w:rPr>
                <w:rFonts w:ascii="Arial" w:cs="Arial" w:eastAsia="Arial" w:hAnsi="Arial"/>
                <w:sz w:val="16"/>
                <w:szCs w:val="16"/>
                <w:color w:val="005CB8"/>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005CB8"/>
              </w:rPr>
              <w:t>151,379</w:t>
            </w:r>
          </w:p>
        </w:tc>
        <w:tc>
          <w:tcPr>
            <w:tcW w:w="1140" w:type="dxa"/>
            <w:vAlign w:val="bottom"/>
          </w:tcPr>
          <w:p>
            <w:pPr>
              <w:jc w:val="right"/>
              <w:ind w:right="42"/>
              <w:spacing w:after="0"/>
              <w:rPr>
                <w:sz w:val="20"/>
                <w:szCs w:val="20"/>
                <w:color w:val="auto"/>
              </w:rPr>
            </w:pPr>
            <w:r>
              <w:rPr>
                <w:rFonts w:ascii="Arial" w:cs="Arial" w:eastAsia="Arial" w:hAnsi="Arial"/>
                <w:sz w:val="16"/>
                <w:szCs w:val="16"/>
                <w:color w:val="005CB8"/>
              </w:rPr>
              <w:t>2,711,198</w:t>
            </w:r>
          </w:p>
        </w:tc>
      </w:tr>
      <w:tr>
        <w:trPr>
          <w:trHeight w:val="290"/>
        </w:trPr>
        <w:tc>
          <w:tcPr>
            <w:tcW w:w="2180" w:type="dxa"/>
            <w:vAlign w:val="bottom"/>
          </w:tcPr>
          <w:p>
            <w:pPr>
              <w:spacing w:after="0"/>
              <w:rPr>
                <w:sz w:val="24"/>
                <w:szCs w:val="24"/>
                <w:color w:val="auto"/>
              </w:rPr>
            </w:pPr>
          </w:p>
        </w:tc>
        <w:tc>
          <w:tcPr>
            <w:tcW w:w="1220" w:type="dxa"/>
            <w:vAlign w:val="bottom"/>
          </w:tcPr>
          <w:p>
            <w:pPr>
              <w:jc w:val="right"/>
              <w:ind w:right="80"/>
              <w:spacing w:after="0" w:line="290" w:lineRule="exact"/>
              <w:rPr>
                <w:sz w:val="20"/>
                <w:szCs w:val="20"/>
                <w:color w:val="auto"/>
              </w:rPr>
            </w:pPr>
            <w:r>
              <w:rPr>
                <w:rFonts w:ascii="Arial" w:cs="Arial" w:eastAsia="Arial" w:hAnsi="Arial"/>
                <w:sz w:val="16"/>
                <w:szCs w:val="16"/>
                <w:color w:val="005CB8"/>
              </w:rPr>
              <w:t>4/1/2019</w:t>
            </w:r>
            <w:r>
              <w:rPr>
                <w:rFonts w:ascii="Arial" w:cs="Arial" w:eastAsia="Arial" w:hAnsi="Arial"/>
                <w:sz w:val="26"/>
                <w:szCs w:val="26"/>
                <w:color w:val="005CB8"/>
                <w:vertAlign w:val="superscript"/>
              </w:rPr>
              <w:t>(5)</w:t>
            </w:r>
          </w:p>
        </w:tc>
        <w:tc>
          <w:tcPr>
            <w:tcW w:w="1020" w:type="dxa"/>
            <w:vAlign w:val="bottom"/>
          </w:tcPr>
          <w:p>
            <w:pPr>
              <w:jc w:val="right"/>
              <w:ind w:right="43"/>
              <w:spacing w:after="0"/>
              <w:rPr>
                <w:sz w:val="20"/>
                <w:szCs w:val="20"/>
                <w:color w:val="auto"/>
              </w:rPr>
            </w:pPr>
            <w:r>
              <w:rPr>
                <w:rFonts w:ascii="Arial" w:cs="Arial" w:eastAsia="Arial" w:hAnsi="Arial"/>
                <w:sz w:val="16"/>
                <w:szCs w:val="16"/>
                <w:color w:val="005CB8"/>
              </w:rPr>
              <w:t>—</w:t>
            </w:r>
          </w:p>
        </w:tc>
        <w:tc>
          <w:tcPr>
            <w:tcW w:w="1160" w:type="dxa"/>
            <w:vAlign w:val="bottom"/>
          </w:tcPr>
          <w:p>
            <w:pPr>
              <w:jc w:val="right"/>
              <w:ind w:right="22"/>
              <w:spacing w:after="0"/>
              <w:rPr>
                <w:sz w:val="20"/>
                <w:szCs w:val="20"/>
                <w:color w:val="auto"/>
              </w:rPr>
            </w:pPr>
            <w:r>
              <w:rPr>
                <w:rFonts w:ascii="Arial" w:cs="Arial" w:eastAsia="Arial" w:hAnsi="Arial"/>
                <w:sz w:val="16"/>
                <w:szCs w:val="16"/>
                <w:color w:val="005CB8"/>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005CB8"/>
              </w:rPr>
              <w:t>—</w:t>
            </w:r>
          </w:p>
        </w:tc>
        <w:tc>
          <w:tcPr>
            <w:tcW w:w="900" w:type="dxa"/>
            <w:vAlign w:val="bottom"/>
          </w:tcPr>
          <w:p>
            <w:pPr>
              <w:ind w:left="620"/>
              <w:spacing w:after="0"/>
              <w:rPr>
                <w:sz w:val="20"/>
                <w:szCs w:val="20"/>
                <w:color w:val="auto"/>
              </w:rPr>
            </w:pPr>
            <w:r>
              <w:rPr>
                <w:rFonts w:ascii="Arial" w:cs="Arial" w:eastAsia="Arial" w:hAnsi="Arial"/>
                <w:sz w:val="16"/>
                <w:szCs w:val="16"/>
                <w:color w:val="005CB8"/>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005CB8"/>
              </w:rPr>
              <w:t>148,555</w:t>
            </w:r>
          </w:p>
        </w:tc>
        <w:tc>
          <w:tcPr>
            <w:tcW w:w="1140" w:type="dxa"/>
            <w:vAlign w:val="bottom"/>
          </w:tcPr>
          <w:p>
            <w:pPr>
              <w:jc w:val="right"/>
              <w:ind w:right="42"/>
              <w:spacing w:after="0"/>
              <w:rPr>
                <w:sz w:val="20"/>
                <w:szCs w:val="20"/>
                <w:color w:val="auto"/>
              </w:rPr>
            </w:pPr>
            <w:r>
              <w:rPr>
                <w:rFonts w:ascii="Arial" w:cs="Arial" w:eastAsia="Arial" w:hAnsi="Arial"/>
                <w:sz w:val="16"/>
                <w:szCs w:val="16"/>
                <w:color w:val="005CB8"/>
              </w:rPr>
              <w:t>2,660,620</w:t>
            </w:r>
          </w:p>
        </w:tc>
      </w:tr>
      <w:tr>
        <w:trPr>
          <w:trHeight w:val="351"/>
        </w:trPr>
        <w:tc>
          <w:tcPr>
            <w:tcW w:w="2180" w:type="dxa"/>
            <w:vAlign w:val="bottom"/>
            <w:shd w:val="clear" w:color="auto" w:fill="E5EFFD"/>
          </w:tcPr>
          <w:p>
            <w:pPr>
              <w:ind w:left="40"/>
              <w:spacing w:after="0"/>
              <w:rPr>
                <w:sz w:val="20"/>
                <w:szCs w:val="20"/>
                <w:color w:val="auto"/>
              </w:rPr>
            </w:pPr>
            <w:r>
              <w:rPr>
                <w:rFonts w:ascii="Arial" w:cs="Arial" w:eastAsia="Arial" w:hAnsi="Arial"/>
                <w:sz w:val="16"/>
                <w:szCs w:val="16"/>
                <w:color w:val="005CB8"/>
              </w:rPr>
              <w:t>Bharat Mediratta</w:t>
            </w:r>
          </w:p>
        </w:tc>
        <w:tc>
          <w:tcPr>
            <w:tcW w:w="1220" w:type="dxa"/>
            <w:vAlign w:val="bottom"/>
            <w:shd w:val="clear" w:color="auto" w:fill="E5EFFD"/>
          </w:tcPr>
          <w:p>
            <w:pPr>
              <w:jc w:val="right"/>
              <w:ind w:right="60"/>
              <w:spacing w:after="0"/>
              <w:rPr>
                <w:sz w:val="20"/>
                <w:szCs w:val="20"/>
                <w:color w:val="auto"/>
              </w:rPr>
            </w:pPr>
            <w:r>
              <w:rPr>
                <w:rFonts w:ascii="Arial" w:cs="Arial" w:eastAsia="Arial" w:hAnsi="Arial"/>
                <w:sz w:val="16"/>
                <w:szCs w:val="16"/>
                <w:color w:val="005CB8"/>
              </w:rPr>
              <w:t>11/1/2019</w:t>
            </w:r>
            <w:r>
              <w:rPr>
                <w:rFonts w:ascii="Arial" w:cs="Arial" w:eastAsia="Arial" w:hAnsi="Arial"/>
                <w:sz w:val="26"/>
                <w:szCs w:val="26"/>
                <w:color w:val="005CB8"/>
                <w:vertAlign w:val="superscript"/>
              </w:rPr>
              <w:t>(6)</w:t>
            </w:r>
          </w:p>
        </w:tc>
        <w:tc>
          <w:tcPr>
            <w:tcW w:w="1020" w:type="dxa"/>
            <w:vAlign w:val="bottom"/>
            <w:shd w:val="clear" w:color="auto" w:fill="E5EFFD"/>
          </w:tcPr>
          <w:p>
            <w:pPr>
              <w:jc w:val="right"/>
              <w:ind w:right="43"/>
              <w:spacing w:after="0"/>
              <w:rPr>
                <w:sz w:val="20"/>
                <w:szCs w:val="20"/>
                <w:color w:val="auto"/>
              </w:rPr>
            </w:pPr>
            <w:r>
              <w:rPr>
                <w:rFonts w:ascii="Arial" w:cs="Arial" w:eastAsia="Arial" w:hAnsi="Arial"/>
                <w:sz w:val="16"/>
                <w:szCs w:val="16"/>
                <w:color w:val="005CB8"/>
              </w:rPr>
              <w:t>—</w:t>
            </w:r>
          </w:p>
        </w:tc>
        <w:tc>
          <w:tcPr>
            <w:tcW w:w="1160" w:type="dxa"/>
            <w:vAlign w:val="bottom"/>
            <w:shd w:val="clear" w:color="auto" w:fill="E5EFFD"/>
          </w:tcPr>
          <w:p>
            <w:pPr>
              <w:jc w:val="right"/>
              <w:ind w:right="22"/>
              <w:spacing w:after="0"/>
              <w:rPr>
                <w:sz w:val="20"/>
                <w:szCs w:val="20"/>
                <w:color w:val="auto"/>
              </w:rPr>
            </w:pPr>
            <w:r>
              <w:rPr>
                <w:rFonts w:ascii="Arial" w:cs="Arial" w:eastAsia="Arial" w:hAnsi="Arial"/>
                <w:sz w:val="16"/>
                <w:szCs w:val="16"/>
                <w:color w:val="005CB8"/>
              </w:rPr>
              <w:t>—</w:t>
            </w:r>
          </w:p>
        </w:tc>
        <w:tc>
          <w:tcPr>
            <w:tcW w:w="800" w:type="dxa"/>
            <w:vAlign w:val="bottom"/>
            <w:shd w:val="clear" w:color="auto" w:fill="E5EFFD"/>
          </w:tcPr>
          <w:p>
            <w:pPr>
              <w:jc w:val="right"/>
              <w:ind w:right="41"/>
              <w:spacing w:after="0"/>
              <w:rPr>
                <w:sz w:val="20"/>
                <w:szCs w:val="20"/>
                <w:color w:val="auto"/>
              </w:rPr>
            </w:pPr>
            <w:r>
              <w:rPr>
                <w:rFonts w:ascii="Arial" w:cs="Arial" w:eastAsia="Arial" w:hAnsi="Arial"/>
                <w:sz w:val="16"/>
                <w:szCs w:val="16"/>
                <w:color w:val="005CB8"/>
              </w:rPr>
              <w:t>—</w:t>
            </w:r>
          </w:p>
        </w:tc>
        <w:tc>
          <w:tcPr>
            <w:tcW w:w="900" w:type="dxa"/>
            <w:vAlign w:val="bottom"/>
            <w:shd w:val="clear" w:color="auto" w:fill="E5EFFD"/>
          </w:tcPr>
          <w:p>
            <w:pPr>
              <w:ind w:left="620"/>
              <w:spacing w:after="0"/>
              <w:rPr>
                <w:sz w:val="20"/>
                <w:szCs w:val="20"/>
                <w:color w:val="auto"/>
              </w:rPr>
            </w:pPr>
            <w:r>
              <w:rPr>
                <w:rFonts w:ascii="Arial" w:cs="Arial" w:eastAsia="Arial" w:hAnsi="Arial"/>
                <w:sz w:val="16"/>
                <w:szCs w:val="16"/>
                <w:color w:val="005CB8"/>
              </w:rPr>
              <w:t>—</w:t>
            </w:r>
          </w:p>
        </w:tc>
        <w:tc>
          <w:tcPr>
            <w:tcW w:w="1140" w:type="dxa"/>
            <w:vAlign w:val="bottom"/>
            <w:shd w:val="clear" w:color="auto" w:fill="E5EFFD"/>
          </w:tcPr>
          <w:p>
            <w:pPr>
              <w:jc w:val="right"/>
              <w:ind w:right="42"/>
              <w:spacing w:after="0"/>
              <w:rPr>
                <w:sz w:val="20"/>
                <w:szCs w:val="20"/>
                <w:color w:val="auto"/>
              </w:rPr>
            </w:pPr>
            <w:r>
              <w:rPr>
                <w:rFonts w:ascii="Arial" w:cs="Arial" w:eastAsia="Arial" w:hAnsi="Arial"/>
                <w:sz w:val="16"/>
                <w:szCs w:val="16"/>
                <w:color w:val="005CB8"/>
              </w:rPr>
              <w:t>1,053,108</w:t>
            </w:r>
          </w:p>
        </w:tc>
        <w:tc>
          <w:tcPr>
            <w:tcW w:w="1140" w:type="dxa"/>
            <w:vAlign w:val="bottom"/>
            <w:shd w:val="clear" w:color="auto" w:fill="E5EFFD"/>
          </w:tcPr>
          <w:p>
            <w:pPr>
              <w:jc w:val="right"/>
              <w:ind w:right="42"/>
              <w:spacing w:after="0"/>
              <w:rPr>
                <w:sz w:val="20"/>
                <w:szCs w:val="20"/>
                <w:color w:val="auto"/>
              </w:rPr>
            </w:pPr>
            <w:r>
              <w:rPr>
                <w:rFonts w:ascii="Arial" w:cs="Arial" w:eastAsia="Arial" w:hAnsi="Arial"/>
                <w:sz w:val="16"/>
                <w:szCs w:val="16"/>
                <w:color w:val="005CB8"/>
              </w:rPr>
              <w:t>18,861,164</w:t>
            </w:r>
          </w:p>
        </w:tc>
      </w:tr>
      <w:tr>
        <w:trPr>
          <w:trHeight w:val="351"/>
        </w:trPr>
        <w:tc>
          <w:tcPr>
            <w:tcW w:w="2180" w:type="dxa"/>
            <w:vAlign w:val="bottom"/>
          </w:tcPr>
          <w:p>
            <w:pPr>
              <w:ind w:left="40"/>
              <w:spacing w:after="0"/>
              <w:rPr>
                <w:sz w:val="20"/>
                <w:szCs w:val="20"/>
                <w:color w:val="auto"/>
              </w:rPr>
            </w:pPr>
            <w:r>
              <w:rPr>
                <w:rFonts w:ascii="Arial" w:cs="Arial" w:eastAsia="Arial" w:hAnsi="Arial"/>
                <w:sz w:val="16"/>
                <w:szCs w:val="16"/>
                <w:color w:val="005CB8"/>
              </w:rPr>
              <w:t>Timothy Young</w:t>
            </w:r>
          </w:p>
        </w:tc>
        <w:tc>
          <w:tcPr>
            <w:tcW w:w="1220" w:type="dxa"/>
            <w:vAlign w:val="bottom"/>
          </w:tcPr>
          <w:p>
            <w:pPr>
              <w:jc w:val="right"/>
              <w:ind w:right="60"/>
              <w:spacing w:after="0"/>
              <w:rPr>
                <w:sz w:val="20"/>
                <w:szCs w:val="20"/>
                <w:color w:val="auto"/>
              </w:rPr>
            </w:pPr>
            <w:r>
              <w:rPr>
                <w:rFonts w:ascii="Arial" w:cs="Arial" w:eastAsia="Arial" w:hAnsi="Arial"/>
                <w:sz w:val="16"/>
                <w:szCs w:val="16"/>
                <w:color w:val="005CB8"/>
              </w:rPr>
              <w:t>11/1/2019</w:t>
            </w:r>
            <w:r>
              <w:rPr>
                <w:rFonts w:ascii="Arial" w:cs="Arial" w:eastAsia="Arial" w:hAnsi="Arial"/>
                <w:sz w:val="26"/>
                <w:szCs w:val="26"/>
                <w:color w:val="005CB8"/>
                <w:vertAlign w:val="superscript"/>
              </w:rPr>
              <w:t>(6)</w:t>
            </w:r>
          </w:p>
        </w:tc>
        <w:tc>
          <w:tcPr>
            <w:tcW w:w="1020" w:type="dxa"/>
            <w:vAlign w:val="bottom"/>
          </w:tcPr>
          <w:p>
            <w:pPr>
              <w:jc w:val="right"/>
              <w:ind w:right="43"/>
              <w:spacing w:after="0"/>
              <w:rPr>
                <w:sz w:val="20"/>
                <w:szCs w:val="20"/>
                <w:color w:val="auto"/>
              </w:rPr>
            </w:pPr>
            <w:r>
              <w:rPr>
                <w:rFonts w:ascii="Arial" w:cs="Arial" w:eastAsia="Arial" w:hAnsi="Arial"/>
                <w:sz w:val="16"/>
                <w:szCs w:val="16"/>
                <w:color w:val="005CB8"/>
              </w:rPr>
              <w:t>—</w:t>
            </w:r>
          </w:p>
        </w:tc>
        <w:tc>
          <w:tcPr>
            <w:tcW w:w="1160" w:type="dxa"/>
            <w:vAlign w:val="bottom"/>
          </w:tcPr>
          <w:p>
            <w:pPr>
              <w:jc w:val="right"/>
              <w:ind w:right="22"/>
              <w:spacing w:after="0"/>
              <w:rPr>
                <w:sz w:val="20"/>
                <w:szCs w:val="20"/>
                <w:color w:val="auto"/>
              </w:rPr>
            </w:pPr>
            <w:r>
              <w:rPr>
                <w:rFonts w:ascii="Arial" w:cs="Arial" w:eastAsia="Arial" w:hAnsi="Arial"/>
                <w:sz w:val="16"/>
                <w:szCs w:val="16"/>
                <w:color w:val="005CB8"/>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005CB8"/>
              </w:rPr>
              <w:t>—</w:t>
            </w:r>
          </w:p>
        </w:tc>
        <w:tc>
          <w:tcPr>
            <w:tcW w:w="900" w:type="dxa"/>
            <w:vAlign w:val="bottom"/>
          </w:tcPr>
          <w:p>
            <w:pPr>
              <w:ind w:left="620"/>
              <w:spacing w:after="0"/>
              <w:rPr>
                <w:sz w:val="20"/>
                <w:szCs w:val="20"/>
                <w:color w:val="auto"/>
              </w:rPr>
            </w:pPr>
            <w:r>
              <w:rPr>
                <w:rFonts w:ascii="Arial" w:cs="Arial" w:eastAsia="Arial" w:hAnsi="Arial"/>
                <w:sz w:val="16"/>
                <w:szCs w:val="16"/>
                <w:color w:val="005CB8"/>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005CB8"/>
              </w:rPr>
              <w:t>1,053,108</w:t>
            </w:r>
          </w:p>
        </w:tc>
        <w:tc>
          <w:tcPr>
            <w:tcW w:w="1140" w:type="dxa"/>
            <w:vAlign w:val="bottom"/>
          </w:tcPr>
          <w:p>
            <w:pPr>
              <w:jc w:val="right"/>
              <w:ind w:right="42"/>
              <w:spacing w:after="0"/>
              <w:rPr>
                <w:sz w:val="20"/>
                <w:szCs w:val="20"/>
                <w:color w:val="auto"/>
              </w:rPr>
            </w:pPr>
            <w:r>
              <w:rPr>
                <w:rFonts w:ascii="Arial" w:cs="Arial" w:eastAsia="Arial" w:hAnsi="Arial"/>
                <w:sz w:val="16"/>
                <w:szCs w:val="16"/>
                <w:color w:val="005CB8"/>
              </w:rPr>
              <w:t>18,861,164</w:t>
            </w:r>
          </w:p>
        </w:tc>
      </w:tr>
      <w:tr>
        <w:trPr>
          <w:trHeight w:val="351"/>
        </w:trPr>
        <w:tc>
          <w:tcPr>
            <w:tcW w:w="2180" w:type="dxa"/>
            <w:vAlign w:val="bottom"/>
            <w:shd w:val="clear" w:color="auto" w:fill="E5EFFD"/>
          </w:tcPr>
          <w:p>
            <w:pPr>
              <w:ind w:left="40"/>
              <w:spacing w:after="0"/>
              <w:rPr>
                <w:sz w:val="20"/>
                <w:szCs w:val="20"/>
                <w:color w:val="auto"/>
              </w:rPr>
            </w:pPr>
            <w:r>
              <w:rPr>
                <w:rFonts w:ascii="Arial" w:cs="Arial" w:eastAsia="Arial" w:hAnsi="Arial"/>
                <w:sz w:val="16"/>
                <w:szCs w:val="16"/>
                <w:color w:val="005CB8"/>
              </w:rPr>
              <w:t>Yamini Rangan</w:t>
            </w:r>
          </w:p>
        </w:tc>
        <w:tc>
          <w:tcPr>
            <w:tcW w:w="1220" w:type="dxa"/>
            <w:vAlign w:val="bottom"/>
            <w:shd w:val="clear" w:color="auto" w:fill="E5EFFD"/>
          </w:tcPr>
          <w:p>
            <w:pPr>
              <w:jc w:val="right"/>
              <w:ind w:right="80"/>
              <w:spacing w:after="0"/>
              <w:rPr>
                <w:sz w:val="20"/>
                <w:szCs w:val="20"/>
                <w:color w:val="auto"/>
              </w:rPr>
            </w:pPr>
            <w:r>
              <w:rPr>
                <w:rFonts w:ascii="Arial" w:cs="Arial" w:eastAsia="Arial" w:hAnsi="Arial"/>
                <w:sz w:val="16"/>
                <w:szCs w:val="16"/>
                <w:color w:val="005CB8"/>
              </w:rPr>
              <w:t>3/8/2017</w:t>
            </w:r>
            <w:r>
              <w:rPr>
                <w:rFonts w:ascii="Arial" w:cs="Arial" w:eastAsia="Arial" w:hAnsi="Arial"/>
                <w:sz w:val="26"/>
                <w:szCs w:val="26"/>
                <w:color w:val="005CB8"/>
                <w:vertAlign w:val="superscript"/>
              </w:rPr>
              <w:t>(5)</w:t>
            </w:r>
          </w:p>
        </w:tc>
        <w:tc>
          <w:tcPr>
            <w:tcW w:w="1020" w:type="dxa"/>
            <w:vAlign w:val="bottom"/>
            <w:shd w:val="clear" w:color="auto" w:fill="E5EFFD"/>
          </w:tcPr>
          <w:p>
            <w:pPr>
              <w:jc w:val="right"/>
              <w:ind w:right="43"/>
              <w:spacing w:after="0"/>
              <w:rPr>
                <w:sz w:val="20"/>
                <w:szCs w:val="20"/>
                <w:color w:val="auto"/>
              </w:rPr>
            </w:pPr>
            <w:r>
              <w:rPr>
                <w:rFonts w:ascii="Arial" w:cs="Arial" w:eastAsia="Arial" w:hAnsi="Arial"/>
                <w:sz w:val="16"/>
                <w:szCs w:val="16"/>
                <w:color w:val="005CB8"/>
              </w:rPr>
              <w:t>—</w:t>
            </w:r>
          </w:p>
        </w:tc>
        <w:tc>
          <w:tcPr>
            <w:tcW w:w="1160" w:type="dxa"/>
            <w:vAlign w:val="bottom"/>
            <w:shd w:val="clear" w:color="auto" w:fill="E5EFFD"/>
          </w:tcPr>
          <w:p>
            <w:pPr>
              <w:jc w:val="right"/>
              <w:ind w:right="22"/>
              <w:spacing w:after="0"/>
              <w:rPr>
                <w:sz w:val="20"/>
                <w:szCs w:val="20"/>
                <w:color w:val="auto"/>
              </w:rPr>
            </w:pPr>
            <w:r>
              <w:rPr>
                <w:rFonts w:ascii="Arial" w:cs="Arial" w:eastAsia="Arial" w:hAnsi="Arial"/>
                <w:sz w:val="16"/>
                <w:szCs w:val="16"/>
                <w:color w:val="005CB8"/>
              </w:rPr>
              <w:t>—</w:t>
            </w:r>
          </w:p>
        </w:tc>
        <w:tc>
          <w:tcPr>
            <w:tcW w:w="800" w:type="dxa"/>
            <w:vAlign w:val="bottom"/>
            <w:shd w:val="clear" w:color="auto" w:fill="E5EFFD"/>
          </w:tcPr>
          <w:p>
            <w:pPr>
              <w:jc w:val="right"/>
              <w:ind w:right="41"/>
              <w:spacing w:after="0"/>
              <w:rPr>
                <w:sz w:val="20"/>
                <w:szCs w:val="20"/>
                <w:color w:val="auto"/>
              </w:rPr>
            </w:pPr>
            <w:r>
              <w:rPr>
                <w:rFonts w:ascii="Arial" w:cs="Arial" w:eastAsia="Arial" w:hAnsi="Arial"/>
                <w:sz w:val="16"/>
                <w:szCs w:val="16"/>
                <w:color w:val="005CB8"/>
              </w:rPr>
              <w:t>—</w:t>
            </w:r>
          </w:p>
        </w:tc>
        <w:tc>
          <w:tcPr>
            <w:tcW w:w="900" w:type="dxa"/>
            <w:vAlign w:val="bottom"/>
            <w:shd w:val="clear" w:color="auto" w:fill="E5EFFD"/>
          </w:tcPr>
          <w:p>
            <w:pPr>
              <w:ind w:left="620"/>
              <w:spacing w:after="0"/>
              <w:rPr>
                <w:sz w:val="20"/>
                <w:szCs w:val="20"/>
                <w:color w:val="auto"/>
              </w:rPr>
            </w:pPr>
            <w:r>
              <w:rPr>
                <w:rFonts w:ascii="Arial" w:cs="Arial" w:eastAsia="Arial" w:hAnsi="Arial"/>
                <w:sz w:val="16"/>
                <w:szCs w:val="16"/>
                <w:color w:val="005CB8"/>
              </w:rPr>
              <w:t>—</w:t>
            </w:r>
          </w:p>
        </w:tc>
        <w:tc>
          <w:tcPr>
            <w:tcW w:w="1140" w:type="dxa"/>
            <w:vAlign w:val="bottom"/>
            <w:shd w:val="clear" w:color="auto" w:fill="E5EFFD"/>
          </w:tcPr>
          <w:p>
            <w:pPr>
              <w:jc w:val="right"/>
              <w:ind w:right="42"/>
              <w:spacing w:after="0"/>
              <w:rPr>
                <w:sz w:val="20"/>
                <w:szCs w:val="20"/>
                <w:color w:val="auto"/>
              </w:rPr>
            </w:pPr>
            <w:r>
              <w:rPr>
                <w:rFonts w:ascii="Arial" w:cs="Arial" w:eastAsia="Arial" w:hAnsi="Arial"/>
                <w:sz w:val="16"/>
                <w:szCs w:val="16"/>
                <w:color w:val="005CB8"/>
              </w:rPr>
              <w:t>8,332</w:t>
            </w:r>
          </w:p>
        </w:tc>
        <w:tc>
          <w:tcPr>
            <w:tcW w:w="1140" w:type="dxa"/>
            <w:vAlign w:val="bottom"/>
            <w:shd w:val="clear" w:color="auto" w:fill="E5EFFD"/>
          </w:tcPr>
          <w:p>
            <w:pPr>
              <w:jc w:val="right"/>
              <w:ind w:right="42"/>
              <w:spacing w:after="0"/>
              <w:rPr>
                <w:sz w:val="20"/>
                <w:szCs w:val="20"/>
                <w:color w:val="auto"/>
              </w:rPr>
            </w:pPr>
            <w:r>
              <w:rPr>
                <w:rFonts w:ascii="Arial" w:cs="Arial" w:eastAsia="Arial" w:hAnsi="Arial"/>
                <w:sz w:val="16"/>
                <w:szCs w:val="16"/>
                <w:color w:val="005CB8"/>
              </w:rPr>
              <w:t>149,226</w:t>
            </w:r>
          </w:p>
        </w:tc>
      </w:tr>
      <w:tr>
        <w:trPr>
          <w:trHeight w:val="351"/>
        </w:trPr>
        <w:tc>
          <w:tcPr>
            <w:tcW w:w="2180" w:type="dxa"/>
            <w:vAlign w:val="bottom"/>
            <w:shd w:val="clear" w:color="auto" w:fill="E5EFFD"/>
          </w:tcPr>
          <w:p>
            <w:pPr>
              <w:spacing w:after="0"/>
              <w:rPr>
                <w:sz w:val="24"/>
                <w:szCs w:val="24"/>
                <w:color w:val="auto"/>
              </w:rPr>
            </w:pPr>
          </w:p>
        </w:tc>
        <w:tc>
          <w:tcPr>
            <w:tcW w:w="1220" w:type="dxa"/>
            <w:vAlign w:val="bottom"/>
            <w:shd w:val="clear" w:color="auto" w:fill="E5EFFD"/>
          </w:tcPr>
          <w:p>
            <w:pPr>
              <w:jc w:val="right"/>
              <w:ind w:right="80"/>
              <w:spacing w:after="0"/>
              <w:rPr>
                <w:sz w:val="20"/>
                <w:szCs w:val="20"/>
                <w:color w:val="auto"/>
              </w:rPr>
            </w:pPr>
            <w:r>
              <w:rPr>
                <w:rFonts w:ascii="Arial" w:cs="Arial" w:eastAsia="Arial" w:hAnsi="Arial"/>
                <w:sz w:val="16"/>
                <w:szCs w:val="16"/>
                <w:color w:val="005CB8"/>
              </w:rPr>
              <w:t>9/8/2017</w:t>
            </w:r>
            <w:r>
              <w:rPr>
                <w:rFonts w:ascii="Arial" w:cs="Arial" w:eastAsia="Arial" w:hAnsi="Arial"/>
                <w:sz w:val="26"/>
                <w:szCs w:val="26"/>
                <w:color w:val="005CB8"/>
                <w:vertAlign w:val="superscript"/>
              </w:rPr>
              <w:t>(5)</w:t>
            </w:r>
          </w:p>
        </w:tc>
        <w:tc>
          <w:tcPr>
            <w:tcW w:w="1020" w:type="dxa"/>
            <w:vAlign w:val="bottom"/>
            <w:shd w:val="clear" w:color="auto" w:fill="E5EFFD"/>
          </w:tcPr>
          <w:p>
            <w:pPr>
              <w:jc w:val="right"/>
              <w:ind w:right="43"/>
              <w:spacing w:after="0"/>
              <w:rPr>
                <w:sz w:val="20"/>
                <w:szCs w:val="20"/>
                <w:color w:val="auto"/>
              </w:rPr>
            </w:pPr>
            <w:r>
              <w:rPr>
                <w:rFonts w:ascii="Arial" w:cs="Arial" w:eastAsia="Arial" w:hAnsi="Arial"/>
                <w:sz w:val="16"/>
                <w:szCs w:val="16"/>
                <w:color w:val="005CB8"/>
              </w:rPr>
              <w:t>—</w:t>
            </w:r>
          </w:p>
        </w:tc>
        <w:tc>
          <w:tcPr>
            <w:tcW w:w="1160" w:type="dxa"/>
            <w:vAlign w:val="bottom"/>
            <w:shd w:val="clear" w:color="auto" w:fill="E5EFFD"/>
          </w:tcPr>
          <w:p>
            <w:pPr>
              <w:jc w:val="right"/>
              <w:ind w:right="22"/>
              <w:spacing w:after="0"/>
              <w:rPr>
                <w:sz w:val="20"/>
                <w:szCs w:val="20"/>
                <w:color w:val="auto"/>
              </w:rPr>
            </w:pPr>
            <w:r>
              <w:rPr>
                <w:rFonts w:ascii="Arial" w:cs="Arial" w:eastAsia="Arial" w:hAnsi="Arial"/>
                <w:sz w:val="16"/>
                <w:szCs w:val="16"/>
                <w:color w:val="005CB8"/>
              </w:rPr>
              <w:t>—</w:t>
            </w:r>
          </w:p>
        </w:tc>
        <w:tc>
          <w:tcPr>
            <w:tcW w:w="800" w:type="dxa"/>
            <w:vAlign w:val="bottom"/>
            <w:shd w:val="clear" w:color="auto" w:fill="E5EFFD"/>
          </w:tcPr>
          <w:p>
            <w:pPr>
              <w:jc w:val="right"/>
              <w:ind w:right="41"/>
              <w:spacing w:after="0"/>
              <w:rPr>
                <w:sz w:val="20"/>
                <w:szCs w:val="20"/>
                <w:color w:val="auto"/>
              </w:rPr>
            </w:pPr>
            <w:r>
              <w:rPr>
                <w:rFonts w:ascii="Arial" w:cs="Arial" w:eastAsia="Arial" w:hAnsi="Arial"/>
                <w:sz w:val="16"/>
                <w:szCs w:val="16"/>
                <w:color w:val="005CB8"/>
              </w:rPr>
              <w:t>—</w:t>
            </w:r>
          </w:p>
        </w:tc>
        <w:tc>
          <w:tcPr>
            <w:tcW w:w="900" w:type="dxa"/>
            <w:vAlign w:val="bottom"/>
            <w:shd w:val="clear" w:color="auto" w:fill="E5EFFD"/>
          </w:tcPr>
          <w:p>
            <w:pPr>
              <w:ind w:left="620"/>
              <w:spacing w:after="0"/>
              <w:rPr>
                <w:sz w:val="20"/>
                <w:szCs w:val="20"/>
                <w:color w:val="auto"/>
              </w:rPr>
            </w:pPr>
            <w:r>
              <w:rPr>
                <w:rFonts w:ascii="Arial" w:cs="Arial" w:eastAsia="Arial" w:hAnsi="Arial"/>
                <w:sz w:val="16"/>
                <w:szCs w:val="16"/>
                <w:color w:val="005CB8"/>
              </w:rPr>
              <w:t>—</w:t>
            </w:r>
          </w:p>
        </w:tc>
        <w:tc>
          <w:tcPr>
            <w:tcW w:w="1140" w:type="dxa"/>
            <w:vAlign w:val="bottom"/>
            <w:shd w:val="clear" w:color="auto" w:fill="E5EFFD"/>
          </w:tcPr>
          <w:p>
            <w:pPr>
              <w:jc w:val="right"/>
              <w:ind w:right="42"/>
              <w:spacing w:after="0"/>
              <w:rPr>
                <w:sz w:val="20"/>
                <w:szCs w:val="20"/>
                <w:color w:val="auto"/>
              </w:rPr>
            </w:pPr>
            <w:r>
              <w:rPr>
                <w:rFonts w:ascii="Arial" w:cs="Arial" w:eastAsia="Arial" w:hAnsi="Arial"/>
                <w:sz w:val="16"/>
                <w:szCs w:val="16"/>
                <w:color w:val="005CB8"/>
              </w:rPr>
              <w:t>8,168</w:t>
            </w:r>
          </w:p>
        </w:tc>
        <w:tc>
          <w:tcPr>
            <w:tcW w:w="1140" w:type="dxa"/>
            <w:vAlign w:val="bottom"/>
            <w:shd w:val="clear" w:color="auto" w:fill="E5EFFD"/>
          </w:tcPr>
          <w:p>
            <w:pPr>
              <w:jc w:val="right"/>
              <w:ind w:right="42"/>
              <w:spacing w:after="0"/>
              <w:rPr>
                <w:sz w:val="20"/>
                <w:szCs w:val="20"/>
                <w:color w:val="auto"/>
              </w:rPr>
            </w:pPr>
            <w:r>
              <w:rPr>
                <w:rFonts w:ascii="Arial" w:cs="Arial" w:eastAsia="Arial" w:hAnsi="Arial"/>
                <w:sz w:val="16"/>
                <w:szCs w:val="16"/>
                <w:color w:val="005CB8"/>
              </w:rPr>
              <w:t>146,289</w:t>
            </w:r>
          </w:p>
        </w:tc>
      </w:tr>
      <w:tr>
        <w:trPr>
          <w:trHeight w:val="351"/>
        </w:trPr>
        <w:tc>
          <w:tcPr>
            <w:tcW w:w="2180" w:type="dxa"/>
            <w:vAlign w:val="bottom"/>
            <w:shd w:val="clear" w:color="auto" w:fill="E5EFFD"/>
          </w:tcPr>
          <w:p>
            <w:pPr>
              <w:spacing w:after="0"/>
              <w:rPr>
                <w:sz w:val="24"/>
                <w:szCs w:val="24"/>
                <w:color w:val="auto"/>
              </w:rPr>
            </w:pPr>
          </w:p>
        </w:tc>
        <w:tc>
          <w:tcPr>
            <w:tcW w:w="1220" w:type="dxa"/>
            <w:vAlign w:val="bottom"/>
            <w:shd w:val="clear" w:color="auto" w:fill="E5EFFD"/>
          </w:tcPr>
          <w:p>
            <w:pPr>
              <w:jc w:val="right"/>
              <w:ind w:right="60"/>
              <w:spacing w:after="0"/>
              <w:rPr>
                <w:sz w:val="20"/>
                <w:szCs w:val="20"/>
                <w:color w:val="auto"/>
              </w:rPr>
            </w:pPr>
            <w:r>
              <w:rPr>
                <w:rFonts w:ascii="Arial" w:cs="Arial" w:eastAsia="Arial" w:hAnsi="Arial"/>
                <w:sz w:val="16"/>
                <w:szCs w:val="16"/>
                <w:color w:val="005CB8"/>
              </w:rPr>
              <w:t>2/22/2018</w:t>
            </w:r>
            <w:r>
              <w:rPr>
                <w:rFonts w:ascii="Arial" w:cs="Arial" w:eastAsia="Arial" w:hAnsi="Arial"/>
                <w:sz w:val="26"/>
                <w:szCs w:val="26"/>
                <w:color w:val="005CB8"/>
                <w:vertAlign w:val="superscript"/>
              </w:rPr>
              <w:t>(5)</w:t>
            </w:r>
          </w:p>
        </w:tc>
        <w:tc>
          <w:tcPr>
            <w:tcW w:w="1020" w:type="dxa"/>
            <w:vAlign w:val="bottom"/>
            <w:shd w:val="clear" w:color="auto" w:fill="E5EFFD"/>
          </w:tcPr>
          <w:p>
            <w:pPr>
              <w:jc w:val="right"/>
              <w:ind w:right="43"/>
              <w:spacing w:after="0"/>
              <w:rPr>
                <w:sz w:val="20"/>
                <w:szCs w:val="20"/>
                <w:color w:val="auto"/>
              </w:rPr>
            </w:pPr>
            <w:r>
              <w:rPr>
                <w:rFonts w:ascii="Arial" w:cs="Arial" w:eastAsia="Arial" w:hAnsi="Arial"/>
                <w:sz w:val="16"/>
                <w:szCs w:val="16"/>
                <w:color w:val="005CB8"/>
              </w:rPr>
              <w:t>—</w:t>
            </w:r>
          </w:p>
        </w:tc>
        <w:tc>
          <w:tcPr>
            <w:tcW w:w="1160" w:type="dxa"/>
            <w:vAlign w:val="bottom"/>
            <w:shd w:val="clear" w:color="auto" w:fill="E5EFFD"/>
          </w:tcPr>
          <w:p>
            <w:pPr>
              <w:jc w:val="right"/>
              <w:ind w:right="22"/>
              <w:spacing w:after="0"/>
              <w:rPr>
                <w:sz w:val="20"/>
                <w:szCs w:val="20"/>
                <w:color w:val="auto"/>
              </w:rPr>
            </w:pPr>
            <w:r>
              <w:rPr>
                <w:rFonts w:ascii="Arial" w:cs="Arial" w:eastAsia="Arial" w:hAnsi="Arial"/>
                <w:sz w:val="16"/>
                <w:szCs w:val="16"/>
                <w:color w:val="005CB8"/>
              </w:rPr>
              <w:t>—</w:t>
            </w:r>
          </w:p>
        </w:tc>
        <w:tc>
          <w:tcPr>
            <w:tcW w:w="800" w:type="dxa"/>
            <w:vAlign w:val="bottom"/>
            <w:shd w:val="clear" w:color="auto" w:fill="E5EFFD"/>
          </w:tcPr>
          <w:p>
            <w:pPr>
              <w:jc w:val="right"/>
              <w:ind w:right="41"/>
              <w:spacing w:after="0"/>
              <w:rPr>
                <w:sz w:val="20"/>
                <w:szCs w:val="20"/>
                <w:color w:val="auto"/>
              </w:rPr>
            </w:pPr>
            <w:r>
              <w:rPr>
                <w:rFonts w:ascii="Arial" w:cs="Arial" w:eastAsia="Arial" w:hAnsi="Arial"/>
                <w:sz w:val="16"/>
                <w:szCs w:val="16"/>
                <w:color w:val="005CB8"/>
              </w:rPr>
              <w:t>—</w:t>
            </w:r>
          </w:p>
        </w:tc>
        <w:tc>
          <w:tcPr>
            <w:tcW w:w="900" w:type="dxa"/>
            <w:vAlign w:val="bottom"/>
            <w:shd w:val="clear" w:color="auto" w:fill="E5EFFD"/>
          </w:tcPr>
          <w:p>
            <w:pPr>
              <w:ind w:left="620"/>
              <w:spacing w:after="0"/>
              <w:rPr>
                <w:sz w:val="20"/>
                <w:szCs w:val="20"/>
                <w:color w:val="auto"/>
              </w:rPr>
            </w:pPr>
            <w:r>
              <w:rPr>
                <w:rFonts w:ascii="Arial" w:cs="Arial" w:eastAsia="Arial" w:hAnsi="Arial"/>
                <w:sz w:val="16"/>
                <w:szCs w:val="16"/>
                <w:color w:val="005CB8"/>
              </w:rPr>
              <w:t>—</w:t>
            </w:r>
          </w:p>
        </w:tc>
        <w:tc>
          <w:tcPr>
            <w:tcW w:w="1140" w:type="dxa"/>
            <w:vAlign w:val="bottom"/>
            <w:shd w:val="clear" w:color="auto" w:fill="E5EFFD"/>
          </w:tcPr>
          <w:p>
            <w:pPr>
              <w:jc w:val="right"/>
              <w:ind w:right="42"/>
              <w:spacing w:after="0"/>
              <w:rPr>
                <w:sz w:val="20"/>
                <w:szCs w:val="20"/>
                <w:color w:val="auto"/>
              </w:rPr>
            </w:pPr>
            <w:r>
              <w:rPr>
                <w:rFonts w:ascii="Arial" w:cs="Arial" w:eastAsia="Arial" w:hAnsi="Arial"/>
                <w:sz w:val="16"/>
                <w:szCs w:val="16"/>
                <w:color w:val="005CB8"/>
              </w:rPr>
              <w:t>19,648</w:t>
            </w:r>
          </w:p>
        </w:tc>
        <w:tc>
          <w:tcPr>
            <w:tcW w:w="1140" w:type="dxa"/>
            <w:vAlign w:val="bottom"/>
            <w:shd w:val="clear" w:color="auto" w:fill="E5EFFD"/>
          </w:tcPr>
          <w:p>
            <w:pPr>
              <w:jc w:val="right"/>
              <w:ind w:right="42"/>
              <w:spacing w:after="0"/>
              <w:rPr>
                <w:sz w:val="20"/>
                <w:szCs w:val="20"/>
                <w:color w:val="auto"/>
              </w:rPr>
            </w:pPr>
            <w:r>
              <w:rPr>
                <w:rFonts w:ascii="Arial" w:cs="Arial" w:eastAsia="Arial" w:hAnsi="Arial"/>
                <w:sz w:val="16"/>
                <w:szCs w:val="16"/>
                <w:color w:val="005CB8"/>
              </w:rPr>
              <w:t>351,896</w:t>
            </w:r>
          </w:p>
        </w:tc>
      </w:tr>
      <w:tr>
        <w:trPr>
          <w:trHeight w:val="351"/>
        </w:trPr>
        <w:tc>
          <w:tcPr>
            <w:tcW w:w="2180" w:type="dxa"/>
            <w:vAlign w:val="bottom"/>
            <w:shd w:val="clear" w:color="auto" w:fill="E5EFFD"/>
          </w:tcPr>
          <w:p>
            <w:pPr>
              <w:spacing w:after="0"/>
              <w:rPr>
                <w:sz w:val="24"/>
                <w:szCs w:val="24"/>
                <w:color w:val="auto"/>
              </w:rPr>
            </w:pPr>
          </w:p>
        </w:tc>
        <w:tc>
          <w:tcPr>
            <w:tcW w:w="1220" w:type="dxa"/>
            <w:vAlign w:val="bottom"/>
            <w:shd w:val="clear" w:color="auto" w:fill="E5EFFD"/>
          </w:tcPr>
          <w:p>
            <w:pPr>
              <w:jc w:val="right"/>
              <w:ind w:right="80"/>
              <w:spacing w:after="0"/>
              <w:rPr>
                <w:sz w:val="20"/>
                <w:szCs w:val="20"/>
                <w:color w:val="auto"/>
              </w:rPr>
            </w:pPr>
            <w:r>
              <w:rPr>
                <w:rFonts w:ascii="Arial" w:cs="Arial" w:eastAsia="Arial" w:hAnsi="Arial"/>
                <w:sz w:val="16"/>
                <w:szCs w:val="16"/>
                <w:color w:val="005CB8"/>
              </w:rPr>
              <w:t>9/1/2018</w:t>
            </w:r>
            <w:r>
              <w:rPr>
                <w:rFonts w:ascii="Arial" w:cs="Arial" w:eastAsia="Arial" w:hAnsi="Arial"/>
                <w:sz w:val="26"/>
                <w:szCs w:val="26"/>
                <w:color w:val="005CB8"/>
                <w:vertAlign w:val="superscript"/>
              </w:rPr>
              <w:t>(5)</w:t>
            </w:r>
          </w:p>
        </w:tc>
        <w:tc>
          <w:tcPr>
            <w:tcW w:w="1020" w:type="dxa"/>
            <w:vAlign w:val="bottom"/>
            <w:shd w:val="clear" w:color="auto" w:fill="E5EFFD"/>
          </w:tcPr>
          <w:p>
            <w:pPr>
              <w:jc w:val="right"/>
              <w:ind w:right="43"/>
              <w:spacing w:after="0"/>
              <w:rPr>
                <w:sz w:val="20"/>
                <w:szCs w:val="20"/>
                <w:color w:val="auto"/>
              </w:rPr>
            </w:pPr>
            <w:r>
              <w:rPr>
                <w:rFonts w:ascii="Arial" w:cs="Arial" w:eastAsia="Arial" w:hAnsi="Arial"/>
                <w:sz w:val="16"/>
                <w:szCs w:val="16"/>
                <w:color w:val="005CB8"/>
              </w:rPr>
              <w:t>—</w:t>
            </w:r>
          </w:p>
        </w:tc>
        <w:tc>
          <w:tcPr>
            <w:tcW w:w="1160" w:type="dxa"/>
            <w:vAlign w:val="bottom"/>
            <w:shd w:val="clear" w:color="auto" w:fill="E5EFFD"/>
          </w:tcPr>
          <w:p>
            <w:pPr>
              <w:jc w:val="right"/>
              <w:ind w:right="22"/>
              <w:spacing w:after="0"/>
              <w:rPr>
                <w:sz w:val="20"/>
                <w:szCs w:val="20"/>
                <w:color w:val="auto"/>
              </w:rPr>
            </w:pPr>
            <w:r>
              <w:rPr>
                <w:rFonts w:ascii="Arial" w:cs="Arial" w:eastAsia="Arial" w:hAnsi="Arial"/>
                <w:sz w:val="16"/>
                <w:szCs w:val="16"/>
                <w:color w:val="005CB8"/>
              </w:rPr>
              <w:t>—</w:t>
            </w:r>
          </w:p>
        </w:tc>
        <w:tc>
          <w:tcPr>
            <w:tcW w:w="800" w:type="dxa"/>
            <w:vAlign w:val="bottom"/>
            <w:shd w:val="clear" w:color="auto" w:fill="E5EFFD"/>
          </w:tcPr>
          <w:p>
            <w:pPr>
              <w:jc w:val="right"/>
              <w:ind w:right="41"/>
              <w:spacing w:after="0"/>
              <w:rPr>
                <w:sz w:val="20"/>
                <w:szCs w:val="20"/>
                <w:color w:val="auto"/>
              </w:rPr>
            </w:pPr>
            <w:r>
              <w:rPr>
                <w:rFonts w:ascii="Arial" w:cs="Arial" w:eastAsia="Arial" w:hAnsi="Arial"/>
                <w:sz w:val="16"/>
                <w:szCs w:val="16"/>
                <w:color w:val="005CB8"/>
              </w:rPr>
              <w:t>—</w:t>
            </w:r>
          </w:p>
        </w:tc>
        <w:tc>
          <w:tcPr>
            <w:tcW w:w="900" w:type="dxa"/>
            <w:vAlign w:val="bottom"/>
            <w:shd w:val="clear" w:color="auto" w:fill="E5EFFD"/>
          </w:tcPr>
          <w:p>
            <w:pPr>
              <w:ind w:left="620"/>
              <w:spacing w:after="0"/>
              <w:rPr>
                <w:sz w:val="20"/>
                <w:szCs w:val="20"/>
                <w:color w:val="auto"/>
              </w:rPr>
            </w:pPr>
            <w:r>
              <w:rPr>
                <w:rFonts w:ascii="Arial" w:cs="Arial" w:eastAsia="Arial" w:hAnsi="Arial"/>
                <w:sz w:val="16"/>
                <w:szCs w:val="16"/>
                <w:color w:val="005CB8"/>
              </w:rPr>
              <w:t>—</w:t>
            </w:r>
          </w:p>
        </w:tc>
        <w:tc>
          <w:tcPr>
            <w:tcW w:w="1140" w:type="dxa"/>
            <w:vAlign w:val="bottom"/>
            <w:shd w:val="clear" w:color="auto" w:fill="E5EFFD"/>
          </w:tcPr>
          <w:p>
            <w:pPr>
              <w:jc w:val="right"/>
              <w:ind w:right="42"/>
              <w:spacing w:after="0"/>
              <w:rPr>
                <w:sz w:val="20"/>
                <w:szCs w:val="20"/>
                <w:color w:val="auto"/>
              </w:rPr>
            </w:pPr>
            <w:r>
              <w:rPr>
                <w:rFonts w:ascii="Arial" w:cs="Arial" w:eastAsia="Arial" w:hAnsi="Arial"/>
                <w:sz w:val="16"/>
                <w:szCs w:val="16"/>
                <w:color w:val="005CB8"/>
              </w:rPr>
              <w:t>71,474</w:t>
            </w:r>
          </w:p>
        </w:tc>
        <w:tc>
          <w:tcPr>
            <w:tcW w:w="1140" w:type="dxa"/>
            <w:vAlign w:val="bottom"/>
            <w:shd w:val="clear" w:color="auto" w:fill="E5EFFD"/>
          </w:tcPr>
          <w:p>
            <w:pPr>
              <w:jc w:val="right"/>
              <w:ind w:right="42"/>
              <w:spacing w:after="0"/>
              <w:rPr>
                <w:sz w:val="20"/>
                <w:szCs w:val="20"/>
                <w:color w:val="auto"/>
              </w:rPr>
            </w:pPr>
            <w:r>
              <w:rPr>
                <w:rFonts w:ascii="Arial" w:cs="Arial" w:eastAsia="Arial" w:hAnsi="Arial"/>
                <w:sz w:val="16"/>
                <w:szCs w:val="16"/>
                <w:color w:val="005CB8"/>
              </w:rPr>
              <w:t>1,280,099</w:t>
            </w:r>
          </w:p>
        </w:tc>
      </w:tr>
      <w:tr>
        <w:trPr>
          <w:trHeight w:val="297"/>
        </w:trPr>
        <w:tc>
          <w:tcPr>
            <w:tcW w:w="2180" w:type="dxa"/>
            <w:vAlign w:val="bottom"/>
            <w:shd w:val="clear" w:color="auto" w:fill="E5EFFD"/>
          </w:tcPr>
          <w:p>
            <w:pPr>
              <w:spacing w:after="0"/>
              <w:rPr>
                <w:sz w:val="24"/>
                <w:szCs w:val="24"/>
                <w:color w:val="auto"/>
              </w:rPr>
            </w:pPr>
          </w:p>
        </w:tc>
        <w:tc>
          <w:tcPr>
            <w:tcW w:w="1220" w:type="dxa"/>
            <w:vAlign w:val="bottom"/>
            <w:shd w:val="clear" w:color="auto" w:fill="E5EFFD"/>
          </w:tcPr>
          <w:p>
            <w:pPr>
              <w:jc w:val="right"/>
              <w:ind w:right="80"/>
              <w:spacing w:after="0" w:line="297" w:lineRule="exact"/>
              <w:rPr>
                <w:sz w:val="20"/>
                <w:szCs w:val="20"/>
                <w:color w:val="auto"/>
              </w:rPr>
            </w:pPr>
            <w:r>
              <w:rPr>
                <w:rFonts w:ascii="Arial" w:cs="Arial" w:eastAsia="Arial" w:hAnsi="Arial"/>
                <w:sz w:val="16"/>
                <w:szCs w:val="16"/>
                <w:color w:val="005CB8"/>
              </w:rPr>
              <w:t>4/1/2019</w:t>
            </w:r>
            <w:r>
              <w:rPr>
                <w:rFonts w:ascii="Arial" w:cs="Arial" w:eastAsia="Arial" w:hAnsi="Arial"/>
                <w:sz w:val="26"/>
                <w:szCs w:val="26"/>
                <w:color w:val="005CB8"/>
                <w:vertAlign w:val="superscript"/>
              </w:rPr>
              <w:t>(5)</w:t>
            </w:r>
          </w:p>
        </w:tc>
        <w:tc>
          <w:tcPr>
            <w:tcW w:w="1020" w:type="dxa"/>
            <w:vAlign w:val="bottom"/>
            <w:shd w:val="clear" w:color="auto" w:fill="E5EFFD"/>
          </w:tcPr>
          <w:p>
            <w:pPr>
              <w:jc w:val="right"/>
              <w:ind w:right="43"/>
              <w:spacing w:after="0"/>
              <w:rPr>
                <w:sz w:val="20"/>
                <w:szCs w:val="20"/>
                <w:color w:val="auto"/>
              </w:rPr>
            </w:pPr>
            <w:r>
              <w:rPr>
                <w:rFonts w:ascii="Arial" w:cs="Arial" w:eastAsia="Arial" w:hAnsi="Arial"/>
                <w:sz w:val="16"/>
                <w:szCs w:val="16"/>
                <w:color w:val="005CB8"/>
              </w:rPr>
              <w:t>—</w:t>
            </w:r>
          </w:p>
        </w:tc>
        <w:tc>
          <w:tcPr>
            <w:tcW w:w="1160" w:type="dxa"/>
            <w:vAlign w:val="bottom"/>
            <w:shd w:val="clear" w:color="auto" w:fill="E5EFFD"/>
          </w:tcPr>
          <w:p>
            <w:pPr>
              <w:jc w:val="right"/>
              <w:ind w:right="22"/>
              <w:spacing w:after="0"/>
              <w:rPr>
                <w:sz w:val="20"/>
                <w:szCs w:val="20"/>
                <w:color w:val="auto"/>
              </w:rPr>
            </w:pPr>
            <w:r>
              <w:rPr>
                <w:rFonts w:ascii="Arial" w:cs="Arial" w:eastAsia="Arial" w:hAnsi="Arial"/>
                <w:sz w:val="16"/>
                <w:szCs w:val="16"/>
                <w:color w:val="005CB8"/>
              </w:rPr>
              <w:t>—</w:t>
            </w:r>
          </w:p>
        </w:tc>
        <w:tc>
          <w:tcPr>
            <w:tcW w:w="800" w:type="dxa"/>
            <w:vAlign w:val="bottom"/>
            <w:shd w:val="clear" w:color="auto" w:fill="E5EFFD"/>
          </w:tcPr>
          <w:p>
            <w:pPr>
              <w:jc w:val="right"/>
              <w:ind w:right="41"/>
              <w:spacing w:after="0"/>
              <w:rPr>
                <w:sz w:val="20"/>
                <w:szCs w:val="20"/>
                <w:color w:val="auto"/>
              </w:rPr>
            </w:pPr>
            <w:r>
              <w:rPr>
                <w:rFonts w:ascii="Arial" w:cs="Arial" w:eastAsia="Arial" w:hAnsi="Arial"/>
                <w:sz w:val="16"/>
                <w:szCs w:val="16"/>
                <w:color w:val="005CB8"/>
              </w:rPr>
              <w:t>—</w:t>
            </w:r>
          </w:p>
        </w:tc>
        <w:tc>
          <w:tcPr>
            <w:tcW w:w="900" w:type="dxa"/>
            <w:vAlign w:val="bottom"/>
            <w:shd w:val="clear" w:color="auto" w:fill="E5EFFD"/>
          </w:tcPr>
          <w:p>
            <w:pPr>
              <w:ind w:left="620"/>
              <w:spacing w:after="0"/>
              <w:rPr>
                <w:sz w:val="20"/>
                <w:szCs w:val="20"/>
                <w:color w:val="auto"/>
              </w:rPr>
            </w:pPr>
            <w:r>
              <w:rPr>
                <w:rFonts w:ascii="Arial" w:cs="Arial" w:eastAsia="Arial" w:hAnsi="Arial"/>
                <w:sz w:val="16"/>
                <w:szCs w:val="16"/>
                <w:color w:val="005CB8"/>
              </w:rPr>
              <w:t>—</w:t>
            </w:r>
          </w:p>
        </w:tc>
        <w:tc>
          <w:tcPr>
            <w:tcW w:w="1140" w:type="dxa"/>
            <w:vAlign w:val="bottom"/>
            <w:shd w:val="clear" w:color="auto" w:fill="E5EFFD"/>
          </w:tcPr>
          <w:p>
            <w:pPr>
              <w:jc w:val="right"/>
              <w:ind w:right="42"/>
              <w:spacing w:after="0"/>
              <w:rPr>
                <w:sz w:val="20"/>
                <w:szCs w:val="20"/>
                <w:color w:val="auto"/>
              </w:rPr>
            </w:pPr>
            <w:r>
              <w:rPr>
                <w:rFonts w:ascii="Arial" w:cs="Arial" w:eastAsia="Arial" w:hAnsi="Arial"/>
                <w:sz w:val="16"/>
                <w:szCs w:val="16"/>
                <w:color w:val="005CB8"/>
              </w:rPr>
              <w:t>108,699</w:t>
            </w:r>
          </w:p>
        </w:tc>
        <w:tc>
          <w:tcPr>
            <w:tcW w:w="1140" w:type="dxa"/>
            <w:vAlign w:val="bottom"/>
            <w:shd w:val="clear" w:color="auto" w:fill="E5EFFD"/>
          </w:tcPr>
          <w:p>
            <w:pPr>
              <w:jc w:val="right"/>
              <w:ind w:right="42"/>
              <w:spacing w:after="0"/>
              <w:rPr>
                <w:sz w:val="20"/>
                <w:szCs w:val="20"/>
                <w:color w:val="auto"/>
              </w:rPr>
            </w:pPr>
            <w:r>
              <w:rPr>
                <w:rFonts w:ascii="Arial" w:cs="Arial" w:eastAsia="Arial" w:hAnsi="Arial"/>
                <w:sz w:val="16"/>
                <w:szCs w:val="16"/>
                <w:color w:val="005CB8"/>
              </w:rPr>
              <w:t>1,946,799</w:t>
            </w:r>
          </w:p>
        </w:tc>
      </w:tr>
    </w:tbl>
    <w:p>
      <w:pPr>
        <w:spacing w:after="0" w:line="32" w:lineRule="exact"/>
        <w:rPr>
          <w:sz w:val="20"/>
          <w:szCs w:val="20"/>
          <w:color w:val="auto"/>
        </w:rPr>
      </w:pPr>
    </w:p>
    <w:p>
      <w:pPr>
        <w:ind w:left="244" w:hanging="244"/>
        <w:spacing w:after="0"/>
        <w:tabs>
          <w:tab w:leader="none" w:pos="244" w:val="left"/>
        </w:tabs>
        <w:numPr>
          <w:ilvl w:val="0"/>
          <w:numId w:val="63"/>
        </w:numPr>
        <w:rPr>
          <w:rFonts w:ascii="Arial" w:cs="Arial" w:eastAsia="Arial" w:hAnsi="Arial"/>
          <w:sz w:val="11"/>
          <w:szCs w:val="11"/>
          <w:color w:val="auto"/>
        </w:rPr>
      </w:pPr>
      <w:r>
        <w:rPr>
          <w:rFonts w:ascii="Arial" w:cs="Arial" w:eastAsia="Arial" w:hAnsi="Arial"/>
          <w:sz w:val="14"/>
          <w:szCs w:val="14"/>
          <w:color w:val="auto"/>
        </w:rPr>
        <w:t>The closing price of our Class A common stock on December 31, 2019 was $17.91.</w:t>
      </w:r>
    </w:p>
    <w:p>
      <w:pPr>
        <w:spacing w:after="0" w:line="55" w:lineRule="exact"/>
        <w:rPr>
          <w:rFonts w:ascii="Arial" w:cs="Arial" w:eastAsia="Arial" w:hAnsi="Arial"/>
          <w:sz w:val="11"/>
          <w:szCs w:val="11"/>
          <w:color w:val="auto"/>
        </w:rPr>
      </w:pPr>
    </w:p>
    <w:p>
      <w:pPr>
        <w:ind w:left="244" w:hanging="244"/>
        <w:spacing w:after="0" w:line="225" w:lineRule="auto"/>
        <w:tabs>
          <w:tab w:leader="none" w:pos="244"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This award represents RSAs granted to Mr. Houston pursuant to a stand-alone restricted stock award agreement. The shares underlying the RSAs are Class A common stock. RSAs vest over a period of up to ten years upon achievement of service-based, market-based, and liquidity event-related performance vesting conditions. See “</w:t>
      </w:r>
      <w:r>
        <w:rPr>
          <w:rFonts w:ascii="Arial" w:cs="Arial" w:eastAsia="Arial" w:hAnsi="Arial"/>
          <w:sz w:val="14"/>
          <w:szCs w:val="14"/>
          <w:i w:val="1"/>
          <w:iCs w:val="1"/>
          <w:color w:val="auto"/>
        </w:rPr>
        <w:t>Co-Founder Grants</w:t>
      </w:r>
      <w:r>
        <w:rPr>
          <w:rFonts w:ascii="Arial" w:cs="Arial" w:eastAsia="Arial" w:hAnsi="Arial"/>
          <w:sz w:val="14"/>
          <w:szCs w:val="14"/>
          <w:color w:val="auto"/>
        </w:rPr>
        <w:t>” below.</w:t>
      </w:r>
    </w:p>
    <w:p>
      <w:pPr>
        <w:spacing w:after="0" w:line="3" w:lineRule="exact"/>
        <w:rPr>
          <w:rFonts w:ascii="Arial" w:cs="Arial" w:eastAsia="Arial" w:hAnsi="Arial"/>
          <w:sz w:val="18"/>
          <w:szCs w:val="18"/>
          <w:color w:val="auto"/>
          <w:vertAlign w:val="superscript"/>
        </w:rPr>
      </w:pPr>
    </w:p>
    <w:p>
      <w:pPr>
        <w:ind w:left="244" w:right="380" w:hanging="244"/>
        <w:spacing w:after="0" w:line="217" w:lineRule="auto"/>
        <w:tabs>
          <w:tab w:leader="none" w:pos="244"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1/12th of the total number of shares of our Class B common stock underlying the RSUs vests in equal quarterly installments on the Quarterly Vesting Dates, subject to continued service through each such vesting date.</w:t>
      </w:r>
    </w:p>
    <w:p>
      <w:pPr>
        <w:spacing w:after="0" w:line="18" w:lineRule="exact"/>
        <w:rPr>
          <w:rFonts w:ascii="Arial" w:cs="Arial" w:eastAsia="Arial" w:hAnsi="Arial"/>
          <w:sz w:val="18"/>
          <w:szCs w:val="18"/>
          <w:color w:val="auto"/>
          <w:vertAlign w:val="superscript"/>
        </w:rPr>
      </w:pPr>
    </w:p>
    <w:p>
      <w:pPr>
        <w:ind w:left="244" w:right="60" w:hanging="244"/>
        <w:spacing w:after="0" w:line="225" w:lineRule="auto"/>
        <w:tabs>
          <w:tab w:leader="none" w:pos="244"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1/8th of the total number of shares of our Class A common stock underlying the RSUs vests on February 15, 2020, and an additional 1/16th of the total number of shares of our Class A common stock underlying the RSUs vests in equal quarterly installments on the Quarterly Vesting Dates thereafter, subject to continued service through each such vesting date.</w:t>
      </w:r>
    </w:p>
    <w:p>
      <w:pPr>
        <w:spacing w:after="0" w:line="3" w:lineRule="exact"/>
        <w:rPr>
          <w:rFonts w:ascii="Arial" w:cs="Arial" w:eastAsia="Arial" w:hAnsi="Arial"/>
          <w:sz w:val="18"/>
          <w:szCs w:val="18"/>
          <w:color w:val="auto"/>
          <w:vertAlign w:val="superscript"/>
        </w:rPr>
      </w:pPr>
    </w:p>
    <w:p>
      <w:pPr>
        <w:ind w:left="244" w:right="400" w:hanging="244"/>
        <w:spacing w:after="0" w:line="217" w:lineRule="auto"/>
        <w:tabs>
          <w:tab w:leader="none" w:pos="244"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1/16th of the total number of shares of our Class A common stock underlying the RSUs vests in equal quarterly installments on the Quarterly Vesting Dates, subject to continued service through each such vesting date.</w:t>
      </w:r>
    </w:p>
    <w:p>
      <w:pPr>
        <w:spacing w:after="0" w:line="4" w:lineRule="exact"/>
        <w:rPr>
          <w:rFonts w:ascii="Arial" w:cs="Arial" w:eastAsia="Arial" w:hAnsi="Arial"/>
          <w:sz w:val="18"/>
          <w:szCs w:val="18"/>
          <w:color w:val="auto"/>
          <w:vertAlign w:val="superscript"/>
        </w:rPr>
      </w:pPr>
    </w:p>
    <w:p>
      <w:pPr>
        <w:ind w:left="244" w:right="20" w:hanging="244"/>
        <w:spacing w:after="0" w:line="225" w:lineRule="auto"/>
        <w:tabs>
          <w:tab w:leader="none" w:pos="244"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1/4th of the shares of our Class A common stock underlying the RSAs vests on November 15th, 2020, and an additional 1/16th of the total number of shares of our Class A common stock underlying the RSAs vests in equal quarterly installments on the Quarterly Vesting Dates, subject to continued service through each such vesting date.</w:t>
      </w:r>
    </w:p>
    <w:p>
      <w:pPr>
        <w:spacing w:after="0" w:line="188" w:lineRule="exact"/>
        <w:rPr>
          <w:sz w:val="20"/>
          <w:szCs w:val="20"/>
          <w:color w:val="auto"/>
        </w:rPr>
      </w:pPr>
    </w:p>
    <w:p>
      <w:pPr>
        <w:ind w:left="524" w:hanging="524"/>
        <w:spacing w:after="0"/>
        <w:tabs>
          <w:tab w:leader="none" w:pos="524" w:val="left"/>
        </w:tabs>
        <w:numPr>
          <w:ilvl w:val="0"/>
          <w:numId w:val="64"/>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46" w:name="page47"/>
    <w:bookmarkEnd w:id="46"/>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EXECUTIVE COMPENSATION (continued)</w:t>
      </w:r>
    </w:p>
    <w:p>
      <w:pPr>
        <w:spacing w:after="0" w:line="378" w:lineRule="exact"/>
        <w:rPr>
          <w:sz w:val="20"/>
          <w:szCs w:val="20"/>
          <w:color w:val="auto"/>
        </w:rPr>
      </w:pPr>
    </w:p>
    <w:p>
      <w:pPr>
        <w:ind w:left="720"/>
        <w:spacing w:after="0"/>
        <w:rPr>
          <w:sz w:val="20"/>
          <w:szCs w:val="20"/>
          <w:color w:val="auto"/>
        </w:rPr>
      </w:pPr>
      <w:r>
        <w:rPr>
          <w:rFonts w:ascii="Arial" w:cs="Arial" w:eastAsia="Arial" w:hAnsi="Arial"/>
          <w:sz w:val="26"/>
          <w:szCs w:val="26"/>
          <w:color w:val="005CB8"/>
        </w:rPr>
        <w:t>Co-Founder Grants</w:t>
      </w:r>
    </w:p>
    <w:p>
      <w:pPr>
        <w:spacing w:after="0" w:line="169" w:lineRule="exact"/>
        <w:rPr>
          <w:sz w:val="20"/>
          <w:szCs w:val="20"/>
          <w:color w:val="auto"/>
        </w:rPr>
      </w:pPr>
    </w:p>
    <w:p>
      <w:pPr>
        <w:ind w:left="720" w:right="760"/>
        <w:spacing w:after="0" w:line="248" w:lineRule="auto"/>
        <w:rPr>
          <w:sz w:val="20"/>
          <w:szCs w:val="20"/>
          <w:color w:val="auto"/>
        </w:rPr>
      </w:pPr>
      <w:r>
        <w:rPr>
          <w:rFonts w:ascii="Arial" w:cs="Arial" w:eastAsia="Arial" w:hAnsi="Arial"/>
          <w:sz w:val="16"/>
          <w:szCs w:val="16"/>
          <w:color w:val="auto"/>
        </w:rPr>
        <w:t>In December 2017, our board of directors approved a grant to our co-founders of RSAs with respect to 14.7 million shares of Class A common stock in the aggregate (the “</w:t>
      </w:r>
      <w:r>
        <w:rPr>
          <w:rFonts w:ascii="Arial" w:cs="Arial" w:eastAsia="Arial" w:hAnsi="Arial"/>
          <w:sz w:val="16"/>
          <w:szCs w:val="16"/>
          <w:b w:val="1"/>
          <w:bCs w:val="1"/>
          <w:i w:val="1"/>
          <w:iCs w:val="1"/>
          <w:color w:val="auto"/>
        </w:rPr>
        <w:t>Co-Founder Grants</w:t>
      </w:r>
      <w:r>
        <w:rPr>
          <w:rFonts w:ascii="Arial" w:cs="Arial" w:eastAsia="Arial" w:hAnsi="Arial"/>
          <w:sz w:val="16"/>
          <w:szCs w:val="16"/>
          <w:color w:val="auto"/>
        </w:rPr>
        <w:t>”) of which 10.3 million RSAs were granted to Mr. Houston, our co-founder, chief executive officer and chairman of the board of directors, and 4.4 million RSAs were granted to Mr. Ferdowsi, our co-founder and director. These Co-Founder Grants have service-based, market-based, and performance-based vesting conditions. These Co-Founder Grants have certain stockholder rights, such as the right to vote the shares immediately upon grant and prior to their vesting. The Co-Founder Grants are eligible to vest over the ten-year period following the closing of our initial public offering. The Co-Founder Grants comprise nine tranches that are eligible to vest based on the achievement of stock price goals (each, a “</w:t>
      </w:r>
      <w:r>
        <w:rPr>
          <w:rFonts w:ascii="Arial" w:cs="Arial" w:eastAsia="Arial" w:hAnsi="Arial"/>
          <w:sz w:val="16"/>
          <w:szCs w:val="16"/>
          <w:b w:val="1"/>
          <w:bCs w:val="1"/>
          <w:i w:val="1"/>
          <w:iCs w:val="1"/>
          <w:color w:val="auto"/>
        </w:rPr>
        <w:t>Stock Price Target</w:t>
      </w:r>
      <w:r>
        <w:rPr>
          <w:rFonts w:ascii="Arial" w:cs="Arial" w:eastAsia="Arial" w:hAnsi="Arial"/>
          <w:sz w:val="16"/>
          <w:szCs w:val="16"/>
          <w:color w:val="auto"/>
        </w:rPr>
        <w:t>”), measured over a consecutive thirty-day trading period during the Performance Period, as follows:</w:t>
      </w:r>
    </w:p>
    <w:p>
      <w:pPr>
        <w:spacing w:after="0" w:line="153" w:lineRule="exact"/>
        <w:rPr>
          <w:sz w:val="20"/>
          <w:szCs w:val="20"/>
          <w:color w:val="auto"/>
        </w:rPr>
      </w:pPr>
    </w:p>
    <w:p>
      <w:pPr>
        <w:jc w:val="both"/>
        <w:ind w:left="1000" w:right="840" w:hanging="284"/>
        <w:spacing w:after="0" w:line="253" w:lineRule="auto"/>
        <w:tabs>
          <w:tab w:leader="none" w:pos="1000" w:val="left"/>
        </w:tabs>
        <w:numPr>
          <w:ilvl w:val="0"/>
          <w:numId w:val="65"/>
        </w:numPr>
        <w:rPr>
          <w:rFonts w:ascii="Arial" w:cs="Arial" w:eastAsia="Arial" w:hAnsi="Arial"/>
          <w:sz w:val="16"/>
          <w:szCs w:val="16"/>
          <w:color w:val="005CB8"/>
        </w:rPr>
      </w:pPr>
      <w:r>
        <w:rPr>
          <w:rFonts w:ascii="Arial" w:cs="Arial" w:eastAsia="Arial" w:hAnsi="Arial"/>
          <w:sz w:val="16"/>
          <w:szCs w:val="16"/>
          <w:color w:val="auto"/>
        </w:rPr>
        <w:t>The Performance Period began on August 27, 2018, and ends on the earliest to occur of: (i) the date on which all shares subject to the Co-Founder Grants vest, (ii) the date the applicable co-founder ceases to satisfy the service-based vesting condition, and (iii) the tenth anniversary of the closing of our initial public offering.</w:t>
      </w:r>
    </w:p>
    <w:p>
      <w:pPr>
        <w:spacing w:after="0" w:line="147" w:lineRule="exact"/>
        <w:rPr>
          <w:rFonts w:ascii="Arial" w:cs="Arial" w:eastAsia="Arial" w:hAnsi="Arial"/>
          <w:sz w:val="16"/>
          <w:szCs w:val="16"/>
          <w:color w:val="005CB8"/>
        </w:rPr>
      </w:pPr>
    </w:p>
    <w:p>
      <w:pPr>
        <w:ind w:left="1000" w:right="740" w:hanging="284"/>
        <w:spacing w:after="0" w:line="253" w:lineRule="auto"/>
        <w:tabs>
          <w:tab w:leader="none" w:pos="1000" w:val="left"/>
        </w:tabs>
        <w:numPr>
          <w:ilvl w:val="0"/>
          <w:numId w:val="65"/>
        </w:numPr>
        <w:rPr>
          <w:rFonts w:ascii="Arial" w:cs="Arial" w:eastAsia="Arial" w:hAnsi="Arial"/>
          <w:sz w:val="16"/>
          <w:szCs w:val="16"/>
          <w:color w:val="005CB8"/>
        </w:rPr>
      </w:pPr>
      <w:r>
        <w:rPr>
          <w:rFonts w:ascii="Arial" w:cs="Arial" w:eastAsia="Arial" w:hAnsi="Arial"/>
          <w:sz w:val="16"/>
          <w:szCs w:val="16"/>
          <w:color w:val="auto"/>
        </w:rPr>
        <w:t>During the first four years of the Performance Period, no more than 20% of the shares subject to each Co-Founder Grant are eligible to vest in any calendar year. After the first four years, all shares are eligible to vest based on the achievement of the Stock Price Targets.</w:t>
      </w:r>
    </w:p>
    <w:p>
      <w:pPr>
        <w:spacing w:after="0" w:line="147" w:lineRule="exact"/>
        <w:rPr>
          <w:sz w:val="20"/>
          <w:szCs w:val="20"/>
          <w:color w:val="auto"/>
        </w:rPr>
      </w:pPr>
    </w:p>
    <w:p>
      <w:pPr>
        <w:ind w:left="720" w:right="920"/>
        <w:spacing w:after="0" w:line="251" w:lineRule="auto"/>
        <w:rPr>
          <w:sz w:val="20"/>
          <w:szCs w:val="20"/>
          <w:color w:val="auto"/>
        </w:rPr>
      </w:pPr>
      <w:r>
        <w:rPr>
          <w:rFonts w:ascii="Arial" w:cs="Arial" w:eastAsia="Arial" w:hAnsi="Arial"/>
          <w:sz w:val="16"/>
          <w:szCs w:val="16"/>
          <w:color w:val="auto"/>
        </w:rPr>
        <w:t>In March 2020, Mr. Ferdowsi resigned as a member of the board and as an officer of the company. As a result, he ceased to satisfy the service-based vesting condition of his Co-Founder Grant as of March 19, 2020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None of the 4.4 million RSAs subject to Mr. Ferdowsi’s Co-Founder Grant had vested prior to the Expiration Date. Accordingly, all were forfeited by Mr. Ferdowsi and reacquired by the Company as of that date.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43</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47" w:name="page48"/>
    <w:bookmarkEnd w:id="47"/>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5CB8"/>
        </w:rPr>
        <w:t>EXECUTIVE COMPENSATION (continued)</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26"/>
          <w:szCs w:val="26"/>
          <w:color w:val="005CB8"/>
        </w:rPr>
        <w:t>Option Exercises and Stock Vested in 2019</w:t>
      </w:r>
    </w:p>
    <w:p>
      <w:pPr>
        <w:spacing w:after="0" w:line="169" w:lineRule="exact"/>
        <w:rPr>
          <w:sz w:val="20"/>
          <w:szCs w:val="20"/>
          <w:color w:val="auto"/>
        </w:rPr>
      </w:pPr>
    </w:p>
    <w:p>
      <w:pPr>
        <w:ind w:left="4" w:right="340"/>
        <w:spacing w:after="0" w:line="260" w:lineRule="auto"/>
        <w:rPr>
          <w:sz w:val="20"/>
          <w:szCs w:val="20"/>
          <w:color w:val="auto"/>
        </w:rPr>
      </w:pPr>
      <w:r>
        <w:rPr>
          <w:rFonts w:ascii="Arial" w:cs="Arial" w:eastAsia="Arial" w:hAnsi="Arial"/>
          <w:sz w:val="16"/>
          <w:szCs w:val="16"/>
          <w:color w:val="auto"/>
        </w:rPr>
        <w:t>The following table shows all stock awards vested, and value realized upon vesting, by our named executive officers during fiscal 2019. No named executive officer exercised stock options during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122555</wp:posOffset>
            </wp:positionV>
            <wp:extent cx="6077585" cy="1602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7585" cy="1602740"/>
                    </a:xfrm>
                    <a:prstGeom prst="rect">
                      <a:avLst/>
                    </a:prstGeom>
                    <a:noFill/>
                  </pic:spPr>
                </pic:pic>
              </a:graphicData>
            </a:graphic>
          </wp:anchor>
        </w:drawing>
      </w:r>
    </w:p>
    <w:p>
      <w:pPr>
        <w:spacing w:after="0" w:line="173"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5220" w:type="dxa"/>
            <w:vAlign w:val="bottom"/>
            <w:shd w:val="clear" w:color="auto" w:fill="0060EC"/>
          </w:tcPr>
          <w:p>
            <w:pPr>
              <w:spacing w:after="0"/>
              <w:rPr>
                <w:sz w:val="22"/>
                <w:szCs w:val="22"/>
                <w:color w:val="auto"/>
              </w:rPr>
            </w:pPr>
          </w:p>
        </w:tc>
        <w:tc>
          <w:tcPr>
            <w:tcW w:w="2720" w:type="dxa"/>
            <w:vAlign w:val="bottom"/>
            <w:shd w:val="clear" w:color="auto" w:fill="0060EC"/>
          </w:tcPr>
          <w:p>
            <w:pPr>
              <w:jc w:val="center"/>
              <w:ind w:left="442"/>
              <w:spacing w:after="0"/>
              <w:rPr>
                <w:sz w:val="20"/>
                <w:szCs w:val="20"/>
                <w:color w:val="auto"/>
              </w:rPr>
            </w:pPr>
            <w:r>
              <w:rPr>
                <w:rFonts w:ascii="Arial" w:cs="Arial" w:eastAsia="Arial" w:hAnsi="Arial"/>
                <w:sz w:val="14"/>
                <w:szCs w:val="14"/>
                <w:b w:val="1"/>
                <w:bCs w:val="1"/>
                <w:color w:val="FFFFFF"/>
              </w:rPr>
              <w:t>Number of Shares</w:t>
            </w:r>
          </w:p>
        </w:tc>
        <w:tc>
          <w:tcPr>
            <w:tcW w:w="1620" w:type="dxa"/>
            <w:vAlign w:val="bottom"/>
            <w:shd w:val="clear" w:color="auto" w:fill="0060EC"/>
          </w:tcPr>
          <w:p>
            <w:pPr>
              <w:spacing w:after="0"/>
              <w:rPr>
                <w:sz w:val="22"/>
                <w:szCs w:val="22"/>
                <w:color w:val="auto"/>
              </w:rPr>
            </w:pPr>
          </w:p>
        </w:tc>
      </w:tr>
      <w:tr>
        <w:trPr>
          <w:trHeight w:val="148"/>
        </w:trPr>
        <w:tc>
          <w:tcPr>
            <w:tcW w:w="5220" w:type="dxa"/>
            <w:vAlign w:val="bottom"/>
            <w:shd w:val="clear" w:color="auto" w:fill="0060EC"/>
          </w:tcPr>
          <w:p>
            <w:pPr>
              <w:spacing w:after="0"/>
              <w:rPr>
                <w:sz w:val="12"/>
                <w:szCs w:val="12"/>
                <w:color w:val="auto"/>
              </w:rPr>
            </w:pPr>
          </w:p>
        </w:tc>
        <w:tc>
          <w:tcPr>
            <w:tcW w:w="2720" w:type="dxa"/>
            <w:vAlign w:val="bottom"/>
            <w:shd w:val="clear" w:color="auto" w:fill="0060EC"/>
          </w:tcPr>
          <w:p>
            <w:pPr>
              <w:jc w:val="center"/>
              <w:ind w:left="442"/>
              <w:spacing w:after="0" w:line="148" w:lineRule="exact"/>
              <w:rPr>
                <w:sz w:val="20"/>
                <w:szCs w:val="20"/>
                <w:color w:val="auto"/>
              </w:rPr>
            </w:pPr>
            <w:r>
              <w:rPr>
                <w:rFonts w:ascii="Arial" w:cs="Arial" w:eastAsia="Arial" w:hAnsi="Arial"/>
                <w:sz w:val="14"/>
                <w:szCs w:val="14"/>
                <w:b w:val="1"/>
                <w:bCs w:val="1"/>
                <w:color w:val="FFFFFF"/>
              </w:rPr>
              <w:t>Acquired on</w:t>
            </w:r>
          </w:p>
        </w:tc>
        <w:tc>
          <w:tcPr>
            <w:tcW w:w="1620" w:type="dxa"/>
            <w:vAlign w:val="bottom"/>
            <w:shd w:val="clear" w:color="auto" w:fill="0060EC"/>
          </w:tcPr>
          <w:p>
            <w:pPr>
              <w:jc w:val="right"/>
              <w:ind w:right="2"/>
              <w:spacing w:after="0" w:line="148" w:lineRule="exact"/>
              <w:rPr>
                <w:sz w:val="20"/>
                <w:szCs w:val="20"/>
                <w:color w:val="auto"/>
              </w:rPr>
            </w:pPr>
            <w:r>
              <w:rPr>
                <w:rFonts w:ascii="Arial" w:cs="Arial" w:eastAsia="Arial" w:hAnsi="Arial"/>
                <w:sz w:val="14"/>
                <w:szCs w:val="14"/>
                <w:b w:val="1"/>
                <w:bCs w:val="1"/>
                <w:color w:val="FFFFFF"/>
              </w:rPr>
              <w:t>Value Realized</w:t>
            </w:r>
          </w:p>
        </w:tc>
      </w:tr>
      <w:tr>
        <w:trPr>
          <w:trHeight w:val="283"/>
        </w:trPr>
        <w:tc>
          <w:tcPr>
            <w:tcW w:w="5220" w:type="dxa"/>
            <w:vAlign w:val="bottom"/>
            <w:shd w:val="clear" w:color="auto" w:fill="0060EC"/>
          </w:tcPr>
          <w:p>
            <w:pPr>
              <w:ind w:left="60"/>
              <w:spacing w:after="0"/>
              <w:rPr>
                <w:sz w:val="20"/>
                <w:szCs w:val="20"/>
                <w:color w:val="auto"/>
              </w:rPr>
            </w:pPr>
            <w:r>
              <w:rPr>
                <w:rFonts w:ascii="Arial" w:cs="Arial" w:eastAsia="Arial" w:hAnsi="Arial"/>
                <w:sz w:val="14"/>
                <w:szCs w:val="14"/>
                <w:b w:val="1"/>
                <w:bCs w:val="1"/>
                <w:color w:val="FFFFFF"/>
              </w:rPr>
              <w:t>Name</w:t>
            </w:r>
          </w:p>
        </w:tc>
        <w:tc>
          <w:tcPr>
            <w:tcW w:w="2720" w:type="dxa"/>
            <w:vAlign w:val="bottom"/>
            <w:shd w:val="clear" w:color="auto" w:fill="0060EC"/>
          </w:tcPr>
          <w:p>
            <w:pPr>
              <w:jc w:val="center"/>
              <w:ind w:left="442"/>
              <w:spacing w:after="0"/>
              <w:rPr>
                <w:sz w:val="20"/>
                <w:szCs w:val="20"/>
                <w:color w:val="auto"/>
              </w:rPr>
            </w:pPr>
            <w:r>
              <w:rPr>
                <w:rFonts w:ascii="Arial" w:cs="Arial" w:eastAsia="Arial" w:hAnsi="Arial"/>
                <w:sz w:val="14"/>
                <w:szCs w:val="14"/>
                <w:b w:val="1"/>
                <w:bCs w:val="1"/>
                <w:color w:val="FFFFFF"/>
              </w:rPr>
              <w:t>Vesting</w:t>
            </w:r>
          </w:p>
        </w:tc>
        <w:tc>
          <w:tcPr>
            <w:tcW w:w="1620" w:type="dxa"/>
            <w:vAlign w:val="bottom"/>
            <w:shd w:val="clear" w:color="auto" w:fill="0060EC"/>
          </w:tcPr>
          <w:p>
            <w:pPr>
              <w:jc w:val="right"/>
              <w:spacing w:after="0"/>
              <w:rPr>
                <w:sz w:val="20"/>
                <w:szCs w:val="20"/>
                <w:color w:val="auto"/>
              </w:rPr>
            </w:pPr>
            <w:r>
              <w:rPr>
                <w:rFonts w:ascii="Arial" w:cs="Arial" w:eastAsia="Arial" w:hAnsi="Arial"/>
                <w:sz w:val="14"/>
                <w:szCs w:val="14"/>
                <w:b w:val="1"/>
                <w:bCs w:val="1"/>
                <w:color w:val="FFFFFF"/>
              </w:rPr>
              <w:t>on Vesting ($)</w:t>
            </w:r>
            <w:r>
              <w:rPr>
                <w:rFonts w:ascii="Arial" w:cs="Arial" w:eastAsia="Arial" w:hAnsi="Arial"/>
                <w:sz w:val="23"/>
                <w:szCs w:val="23"/>
                <w:b w:val="1"/>
                <w:bCs w:val="1"/>
                <w:color w:val="FFFFFF"/>
                <w:vertAlign w:val="superscript"/>
              </w:rPr>
              <w:t>(1)</w:t>
            </w:r>
          </w:p>
        </w:tc>
      </w:tr>
      <w:tr>
        <w:trPr>
          <w:trHeight w:val="291"/>
        </w:trPr>
        <w:tc>
          <w:tcPr>
            <w:tcW w:w="522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Andrew W. Houston</w:t>
            </w:r>
          </w:p>
        </w:tc>
        <w:tc>
          <w:tcPr>
            <w:tcW w:w="2720" w:type="dxa"/>
            <w:vAlign w:val="bottom"/>
            <w:shd w:val="clear" w:color="auto" w:fill="E5EFFD"/>
          </w:tcPr>
          <w:p>
            <w:pPr>
              <w:jc w:val="right"/>
              <w:ind w:right="402"/>
              <w:spacing w:after="0"/>
              <w:rPr>
                <w:sz w:val="20"/>
                <w:szCs w:val="20"/>
                <w:color w:val="auto"/>
              </w:rPr>
            </w:pPr>
            <w:r>
              <w:rPr>
                <w:rFonts w:ascii="Arial" w:cs="Arial" w:eastAsia="Arial" w:hAnsi="Arial"/>
                <w:sz w:val="16"/>
                <w:szCs w:val="16"/>
                <w:color w:val="005CB8"/>
              </w:rPr>
              <w:t>—</w:t>
            </w:r>
          </w:p>
        </w:tc>
        <w:tc>
          <w:tcPr>
            <w:tcW w:w="1620" w:type="dxa"/>
            <w:vAlign w:val="bottom"/>
            <w:shd w:val="clear" w:color="auto" w:fill="E5EFFD"/>
          </w:tcPr>
          <w:p>
            <w:pPr>
              <w:jc w:val="right"/>
              <w:ind w:right="2"/>
              <w:spacing w:after="0"/>
              <w:rPr>
                <w:sz w:val="20"/>
                <w:szCs w:val="20"/>
                <w:color w:val="auto"/>
              </w:rPr>
            </w:pPr>
            <w:r>
              <w:rPr>
                <w:rFonts w:ascii="Arial" w:cs="Arial" w:eastAsia="Arial" w:hAnsi="Arial"/>
                <w:sz w:val="16"/>
                <w:szCs w:val="16"/>
                <w:color w:val="005CB8"/>
              </w:rPr>
              <w:t>—</w:t>
            </w:r>
          </w:p>
        </w:tc>
      </w:tr>
      <w:tr>
        <w:trPr>
          <w:trHeight w:val="378"/>
        </w:trPr>
        <w:tc>
          <w:tcPr>
            <w:tcW w:w="522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Ajay V. Vashee</w:t>
            </w:r>
          </w:p>
        </w:tc>
        <w:tc>
          <w:tcPr>
            <w:tcW w:w="2720" w:type="dxa"/>
            <w:vAlign w:val="bottom"/>
            <w:shd w:val="clear" w:color="auto" w:fill="E5EFFD"/>
          </w:tcPr>
          <w:p>
            <w:pPr>
              <w:jc w:val="right"/>
              <w:ind w:right="402"/>
              <w:spacing w:after="0"/>
              <w:rPr>
                <w:sz w:val="20"/>
                <w:szCs w:val="20"/>
                <w:color w:val="auto"/>
              </w:rPr>
            </w:pPr>
            <w:r>
              <w:rPr>
                <w:rFonts w:ascii="Arial" w:cs="Arial" w:eastAsia="Arial" w:hAnsi="Arial"/>
                <w:sz w:val="16"/>
                <w:szCs w:val="16"/>
                <w:color w:val="005CB8"/>
              </w:rPr>
              <w:t>218,002</w:t>
            </w:r>
          </w:p>
        </w:tc>
        <w:tc>
          <w:tcPr>
            <w:tcW w:w="1620" w:type="dxa"/>
            <w:vAlign w:val="bottom"/>
            <w:shd w:val="clear" w:color="auto" w:fill="E5EFFD"/>
          </w:tcPr>
          <w:p>
            <w:pPr>
              <w:jc w:val="right"/>
              <w:ind w:right="2"/>
              <w:spacing w:after="0"/>
              <w:rPr>
                <w:sz w:val="20"/>
                <w:szCs w:val="20"/>
                <w:color w:val="auto"/>
              </w:rPr>
            </w:pPr>
            <w:r>
              <w:rPr>
                <w:rFonts w:ascii="Arial" w:cs="Arial" w:eastAsia="Arial" w:hAnsi="Arial"/>
                <w:sz w:val="16"/>
                <w:szCs w:val="16"/>
                <w:color w:val="005CB8"/>
              </w:rPr>
              <w:t>4,597,755</w:t>
            </w:r>
          </w:p>
        </w:tc>
      </w:tr>
      <w:tr>
        <w:trPr>
          <w:trHeight w:val="378"/>
        </w:trPr>
        <w:tc>
          <w:tcPr>
            <w:tcW w:w="522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Bharat Mediratta</w:t>
            </w:r>
          </w:p>
        </w:tc>
        <w:tc>
          <w:tcPr>
            <w:tcW w:w="2720" w:type="dxa"/>
            <w:vAlign w:val="bottom"/>
            <w:shd w:val="clear" w:color="auto" w:fill="E5EFFD"/>
          </w:tcPr>
          <w:p>
            <w:pPr>
              <w:jc w:val="right"/>
              <w:ind w:right="402"/>
              <w:spacing w:after="0"/>
              <w:rPr>
                <w:sz w:val="20"/>
                <w:szCs w:val="20"/>
                <w:color w:val="auto"/>
              </w:rPr>
            </w:pPr>
            <w:r>
              <w:rPr>
                <w:rFonts w:ascii="Arial" w:cs="Arial" w:eastAsia="Arial" w:hAnsi="Arial"/>
                <w:sz w:val="16"/>
                <w:szCs w:val="16"/>
                <w:color w:val="005CB8"/>
              </w:rPr>
              <w:t>—</w:t>
            </w:r>
          </w:p>
        </w:tc>
        <w:tc>
          <w:tcPr>
            <w:tcW w:w="1620" w:type="dxa"/>
            <w:vAlign w:val="bottom"/>
            <w:shd w:val="clear" w:color="auto" w:fill="E5EFFD"/>
          </w:tcPr>
          <w:p>
            <w:pPr>
              <w:jc w:val="right"/>
              <w:ind w:right="2"/>
              <w:spacing w:after="0"/>
              <w:rPr>
                <w:sz w:val="20"/>
                <w:szCs w:val="20"/>
                <w:color w:val="auto"/>
              </w:rPr>
            </w:pPr>
            <w:r>
              <w:rPr>
                <w:rFonts w:ascii="Arial" w:cs="Arial" w:eastAsia="Arial" w:hAnsi="Arial"/>
                <w:sz w:val="16"/>
                <w:szCs w:val="16"/>
                <w:color w:val="005CB8"/>
              </w:rPr>
              <w:t>—</w:t>
            </w:r>
          </w:p>
        </w:tc>
      </w:tr>
      <w:tr>
        <w:trPr>
          <w:trHeight w:val="378"/>
        </w:trPr>
        <w:tc>
          <w:tcPr>
            <w:tcW w:w="522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Timothy Young</w:t>
            </w:r>
          </w:p>
        </w:tc>
        <w:tc>
          <w:tcPr>
            <w:tcW w:w="2720" w:type="dxa"/>
            <w:vAlign w:val="bottom"/>
            <w:shd w:val="clear" w:color="auto" w:fill="E5EFFD"/>
          </w:tcPr>
          <w:p>
            <w:pPr>
              <w:jc w:val="right"/>
              <w:ind w:right="402"/>
              <w:spacing w:after="0"/>
              <w:rPr>
                <w:sz w:val="20"/>
                <w:szCs w:val="20"/>
                <w:color w:val="auto"/>
              </w:rPr>
            </w:pPr>
            <w:r>
              <w:rPr>
                <w:rFonts w:ascii="Arial" w:cs="Arial" w:eastAsia="Arial" w:hAnsi="Arial"/>
                <w:sz w:val="16"/>
                <w:szCs w:val="16"/>
                <w:color w:val="005CB8"/>
              </w:rPr>
              <w:t>—</w:t>
            </w:r>
          </w:p>
        </w:tc>
        <w:tc>
          <w:tcPr>
            <w:tcW w:w="1620" w:type="dxa"/>
            <w:vAlign w:val="bottom"/>
            <w:shd w:val="clear" w:color="auto" w:fill="E5EFFD"/>
          </w:tcPr>
          <w:p>
            <w:pPr>
              <w:jc w:val="right"/>
              <w:ind w:right="2"/>
              <w:spacing w:after="0"/>
              <w:rPr>
                <w:sz w:val="20"/>
                <w:szCs w:val="20"/>
                <w:color w:val="auto"/>
              </w:rPr>
            </w:pPr>
            <w:r>
              <w:rPr>
                <w:rFonts w:ascii="Arial" w:cs="Arial" w:eastAsia="Arial" w:hAnsi="Arial"/>
                <w:sz w:val="16"/>
                <w:szCs w:val="16"/>
                <w:color w:val="005CB8"/>
              </w:rPr>
              <w:t>—</w:t>
            </w:r>
          </w:p>
        </w:tc>
      </w:tr>
      <w:tr>
        <w:trPr>
          <w:trHeight w:val="398"/>
        </w:trPr>
        <w:tc>
          <w:tcPr>
            <w:tcW w:w="522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Yamini Rangan</w:t>
            </w:r>
          </w:p>
        </w:tc>
        <w:tc>
          <w:tcPr>
            <w:tcW w:w="2720" w:type="dxa"/>
            <w:vAlign w:val="bottom"/>
            <w:shd w:val="clear" w:color="auto" w:fill="E5EFFD"/>
          </w:tcPr>
          <w:p>
            <w:pPr>
              <w:jc w:val="right"/>
              <w:ind w:right="402"/>
              <w:spacing w:after="0"/>
              <w:rPr>
                <w:sz w:val="20"/>
                <w:szCs w:val="20"/>
                <w:color w:val="auto"/>
              </w:rPr>
            </w:pPr>
            <w:r>
              <w:rPr>
                <w:rFonts w:ascii="Arial" w:cs="Arial" w:eastAsia="Arial" w:hAnsi="Arial"/>
                <w:sz w:val="16"/>
                <w:szCs w:val="16"/>
                <w:color w:val="005CB8"/>
              </w:rPr>
              <w:t>114,472</w:t>
            </w:r>
          </w:p>
        </w:tc>
        <w:tc>
          <w:tcPr>
            <w:tcW w:w="1620" w:type="dxa"/>
            <w:vAlign w:val="bottom"/>
            <w:shd w:val="clear" w:color="auto" w:fill="E5EFFD"/>
          </w:tcPr>
          <w:p>
            <w:pPr>
              <w:jc w:val="right"/>
              <w:ind w:right="2"/>
              <w:spacing w:after="0"/>
              <w:rPr>
                <w:sz w:val="20"/>
                <w:szCs w:val="20"/>
                <w:color w:val="auto"/>
              </w:rPr>
            </w:pPr>
            <w:r>
              <w:rPr>
                <w:rFonts w:ascii="Arial" w:cs="Arial" w:eastAsia="Arial" w:hAnsi="Arial"/>
                <w:sz w:val="16"/>
                <w:szCs w:val="16"/>
                <w:color w:val="005CB8"/>
              </w:rPr>
              <w:t>2,391,140</w:t>
            </w:r>
          </w:p>
        </w:tc>
      </w:tr>
    </w:tbl>
    <w:p>
      <w:pPr>
        <w:spacing w:after="0" w:line="99" w:lineRule="exact"/>
        <w:rPr>
          <w:sz w:val="20"/>
          <w:szCs w:val="20"/>
          <w:color w:val="auto"/>
        </w:rPr>
      </w:pPr>
    </w:p>
    <w:p>
      <w:pPr>
        <w:ind w:left="244" w:right="280" w:hanging="244"/>
        <w:spacing w:after="0" w:line="249" w:lineRule="auto"/>
        <w:tabs>
          <w:tab w:leader="none" w:pos="244"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value realized upon vesting of RSUs is calculated by multiplying the number of shares vested by the closing price of Dropbox’s Class A common stock on the vest date (or, in the event the vest date occurs on a holiday or weekend, the closing price of Dropbox’s Class A common stock on the immediately preceding trading day).</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26"/>
          <w:szCs w:val="26"/>
          <w:color w:val="005CB8"/>
        </w:rPr>
        <w:t>Potential Payments on Termination or Change in Control</w:t>
      </w:r>
    </w:p>
    <w:p>
      <w:pPr>
        <w:spacing w:after="0" w:line="169" w:lineRule="exact"/>
        <w:rPr>
          <w:sz w:val="20"/>
          <w:szCs w:val="20"/>
          <w:color w:val="auto"/>
        </w:rPr>
      </w:pPr>
    </w:p>
    <w:p>
      <w:pPr>
        <w:ind w:left="4" w:right="120"/>
        <w:spacing w:after="0" w:line="249" w:lineRule="auto"/>
        <w:rPr>
          <w:sz w:val="20"/>
          <w:szCs w:val="20"/>
          <w:color w:val="auto"/>
        </w:rPr>
      </w:pPr>
      <w:r>
        <w:rPr>
          <w:rFonts w:ascii="Arial" w:cs="Arial" w:eastAsia="Arial" w:hAnsi="Arial"/>
          <w:sz w:val="16"/>
          <w:szCs w:val="16"/>
          <w:color w:val="auto"/>
        </w:rPr>
        <w:t>In order to recruit and maintain a stable and effective management team, the compensation committee believes it is appropriate and necessary to provide assurance of certain severance and change in control benefits approved by the compensation committee, in consultation with Compensia. We entered into change in control and severance agreements with each of our named executive officers that provide for the severance and change in control benefits described below. In April 2019, we entered into an amended and restated change in control and severance agreement with certain of our named executive officers that provides for the material amendments described below (the “</w:t>
      </w:r>
      <w:r>
        <w:rPr>
          <w:rFonts w:ascii="Arial" w:cs="Arial" w:eastAsia="Arial" w:hAnsi="Arial"/>
          <w:sz w:val="16"/>
          <w:szCs w:val="16"/>
          <w:b w:val="1"/>
          <w:bCs w:val="1"/>
          <w:i w:val="1"/>
          <w:iCs w:val="1"/>
          <w:color w:val="auto"/>
        </w:rPr>
        <w:t>April 2019 Amendment</w:t>
      </w:r>
      <w:r>
        <w:rPr>
          <w:rFonts w:ascii="Arial" w:cs="Arial" w:eastAsia="Arial" w:hAnsi="Arial"/>
          <w:sz w:val="16"/>
          <w:szCs w:val="16"/>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005CB8"/>
        </w:rPr>
        <w:t>Basic Severance</w:t>
      </w:r>
    </w:p>
    <w:p>
      <w:pPr>
        <w:spacing w:after="0" w:line="66" w:lineRule="exact"/>
        <w:rPr>
          <w:sz w:val="20"/>
          <w:szCs w:val="20"/>
          <w:color w:val="auto"/>
        </w:rPr>
      </w:pPr>
    </w:p>
    <w:p>
      <w:pPr>
        <w:ind w:left="4" w:right="320"/>
        <w:spacing w:after="0" w:line="253" w:lineRule="auto"/>
        <w:rPr>
          <w:sz w:val="20"/>
          <w:szCs w:val="20"/>
          <w:color w:val="auto"/>
        </w:rPr>
      </w:pPr>
      <w:r>
        <w:rPr>
          <w:rFonts w:ascii="Arial" w:cs="Arial" w:eastAsia="Arial" w:hAnsi="Arial"/>
          <w:sz w:val="16"/>
          <w:szCs w:val="16"/>
          <w:color w:val="auto"/>
        </w:rPr>
        <w:t>If a named executive officer’s employment is terminated by us other than for “cause,” death, or “disability” or they resign for “good reason” (as such terms are defined in their change in control and severance agreement), in either case, outside the Change in Control Period (as defined below), they will be eligible to receive the following payments and benefits:</w:t>
      </w:r>
    </w:p>
    <w:p>
      <w:pPr>
        <w:spacing w:after="0" w:line="147" w:lineRule="exact"/>
        <w:rPr>
          <w:sz w:val="20"/>
          <w:szCs w:val="20"/>
          <w:color w:val="auto"/>
        </w:rPr>
      </w:pPr>
    </w:p>
    <w:p>
      <w:pPr>
        <w:ind w:left="284" w:hanging="284"/>
        <w:spacing w:after="0" w:line="260" w:lineRule="auto"/>
        <w:tabs>
          <w:tab w:leader="none" w:pos="284" w:val="left"/>
        </w:tabs>
        <w:numPr>
          <w:ilvl w:val="0"/>
          <w:numId w:val="67"/>
        </w:numPr>
        <w:rPr>
          <w:rFonts w:ascii="Arial" w:cs="Arial" w:eastAsia="Arial" w:hAnsi="Arial"/>
          <w:sz w:val="16"/>
          <w:szCs w:val="16"/>
          <w:color w:val="005CB8"/>
        </w:rPr>
      </w:pPr>
      <w:r>
        <w:rPr>
          <w:rFonts w:ascii="Arial" w:cs="Arial" w:eastAsia="Arial" w:hAnsi="Arial"/>
          <w:sz w:val="16"/>
          <w:szCs w:val="16"/>
          <w:color w:val="auto"/>
        </w:rPr>
        <w:t>a lump-sum payment equal to 50% of annual base salary as of immediately before their termination (or, if the termination is due to a resignation for good reason based on a material reduction in base salary, then as of immediately before such reduction);</w:t>
      </w:r>
    </w:p>
    <w:p>
      <w:pPr>
        <w:spacing w:after="0" w:line="141" w:lineRule="exact"/>
        <w:rPr>
          <w:rFonts w:ascii="Arial" w:cs="Arial" w:eastAsia="Arial" w:hAnsi="Arial"/>
          <w:sz w:val="16"/>
          <w:szCs w:val="16"/>
          <w:color w:val="005CB8"/>
        </w:rPr>
      </w:pPr>
    </w:p>
    <w:p>
      <w:pPr>
        <w:jc w:val="both"/>
        <w:ind w:left="284" w:right="220" w:hanging="284"/>
        <w:spacing w:after="0" w:line="253" w:lineRule="auto"/>
        <w:tabs>
          <w:tab w:leader="none" w:pos="284" w:val="left"/>
        </w:tabs>
        <w:numPr>
          <w:ilvl w:val="0"/>
          <w:numId w:val="67"/>
        </w:numPr>
        <w:rPr>
          <w:rFonts w:ascii="Arial" w:cs="Arial" w:eastAsia="Arial" w:hAnsi="Arial"/>
          <w:sz w:val="16"/>
          <w:szCs w:val="16"/>
          <w:color w:val="005CB8"/>
        </w:rPr>
      </w:pPr>
      <w:r>
        <w:rPr>
          <w:rFonts w:ascii="Arial" w:cs="Arial" w:eastAsia="Arial" w:hAnsi="Arial"/>
          <w:sz w:val="16"/>
          <w:szCs w:val="16"/>
          <w:color w:val="auto"/>
        </w:rPr>
        <w:t>if they elect to continue health insurance coverage for themselves and their eligible dependents under COBRA, our payment of the monthly premium for such COBRA continuation coverage for up to 6 months (or monthly taxable payments to him or her in lieu of our payment of such premiums);</w:t>
      </w:r>
    </w:p>
    <w:p>
      <w:pPr>
        <w:spacing w:after="0" w:line="147" w:lineRule="exact"/>
        <w:rPr>
          <w:rFonts w:ascii="Arial" w:cs="Arial" w:eastAsia="Arial" w:hAnsi="Arial"/>
          <w:sz w:val="16"/>
          <w:szCs w:val="16"/>
          <w:color w:val="005CB8"/>
        </w:rPr>
      </w:pPr>
    </w:p>
    <w:p>
      <w:pPr>
        <w:ind w:left="284" w:right="120" w:hanging="284"/>
        <w:spacing w:after="0" w:line="253" w:lineRule="auto"/>
        <w:tabs>
          <w:tab w:leader="none" w:pos="284" w:val="left"/>
        </w:tabs>
        <w:numPr>
          <w:ilvl w:val="0"/>
          <w:numId w:val="67"/>
        </w:numPr>
        <w:rPr>
          <w:rFonts w:ascii="Arial" w:cs="Arial" w:eastAsia="Arial" w:hAnsi="Arial"/>
          <w:sz w:val="16"/>
          <w:szCs w:val="16"/>
          <w:color w:val="005CB8"/>
        </w:rPr>
      </w:pPr>
      <w:r>
        <w:rPr>
          <w:rFonts w:ascii="Arial" w:cs="Arial" w:eastAsia="Arial" w:hAnsi="Arial"/>
          <w:sz w:val="16"/>
          <w:szCs w:val="16"/>
          <w:color w:val="auto"/>
        </w:rPr>
        <w:t>in the case of Mr. Vashee, 25%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w:t>
      </w:r>
    </w:p>
    <w:p>
      <w:pPr>
        <w:spacing w:after="0" w:line="147" w:lineRule="exact"/>
        <w:rPr>
          <w:rFonts w:ascii="Arial" w:cs="Arial" w:eastAsia="Arial" w:hAnsi="Arial"/>
          <w:sz w:val="16"/>
          <w:szCs w:val="16"/>
          <w:color w:val="005CB8"/>
        </w:rPr>
      </w:pPr>
    </w:p>
    <w:p>
      <w:pPr>
        <w:ind w:left="284" w:right="340" w:hanging="284"/>
        <w:spacing w:after="0" w:line="260" w:lineRule="auto"/>
        <w:tabs>
          <w:tab w:leader="none" w:pos="284" w:val="left"/>
        </w:tabs>
        <w:numPr>
          <w:ilvl w:val="0"/>
          <w:numId w:val="67"/>
        </w:numPr>
        <w:rPr>
          <w:rFonts w:ascii="Arial" w:cs="Arial" w:eastAsia="Arial" w:hAnsi="Arial"/>
          <w:sz w:val="16"/>
          <w:szCs w:val="16"/>
          <w:color w:val="005CB8"/>
        </w:rPr>
      </w:pPr>
      <w:r>
        <w:rPr>
          <w:rFonts w:ascii="Arial" w:cs="Arial" w:eastAsia="Arial" w:hAnsi="Arial"/>
          <w:sz w:val="16"/>
          <w:szCs w:val="16"/>
          <w:color w:val="auto"/>
        </w:rPr>
        <w:t>in the case of Messrs. Mediratta and Young, 3 months’ accelerated vesting of the unvested portion of outstanding time-based equity awards; and</w:t>
      </w:r>
    </w:p>
    <w:p>
      <w:pPr>
        <w:spacing w:after="0" w:line="141" w:lineRule="exact"/>
        <w:rPr>
          <w:rFonts w:ascii="Arial" w:cs="Arial" w:eastAsia="Arial" w:hAnsi="Arial"/>
          <w:sz w:val="16"/>
          <w:szCs w:val="16"/>
          <w:color w:val="005CB8"/>
        </w:rPr>
      </w:pPr>
    </w:p>
    <w:p>
      <w:pPr>
        <w:ind w:left="284" w:right="40" w:hanging="284"/>
        <w:spacing w:after="0" w:line="253" w:lineRule="auto"/>
        <w:tabs>
          <w:tab w:leader="none" w:pos="284" w:val="left"/>
        </w:tabs>
        <w:numPr>
          <w:ilvl w:val="0"/>
          <w:numId w:val="67"/>
        </w:numPr>
        <w:rPr>
          <w:rFonts w:ascii="Arial" w:cs="Arial" w:eastAsia="Arial" w:hAnsi="Arial"/>
          <w:sz w:val="16"/>
          <w:szCs w:val="16"/>
          <w:color w:val="005CB8"/>
        </w:rPr>
      </w:pPr>
      <w:r>
        <w:rPr>
          <w:rFonts w:ascii="Arial" w:cs="Arial" w:eastAsia="Arial" w:hAnsi="Arial"/>
          <w:sz w:val="16"/>
          <w:szCs w:val="16"/>
          <w:color w:val="auto"/>
        </w:rPr>
        <w:t>in the case of Ms. Rangan, 6 months’ accelerated vesting of the unvested portion of outstanding time-based equity awards. This accelerated vesting provision was added by the April 2019 Amendment. Prior to the April 2019 Amendment, Ms. Rangan was not entitled to vesting acceleration benefits under a qualified termination outside the Change in Control Period.</w:t>
      </w:r>
    </w:p>
    <w:p>
      <w:pPr>
        <w:spacing w:after="0" w:line="147" w:lineRule="exact"/>
        <w:rPr>
          <w:sz w:val="20"/>
          <w:szCs w:val="20"/>
          <w:color w:val="auto"/>
        </w:rPr>
      </w:pPr>
    </w:p>
    <w:p>
      <w:pPr>
        <w:ind w:left="4" w:right="180"/>
        <w:spacing w:after="0" w:line="260" w:lineRule="auto"/>
        <w:rPr>
          <w:sz w:val="20"/>
          <w:szCs w:val="20"/>
          <w:color w:val="auto"/>
        </w:rPr>
      </w:pPr>
      <w:r>
        <w:rPr>
          <w:rFonts w:ascii="Arial" w:cs="Arial" w:eastAsia="Arial" w:hAnsi="Arial"/>
          <w:sz w:val="16"/>
          <w:szCs w:val="16"/>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141" w:lineRule="exact"/>
        <w:rPr>
          <w:sz w:val="20"/>
          <w:szCs w:val="20"/>
          <w:color w:val="auto"/>
        </w:rPr>
      </w:pPr>
    </w:p>
    <w:p>
      <w:pPr>
        <w:jc w:val="both"/>
        <w:ind w:left="4" w:right="240"/>
        <w:spacing w:after="0" w:line="253" w:lineRule="auto"/>
        <w:rPr>
          <w:sz w:val="20"/>
          <w:szCs w:val="20"/>
          <w:color w:val="auto"/>
        </w:rPr>
      </w:pPr>
      <w:r>
        <w:rPr>
          <w:rFonts w:ascii="Arial" w:cs="Arial" w:eastAsia="Arial" w:hAnsi="Arial"/>
          <w:sz w:val="16"/>
          <w:szCs w:val="16"/>
          <w:color w:val="auto"/>
        </w:rPr>
        <w:t>The following table describes the potential payments that would have been provided to each of our named executive officers in the event that they were involuntarily terminated by Dropbox without cause or resigned for good reason outside of a change of control context, assuming such termination occurred on December 31, 2019.</w:t>
      </w:r>
    </w:p>
    <w:p>
      <w:pPr>
        <w:spacing w:after="0" w:line="186" w:lineRule="exact"/>
        <w:rPr>
          <w:sz w:val="20"/>
          <w:szCs w:val="20"/>
          <w:color w:val="auto"/>
        </w:rPr>
      </w:pPr>
    </w:p>
    <w:p>
      <w:pPr>
        <w:ind w:left="524" w:hanging="524"/>
        <w:spacing w:after="0"/>
        <w:tabs>
          <w:tab w:leader="none" w:pos="524"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48" w:name="page49"/>
    <w:bookmarkEnd w:id="48"/>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EXECUTIVE COMPENSATION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312420</wp:posOffset>
            </wp:positionV>
            <wp:extent cx="6077585" cy="1688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7585" cy="16884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3520" w:type="dxa"/>
            <w:vAlign w:val="bottom"/>
            <w:shd w:val="clear" w:color="auto" w:fill="0060EC"/>
          </w:tcPr>
          <w:p>
            <w:pPr>
              <w:spacing w:after="0"/>
              <w:rPr>
                <w:sz w:val="22"/>
                <w:szCs w:val="22"/>
                <w:color w:val="auto"/>
              </w:rPr>
            </w:pPr>
          </w:p>
        </w:tc>
        <w:tc>
          <w:tcPr>
            <w:tcW w:w="1400" w:type="dxa"/>
            <w:vAlign w:val="bottom"/>
            <w:shd w:val="clear" w:color="auto" w:fill="0060EC"/>
          </w:tcPr>
          <w:p>
            <w:pPr>
              <w:spacing w:after="0"/>
              <w:rPr>
                <w:sz w:val="22"/>
                <w:szCs w:val="22"/>
                <w:color w:val="auto"/>
              </w:rPr>
            </w:pPr>
          </w:p>
        </w:tc>
        <w:tc>
          <w:tcPr>
            <w:tcW w:w="1100" w:type="dxa"/>
            <w:vAlign w:val="bottom"/>
            <w:vMerge w:val="restart"/>
            <w:shd w:val="clear" w:color="auto" w:fill="0060EC"/>
          </w:tcPr>
          <w:p>
            <w:pPr>
              <w:jc w:val="center"/>
              <w:spacing w:after="0"/>
              <w:rPr>
                <w:sz w:val="20"/>
                <w:szCs w:val="20"/>
                <w:color w:val="auto"/>
              </w:rPr>
            </w:pPr>
            <w:r>
              <w:rPr>
                <w:rFonts w:ascii="Arial" w:cs="Arial" w:eastAsia="Arial" w:hAnsi="Arial"/>
                <w:sz w:val="14"/>
                <w:szCs w:val="14"/>
                <w:b w:val="1"/>
                <w:bCs w:val="1"/>
                <w:color w:val="FFFFFF"/>
                <w:w w:val="99"/>
              </w:rPr>
              <w:t>Cash</w:t>
            </w:r>
          </w:p>
        </w:tc>
        <w:tc>
          <w:tcPr>
            <w:tcW w:w="154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Value of</w:t>
            </w:r>
          </w:p>
        </w:tc>
        <w:tc>
          <w:tcPr>
            <w:tcW w:w="1040" w:type="dxa"/>
            <w:vAlign w:val="bottom"/>
            <w:shd w:val="clear" w:color="auto" w:fill="0060EC"/>
          </w:tcPr>
          <w:p>
            <w:pPr>
              <w:spacing w:after="0"/>
              <w:rPr>
                <w:sz w:val="22"/>
                <w:szCs w:val="22"/>
                <w:color w:val="auto"/>
              </w:rPr>
            </w:pPr>
          </w:p>
        </w:tc>
        <w:tc>
          <w:tcPr>
            <w:tcW w:w="960" w:type="dxa"/>
            <w:vAlign w:val="bottom"/>
            <w:shd w:val="clear" w:color="auto" w:fill="0060EC"/>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3520" w:type="dxa"/>
            <w:vAlign w:val="bottom"/>
            <w:shd w:val="clear" w:color="auto" w:fill="0060EC"/>
          </w:tcPr>
          <w:p>
            <w:pPr>
              <w:spacing w:after="0"/>
              <w:rPr>
                <w:sz w:val="12"/>
                <w:szCs w:val="12"/>
                <w:color w:val="auto"/>
              </w:rPr>
            </w:pPr>
          </w:p>
        </w:tc>
        <w:tc>
          <w:tcPr>
            <w:tcW w:w="1400" w:type="dxa"/>
            <w:vAlign w:val="bottom"/>
            <w:shd w:val="clear" w:color="auto" w:fill="0060EC"/>
          </w:tcPr>
          <w:p>
            <w:pPr>
              <w:spacing w:after="0"/>
              <w:rPr>
                <w:sz w:val="12"/>
                <w:szCs w:val="12"/>
                <w:color w:val="auto"/>
              </w:rPr>
            </w:pPr>
          </w:p>
        </w:tc>
        <w:tc>
          <w:tcPr>
            <w:tcW w:w="1100" w:type="dxa"/>
            <w:vAlign w:val="bottom"/>
            <w:vMerge w:val="continue"/>
            <w:shd w:val="clear" w:color="auto" w:fill="0060EC"/>
          </w:tcPr>
          <w:p>
            <w:pPr>
              <w:spacing w:after="0"/>
              <w:rPr>
                <w:sz w:val="12"/>
                <w:szCs w:val="12"/>
                <w:color w:val="auto"/>
              </w:rPr>
            </w:pPr>
          </w:p>
        </w:tc>
        <w:tc>
          <w:tcPr>
            <w:tcW w:w="1540" w:type="dxa"/>
            <w:vAlign w:val="bottom"/>
            <w:shd w:val="clear" w:color="auto" w:fill="0060EC"/>
          </w:tcPr>
          <w:p>
            <w:pPr>
              <w:jc w:val="center"/>
              <w:spacing w:after="0" w:line="148" w:lineRule="exact"/>
              <w:rPr>
                <w:sz w:val="20"/>
                <w:szCs w:val="20"/>
                <w:color w:val="auto"/>
              </w:rPr>
            </w:pPr>
            <w:r>
              <w:rPr>
                <w:rFonts w:ascii="Arial" w:cs="Arial" w:eastAsia="Arial" w:hAnsi="Arial"/>
                <w:sz w:val="14"/>
                <w:szCs w:val="14"/>
                <w:b w:val="1"/>
                <w:bCs w:val="1"/>
                <w:color w:val="FFFFFF"/>
              </w:rPr>
              <w:t>Accelerated</w:t>
            </w:r>
          </w:p>
        </w:tc>
        <w:tc>
          <w:tcPr>
            <w:tcW w:w="1040" w:type="dxa"/>
            <w:vAlign w:val="bottom"/>
            <w:shd w:val="clear" w:color="auto" w:fill="0060EC"/>
          </w:tcPr>
          <w:p>
            <w:pPr>
              <w:spacing w:after="0"/>
              <w:rPr>
                <w:sz w:val="12"/>
                <w:szCs w:val="12"/>
                <w:color w:val="auto"/>
              </w:rPr>
            </w:pPr>
          </w:p>
        </w:tc>
        <w:tc>
          <w:tcPr>
            <w:tcW w:w="960" w:type="dxa"/>
            <w:vAlign w:val="bottom"/>
            <w:shd w:val="clear" w:color="auto" w:fill="0060E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20" w:type="dxa"/>
            <w:vAlign w:val="bottom"/>
            <w:vMerge w:val="restart"/>
            <w:shd w:val="clear" w:color="auto" w:fill="0060EC"/>
          </w:tcPr>
          <w:p>
            <w:pPr>
              <w:ind w:left="60"/>
              <w:spacing w:after="0"/>
              <w:rPr>
                <w:sz w:val="20"/>
                <w:szCs w:val="20"/>
                <w:color w:val="auto"/>
              </w:rPr>
            </w:pPr>
            <w:r>
              <w:rPr>
                <w:rFonts w:ascii="Arial" w:cs="Arial" w:eastAsia="Arial" w:hAnsi="Arial"/>
                <w:sz w:val="14"/>
                <w:szCs w:val="14"/>
                <w:b w:val="1"/>
                <w:bCs w:val="1"/>
                <w:color w:val="FFFFFF"/>
              </w:rPr>
              <w:t>Name</w:t>
            </w:r>
          </w:p>
        </w:tc>
        <w:tc>
          <w:tcPr>
            <w:tcW w:w="1400" w:type="dxa"/>
            <w:vAlign w:val="bottom"/>
            <w:shd w:val="clear" w:color="auto" w:fill="0060EC"/>
          </w:tcPr>
          <w:p>
            <w:pPr>
              <w:jc w:val="right"/>
              <w:ind w:right="182"/>
              <w:spacing w:after="0"/>
              <w:rPr>
                <w:sz w:val="20"/>
                <w:szCs w:val="20"/>
                <w:color w:val="auto"/>
              </w:rPr>
            </w:pPr>
            <w:r>
              <w:rPr>
                <w:rFonts w:ascii="Arial" w:cs="Arial" w:eastAsia="Arial" w:hAnsi="Arial"/>
                <w:sz w:val="14"/>
                <w:szCs w:val="14"/>
                <w:b w:val="1"/>
                <w:bCs w:val="1"/>
                <w:color w:val="FFFFFF"/>
              </w:rPr>
              <w:t>Base Salary</w:t>
            </w:r>
          </w:p>
        </w:tc>
        <w:tc>
          <w:tcPr>
            <w:tcW w:w="1100" w:type="dxa"/>
            <w:vAlign w:val="bottom"/>
            <w:shd w:val="clear" w:color="auto" w:fill="0060EC"/>
          </w:tcPr>
          <w:p>
            <w:pPr>
              <w:jc w:val="center"/>
              <w:ind w:right="2"/>
              <w:spacing w:after="0"/>
              <w:rPr>
                <w:sz w:val="20"/>
                <w:szCs w:val="20"/>
                <w:color w:val="auto"/>
              </w:rPr>
            </w:pPr>
            <w:r>
              <w:rPr>
                <w:rFonts w:ascii="Arial" w:cs="Arial" w:eastAsia="Arial" w:hAnsi="Arial"/>
                <w:sz w:val="14"/>
                <w:szCs w:val="14"/>
                <w:b w:val="1"/>
                <w:bCs w:val="1"/>
                <w:color w:val="FFFFFF"/>
              </w:rPr>
              <w:t>Bonus</w:t>
            </w:r>
          </w:p>
        </w:tc>
        <w:tc>
          <w:tcPr>
            <w:tcW w:w="154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Equity Awards ($)</w:t>
            </w:r>
          </w:p>
        </w:tc>
        <w:tc>
          <w:tcPr>
            <w:tcW w:w="1040" w:type="dxa"/>
            <w:vAlign w:val="bottom"/>
            <w:shd w:val="clear" w:color="auto" w:fill="0060EC"/>
          </w:tcPr>
          <w:p>
            <w:pPr>
              <w:jc w:val="right"/>
              <w:ind w:right="182"/>
              <w:spacing w:after="0"/>
              <w:rPr>
                <w:sz w:val="20"/>
                <w:szCs w:val="20"/>
                <w:color w:val="auto"/>
              </w:rPr>
            </w:pPr>
            <w:r>
              <w:rPr>
                <w:rFonts w:ascii="Arial" w:cs="Arial" w:eastAsia="Arial" w:hAnsi="Arial"/>
                <w:sz w:val="14"/>
                <w:szCs w:val="14"/>
                <w:b w:val="1"/>
                <w:bCs w:val="1"/>
                <w:color w:val="FFFFFF"/>
              </w:rPr>
              <w:t>Value of</w:t>
            </w:r>
          </w:p>
        </w:tc>
        <w:tc>
          <w:tcPr>
            <w:tcW w:w="960" w:type="dxa"/>
            <w:vAlign w:val="bottom"/>
            <w:vMerge w:val="restart"/>
            <w:shd w:val="clear" w:color="auto" w:fill="0060EC"/>
          </w:tcPr>
          <w:p>
            <w:pPr>
              <w:jc w:val="right"/>
              <w:ind w:right="81"/>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190"/>
        </w:trPr>
        <w:tc>
          <w:tcPr>
            <w:tcW w:w="3520" w:type="dxa"/>
            <w:vAlign w:val="bottom"/>
            <w:vMerge w:val="continue"/>
            <w:shd w:val="clear" w:color="auto" w:fill="0060EC"/>
          </w:tcPr>
          <w:p>
            <w:pPr>
              <w:spacing w:after="0"/>
              <w:rPr>
                <w:sz w:val="16"/>
                <w:szCs w:val="16"/>
                <w:color w:val="auto"/>
              </w:rPr>
            </w:pPr>
          </w:p>
        </w:tc>
        <w:tc>
          <w:tcPr>
            <w:tcW w:w="1400" w:type="dxa"/>
            <w:vAlign w:val="bottom"/>
            <w:shd w:val="clear" w:color="auto" w:fill="0060EC"/>
          </w:tcPr>
          <w:p>
            <w:pPr>
              <w:jc w:val="right"/>
              <w:ind w:right="62"/>
              <w:spacing w:after="0"/>
              <w:rPr>
                <w:sz w:val="20"/>
                <w:szCs w:val="20"/>
                <w:color w:val="auto"/>
              </w:rPr>
            </w:pPr>
            <w:r>
              <w:rPr>
                <w:rFonts w:ascii="Arial" w:cs="Arial" w:eastAsia="Arial" w:hAnsi="Arial"/>
                <w:sz w:val="14"/>
                <w:szCs w:val="14"/>
                <w:b w:val="1"/>
                <w:bCs w:val="1"/>
                <w:color w:val="FFFFFF"/>
              </w:rPr>
              <w:t>Component ($)</w:t>
            </w:r>
          </w:p>
        </w:tc>
        <w:tc>
          <w:tcPr>
            <w:tcW w:w="110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Component</w:t>
            </w:r>
          </w:p>
        </w:tc>
        <w:tc>
          <w:tcPr>
            <w:tcW w:w="1540" w:type="dxa"/>
            <w:vAlign w:val="bottom"/>
            <w:shd w:val="clear" w:color="auto" w:fill="0060EC"/>
          </w:tcPr>
          <w:p>
            <w:pPr>
              <w:jc w:val="center"/>
              <w:spacing w:after="0"/>
              <w:rPr>
                <w:sz w:val="20"/>
                <w:szCs w:val="20"/>
                <w:color w:val="auto"/>
              </w:rPr>
            </w:pPr>
            <w:r>
              <w:rPr>
                <w:rFonts w:ascii="Arial" w:cs="Arial" w:eastAsia="Arial" w:hAnsi="Arial"/>
                <w:sz w:val="12"/>
                <w:szCs w:val="12"/>
                <w:b w:val="1"/>
                <w:bCs w:val="1"/>
                <w:color w:val="FFFFFF"/>
              </w:rPr>
              <w:t>(1)</w:t>
            </w:r>
          </w:p>
        </w:tc>
        <w:tc>
          <w:tcPr>
            <w:tcW w:w="1040" w:type="dxa"/>
            <w:vAlign w:val="bottom"/>
            <w:shd w:val="clear" w:color="auto" w:fill="0060EC"/>
          </w:tcPr>
          <w:p>
            <w:pPr>
              <w:jc w:val="right"/>
              <w:ind w:right="42"/>
              <w:spacing w:after="0"/>
              <w:rPr>
                <w:sz w:val="20"/>
                <w:szCs w:val="20"/>
                <w:color w:val="auto"/>
              </w:rPr>
            </w:pPr>
            <w:r>
              <w:rPr>
                <w:rFonts w:ascii="Arial" w:cs="Arial" w:eastAsia="Arial" w:hAnsi="Arial"/>
                <w:sz w:val="14"/>
                <w:szCs w:val="14"/>
                <w:b w:val="1"/>
                <w:bCs w:val="1"/>
                <w:color w:val="FFFFFF"/>
              </w:rPr>
              <w:t>Benefits ($)</w:t>
            </w:r>
          </w:p>
        </w:tc>
        <w:tc>
          <w:tcPr>
            <w:tcW w:w="960" w:type="dxa"/>
            <w:vAlign w:val="bottom"/>
            <w:vMerge w:val="continue"/>
            <w:shd w:val="clear" w:color="auto" w:fill="0060EC"/>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520" w:type="dxa"/>
            <w:vAlign w:val="bottom"/>
            <w:shd w:val="clear" w:color="auto" w:fill="0060EC"/>
          </w:tcPr>
          <w:p>
            <w:pPr>
              <w:spacing w:after="0"/>
              <w:rPr>
                <w:sz w:val="5"/>
                <w:szCs w:val="5"/>
                <w:color w:val="auto"/>
              </w:rPr>
            </w:pPr>
          </w:p>
        </w:tc>
        <w:tc>
          <w:tcPr>
            <w:tcW w:w="1400" w:type="dxa"/>
            <w:vAlign w:val="bottom"/>
            <w:shd w:val="clear" w:color="auto" w:fill="0060EC"/>
          </w:tcPr>
          <w:p>
            <w:pPr>
              <w:spacing w:after="0"/>
              <w:rPr>
                <w:sz w:val="5"/>
                <w:szCs w:val="5"/>
                <w:color w:val="auto"/>
              </w:rPr>
            </w:pPr>
          </w:p>
        </w:tc>
        <w:tc>
          <w:tcPr>
            <w:tcW w:w="1100" w:type="dxa"/>
            <w:vAlign w:val="bottom"/>
            <w:shd w:val="clear" w:color="auto" w:fill="0060EC"/>
          </w:tcPr>
          <w:p>
            <w:pPr>
              <w:spacing w:after="0"/>
              <w:rPr>
                <w:sz w:val="5"/>
                <w:szCs w:val="5"/>
                <w:color w:val="auto"/>
              </w:rPr>
            </w:pPr>
          </w:p>
        </w:tc>
        <w:tc>
          <w:tcPr>
            <w:tcW w:w="1540" w:type="dxa"/>
            <w:vAlign w:val="bottom"/>
            <w:shd w:val="clear" w:color="auto" w:fill="0060EC"/>
          </w:tcPr>
          <w:p>
            <w:pPr>
              <w:spacing w:after="0"/>
              <w:rPr>
                <w:sz w:val="5"/>
                <w:szCs w:val="5"/>
                <w:color w:val="auto"/>
              </w:rPr>
            </w:pPr>
          </w:p>
        </w:tc>
        <w:tc>
          <w:tcPr>
            <w:tcW w:w="1040" w:type="dxa"/>
            <w:vAlign w:val="bottom"/>
            <w:shd w:val="clear" w:color="auto" w:fill="0060EC"/>
          </w:tcPr>
          <w:p>
            <w:pPr>
              <w:spacing w:after="0"/>
              <w:rPr>
                <w:sz w:val="5"/>
                <w:szCs w:val="5"/>
                <w:color w:val="auto"/>
              </w:rPr>
            </w:pPr>
          </w:p>
        </w:tc>
        <w:tc>
          <w:tcPr>
            <w:tcW w:w="960" w:type="dxa"/>
            <w:vAlign w:val="bottom"/>
            <w:shd w:val="clear" w:color="auto" w:fill="0060EC"/>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52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Andrew W. Houston</w:t>
            </w:r>
          </w:p>
        </w:tc>
        <w:tc>
          <w:tcPr>
            <w:tcW w:w="140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350,000</w:t>
            </w:r>
          </w:p>
        </w:tc>
        <w:tc>
          <w:tcPr>
            <w:tcW w:w="1100" w:type="dxa"/>
            <w:vAlign w:val="bottom"/>
            <w:shd w:val="clear" w:color="auto" w:fill="E5EFFD"/>
          </w:tcPr>
          <w:p>
            <w:pPr>
              <w:ind w:left="780"/>
              <w:spacing w:after="0"/>
              <w:rPr>
                <w:sz w:val="20"/>
                <w:szCs w:val="20"/>
                <w:color w:val="auto"/>
              </w:rPr>
            </w:pPr>
            <w:r>
              <w:rPr>
                <w:rFonts w:ascii="Arial" w:cs="Arial" w:eastAsia="Arial" w:hAnsi="Arial"/>
                <w:sz w:val="16"/>
                <w:szCs w:val="16"/>
                <w:color w:val="005CB8"/>
              </w:rPr>
              <w:t>—</w:t>
            </w:r>
          </w:p>
        </w:tc>
        <w:tc>
          <w:tcPr>
            <w:tcW w:w="1540" w:type="dxa"/>
            <w:vAlign w:val="bottom"/>
            <w:shd w:val="clear" w:color="auto" w:fill="E5EFFD"/>
          </w:tcPr>
          <w:p>
            <w:pPr>
              <w:jc w:val="right"/>
              <w:ind w:right="64"/>
              <w:spacing w:after="0"/>
              <w:rPr>
                <w:sz w:val="20"/>
                <w:szCs w:val="20"/>
                <w:color w:val="auto"/>
              </w:rPr>
            </w:pPr>
            <w:r>
              <w:rPr>
                <w:rFonts w:ascii="Arial" w:cs="Arial" w:eastAsia="Arial" w:hAnsi="Arial"/>
                <w:sz w:val="16"/>
                <w:szCs w:val="16"/>
                <w:color w:val="005CB8"/>
              </w:rPr>
              <w:t>—</w:t>
            </w:r>
          </w:p>
        </w:tc>
        <w:tc>
          <w:tcPr>
            <w:tcW w:w="104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4,127</w:t>
            </w:r>
          </w:p>
        </w:tc>
        <w:tc>
          <w:tcPr>
            <w:tcW w:w="96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354,127</w:t>
            </w:r>
          </w:p>
        </w:tc>
        <w:tc>
          <w:tcPr>
            <w:tcW w:w="0" w:type="dxa"/>
            <w:vAlign w:val="bottom"/>
          </w:tcPr>
          <w:p>
            <w:pPr>
              <w:spacing w:after="0"/>
              <w:rPr>
                <w:sz w:val="1"/>
                <w:szCs w:val="1"/>
                <w:color w:val="auto"/>
              </w:rPr>
            </w:pPr>
          </w:p>
        </w:tc>
      </w:tr>
      <w:tr>
        <w:trPr>
          <w:trHeight w:val="378"/>
        </w:trPr>
        <w:tc>
          <w:tcPr>
            <w:tcW w:w="352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Ajay V. Vashee</w:t>
            </w:r>
          </w:p>
        </w:tc>
        <w:tc>
          <w:tcPr>
            <w:tcW w:w="140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275,000</w:t>
            </w:r>
          </w:p>
        </w:tc>
        <w:tc>
          <w:tcPr>
            <w:tcW w:w="1100" w:type="dxa"/>
            <w:vAlign w:val="bottom"/>
            <w:shd w:val="clear" w:color="auto" w:fill="E5EFFD"/>
          </w:tcPr>
          <w:p>
            <w:pPr>
              <w:ind w:left="780"/>
              <w:spacing w:after="0"/>
              <w:rPr>
                <w:sz w:val="20"/>
                <w:szCs w:val="20"/>
                <w:color w:val="auto"/>
              </w:rPr>
            </w:pPr>
            <w:r>
              <w:rPr>
                <w:rFonts w:ascii="Arial" w:cs="Arial" w:eastAsia="Arial" w:hAnsi="Arial"/>
                <w:sz w:val="16"/>
                <w:szCs w:val="16"/>
                <w:color w:val="005CB8"/>
              </w:rPr>
              <w:t>—</w:t>
            </w:r>
          </w:p>
        </w:tc>
        <w:tc>
          <w:tcPr>
            <w:tcW w:w="1540" w:type="dxa"/>
            <w:vAlign w:val="bottom"/>
            <w:shd w:val="clear" w:color="auto" w:fill="E5EFFD"/>
          </w:tcPr>
          <w:p>
            <w:pPr>
              <w:jc w:val="right"/>
              <w:ind w:right="64"/>
              <w:spacing w:after="0"/>
              <w:rPr>
                <w:sz w:val="20"/>
                <w:szCs w:val="20"/>
                <w:color w:val="auto"/>
              </w:rPr>
            </w:pPr>
            <w:r>
              <w:rPr>
                <w:rFonts w:ascii="Arial" w:cs="Arial" w:eastAsia="Arial" w:hAnsi="Arial"/>
                <w:sz w:val="16"/>
                <w:szCs w:val="16"/>
                <w:color w:val="005CB8"/>
              </w:rPr>
              <w:t>1,462,343</w:t>
            </w:r>
          </w:p>
        </w:tc>
        <w:tc>
          <w:tcPr>
            <w:tcW w:w="104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7,618</w:t>
            </w:r>
          </w:p>
        </w:tc>
        <w:tc>
          <w:tcPr>
            <w:tcW w:w="96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1,744,961</w:t>
            </w:r>
          </w:p>
        </w:tc>
        <w:tc>
          <w:tcPr>
            <w:tcW w:w="0" w:type="dxa"/>
            <w:vAlign w:val="bottom"/>
          </w:tcPr>
          <w:p>
            <w:pPr>
              <w:spacing w:after="0"/>
              <w:rPr>
                <w:sz w:val="1"/>
                <w:szCs w:val="1"/>
                <w:color w:val="auto"/>
              </w:rPr>
            </w:pPr>
          </w:p>
        </w:tc>
      </w:tr>
      <w:tr>
        <w:trPr>
          <w:trHeight w:val="378"/>
        </w:trPr>
        <w:tc>
          <w:tcPr>
            <w:tcW w:w="352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Bharat Mediratta</w:t>
            </w:r>
          </w:p>
        </w:tc>
        <w:tc>
          <w:tcPr>
            <w:tcW w:w="140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250,000</w:t>
            </w:r>
          </w:p>
        </w:tc>
        <w:tc>
          <w:tcPr>
            <w:tcW w:w="1100" w:type="dxa"/>
            <w:vAlign w:val="bottom"/>
            <w:shd w:val="clear" w:color="auto" w:fill="E5EFFD"/>
          </w:tcPr>
          <w:p>
            <w:pPr>
              <w:ind w:left="780"/>
              <w:spacing w:after="0"/>
              <w:rPr>
                <w:sz w:val="20"/>
                <w:szCs w:val="20"/>
                <w:color w:val="auto"/>
              </w:rPr>
            </w:pPr>
            <w:r>
              <w:rPr>
                <w:rFonts w:ascii="Arial" w:cs="Arial" w:eastAsia="Arial" w:hAnsi="Arial"/>
                <w:sz w:val="16"/>
                <w:szCs w:val="16"/>
                <w:color w:val="005CB8"/>
              </w:rPr>
              <w:t>—</w:t>
            </w:r>
          </w:p>
        </w:tc>
        <w:tc>
          <w:tcPr>
            <w:tcW w:w="1540" w:type="dxa"/>
            <w:vAlign w:val="bottom"/>
            <w:shd w:val="clear" w:color="auto" w:fill="E5EFFD"/>
          </w:tcPr>
          <w:p>
            <w:pPr>
              <w:jc w:val="right"/>
              <w:ind w:right="64"/>
              <w:spacing w:after="0"/>
              <w:rPr>
                <w:sz w:val="20"/>
                <w:szCs w:val="20"/>
                <w:color w:val="auto"/>
              </w:rPr>
            </w:pPr>
            <w:r>
              <w:rPr>
                <w:rFonts w:ascii="Arial" w:cs="Arial" w:eastAsia="Arial" w:hAnsi="Arial"/>
                <w:sz w:val="16"/>
                <w:szCs w:val="16"/>
                <w:color w:val="005CB8"/>
              </w:rPr>
              <w:t>—</w:t>
            </w:r>
          </w:p>
        </w:tc>
        <w:tc>
          <w:tcPr>
            <w:tcW w:w="104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12,864</w:t>
            </w:r>
          </w:p>
        </w:tc>
        <w:tc>
          <w:tcPr>
            <w:tcW w:w="96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262,864</w:t>
            </w:r>
          </w:p>
        </w:tc>
        <w:tc>
          <w:tcPr>
            <w:tcW w:w="0" w:type="dxa"/>
            <w:vAlign w:val="bottom"/>
          </w:tcPr>
          <w:p>
            <w:pPr>
              <w:spacing w:after="0"/>
              <w:rPr>
                <w:sz w:val="1"/>
                <w:szCs w:val="1"/>
                <w:color w:val="auto"/>
              </w:rPr>
            </w:pPr>
          </w:p>
        </w:tc>
      </w:tr>
      <w:tr>
        <w:trPr>
          <w:trHeight w:val="378"/>
        </w:trPr>
        <w:tc>
          <w:tcPr>
            <w:tcW w:w="352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Timothy Young</w:t>
            </w:r>
          </w:p>
        </w:tc>
        <w:tc>
          <w:tcPr>
            <w:tcW w:w="140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250,000</w:t>
            </w:r>
          </w:p>
        </w:tc>
        <w:tc>
          <w:tcPr>
            <w:tcW w:w="1100" w:type="dxa"/>
            <w:vAlign w:val="bottom"/>
            <w:shd w:val="clear" w:color="auto" w:fill="E5EFFD"/>
          </w:tcPr>
          <w:p>
            <w:pPr>
              <w:ind w:left="780"/>
              <w:spacing w:after="0"/>
              <w:rPr>
                <w:sz w:val="20"/>
                <w:szCs w:val="20"/>
                <w:color w:val="auto"/>
              </w:rPr>
            </w:pPr>
            <w:r>
              <w:rPr>
                <w:rFonts w:ascii="Arial" w:cs="Arial" w:eastAsia="Arial" w:hAnsi="Arial"/>
                <w:sz w:val="16"/>
                <w:szCs w:val="16"/>
                <w:color w:val="005CB8"/>
              </w:rPr>
              <w:t>—</w:t>
            </w:r>
          </w:p>
        </w:tc>
        <w:tc>
          <w:tcPr>
            <w:tcW w:w="1540" w:type="dxa"/>
            <w:vAlign w:val="bottom"/>
            <w:shd w:val="clear" w:color="auto" w:fill="E5EFFD"/>
          </w:tcPr>
          <w:p>
            <w:pPr>
              <w:jc w:val="right"/>
              <w:ind w:right="64"/>
              <w:spacing w:after="0"/>
              <w:rPr>
                <w:sz w:val="20"/>
                <w:szCs w:val="20"/>
                <w:color w:val="auto"/>
              </w:rPr>
            </w:pPr>
            <w:r>
              <w:rPr>
                <w:rFonts w:ascii="Arial" w:cs="Arial" w:eastAsia="Arial" w:hAnsi="Arial"/>
                <w:sz w:val="16"/>
                <w:szCs w:val="16"/>
                <w:color w:val="005CB8"/>
              </w:rPr>
              <w:t>—</w:t>
            </w:r>
          </w:p>
        </w:tc>
        <w:tc>
          <w:tcPr>
            <w:tcW w:w="104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7,618</w:t>
            </w:r>
          </w:p>
        </w:tc>
        <w:tc>
          <w:tcPr>
            <w:tcW w:w="96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257,618</w:t>
            </w:r>
          </w:p>
        </w:tc>
        <w:tc>
          <w:tcPr>
            <w:tcW w:w="0" w:type="dxa"/>
            <w:vAlign w:val="bottom"/>
          </w:tcPr>
          <w:p>
            <w:pPr>
              <w:spacing w:after="0"/>
              <w:rPr>
                <w:sz w:val="1"/>
                <w:szCs w:val="1"/>
                <w:color w:val="auto"/>
              </w:rPr>
            </w:pPr>
          </w:p>
        </w:tc>
      </w:tr>
      <w:tr>
        <w:trPr>
          <w:trHeight w:val="398"/>
        </w:trPr>
        <w:tc>
          <w:tcPr>
            <w:tcW w:w="352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Yamini Rangan</w:t>
            </w:r>
          </w:p>
        </w:tc>
        <w:tc>
          <w:tcPr>
            <w:tcW w:w="140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275,000</w:t>
            </w:r>
          </w:p>
        </w:tc>
        <w:tc>
          <w:tcPr>
            <w:tcW w:w="1100" w:type="dxa"/>
            <w:vAlign w:val="bottom"/>
            <w:shd w:val="clear" w:color="auto" w:fill="E5EFFD"/>
          </w:tcPr>
          <w:p>
            <w:pPr>
              <w:ind w:left="780"/>
              <w:spacing w:after="0"/>
              <w:rPr>
                <w:sz w:val="20"/>
                <w:szCs w:val="20"/>
                <w:color w:val="auto"/>
              </w:rPr>
            </w:pPr>
            <w:r>
              <w:rPr>
                <w:rFonts w:ascii="Arial" w:cs="Arial" w:eastAsia="Arial" w:hAnsi="Arial"/>
                <w:sz w:val="16"/>
                <w:szCs w:val="16"/>
                <w:color w:val="005CB8"/>
              </w:rPr>
              <w:t>—</w:t>
            </w:r>
          </w:p>
        </w:tc>
        <w:tc>
          <w:tcPr>
            <w:tcW w:w="1540" w:type="dxa"/>
            <w:vAlign w:val="bottom"/>
            <w:shd w:val="clear" w:color="auto" w:fill="E5EFFD"/>
          </w:tcPr>
          <w:p>
            <w:pPr>
              <w:jc w:val="right"/>
              <w:ind w:right="64"/>
              <w:spacing w:after="0"/>
              <w:rPr>
                <w:sz w:val="20"/>
                <w:szCs w:val="20"/>
                <w:color w:val="auto"/>
              </w:rPr>
            </w:pPr>
            <w:r>
              <w:rPr>
                <w:rFonts w:ascii="Arial" w:cs="Arial" w:eastAsia="Arial" w:hAnsi="Arial"/>
                <w:sz w:val="16"/>
                <w:szCs w:val="16"/>
                <w:color w:val="005CB8"/>
              </w:rPr>
              <w:t>726,859</w:t>
            </w:r>
          </w:p>
        </w:tc>
        <w:tc>
          <w:tcPr>
            <w:tcW w:w="104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12,864</w:t>
            </w:r>
          </w:p>
        </w:tc>
        <w:tc>
          <w:tcPr>
            <w:tcW w:w="96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1,014,723</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60" w:hanging="244"/>
        <w:spacing w:after="0"/>
        <w:tabs>
          <w:tab w:leader="none" w:pos="960"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Value based on a per share price of $17.91, which was the closing price as reported on December 31, 2019.</w:t>
      </w:r>
    </w:p>
    <w:p>
      <w:pPr>
        <w:spacing w:after="0" w:line="318"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Change of Control Severance</w:t>
      </w:r>
    </w:p>
    <w:p>
      <w:pPr>
        <w:spacing w:after="0" w:line="46" w:lineRule="exact"/>
        <w:rPr>
          <w:sz w:val="20"/>
          <w:szCs w:val="20"/>
          <w:color w:val="auto"/>
        </w:rPr>
      </w:pPr>
    </w:p>
    <w:p>
      <w:pPr>
        <w:ind w:left="720" w:right="780"/>
        <w:spacing w:after="0" w:line="266" w:lineRule="auto"/>
        <w:rPr>
          <w:sz w:val="20"/>
          <w:szCs w:val="20"/>
          <w:color w:val="auto"/>
        </w:rPr>
      </w:pPr>
      <w:r>
        <w:rPr>
          <w:rFonts w:ascii="Arial" w:cs="Arial" w:eastAsia="Arial" w:hAnsi="Arial"/>
          <w:sz w:val="16"/>
          <w:szCs w:val="16"/>
          <w:color w:val="auto"/>
        </w:rPr>
        <w:t>If, within the three-month period before or after the 12-month period following a change in control (such period, the “</w:t>
      </w:r>
      <w:r>
        <w:rPr>
          <w:rFonts w:ascii="Arial" w:cs="Arial" w:eastAsia="Arial" w:hAnsi="Arial"/>
          <w:sz w:val="16"/>
          <w:szCs w:val="16"/>
          <w:b w:val="1"/>
          <w:bCs w:val="1"/>
          <w:i w:val="1"/>
          <w:iCs w:val="1"/>
          <w:color w:val="auto"/>
        </w:rPr>
        <w:t>Change in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Control Period</w:t>
      </w:r>
      <w:r>
        <w:rPr>
          <w:rFonts w:ascii="Arial" w:cs="Arial" w:eastAsia="Arial" w:hAnsi="Arial"/>
          <w:sz w:val="16"/>
          <w:szCs w:val="16"/>
          <w:color w:val="auto"/>
        </w:rPr>
        <w:t>”), a named executive officer’s employment is terminated by us other than for cause, death, or disability or they resign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“good reason” (as defined in their change in control and severance agreement), they will be entitled to the following benefits:</w:t>
      </w:r>
    </w:p>
    <w:p>
      <w:pPr>
        <w:spacing w:after="0" w:line="137" w:lineRule="exact"/>
        <w:rPr>
          <w:sz w:val="20"/>
          <w:szCs w:val="20"/>
          <w:color w:val="auto"/>
        </w:rPr>
      </w:pPr>
    </w:p>
    <w:p>
      <w:pPr>
        <w:jc w:val="both"/>
        <w:ind w:left="1000" w:right="820" w:hanging="284"/>
        <w:spacing w:after="0" w:line="253" w:lineRule="auto"/>
        <w:tabs>
          <w:tab w:leader="none" w:pos="1000" w:val="left"/>
        </w:tabs>
        <w:numPr>
          <w:ilvl w:val="0"/>
          <w:numId w:val="70"/>
        </w:numPr>
        <w:rPr>
          <w:rFonts w:ascii="Arial" w:cs="Arial" w:eastAsia="Arial" w:hAnsi="Arial"/>
          <w:sz w:val="16"/>
          <w:szCs w:val="16"/>
          <w:color w:val="005CB8"/>
        </w:rPr>
      </w:pPr>
      <w:r>
        <w:rPr>
          <w:rFonts w:ascii="Arial" w:cs="Arial" w:eastAsia="Arial" w:hAnsi="Arial"/>
          <w:sz w:val="16"/>
          <w:szCs w:val="16"/>
          <w:color w:val="auto"/>
        </w:rPr>
        <w:t>a lump-sum payment equal to 100% of their annual base salary as of immediately before their termination (or if the termination is due to a resignation for good reason based on a material reduction in base salary, then as of immediately before such reduction) or, if such amount is greater, as of immediately before the change in control;</w:t>
      </w:r>
    </w:p>
    <w:p>
      <w:pPr>
        <w:spacing w:after="0" w:line="147" w:lineRule="exact"/>
        <w:rPr>
          <w:rFonts w:ascii="Arial" w:cs="Arial" w:eastAsia="Arial" w:hAnsi="Arial"/>
          <w:sz w:val="16"/>
          <w:szCs w:val="16"/>
          <w:color w:val="005CB8"/>
        </w:rPr>
      </w:pPr>
    </w:p>
    <w:p>
      <w:pPr>
        <w:ind w:left="1000" w:hanging="284"/>
        <w:spacing w:after="0"/>
        <w:tabs>
          <w:tab w:leader="none" w:pos="1000" w:val="left"/>
        </w:tabs>
        <w:numPr>
          <w:ilvl w:val="0"/>
          <w:numId w:val="70"/>
        </w:numPr>
        <w:rPr>
          <w:rFonts w:ascii="Arial" w:cs="Arial" w:eastAsia="Arial" w:hAnsi="Arial"/>
          <w:sz w:val="16"/>
          <w:szCs w:val="16"/>
          <w:color w:val="005CB8"/>
        </w:rPr>
      </w:pPr>
      <w:r>
        <w:rPr>
          <w:rFonts w:ascii="Arial" w:cs="Arial" w:eastAsia="Arial" w:hAnsi="Arial"/>
          <w:sz w:val="16"/>
          <w:szCs w:val="16"/>
          <w:color w:val="auto"/>
        </w:rPr>
        <w:t>a lump-sum payment equal to 100% of their target annual bonus (for the year of their termination);</w:t>
      </w:r>
    </w:p>
    <w:p>
      <w:pPr>
        <w:spacing w:after="0" w:line="167" w:lineRule="exact"/>
        <w:rPr>
          <w:rFonts w:ascii="Arial" w:cs="Arial" w:eastAsia="Arial" w:hAnsi="Arial"/>
          <w:sz w:val="16"/>
          <w:szCs w:val="16"/>
          <w:color w:val="005CB8"/>
        </w:rPr>
      </w:pPr>
    </w:p>
    <w:p>
      <w:pPr>
        <w:jc w:val="both"/>
        <w:ind w:left="1000" w:right="900" w:hanging="284"/>
        <w:spacing w:after="0" w:line="253" w:lineRule="auto"/>
        <w:tabs>
          <w:tab w:leader="none" w:pos="1000" w:val="left"/>
        </w:tabs>
        <w:numPr>
          <w:ilvl w:val="0"/>
          <w:numId w:val="70"/>
        </w:numPr>
        <w:rPr>
          <w:rFonts w:ascii="Arial" w:cs="Arial" w:eastAsia="Arial" w:hAnsi="Arial"/>
          <w:sz w:val="16"/>
          <w:szCs w:val="16"/>
          <w:color w:val="005CB8"/>
        </w:rPr>
      </w:pPr>
      <w:r>
        <w:rPr>
          <w:rFonts w:ascii="Arial" w:cs="Arial" w:eastAsia="Arial" w:hAnsi="Arial"/>
          <w:sz w:val="16"/>
          <w:szCs w:val="16"/>
          <w:color w:val="auto"/>
        </w:rPr>
        <w:t>if they elect to continue health insurance coverage for themselves and their eligible dependents under COBRA, our payment of the monthly premium for such COBRA continuation coverage for up to 12 months (or monthly taxable payments to him or her in lieu of our payment of such premiums); and</w:t>
      </w:r>
    </w:p>
    <w:p>
      <w:pPr>
        <w:spacing w:after="0" w:line="147" w:lineRule="exact"/>
        <w:rPr>
          <w:rFonts w:ascii="Arial" w:cs="Arial" w:eastAsia="Arial" w:hAnsi="Arial"/>
          <w:sz w:val="16"/>
          <w:szCs w:val="16"/>
          <w:color w:val="005CB8"/>
        </w:rPr>
      </w:pPr>
    </w:p>
    <w:p>
      <w:pPr>
        <w:ind w:left="1000" w:right="780" w:hanging="284"/>
        <w:spacing w:after="0" w:line="253" w:lineRule="auto"/>
        <w:tabs>
          <w:tab w:leader="none" w:pos="1000" w:val="left"/>
        </w:tabs>
        <w:numPr>
          <w:ilvl w:val="0"/>
          <w:numId w:val="70"/>
        </w:numPr>
        <w:rPr>
          <w:rFonts w:ascii="Arial" w:cs="Arial" w:eastAsia="Arial" w:hAnsi="Arial"/>
          <w:sz w:val="16"/>
          <w:szCs w:val="16"/>
          <w:color w:val="005CB8"/>
        </w:rPr>
      </w:pPr>
      <w:r>
        <w:rPr>
          <w:rFonts w:ascii="Arial" w:cs="Arial" w:eastAsia="Arial" w:hAnsi="Arial"/>
          <w:sz w:val="16"/>
          <w:szCs w:val="16"/>
          <w:color w:val="auto"/>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w:t>
      </w:r>
    </w:p>
    <w:p>
      <w:pPr>
        <w:spacing w:after="0" w:line="147" w:lineRule="exact"/>
        <w:rPr>
          <w:sz w:val="20"/>
          <w:szCs w:val="20"/>
          <w:color w:val="auto"/>
        </w:rPr>
      </w:pPr>
    </w:p>
    <w:p>
      <w:pPr>
        <w:ind w:left="720" w:right="920"/>
        <w:spacing w:after="0" w:line="260" w:lineRule="auto"/>
        <w:rPr>
          <w:sz w:val="20"/>
          <w:szCs w:val="20"/>
          <w:color w:val="auto"/>
        </w:rPr>
      </w:pPr>
      <w:r>
        <w:rPr>
          <w:rFonts w:ascii="Arial" w:cs="Arial" w:eastAsia="Arial" w:hAnsi="Arial"/>
          <w:sz w:val="16"/>
          <w:szCs w:val="16"/>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141" w:lineRule="exact"/>
        <w:rPr>
          <w:sz w:val="20"/>
          <w:szCs w:val="20"/>
          <w:color w:val="auto"/>
        </w:rPr>
      </w:pPr>
    </w:p>
    <w:p>
      <w:pPr>
        <w:ind w:left="720" w:right="840"/>
        <w:spacing w:after="0" w:line="249" w:lineRule="auto"/>
        <w:rPr>
          <w:sz w:val="20"/>
          <w:szCs w:val="20"/>
          <w:color w:val="auto"/>
        </w:rPr>
      </w:pPr>
      <w:r>
        <w:rPr>
          <w:rFonts w:ascii="Arial" w:cs="Arial" w:eastAsia="Arial" w:hAnsi="Arial"/>
          <w:sz w:val="16"/>
          <w:szCs w:val="16"/>
          <w:color w:val="auto"/>
        </w:rPr>
        <w:t>In addition, if any of the payments or benefits provided for under a change in control and severance agreement or otherwise payable to a named executive officer would constitute “parachute payments” within the meaning of Section 280G of the Internal Revenue Code and could be subject to the related excise tax, the named executive officer would be entitled to receive either full payment of such payments and benefits or such lesser amount that would result in no portion of the payments and benefits being subject to the excise tax, whichever results in the greater amount of after-tax benefits to the named executive officer. The change in control and severance agreements do not require us to provide any tax gross-up payments to our named executive officers.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45</w:t>
            </w:r>
          </w:p>
        </w:tc>
      </w:tr>
      <w:tr>
        <w:trPr>
          <w:trHeight w:val="168"/>
        </w:trPr>
        <w:tc>
          <w:tcPr>
            <w:tcW w:w="9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49" w:name="page50"/>
    <w:bookmarkEnd w:id="49"/>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spacing w:after="0"/>
        <w:rPr>
          <w:sz w:val="20"/>
          <w:szCs w:val="20"/>
          <w:color w:val="auto"/>
        </w:rPr>
      </w:pPr>
      <w:r>
        <w:rPr>
          <w:rFonts w:ascii="Arial" w:cs="Arial" w:eastAsia="Arial" w:hAnsi="Arial"/>
          <w:sz w:val="32"/>
          <w:szCs w:val="32"/>
          <w:color w:val="005CB8"/>
        </w:rPr>
        <w:t>EXECUTIVE COMPENSATION (continued)</w:t>
      </w:r>
    </w:p>
    <w:p>
      <w:pPr>
        <w:spacing w:after="0" w:line="386" w:lineRule="exact"/>
        <w:rPr>
          <w:sz w:val="20"/>
          <w:szCs w:val="20"/>
          <w:color w:val="auto"/>
        </w:rPr>
      </w:pPr>
    </w:p>
    <w:p>
      <w:pPr>
        <w:jc w:val="both"/>
        <w:ind w:left="4" w:right="220"/>
        <w:spacing w:after="0" w:line="253" w:lineRule="auto"/>
        <w:rPr>
          <w:sz w:val="20"/>
          <w:szCs w:val="20"/>
          <w:color w:val="auto"/>
        </w:rPr>
      </w:pPr>
      <w:r>
        <w:rPr>
          <w:rFonts w:ascii="Arial" w:cs="Arial" w:eastAsia="Arial" w:hAnsi="Arial"/>
          <w:sz w:val="16"/>
          <w:szCs w:val="16"/>
          <w:color w:val="auto"/>
        </w:rPr>
        <w:t>The following table describes the potential payments that would have been provided for each of our named executive officers upon termination of employment in connection with a change of control of Dropbox as described above, assuming such termination had occurred on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126365</wp:posOffset>
            </wp:positionV>
            <wp:extent cx="6077585" cy="1585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7585" cy="1585595"/>
                    </a:xfrm>
                    <a:prstGeom prst="rect">
                      <a:avLst/>
                    </a:prstGeom>
                    <a:noFill/>
                  </pic:spPr>
                </pic:pic>
              </a:graphicData>
            </a:graphic>
          </wp:anchor>
        </w:drawing>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2640" w:type="dxa"/>
            <w:vAlign w:val="bottom"/>
            <w:shd w:val="clear" w:color="auto" w:fill="0060EC"/>
          </w:tcPr>
          <w:p>
            <w:pPr>
              <w:spacing w:after="0"/>
              <w:rPr>
                <w:sz w:val="22"/>
                <w:szCs w:val="22"/>
                <w:color w:val="auto"/>
              </w:rPr>
            </w:pPr>
          </w:p>
        </w:tc>
        <w:tc>
          <w:tcPr>
            <w:tcW w:w="1360" w:type="dxa"/>
            <w:vAlign w:val="bottom"/>
            <w:shd w:val="clear" w:color="auto" w:fill="0060EC"/>
          </w:tcPr>
          <w:p>
            <w:pPr>
              <w:spacing w:after="0"/>
              <w:rPr>
                <w:sz w:val="22"/>
                <w:szCs w:val="22"/>
                <w:color w:val="auto"/>
              </w:rPr>
            </w:pPr>
          </w:p>
        </w:tc>
        <w:tc>
          <w:tcPr>
            <w:tcW w:w="1180" w:type="dxa"/>
            <w:vAlign w:val="bottom"/>
            <w:shd w:val="clear" w:color="auto" w:fill="0060EC"/>
          </w:tcPr>
          <w:p>
            <w:pPr>
              <w:ind w:left="140"/>
              <w:spacing w:after="0"/>
              <w:rPr>
                <w:sz w:val="20"/>
                <w:szCs w:val="20"/>
                <w:color w:val="auto"/>
              </w:rPr>
            </w:pPr>
            <w:r>
              <w:rPr>
                <w:rFonts w:ascii="Arial" w:cs="Arial" w:eastAsia="Arial" w:hAnsi="Arial"/>
                <w:sz w:val="14"/>
                <w:szCs w:val="14"/>
                <w:b w:val="1"/>
                <w:bCs w:val="1"/>
                <w:color w:val="FFFFFF"/>
              </w:rPr>
              <w:t>Cash Bonus</w:t>
            </w:r>
          </w:p>
        </w:tc>
        <w:tc>
          <w:tcPr>
            <w:tcW w:w="158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w w:val="99"/>
              </w:rPr>
              <w:t>Value of</w:t>
            </w:r>
          </w:p>
        </w:tc>
        <w:tc>
          <w:tcPr>
            <w:tcW w:w="880" w:type="dxa"/>
            <w:vAlign w:val="bottom"/>
            <w:shd w:val="clear" w:color="auto" w:fill="0060EC"/>
          </w:tcPr>
          <w:p>
            <w:pPr>
              <w:spacing w:after="0"/>
              <w:rPr>
                <w:sz w:val="22"/>
                <w:szCs w:val="22"/>
                <w:color w:val="auto"/>
              </w:rPr>
            </w:pPr>
          </w:p>
        </w:tc>
        <w:tc>
          <w:tcPr>
            <w:tcW w:w="920" w:type="dxa"/>
            <w:vAlign w:val="bottom"/>
            <w:shd w:val="clear" w:color="auto" w:fill="0060EC"/>
          </w:tcPr>
          <w:p>
            <w:pPr>
              <w:jc w:val="center"/>
              <w:ind w:right="2"/>
              <w:spacing w:after="0"/>
              <w:rPr>
                <w:sz w:val="20"/>
                <w:szCs w:val="20"/>
                <w:color w:val="auto"/>
              </w:rPr>
            </w:pPr>
            <w:r>
              <w:rPr>
                <w:rFonts w:ascii="Arial" w:cs="Arial" w:eastAsia="Arial" w:hAnsi="Arial"/>
                <w:sz w:val="14"/>
                <w:szCs w:val="14"/>
                <w:b w:val="1"/>
                <w:bCs w:val="1"/>
                <w:color w:val="FFFFFF"/>
              </w:rPr>
              <w:t>Value of</w:t>
            </w:r>
          </w:p>
        </w:tc>
        <w:tc>
          <w:tcPr>
            <w:tcW w:w="1000" w:type="dxa"/>
            <w:vAlign w:val="bottom"/>
            <w:shd w:val="clear" w:color="auto" w:fill="0060EC"/>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shd w:val="clear" w:color="auto" w:fill="0060EC"/>
          </w:tcPr>
          <w:p>
            <w:pPr>
              <w:ind w:left="106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23"/>
                <w:szCs w:val="23"/>
                <w:b w:val="1"/>
                <w:bCs w:val="1"/>
                <w:color w:val="FFFFFF"/>
                <w:vertAlign w:val="superscript"/>
              </w:rPr>
              <w:t>(1)</w:t>
            </w:r>
          </w:p>
        </w:tc>
        <w:tc>
          <w:tcPr>
            <w:tcW w:w="1360" w:type="dxa"/>
            <w:vAlign w:val="bottom"/>
            <w:shd w:val="clear" w:color="auto" w:fill="0060EC"/>
          </w:tcPr>
          <w:p>
            <w:pPr>
              <w:jc w:val="right"/>
              <w:ind w:right="162"/>
              <w:spacing w:after="0" w:line="148" w:lineRule="exact"/>
              <w:rPr>
                <w:sz w:val="20"/>
                <w:szCs w:val="20"/>
                <w:color w:val="auto"/>
              </w:rPr>
            </w:pPr>
            <w:r>
              <w:rPr>
                <w:rFonts w:ascii="Arial" w:cs="Arial" w:eastAsia="Arial" w:hAnsi="Arial"/>
                <w:sz w:val="14"/>
                <w:szCs w:val="14"/>
                <w:b w:val="1"/>
                <w:bCs w:val="1"/>
                <w:color w:val="FFFFFF"/>
              </w:rPr>
              <w:t>Base Salary</w:t>
            </w:r>
          </w:p>
        </w:tc>
        <w:tc>
          <w:tcPr>
            <w:tcW w:w="1180" w:type="dxa"/>
            <w:vAlign w:val="bottom"/>
            <w:shd w:val="clear" w:color="auto" w:fill="0060EC"/>
          </w:tcPr>
          <w:p>
            <w:pPr>
              <w:ind w:left="180"/>
              <w:spacing w:after="0" w:line="148" w:lineRule="exact"/>
              <w:rPr>
                <w:sz w:val="20"/>
                <w:szCs w:val="20"/>
                <w:color w:val="auto"/>
              </w:rPr>
            </w:pPr>
            <w:r>
              <w:rPr>
                <w:rFonts w:ascii="Arial" w:cs="Arial" w:eastAsia="Arial" w:hAnsi="Arial"/>
                <w:sz w:val="14"/>
                <w:szCs w:val="14"/>
                <w:b w:val="1"/>
                <w:bCs w:val="1"/>
                <w:color w:val="FFFFFF"/>
              </w:rPr>
              <w:t>Component</w:t>
            </w:r>
          </w:p>
        </w:tc>
        <w:tc>
          <w:tcPr>
            <w:tcW w:w="1580" w:type="dxa"/>
            <w:vAlign w:val="bottom"/>
            <w:shd w:val="clear" w:color="auto" w:fill="0060EC"/>
          </w:tcPr>
          <w:p>
            <w:pPr>
              <w:jc w:val="center"/>
              <w:spacing w:after="0" w:line="148" w:lineRule="exact"/>
              <w:rPr>
                <w:sz w:val="20"/>
                <w:szCs w:val="20"/>
                <w:color w:val="auto"/>
              </w:rPr>
            </w:pPr>
            <w:r>
              <w:rPr>
                <w:rFonts w:ascii="Arial" w:cs="Arial" w:eastAsia="Arial" w:hAnsi="Arial"/>
                <w:sz w:val="14"/>
                <w:szCs w:val="14"/>
                <w:b w:val="1"/>
                <w:bCs w:val="1"/>
                <w:color w:val="FFFFFF"/>
              </w:rPr>
              <w:t>Accelerated</w:t>
            </w:r>
          </w:p>
        </w:tc>
        <w:tc>
          <w:tcPr>
            <w:tcW w:w="880" w:type="dxa"/>
            <w:vAlign w:val="bottom"/>
            <w:shd w:val="clear" w:color="auto" w:fill="0060EC"/>
          </w:tcPr>
          <w:p>
            <w:pPr>
              <w:jc w:val="right"/>
              <w:ind w:right="222"/>
              <w:spacing w:after="0" w:line="148" w:lineRule="exact"/>
              <w:rPr>
                <w:sz w:val="20"/>
                <w:szCs w:val="20"/>
                <w:color w:val="auto"/>
              </w:rPr>
            </w:pPr>
            <w:r>
              <w:rPr>
                <w:rFonts w:ascii="Arial" w:cs="Arial" w:eastAsia="Arial" w:hAnsi="Arial"/>
                <w:sz w:val="14"/>
                <w:szCs w:val="14"/>
                <w:b w:val="1"/>
                <w:bCs w:val="1"/>
                <w:color w:val="FFFFFF"/>
              </w:rPr>
              <w:t>280G</w:t>
            </w:r>
          </w:p>
        </w:tc>
        <w:tc>
          <w:tcPr>
            <w:tcW w:w="920" w:type="dxa"/>
            <w:vAlign w:val="bottom"/>
            <w:shd w:val="clear" w:color="auto" w:fill="0060EC"/>
          </w:tcPr>
          <w:p>
            <w:pPr>
              <w:jc w:val="center"/>
              <w:spacing w:after="0" w:line="148" w:lineRule="exact"/>
              <w:rPr>
                <w:sz w:val="20"/>
                <w:szCs w:val="20"/>
                <w:color w:val="auto"/>
              </w:rPr>
            </w:pPr>
            <w:r>
              <w:rPr>
                <w:rFonts w:ascii="Arial" w:cs="Arial" w:eastAsia="Arial" w:hAnsi="Arial"/>
                <w:sz w:val="14"/>
                <w:szCs w:val="14"/>
                <w:b w:val="1"/>
                <w:bCs w:val="1"/>
                <w:color w:val="FFFFFF"/>
              </w:rPr>
              <w:t>Benefits</w:t>
            </w:r>
          </w:p>
        </w:tc>
        <w:tc>
          <w:tcPr>
            <w:tcW w:w="1000" w:type="dxa"/>
            <w:vAlign w:val="bottom"/>
            <w:shd w:val="clear" w:color="auto" w:fill="0060EC"/>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640" w:type="dxa"/>
            <w:vAlign w:val="bottom"/>
            <w:vMerge w:val="continue"/>
            <w:shd w:val="clear" w:color="auto" w:fill="0060EC"/>
          </w:tcPr>
          <w:p>
            <w:pPr>
              <w:spacing w:after="0"/>
              <w:rPr>
                <w:sz w:val="24"/>
                <w:szCs w:val="24"/>
                <w:color w:val="auto"/>
              </w:rPr>
            </w:pPr>
          </w:p>
        </w:tc>
        <w:tc>
          <w:tcPr>
            <w:tcW w:w="1360" w:type="dxa"/>
            <w:vAlign w:val="bottom"/>
            <w:shd w:val="clear" w:color="auto" w:fill="0060EC"/>
          </w:tcPr>
          <w:p>
            <w:pPr>
              <w:jc w:val="right"/>
              <w:ind w:right="42"/>
              <w:spacing w:after="0"/>
              <w:rPr>
                <w:sz w:val="20"/>
                <w:szCs w:val="20"/>
                <w:color w:val="auto"/>
              </w:rPr>
            </w:pPr>
            <w:r>
              <w:rPr>
                <w:rFonts w:ascii="Arial" w:cs="Arial" w:eastAsia="Arial" w:hAnsi="Arial"/>
                <w:sz w:val="14"/>
                <w:szCs w:val="14"/>
                <w:b w:val="1"/>
                <w:bCs w:val="1"/>
                <w:color w:val="FFFFFF"/>
              </w:rPr>
              <w:t>Component ($)</w:t>
            </w:r>
          </w:p>
        </w:tc>
        <w:tc>
          <w:tcPr>
            <w:tcW w:w="1180" w:type="dxa"/>
            <w:vAlign w:val="bottom"/>
            <w:shd w:val="clear" w:color="auto" w:fill="0060EC"/>
          </w:tcPr>
          <w:p>
            <w:pPr>
              <w:ind w:left="500"/>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w w:val="97"/>
              </w:rPr>
              <w:t>Equity Awards ($)</w:t>
            </w:r>
            <w:r>
              <w:rPr>
                <w:rFonts w:ascii="Arial" w:cs="Arial" w:eastAsia="Arial" w:hAnsi="Arial"/>
                <w:sz w:val="23"/>
                <w:szCs w:val="23"/>
                <w:b w:val="1"/>
                <w:bCs w:val="1"/>
                <w:color w:val="FFFFFF"/>
                <w:w w:val="97"/>
                <w:vertAlign w:val="superscript"/>
              </w:rPr>
              <w:t>(2)</w:t>
            </w:r>
          </w:p>
        </w:tc>
        <w:tc>
          <w:tcPr>
            <w:tcW w:w="880" w:type="dxa"/>
            <w:vAlign w:val="bottom"/>
            <w:shd w:val="clear" w:color="auto" w:fill="0060EC"/>
          </w:tcPr>
          <w:p>
            <w:pPr>
              <w:jc w:val="right"/>
              <w:ind w:right="62"/>
              <w:spacing w:after="0"/>
              <w:rPr>
                <w:sz w:val="20"/>
                <w:szCs w:val="20"/>
                <w:color w:val="auto"/>
              </w:rPr>
            </w:pPr>
            <w:r>
              <w:rPr>
                <w:rFonts w:ascii="Arial" w:cs="Arial" w:eastAsia="Arial" w:hAnsi="Arial"/>
                <w:sz w:val="14"/>
                <w:szCs w:val="14"/>
                <w:b w:val="1"/>
                <w:bCs w:val="1"/>
                <w:color w:val="FFFFFF"/>
              </w:rPr>
              <w:t>Gross-up</w:t>
            </w:r>
          </w:p>
        </w:tc>
        <w:tc>
          <w:tcPr>
            <w:tcW w:w="92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0060EC"/>
          </w:tcPr>
          <w:p>
            <w:pPr>
              <w:jc w:val="right"/>
              <w:ind w:right="121"/>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378"/>
        </w:trPr>
        <w:tc>
          <w:tcPr>
            <w:tcW w:w="264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Andrew W. Houston</w:t>
            </w:r>
          </w:p>
        </w:tc>
        <w:tc>
          <w:tcPr>
            <w:tcW w:w="136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700,000</w:t>
            </w:r>
          </w:p>
        </w:tc>
        <w:tc>
          <w:tcPr>
            <w:tcW w:w="1180" w:type="dxa"/>
            <w:vAlign w:val="bottom"/>
            <w:shd w:val="clear" w:color="auto" w:fill="E5EFFD"/>
          </w:tcPr>
          <w:p>
            <w:pPr>
              <w:ind w:left="500"/>
              <w:spacing w:after="0"/>
              <w:rPr>
                <w:sz w:val="20"/>
                <w:szCs w:val="20"/>
                <w:color w:val="auto"/>
              </w:rPr>
            </w:pPr>
            <w:r>
              <w:rPr>
                <w:rFonts w:ascii="Arial" w:cs="Arial" w:eastAsia="Arial" w:hAnsi="Arial"/>
                <w:sz w:val="16"/>
                <w:szCs w:val="16"/>
                <w:color w:val="005CB8"/>
              </w:rPr>
              <w:t>679,192</w:t>
            </w:r>
          </w:p>
        </w:tc>
        <w:tc>
          <w:tcPr>
            <w:tcW w:w="1580" w:type="dxa"/>
            <w:vAlign w:val="bottom"/>
            <w:shd w:val="clear" w:color="auto" w:fill="E5EFFD"/>
          </w:tcPr>
          <w:p>
            <w:pPr>
              <w:jc w:val="right"/>
              <w:ind w:right="44"/>
              <w:spacing w:after="0"/>
              <w:rPr>
                <w:sz w:val="20"/>
                <w:szCs w:val="20"/>
                <w:color w:val="auto"/>
              </w:rPr>
            </w:pPr>
            <w:r>
              <w:rPr>
                <w:rFonts w:ascii="Arial" w:cs="Arial" w:eastAsia="Arial" w:hAnsi="Arial"/>
                <w:sz w:val="32"/>
                <w:szCs w:val="32"/>
                <w:color w:val="005CB8"/>
                <w:vertAlign w:val="subscript"/>
              </w:rPr>
              <w:t>0</w:t>
            </w:r>
            <w:r>
              <w:rPr>
                <w:rFonts w:ascii="Arial" w:cs="Arial" w:eastAsia="Arial" w:hAnsi="Arial"/>
                <w:sz w:val="13"/>
                <w:szCs w:val="13"/>
                <w:color w:val="005CB8"/>
              </w:rPr>
              <w:t>(3)</w:t>
            </w:r>
          </w:p>
        </w:tc>
        <w:tc>
          <w:tcPr>
            <w:tcW w:w="88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w:t>
            </w:r>
          </w:p>
        </w:tc>
        <w:tc>
          <w:tcPr>
            <w:tcW w:w="920" w:type="dxa"/>
            <w:vAlign w:val="bottom"/>
            <w:shd w:val="clear" w:color="auto" w:fill="E5EFFD"/>
          </w:tcPr>
          <w:p>
            <w:pPr>
              <w:jc w:val="right"/>
              <w:ind w:right="22"/>
              <w:spacing w:after="0"/>
              <w:rPr>
                <w:sz w:val="20"/>
                <w:szCs w:val="20"/>
                <w:color w:val="auto"/>
              </w:rPr>
            </w:pPr>
            <w:r>
              <w:rPr>
                <w:rFonts w:ascii="Arial" w:cs="Arial" w:eastAsia="Arial" w:hAnsi="Arial"/>
                <w:sz w:val="16"/>
                <w:szCs w:val="16"/>
                <w:color w:val="005CB8"/>
              </w:rPr>
              <w:t>8,255</w:t>
            </w:r>
          </w:p>
        </w:tc>
        <w:tc>
          <w:tcPr>
            <w:tcW w:w="100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1,376,447</w:t>
            </w:r>
          </w:p>
        </w:tc>
        <w:tc>
          <w:tcPr>
            <w:tcW w:w="0" w:type="dxa"/>
            <w:vAlign w:val="bottom"/>
          </w:tcPr>
          <w:p>
            <w:pPr>
              <w:spacing w:after="0"/>
              <w:rPr>
                <w:sz w:val="1"/>
                <w:szCs w:val="1"/>
                <w:color w:val="auto"/>
              </w:rPr>
            </w:pPr>
          </w:p>
        </w:tc>
      </w:tr>
      <w:tr>
        <w:trPr>
          <w:trHeight w:val="291"/>
        </w:trPr>
        <w:tc>
          <w:tcPr>
            <w:tcW w:w="264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Ajay V. Vashee</w:t>
            </w:r>
          </w:p>
        </w:tc>
        <w:tc>
          <w:tcPr>
            <w:tcW w:w="136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550,000</w:t>
            </w:r>
          </w:p>
        </w:tc>
        <w:tc>
          <w:tcPr>
            <w:tcW w:w="1180" w:type="dxa"/>
            <w:vAlign w:val="bottom"/>
            <w:shd w:val="clear" w:color="auto" w:fill="E5EFFD"/>
          </w:tcPr>
          <w:p>
            <w:pPr>
              <w:ind w:left="500"/>
              <w:spacing w:after="0"/>
              <w:rPr>
                <w:sz w:val="20"/>
                <w:szCs w:val="20"/>
                <w:color w:val="auto"/>
              </w:rPr>
            </w:pPr>
            <w:r>
              <w:rPr>
                <w:rFonts w:ascii="Arial" w:cs="Arial" w:eastAsia="Arial" w:hAnsi="Arial"/>
                <w:sz w:val="16"/>
                <w:szCs w:val="16"/>
                <w:color w:val="005CB8"/>
              </w:rPr>
              <w:t>354,740</w:t>
            </w:r>
          </w:p>
        </w:tc>
        <w:tc>
          <w:tcPr>
            <w:tcW w:w="1580" w:type="dxa"/>
            <w:vAlign w:val="bottom"/>
            <w:shd w:val="clear" w:color="auto" w:fill="E5EFFD"/>
          </w:tcPr>
          <w:p>
            <w:pPr>
              <w:jc w:val="right"/>
              <w:ind w:right="204"/>
              <w:spacing w:after="0"/>
              <w:rPr>
                <w:sz w:val="20"/>
                <w:szCs w:val="20"/>
                <w:color w:val="auto"/>
              </w:rPr>
            </w:pPr>
            <w:r>
              <w:rPr>
                <w:rFonts w:ascii="Arial" w:cs="Arial" w:eastAsia="Arial" w:hAnsi="Arial"/>
                <w:sz w:val="16"/>
                <w:szCs w:val="16"/>
                <w:color w:val="005CB8"/>
              </w:rPr>
              <w:t>5,894,370</w:t>
            </w:r>
          </w:p>
        </w:tc>
        <w:tc>
          <w:tcPr>
            <w:tcW w:w="88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w:t>
            </w:r>
          </w:p>
        </w:tc>
        <w:tc>
          <w:tcPr>
            <w:tcW w:w="920" w:type="dxa"/>
            <w:vAlign w:val="bottom"/>
            <w:shd w:val="clear" w:color="auto" w:fill="E5EFFD"/>
          </w:tcPr>
          <w:p>
            <w:pPr>
              <w:jc w:val="right"/>
              <w:ind w:right="22"/>
              <w:spacing w:after="0"/>
              <w:rPr>
                <w:sz w:val="20"/>
                <w:szCs w:val="20"/>
                <w:color w:val="auto"/>
              </w:rPr>
            </w:pPr>
            <w:r>
              <w:rPr>
                <w:rFonts w:ascii="Arial" w:cs="Arial" w:eastAsia="Arial" w:hAnsi="Arial"/>
                <w:sz w:val="16"/>
                <w:szCs w:val="16"/>
                <w:color w:val="005CB8"/>
              </w:rPr>
              <w:t>15,235</w:t>
            </w:r>
          </w:p>
        </w:tc>
        <w:tc>
          <w:tcPr>
            <w:tcW w:w="100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6,814,345</w:t>
            </w:r>
          </w:p>
        </w:tc>
        <w:tc>
          <w:tcPr>
            <w:tcW w:w="0" w:type="dxa"/>
            <w:vAlign w:val="bottom"/>
          </w:tcPr>
          <w:p>
            <w:pPr>
              <w:spacing w:after="0"/>
              <w:rPr>
                <w:sz w:val="1"/>
                <w:szCs w:val="1"/>
                <w:color w:val="auto"/>
              </w:rPr>
            </w:pPr>
          </w:p>
        </w:tc>
      </w:tr>
      <w:tr>
        <w:trPr>
          <w:trHeight w:val="378"/>
        </w:trPr>
        <w:tc>
          <w:tcPr>
            <w:tcW w:w="264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Bharat Mediratta</w:t>
            </w:r>
          </w:p>
        </w:tc>
        <w:tc>
          <w:tcPr>
            <w:tcW w:w="136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500,000</w:t>
            </w:r>
          </w:p>
        </w:tc>
        <w:tc>
          <w:tcPr>
            <w:tcW w:w="1180" w:type="dxa"/>
            <w:vAlign w:val="bottom"/>
            <w:shd w:val="clear" w:color="auto" w:fill="E5EFFD"/>
          </w:tcPr>
          <w:p>
            <w:pPr>
              <w:ind w:left="500"/>
              <w:spacing w:after="0"/>
              <w:rPr>
                <w:sz w:val="20"/>
                <w:szCs w:val="20"/>
                <w:color w:val="auto"/>
              </w:rPr>
            </w:pPr>
            <w:r>
              <w:rPr>
                <w:rFonts w:ascii="Arial" w:cs="Arial" w:eastAsia="Arial" w:hAnsi="Arial"/>
                <w:sz w:val="16"/>
                <w:szCs w:val="16"/>
                <w:color w:val="005CB8"/>
              </w:rPr>
              <w:t>104,110</w:t>
            </w:r>
          </w:p>
        </w:tc>
        <w:tc>
          <w:tcPr>
            <w:tcW w:w="1580" w:type="dxa"/>
            <w:vAlign w:val="bottom"/>
            <w:shd w:val="clear" w:color="auto" w:fill="E5EFFD"/>
          </w:tcPr>
          <w:p>
            <w:pPr>
              <w:jc w:val="right"/>
              <w:ind w:right="184"/>
              <w:spacing w:after="0"/>
              <w:rPr>
                <w:sz w:val="20"/>
                <w:szCs w:val="20"/>
                <w:color w:val="auto"/>
              </w:rPr>
            </w:pPr>
            <w:r>
              <w:rPr>
                <w:rFonts w:ascii="Arial" w:cs="Arial" w:eastAsia="Arial" w:hAnsi="Arial"/>
                <w:sz w:val="16"/>
                <w:szCs w:val="16"/>
                <w:color w:val="005CB8"/>
              </w:rPr>
              <w:t>18,861,164</w:t>
            </w:r>
          </w:p>
        </w:tc>
        <w:tc>
          <w:tcPr>
            <w:tcW w:w="88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w:t>
            </w:r>
          </w:p>
        </w:tc>
        <w:tc>
          <w:tcPr>
            <w:tcW w:w="920" w:type="dxa"/>
            <w:vAlign w:val="bottom"/>
            <w:shd w:val="clear" w:color="auto" w:fill="E5EFFD"/>
          </w:tcPr>
          <w:p>
            <w:pPr>
              <w:jc w:val="right"/>
              <w:ind w:right="22"/>
              <w:spacing w:after="0"/>
              <w:rPr>
                <w:sz w:val="20"/>
                <w:szCs w:val="20"/>
                <w:color w:val="auto"/>
              </w:rPr>
            </w:pPr>
            <w:r>
              <w:rPr>
                <w:rFonts w:ascii="Arial" w:cs="Arial" w:eastAsia="Arial" w:hAnsi="Arial"/>
                <w:sz w:val="16"/>
                <w:szCs w:val="16"/>
                <w:color w:val="005CB8"/>
              </w:rPr>
              <w:t>25,727</w:t>
            </w:r>
          </w:p>
        </w:tc>
        <w:tc>
          <w:tcPr>
            <w:tcW w:w="100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19,491,001</w:t>
            </w:r>
          </w:p>
        </w:tc>
        <w:tc>
          <w:tcPr>
            <w:tcW w:w="0" w:type="dxa"/>
            <w:vAlign w:val="bottom"/>
          </w:tcPr>
          <w:p>
            <w:pPr>
              <w:spacing w:after="0"/>
              <w:rPr>
                <w:sz w:val="1"/>
                <w:szCs w:val="1"/>
                <w:color w:val="auto"/>
              </w:rPr>
            </w:pPr>
          </w:p>
        </w:tc>
      </w:tr>
      <w:tr>
        <w:trPr>
          <w:trHeight w:val="378"/>
        </w:trPr>
        <w:tc>
          <w:tcPr>
            <w:tcW w:w="264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Timothy Young</w:t>
            </w:r>
          </w:p>
        </w:tc>
        <w:tc>
          <w:tcPr>
            <w:tcW w:w="136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500,000</w:t>
            </w:r>
          </w:p>
        </w:tc>
        <w:tc>
          <w:tcPr>
            <w:tcW w:w="1180" w:type="dxa"/>
            <w:vAlign w:val="bottom"/>
            <w:shd w:val="clear" w:color="auto" w:fill="E5EFFD"/>
          </w:tcPr>
          <w:p>
            <w:pPr>
              <w:ind w:left="500"/>
              <w:spacing w:after="0"/>
              <w:rPr>
                <w:sz w:val="20"/>
                <w:szCs w:val="20"/>
                <w:color w:val="auto"/>
              </w:rPr>
            </w:pPr>
            <w:r>
              <w:rPr>
                <w:rFonts w:ascii="Arial" w:cs="Arial" w:eastAsia="Arial" w:hAnsi="Arial"/>
                <w:sz w:val="16"/>
                <w:szCs w:val="16"/>
                <w:color w:val="005CB8"/>
              </w:rPr>
              <w:t>116,438</w:t>
            </w:r>
          </w:p>
        </w:tc>
        <w:tc>
          <w:tcPr>
            <w:tcW w:w="1580" w:type="dxa"/>
            <w:vAlign w:val="bottom"/>
            <w:shd w:val="clear" w:color="auto" w:fill="E5EFFD"/>
          </w:tcPr>
          <w:p>
            <w:pPr>
              <w:jc w:val="right"/>
              <w:ind w:right="184"/>
              <w:spacing w:after="0"/>
              <w:rPr>
                <w:sz w:val="20"/>
                <w:szCs w:val="20"/>
                <w:color w:val="auto"/>
              </w:rPr>
            </w:pPr>
            <w:r>
              <w:rPr>
                <w:rFonts w:ascii="Arial" w:cs="Arial" w:eastAsia="Arial" w:hAnsi="Arial"/>
                <w:sz w:val="16"/>
                <w:szCs w:val="16"/>
                <w:color w:val="005CB8"/>
              </w:rPr>
              <w:t>18,861,164</w:t>
            </w:r>
          </w:p>
        </w:tc>
        <w:tc>
          <w:tcPr>
            <w:tcW w:w="88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w:t>
            </w:r>
          </w:p>
        </w:tc>
        <w:tc>
          <w:tcPr>
            <w:tcW w:w="920" w:type="dxa"/>
            <w:vAlign w:val="bottom"/>
            <w:shd w:val="clear" w:color="auto" w:fill="E5EFFD"/>
          </w:tcPr>
          <w:p>
            <w:pPr>
              <w:jc w:val="right"/>
              <w:ind w:right="22"/>
              <w:spacing w:after="0"/>
              <w:rPr>
                <w:sz w:val="20"/>
                <w:szCs w:val="20"/>
                <w:color w:val="auto"/>
              </w:rPr>
            </w:pPr>
            <w:r>
              <w:rPr>
                <w:rFonts w:ascii="Arial" w:cs="Arial" w:eastAsia="Arial" w:hAnsi="Arial"/>
                <w:sz w:val="16"/>
                <w:szCs w:val="16"/>
                <w:color w:val="005CB8"/>
              </w:rPr>
              <w:t>15,235</w:t>
            </w:r>
          </w:p>
        </w:tc>
        <w:tc>
          <w:tcPr>
            <w:tcW w:w="100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19,492,837</w:t>
            </w:r>
          </w:p>
        </w:tc>
        <w:tc>
          <w:tcPr>
            <w:tcW w:w="0" w:type="dxa"/>
            <w:vAlign w:val="bottom"/>
          </w:tcPr>
          <w:p>
            <w:pPr>
              <w:spacing w:after="0"/>
              <w:rPr>
                <w:sz w:val="1"/>
                <w:szCs w:val="1"/>
                <w:color w:val="auto"/>
              </w:rPr>
            </w:pPr>
          </w:p>
        </w:tc>
      </w:tr>
      <w:tr>
        <w:trPr>
          <w:trHeight w:val="384"/>
        </w:trPr>
        <w:tc>
          <w:tcPr>
            <w:tcW w:w="264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Yamini Rangan</w:t>
            </w:r>
          </w:p>
        </w:tc>
        <w:tc>
          <w:tcPr>
            <w:tcW w:w="136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550,000</w:t>
            </w:r>
          </w:p>
        </w:tc>
        <w:tc>
          <w:tcPr>
            <w:tcW w:w="1180" w:type="dxa"/>
            <w:vAlign w:val="bottom"/>
            <w:shd w:val="clear" w:color="auto" w:fill="E5EFFD"/>
          </w:tcPr>
          <w:p>
            <w:pPr>
              <w:ind w:left="500"/>
              <w:spacing w:after="0"/>
              <w:rPr>
                <w:sz w:val="20"/>
                <w:szCs w:val="20"/>
                <w:color w:val="auto"/>
              </w:rPr>
            </w:pPr>
            <w:r>
              <w:rPr>
                <w:rFonts w:ascii="Arial" w:cs="Arial" w:eastAsia="Arial" w:hAnsi="Arial"/>
                <w:sz w:val="16"/>
                <w:szCs w:val="16"/>
                <w:color w:val="005CB8"/>
              </w:rPr>
              <w:t>530,890</w:t>
            </w:r>
          </w:p>
        </w:tc>
        <w:tc>
          <w:tcPr>
            <w:tcW w:w="1580" w:type="dxa"/>
            <w:vAlign w:val="bottom"/>
            <w:shd w:val="clear" w:color="auto" w:fill="E5EFFD"/>
          </w:tcPr>
          <w:p>
            <w:pPr>
              <w:jc w:val="right"/>
              <w:ind w:right="204"/>
              <w:spacing w:after="0"/>
              <w:rPr>
                <w:sz w:val="20"/>
                <w:szCs w:val="20"/>
                <w:color w:val="auto"/>
              </w:rPr>
            </w:pPr>
            <w:r>
              <w:rPr>
                <w:rFonts w:ascii="Arial" w:cs="Arial" w:eastAsia="Arial" w:hAnsi="Arial"/>
                <w:sz w:val="16"/>
                <w:szCs w:val="16"/>
                <w:color w:val="005CB8"/>
              </w:rPr>
              <w:t>3,874,309</w:t>
            </w:r>
          </w:p>
        </w:tc>
        <w:tc>
          <w:tcPr>
            <w:tcW w:w="880" w:type="dxa"/>
            <w:vAlign w:val="bottom"/>
            <w:shd w:val="clear" w:color="auto" w:fill="E5EFFD"/>
          </w:tcPr>
          <w:p>
            <w:pPr>
              <w:jc w:val="right"/>
              <w:ind w:right="62"/>
              <w:spacing w:after="0"/>
              <w:rPr>
                <w:sz w:val="20"/>
                <w:szCs w:val="20"/>
                <w:color w:val="auto"/>
              </w:rPr>
            </w:pPr>
            <w:r>
              <w:rPr>
                <w:rFonts w:ascii="Arial" w:cs="Arial" w:eastAsia="Arial" w:hAnsi="Arial"/>
                <w:sz w:val="16"/>
                <w:szCs w:val="16"/>
                <w:color w:val="005CB8"/>
              </w:rPr>
              <w:t>—</w:t>
            </w:r>
          </w:p>
        </w:tc>
        <w:tc>
          <w:tcPr>
            <w:tcW w:w="920" w:type="dxa"/>
            <w:vAlign w:val="bottom"/>
            <w:shd w:val="clear" w:color="auto" w:fill="E5EFFD"/>
          </w:tcPr>
          <w:p>
            <w:pPr>
              <w:jc w:val="right"/>
              <w:ind w:right="22"/>
              <w:spacing w:after="0"/>
              <w:rPr>
                <w:sz w:val="20"/>
                <w:szCs w:val="20"/>
                <w:color w:val="auto"/>
              </w:rPr>
            </w:pPr>
            <w:r>
              <w:rPr>
                <w:rFonts w:ascii="Arial" w:cs="Arial" w:eastAsia="Arial" w:hAnsi="Arial"/>
                <w:sz w:val="16"/>
                <w:szCs w:val="16"/>
                <w:color w:val="005CB8"/>
              </w:rPr>
              <w:t>25,727</w:t>
            </w:r>
          </w:p>
        </w:tc>
        <w:tc>
          <w:tcPr>
            <w:tcW w:w="100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4,980,926</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44" w:hanging="244"/>
        <w:spacing w:after="0" w:line="207" w:lineRule="auto"/>
        <w:tabs>
          <w:tab w:leader="none" w:pos="244"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All of our named executive officers are subject to a better-after-tax provision whereby Dropbox would either pay such person (i) the full amount of their severance benefits or, alternatively (ii) an amount of certain severance benefits otherwise payable to them such that the severance benefits will not be subject to the tax imposed by Section 4999 of the Code, whichever produces the better after-tax result for such named executive officer.</w:t>
      </w:r>
    </w:p>
    <w:p>
      <w:pPr>
        <w:ind w:left="244" w:hanging="244"/>
        <w:spacing w:after="0" w:line="219" w:lineRule="auto"/>
        <w:tabs>
          <w:tab w:leader="none" w:pos="244"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Value based on a per share price of $17.91, which was the closing price as reported on December 31, 2019.</w:t>
      </w:r>
    </w:p>
    <w:p>
      <w:pPr>
        <w:spacing w:after="0" w:line="3" w:lineRule="exact"/>
        <w:rPr>
          <w:rFonts w:ascii="Arial" w:cs="Arial" w:eastAsia="Arial" w:hAnsi="Arial"/>
          <w:sz w:val="18"/>
          <w:szCs w:val="18"/>
          <w:color w:val="auto"/>
          <w:vertAlign w:val="superscript"/>
        </w:rPr>
      </w:pPr>
    </w:p>
    <w:p>
      <w:pPr>
        <w:ind w:left="244" w:right="20" w:hanging="244"/>
        <w:spacing w:after="0" w:line="232" w:lineRule="auto"/>
        <w:tabs>
          <w:tab w:leader="none" w:pos="244"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Excludes 10,333,333 shares of Class A common stock underlying RSAs subject to Mr. Houston’s Co-Founder Grant. In the event of an acquisition of Dropbox before the end of the performance period of the Co-Founder Grant, the grant is only eligible to vest into additional of shares if the per share deal price in the acquisition causes a stock price target that has not previously been achieved to be satisfied, in which case the tranche(s) of shares corresponding to such stock price target will vest. Additionally, if the acquisition price falls between a stock price target that has been achieved and one that has not, then a portion of that tranche of shares will vest based on a linear interpolation between each of these stock price targets. See “</w:t>
      </w:r>
      <w:r>
        <w:rPr>
          <w:rFonts w:ascii="Arial" w:cs="Arial" w:eastAsia="Arial" w:hAnsi="Arial"/>
          <w:sz w:val="14"/>
          <w:szCs w:val="14"/>
          <w:i w:val="1"/>
          <w:iCs w:val="1"/>
          <w:color w:val="auto"/>
        </w:rPr>
        <w:t>Co-Founder Grants</w:t>
      </w:r>
      <w:r>
        <w:rPr>
          <w:rFonts w:ascii="Arial" w:cs="Arial" w:eastAsia="Arial" w:hAnsi="Arial"/>
          <w:sz w:val="14"/>
          <w:szCs w:val="14"/>
          <w:color w:val="auto"/>
        </w:rPr>
        <w:t>” above for more information.</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26"/>
          <w:szCs w:val="26"/>
          <w:color w:val="005CB8"/>
        </w:rPr>
        <w:t>CEO Pay Ratio</w:t>
      </w:r>
    </w:p>
    <w:p>
      <w:pPr>
        <w:spacing w:after="0" w:line="149" w:lineRule="exact"/>
        <w:rPr>
          <w:sz w:val="20"/>
          <w:szCs w:val="20"/>
          <w:color w:val="auto"/>
        </w:rPr>
      </w:pPr>
    </w:p>
    <w:p>
      <w:pPr>
        <w:ind w:left="4" w:right="200"/>
        <w:spacing w:after="0" w:line="286" w:lineRule="auto"/>
        <w:rPr>
          <w:sz w:val="20"/>
          <w:szCs w:val="20"/>
          <w:color w:val="auto"/>
        </w:rPr>
      </w:pPr>
      <w:r>
        <w:rPr>
          <w:rFonts w:ascii="Arial" w:cs="Arial" w:eastAsia="Arial" w:hAnsi="Arial"/>
          <w:sz w:val="16"/>
          <w:szCs w:val="16"/>
          <w:color w:val="auto"/>
        </w:rPr>
        <w:t>In accordance with Item 402 of Regulation S-K under the Securities Act (“</w:t>
      </w:r>
      <w:r>
        <w:rPr>
          <w:rFonts w:ascii="Arial" w:cs="Arial" w:eastAsia="Arial" w:hAnsi="Arial"/>
          <w:sz w:val="16"/>
          <w:szCs w:val="16"/>
          <w:b w:val="1"/>
          <w:bCs w:val="1"/>
          <w:i w:val="1"/>
          <w:iCs w:val="1"/>
          <w:color w:val="auto"/>
        </w:rPr>
        <w:t>Item 402</w:t>
      </w:r>
      <w:r>
        <w:rPr>
          <w:rFonts w:ascii="Arial" w:cs="Arial" w:eastAsia="Arial" w:hAnsi="Arial"/>
          <w:sz w:val="16"/>
          <w:szCs w:val="16"/>
          <w:color w:val="auto"/>
        </w:rPr>
        <w:t>”), below is the ratio of the total compensation of the median employee of the company to the annual total compensation of the CEO (the “</w:t>
      </w:r>
      <w:r>
        <w:rPr>
          <w:rFonts w:ascii="Arial" w:cs="Arial" w:eastAsia="Arial" w:hAnsi="Arial"/>
          <w:sz w:val="16"/>
          <w:szCs w:val="16"/>
          <w:b w:val="1"/>
          <w:bCs w:val="1"/>
          <w:i w:val="1"/>
          <w:iCs w:val="1"/>
          <w:color w:val="auto"/>
        </w:rPr>
        <w:t>Pay Ratio Disclosure</w:t>
      </w:r>
      <w:r>
        <w:rPr>
          <w:rFonts w:ascii="Arial" w:cs="Arial" w:eastAsia="Arial" w:hAnsi="Arial"/>
          <w:sz w:val="16"/>
          <w:szCs w:val="16"/>
          <w:color w:val="auto"/>
        </w:rPr>
        <w:t>”).</w:t>
      </w:r>
    </w:p>
    <w:p>
      <w:pPr>
        <w:spacing w:after="0" w:line="122" w:lineRule="exact"/>
        <w:rPr>
          <w:sz w:val="20"/>
          <w:szCs w:val="20"/>
          <w:color w:val="auto"/>
        </w:rPr>
      </w:pPr>
    </w:p>
    <w:p>
      <w:pPr>
        <w:ind w:left="4" w:right="20"/>
        <w:spacing w:after="0" w:line="249" w:lineRule="auto"/>
        <w:rPr>
          <w:sz w:val="20"/>
          <w:szCs w:val="20"/>
          <w:color w:val="auto"/>
        </w:rPr>
      </w:pPr>
      <w:r>
        <w:rPr>
          <w:rFonts w:ascii="Arial" w:cs="Arial" w:eastAsia="Arial" w:hAnsi="Arial"/>
          <w:sz w:val="16"/>
          <w:szCs w:val="16"/>
          <w:color w:val="auto"/>
        </w:rPr>
        <w:t>In order to identify our median employee, we examined the total compensation in 2019 of all employees globally, including those employed on a full-time, part-time, seasonal or temporary basis by the company as of December 31, 2019, and then such compensation is converted into U.S. dollars. We did not annualize compensation for employees who were not employed for the entire 2019 fiscal year. We chose total compensation to use as our consistently applied compensation measure. Total compensation includes each employee’s base salary, bonuses, sales commissions paid and the grant date fair market value of equity awards granted during the 12-month period from January 1, 2019 through December 31, 2019.</w:t>
      </w:r>
    </w:p>
    <w:p>
      <w:pPr>
        <w:spacing w:after="0" w:line="151" w:lineRule="exact"/>
        <w:rPr>
          <w:sz w:val="20"/>
          <w:szCs w:val="20"/>
          <w:color w:val="auto"/>
        </w:rPr>
      </w:pPr>
    </w:p>
    <w:p>
      <w:pPr>
        <w:ind w:left="4" w:right="160"/>
        <w:spacing w:after="0" w:line="249" w:lineRule="auto"/>
        <w:rPr>
          <w:sz w:val="20"/>
          <w:szCs w:val="20"/>
          <w:color w:val="auto"/>
        </w:rPr>
      </w:pPr>
      <w:r>
        <w:rPr>
          <w:rFonts w:ascii="Arial" w:cs="Arial" w:eastAsia="Arial" w:hAnsi="Arial"/>
          <w:sz w:val="16"/>
          <w:szCs w:val="16"/>
          <w:color w:val="auto"/>
        </w:rPr>
        <w:t>Our CEO had annual total compensation for 2019, calculated using the requirements of Item 402 for purposes of the Pay Ratio Disclosure, of $1,385,192. The annual total compensation of the median employee of the company for 2019, calculated using the same requirements under Item 402 for purposes of the Pay Ratio Disclosure, which included base pay, incentive compensation, the grant date fair value of equity grants and the company’s matching contribution to that employee’s 401(k) plan, was $244,570. Accordingly, the ratio of the annual total compensation of the CEO to the annual total compensation of the median employee of the company was 6 to 1.</w:t>
      </w:r>
    </w:p>
    <w:p>
      <w:pPr>
        <w:spacing w:after="0" w:line="151" w:lineRule="exact"/>
        <w:rPr>
          <w:sz w:val="20"/>
          <w:szCs w:val="20"/>
          <w:color w:val="auto"/>
        </w:rPr>
      </w:pPr>
    </w:p>
    <w:p>
      <w:pPr>
        <w:ind w:left="4" w:right="160"/>
        <w:spacing w:after="0" w:line="251" w:lineRule="auto"/>
        <w:rPr>
          <w:sz w:val="20"/>
          <w:szCs w:val="20"/>
          <w:color w:val="auto"/>
        </w:rPr>
      </w:pPr>
      <w:r>
        <w:rPr>
          <w:rFonts w:ascii="Arial" w:cs="Arial" w:eastAsia="Arial" w:hAnsi="Arial"/>
          <w:sz w:val="16"/>
          <w:szCs w:val="16"/>
          <w:color w:val="auto"/>
        </w:rPr>
        <w:t>The Pay Ratio Disclosure presented above is a reasonable estimate calculated in a manner consistent with Item 402. Because the SEC’s final regulations for identifying the median employee, calculating annual total compensation and determining the pay ratio allow companies to use different methodologies, exemptions, estimates and assumptions, the company’s Pay Ratio Disclosure may not be comparable to that reported by other companies.</w:t>
      </w:r>
    </w:p>
    <w:p>
      <w:pPr>
        <w:spacing w:after="0" w:line="187" w:lineRule="exact"/>
        <w:rPr>
          <w:sz w:val="20"/>
          <w:szCs w:val="20"/>
          <w:color w:val="auto"/>
        </w:rPr>
      </w:pPr>
    </w:p>
    <w:p>
      <w:pPr>
        <w:ind w:left="524" w:hanging="524"/>
        <w:spacing w:after="0"/>
        <w:tabs>
          <w:tab w:leader="none" w:pos="524"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50" w:name="page51"/>
    <w:bookmarkEnd w:id="50"/>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EQUITY COMPENSATION PLAN INFORMATION</w:t>
      </w:r>
    </w:p>
    <w:p>
      <w:pPr>
        <w:spacing w:after="0" w:line="170" w:lineRule="exact"/>
        <w:rPr>
          <w:sz w:val="20"/>
          <w:szCs w:val="20"/>
          <w:color w:val="auto"/>
        </w:rPr>
      </w:pPr>
    </w:p>
    <w:p>
      <w:pPr>
        <w:ind w:left="720" w:right="740"/>
        <w:spacing w:after="0" w:line="249" w:lineRule="auto"/>
        <w:rPr>
          <w:sz w:val="20"/>
          <w:szCs w:val="20"/>
          <w:color w:val="auto"/>
        </w:rPr>
      </w:pPr>
      <w:r>
        <w:rPr>
          <w:rFonts w:ascii="Arial" w:cs="Arial" w:eastAsia="Arial" w:hAnsi="Arial"/>
          <w:sz w:val="16"/>
          <w:szCs w:val="16"/>
          <w:color w:val="auto"/>
        </w:rPr>
        <w:t>The following table summarizes our equity compensation plan information as of December 31, 2019. Information is included for equity compensation plans approved by our stockholders. We do not have any equity compensation plans not approved by our stockholders. The table does not include information with respect to shares subject to outstanding awards assumed by Dropbox in connection with acquisitions of the companies that originally granted those awards. As of December 31, 2019, 783,799 shares of Class A common stock were issuable upon exercise of outstanding options assumed in connection with acquisitions. The weighted average exercise price of such outstanding options was $6.12 per share. No additional equity awards may be granted under any assumed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248920</wp:posOffset>
            </wp:positionV>
            <wp:extent cx="6077585" cy="9512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7585" cy="951230"/>
                    </a:xfrm>
                    <a:prstGeom prst="rect">
                      <a:avLst/>
                    </a:prstGeom>
                    <a:noFill/>
                  </pic:spPr>
                </pic:pic>
              </a:graphicData>
            </a:graphic>
          </wp:anchor>
        </w:drawing>
      </w:r>
    </w:p>
    <w:p>
      <w:pPr>
        <w:spacing w:after="0" w:line="372"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3140" w:type="dxa"/>
            <w:vAlign w:val="bottom"/>
            <w:shd w:val="clear" w:color="auto" w:fill="0060EC"/>
          </w:tcPr>
          <w:p>
            <w:pPr>
              <w:spacing w:after="0"/>
              <w:rPr>
                <w:sz w:val="22"/>
                <w:szCs w:val="22"/>
                <w:color w:val="auto"/>
              </w:rPr>
            </w:pPr>
          </w:p>
        </w:tc>
        <w:tc>
          <w:tcPr>
            <w:tcW w:w="196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1940" w:type="dxa"/>
            <w:vAlign w:val="bottom"/>
            <w:shd w:val="clear" w:color="auto" w:fill="0060EC"/>
          </w:tcPr>
          <w:p>
            <w:pPr>
              <w:spacing w:after="0"/>
              <w:rPr>
                <w:sz w:val="22"/>
                <w:szCs w:val="22"/>
                <w:color w:val="auto"/>
              </w:rPr>
            </w:pPr>
          </w:p>
        </w:tc>
        <w:tc>
          <w:tcPr>
            <w:tcW w:w="2520" w:type="dxa"/>
            <w:vAlign w:val="bottom"/>
            <w:shd w:val="clear" w:color="auto" w:fill="0060EC"/>
          </w:tcPr>
          <w:p>
            <w:pPr>
              <w:jc w:val="center"/>
              <w:ind w:left="87"/>
              <w:spacing w:after="0"/>
              <w:rPr>
                <w:sz w:val="20"/>
                <w:szCs w:val="20"/>
                <w:color w:val="auto"/>
              </w:rPr>
            </w:pPr>
            <w:r>
              <w:rPr>
                <w:rFonts w:ascii="Arial" w:cs="Arial" w:eastAsia="Arial" w:hAnsi="Arial"/>
                <w:sz w:val="14"/>
                <w:szCs w:val="14"/>
                <w:b w:val="1"/>
                <w:bCs w:val="1"/>
                <w:color w:val="FFFFFF"/>
              </w:rPr>
              <w:t>Number of Securities Remaining</w:t>
            </w:r>
          </w:p>
        </w:tc>
      </w:tr>
      <w:tr>
        <w:trPr>
          <w:trHeight w:val="162"/>
        </w:trPr>
        <w:tc>
          <w:tcPr>
            <w:tcW w:w="3140" w:type="dxa"/>
            <w:vAlign w:val="bottom"/>
            <w:shd w:val="clear" w:color="auto" w:fill="0060EC"/>
          </w:tcPr>
          <w:p>
            <w:pPr>
              <w:spacing w:after="0"/>
              <w:rPr>
                <w:sz w:val="14"/>
                <w:szCs w:val="14"/>
                <w:color w:val="auto"/>
              </w:rPr>
            </w:pPr>
          </w:p>
        </w:tc>
        <w:tc>
          <w:tcPr>
            <w:tcW w:w="196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to be Issued Upon</w:t>
            </w:r>
          </w:p>
        </w:tc>
        <w:tc>
          <w:tcPr>
            <w:tcW w:w="194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Weighted-Average</w:t>
            </w:r>
          </w:p>
        </w:tc>
        <w:tc>
          <w:tcPr>
            <w:tcW w:w="2520" w:type="dxa"/>
            <w:vAlign w:val="bottom"/>
            <w:shd w:val="clear" w:color="auto" w:fill="0060EC"/>
          </w:tcPr>
          <w:p>
            <w:pPr>
              <w:jc w:val="center"/>
              <w:ind w:left="87"/>
              <w:spacing w:after="0"/>
              <w:rPr>
                <w:sz w:val="20"/>
                <w:szCs w:val="20"/>
                <w:color w:val="auto"/>
              </w:rPr>
            </w:pPr>
            <w:r>
              <w:rPr>
                <w:rFonts w:ascii="Arial" w:cs="Arial" w:eastAsia="Arial" w:hAnsi="Arial"/>
                <w:sz w:val="14"/>
                <w:szCs w:val="14"/>
                <w:b w:val="1"/>
                <w:bCs w:val="1"/>
                <w:color w:val="FFFFFF"/>
              </w:rPr>
              <w:t>Available for Future Issuance</w:t>
            </w:r>
          </w:p>
        </w:tc>
      </w:tr>
      <w:tr>
        <w:trPr>
          <w:trHeight w:val="162"/>
        </w:trPr>
        <w:tc>
          <w:tcPr>
            <w:tcW w:w="3140" w:type="dxa"/>
            <w:vAlign w:val="bottom"/>
            <w:shd w:val="clear" w:color="auto" w:fill="0060EC"/>
          </w:tcPr>
          <w:p>
            <w:pPr>
              <w:spacing w:after="0"/>
              <w:rPr>
                <w:sz w:val="14"/>
                <w:szCs w:val="14"/>
                <w:color w:val="auto"/>
              </w:rPr>
            </w:pPr>
          </w:p>
        </w:tc>
        <w:tc>
          <w:tcPr>
            <w:tcW w:w="196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Exercise of</w:t>
            </w:r>
          </w:p>
        </w:tc>
        <w:tc>
          <w:tcPr>
            <w:tcW w:w="194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520" w:type="dxa"/>
            <w:vAlign w:val="bottom"/>
            <w:shd w:val="clear" w:color="auto" w:fill="0060EC"/>
          </w:tcPr>
          <w:p>
            <w:pPr>
              <w:jc w:val="center"/>
              <w:ind w:left="87"/>
              <w:spacing w:after="0"/>
              <w:rPr>
                <w:sz w:val="20"/>
                <w:szCs w:val="20"/>
                <w:color w:val="auto"/>
              </w:rPr>
            </w:pPr>
            <w:r>
              <w:rPr>
                <w:rFonts w:ascii="Arial" w:cs="Arial" w:eastAsia="Arial" w:hAnsi="Arial"/>
                <w:sz w:val="14"/>
                <w:szCs w:val="14"/>
                <w:b w:val="1"/>
                <w:bCs w:val="1"/>
                <w:color w:val="FFFFFF"/>
              </w:rPr>
              <w:t>Under Equity Compensation</w:t>
            </w:r>
          </w:p>
        </w:tc>
      </w:tr>
      <w:tr>
        <w:trPr>
          <w:trHeight w:val="162"/>
        </w:trPr>
        <w:tc>
          <w:tcPr>
            <w:tcW w:w="3140" w:type="dxa"/>
            <w:vAlign w:val="bottom"/>
            <w:shd w:val="clear" w:color="auto" w:fill="0060EC"/>
          </w:tcPr>
          <w:p>
            <w:pPr>
              <w:spacing w:after="0"/>
              <w:rPr>
                <w:sz w:val="14"/>
                <w:szCs w:val="14"/>
                <w:color w:val="auto"/>
              </w:rPr>
            </w:pPr>
          </w:p>
        </w:tc>
        <w:tc>
          <w:tcPr>
            <w:tcW w:w="196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194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520" w:type="dxa"/>
            <w:vAlign w:val="bottom"/>
            <w:shd w:val="clear" w:color="auto" w:fill="0060EC"/>
          </w:tcPr>
          <w:p>
            <w:pPr>
              <w:jc w:val="center"/>
              <w:ind w:left="87"/>
              <w:spacing w:after="0"/>
              <w:rPr>
                <w:sz w:val="20"/>
                <w:szCs w:val="20"/>
                <w:color w:val="auto"/>
              </w:rPr>
            </w:pPr>
            <w:r>
              <w:rPr>
                <w:rFonts w:ascii="Arial" w:cs="Arial" w:eastAsia="Arial" w:hAnsi="Arial"/>
                <w:sz w:val="14"/>
                <w:szCs w:val="14"/>
                <w:b w:val="1"/>
                <w:bCs w:val="1"/>
                <w:color w:val="FFFFFF"/>
              </w:rPr>
              <w:t>Plans (Excluding Securities</w:t>
            </w:r>
          </w:p>
        </w:tc>
      </w:tr>
      <w:tr>
        <w:trPr>
          <w:trHeight w:val="190"/>
        </w:trPr>
        <w:tc>
          <w:tcPr>
            <w:tcW w:w="3140" w:type="dxa"/>
            <w:vAlign w:val="bottom"/>
            <w:shd w:val="clear" w:color="auto" w:fill="0060EC"/>
          </w:tcPr>
          <w:p>
            <w:pPr>
              <w:ind w:left="20"/>
              <w:spacing w:after="0"/>
              <w:rPr>
                <w:sz w:val="20"/>
                <w:szCs w:val="20"/>
                <w:color w:val="auto"/>
              </w:rPr>
            </w:pPr>
            <w:r>
              <w:rPr>
                <w:rFonts w:ascii="Arial" w:cs="Arial" w:eastAsia="Arial" w:hAnsi="Arial"/>
                <w:sz w:val="14"/>
                <w:szCs w:val="14"/>
                <w:b w:val="1"/>
                <w:bCs w:val="1"/>
                <w:color w:val="FFFFFF"/>
              </w:rPr>
              <w:t>Plan Category</w:t>
            </w:r>
          </w:p>
        </w:tc>
        <w:tc>
          <w:tcPr>
            <w:tcW w:w="196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1940" w:type="dxa"/>
            <w:vAlign w:val="bottom"/>
            <w:shd w:val="clear" w:color="auto" w:fill="0060EC"/>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520" w:type="dxa"/>
            <w:vAlign w:val="bottom"/>
            <w:shd w:val="clear" w:color="auto" w:fill="0060EC"/>
          </w:tcPr>
          <w:p>
            <w:pPr>
              <w:jc w:val="center"/>
              <w:ind w:left="87"/>
              <w:spacing w:after="0"/>
              <w:rPr>
                <w:sz w:val="20"/>
                <w:szCs w:val="20"/>
                <w:color w:val="auto"/>
              </w:rPr>
            </w:pPr>
            <w:r>
              <w:rPr>
                <w:rFonts w:ascii="Arial" w:cs="Arial" w:eastAsia="Arial" w:hAnsi="Arial"/>
                <w:sz w:val="14"/>
                <w:szCs w:val="14"/>
                <w:b w:val="1"/>
                <w:bCs w:val="1"/>
                <w:color w:val="FFFFFF"/>
              </w:rPr>
              <w:t>Reflected in the First Column)</w:t>
            </w:r>
          </w:p>
        </w:tc>
      </w:tr>
      <w:tr>
        <w:trPr>
          <w:trHeight w:val="80"/>
        </w:trPr>
        <w:tc>
          <w:tcPr>
            <w:tcW w:w="3140" w:type="dxa"/>
            <w:vAlign w:val="bottom"/>
            <w:shd w:val="clear" w:color="auto" w:fill="0060EC"/>
          </w:tcPr>
          <w:p>
            <w:pPr>
              <w:spacing w:after="0"/>
              <w:rPr>
                <w:sz w:val="6"/>
                <w:szCs w:val="6"/>
                <w:color w:val="auto"/>
              </w:rPr>
            </w:pPr>
          </w:p>
        </w:tc>
        <w:tc>
          <w:tcPr>
            <w:tcW w:w="1960" w:type="dxa"/>
            <w:vAlign w:val="bottom"/>
            <w:shd w:val="clear" w:color="auto" w:fill="0060EC"/>
          </w:tcPr>
          <w:p>
            <w:pPr>
              <w:spacing w:after="0"/>
              <w:rPr>
                <w:sz w:val="6"/>
                <w:szCs w:val="6"/>
                <w:color w:val="auto"/>
              </w:rPr>
            </w:pPr>
          </w:p>
        </w:tc>
        <w:tc>
          <w:tcPr>
            <w:tcW w:w="1940" w:type="dxa"/>
            <w:vAlign w:val="bottom"/>
            <w:shd w:val="clear" w:color="auto" w:fill="0060EC"/>
          </w:tcPr>
          <w:p>
            <w:pPr>
              <w:spacing w:after="0"/>
              <w:rPr>
                <w:sz w:val="6"/>
                <w:szCs w:val="6"/>
                <w:color w:val="auto"/>
              </w:rPr>
            </w:pPr>
          </w:p>
        </w:tc>
        <w:tc>
          <w:tcPr>
            <w:tcW w:w="2520" w:type="dxa"/>
            <w:vAlign w:val="bottom"/>
            <w:shd w:val="clear" w:color="auto" w:fill="0060EC"/>
          </w:tcPr>
          <w:p>
            <w:pPr>
              <w:spacing w:after="0"/>
              <w:rPr>
                <w:sz w:val="6"/>
                <w:szCs w:val="6"/>
                <w:color w:val="auto"/>
              </w:rPr>
            </w:pPr>
          </w:p>
        </w:tc>
      </w:tr>
      <w:tr>
        <w:trPr>
          <w:trHeight w:val="269"/>
        </w:trPr>
        <w:tc>
          <w:tcPr>
            <w:tcW w:w="314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Equity compensation plans approved by</w:t>
            </w:r>
          </w:p>
        </w:tc>
        <w:tc>
          <w:tcPr>
            <w:tcW w:w="1960" w:type="dxa"/>
            <w:vAlign w:val="bottom"/>
            <w:shd w:val="clear" w:color="auto" w:fill="E5EFFD"/>
          </w:tcPr>
          <w:p>
            <w:pPr>
              <w:spacing w:after="0"/>
              <w:rPr>
                <w:sz w:val="23"/>
                <w:szCs w:val="23"/>
                <w:color w:val="auto"/>
              </w:rPr>
            </w:pPr>
          </w:p>
        </w:tc>
        <w:tc>
          <w:tcPr>
            <w:tcW w:w="1940" w:type="dxa"/>
            <w:vAlign w:val="bottom"/>
            <w:shd w:val="clear" w:color="auto" w:fill="E5EFFD"/>
          </w:tcPr>
          <w:p>
            <w:pPr>
              <w:spacing w:after="0"/>
              <w:rPr>
                <w:sz w:val="23"/>
                <w:szCs w:val="23"/>
                <w:color w:val="auto"/>
              </w:rPr>
            </w:pPr>
          </w:p>
        </w:tc>
        <w:tc>
          <w:tcPr>
            <w:tcW w:w="2520" w:type="dxa"/>
            <w:vAlign w:val="bottom"/>
            <w:shd w:val="clear" w:color="auto" w:fill="E5EFFD"/>
          </w:tcPr>
          <w:p>
            <w:pPr>
              <w:spacing w:after="0"/>
              <w:rPr>
                <w:sz w:val="23"/>
                <w:szCs w:val="23"/>
                <w:color w:val="auto"/>
              </w:rPr>
            </w:pPr>
          </w:p>
        </w:tc>
      </w:tr>
      <w:tr>
        <w:trPr>
          <w:trHeight w:val="217"/>
        </w:trPr>
        <w:tc>
          <w:tcPr>
            <w:tcW w:w="3140" w:type="dxa"/>
            <w:vAlign w:val="bottom"/>
            <w:shd w:val="clear" w:color="auto" w:fill="E5EFFD"/>
          </w:tcPr>
          <w:p>
            <w:pPr>
              <w:ind w:left="20"/>
              <w:spacing w:after="0" w:line="216" w:lineRule="exact"/>
              <w:rPr>
                <w:sz w:val="20"/>
                <w:szCs w:val="20"/>
                <w:color w:val="auto"/>
              </w:rPr>
            </w:pPr>
            <w:r>
              <w:rPr>
                <w:rFonts w:ascii="Arial" w:cs="Arial" w:eastAsia="Arial" w:hAnsi="Arial"/>
                <w:sz w:val="16"/>
                <w:szCs w:val="16"/>
                <w:color w:val="005CB8"/>
              </w:rPr>
              <w:t>security holders</w:t>
            </w:r>
            <w:r>
              <w:rPr>
                <w:rFonts w:ascii="Arial" w:cs="Arial" w:eastAsia="Arial" w:hAnsi="Arial"/>
                <w:sz w:val="25"/>
                <w:szCs w:val="25"/>
                <w:color w:val="005CB8"/>
                <w:vertAlign w:val="superscript"/>
              </w:rPr>
              <w:t>(1)</w:t>
            </w:r>
          </w:p>
        </w:tc>
        <w:tc>
          <w:tcPr>
            <w:tcW w:w="1960" w:type="dxa"/>
            <w:vAlign w:val="bottom"/>
            <w:shd w:val="clear" w:color="auto" w:fill="E5EFFD"/>
          </w:tcPr>
          <w:p>
            <w:pPr>
              <w:jc w:val="right"/>
              <w:ind w:right="167"/>
              <w:spacing w:after="0" w:line="216" w:lineRule="exact"/>
              <w:rPr>
                <w:sz w:val="20"/>
                <w:szCs w:val="20"/>
                <w:color w:val="auto"/>
              </w:rPr>
            </w:pPr>
            <w:r>
              <w:rPr>
                <w:rFonts w:ascii="Arial" w:cs="Arial" w:eastAsia="Arial" w:hAnsi="Arial"/>
                <w:sz w:val="16"/>
                <w:szCs w:val="16"/>
                <w:color w:val="005CB8"/>
              </w:rPr>
              <w:t>32,531,904</w:t>
            </w:r>
            <w:r>
              <w:rPr>
                <w:rFonts w:ascii="Arial" w:cs="Arial" w:eastAsia="Arial" w:hAnsi="Arial"/>
                <w:sz w:val="25"/>
                <w:szCs w:val="25"/>
                <w:color w:val="005CB8"/>
                <w:vertAlign w:val="superscript"/>
              </w:rPr>
              <w:t>(2)</w:t>
            </w:r>
          </w:p>
        </w:tc>
        <w:tc>
          <w:tcPr>
            <w:tcW w:w="1940" w:type="dxa"/>
            <w:vAlign w:val="bottom"/>
            <w:shd w:val="clear" w:color="auto" w:fill="E5EFFD"/>
          </w:tcPr>
          <w:p>
            <w:pPr>
              <w:jc w:val="right"/>
              <w:ind w:right="147"/>
              <w:spacing w:after="0" w:line="216" w:lineRule="exact"/>
              <w:rPr>
                <w:sz w:val="20"/>
                <w:szCs w:val="20"/>
                <w:color w:val="auto"/>
              </w:rPr>
            </w:pPr>
            <w:r>
              <w:rPr>
                <w:rFonts w:ascii="Arial" w:cs="Arial" w:eastAsia="Arial" w:hAnsi="Arial"/>
                <w:sz w:val="16"/>
                <w:szCs w:val="16"/>
                <w:color w:val="005CB8"/>
              </w:rPr>
              <w:t>$12.28</w:t>
            </w:r>
            <w:r>
              <w:rPr>
                <w:rFonts w:ascii="Arial" w:cs="Arial" w:eastAsia="Arial" w:hAnsi="Arial"/>
                <w:sz w:val="25"/>
                <w:szCs w:val="25"/>
                <w:color w:val="005CB8"/>
                <w:vertAlign w:val="superscript"/>
              </w:rPr>
              <w:t>(3)</w:t>
            </w:r>
          </w:p>
        </w:tc>
        <w:tc>
          <w:tcPr>
            <w:tcW w:w="2520" w:type="dxa"/>
            <w:vAlign w:val="bottom"/>
            <w:shd w:val="clear" w:color="auto" w:fill="E5EFFD"/>
          </w:tcPr>
          <w:p>
            <w:pPr>
              <w:jc w:val="right"/>
              <w:spacing w:after="0" w:line="216" w:lineRule="exact"/>
              <w:rPr>
                <w:sz w:val="20"/>
                <w:szCs w:val="20"/>
                <w:color w:val="auto"/>
              </w:rPr>
            </w:pPr>
            <w:r>
              <w:rPr>
                <w:rFonts w:ascii="Arial" w:cs="Arial" w:eastAsia="Arial" w:hAnsi="Arial"/>
                <w:sz w:val="16"/>
                <w:szCs w:val="16"/>
                <w:color w:val="005CB8"/>
              </w:rPr>
              <w:t>45,819,699</w:t>
            </w:r>
            <w:r>
              <w:rPr>
                <w:rFonts w:ascii="Arial" w:cs="Arial" w:eastAsia="Arial" w:hAnsi="Arial"/>
                <w:sz w:val="25"/>
                <w:szCs w:val="25"/>
                <w:color w:val="005CB8"/>
                <w:vertAlign w:val="superscript"/>
              </w:rPr>
              <w:t>(4)</w:t>
            </w:r>
          </w:p>
        </w:tc>
      </w:tr>
    </w:tbl>
    <w:p>
      <w:pPr>
        <w:spacing w:after="0" w:line="70" w:lineRule="exact"/>
        <w:rPr>
          <w:sz w:val="20"/>
          <w:szCs w:val="20"/>
          <w:color w:val="auto"/>
        </w:rPr>
      </w:pPr>
    </w:p>
    <w:p>
      <w:pPr>
        <w:ind w:left="960" w:right="1000" w:hanging="244"/>
        <w:spacing w:after="0" w:line="203" w:lineRule="auto"/>
        <w:tabs>
          <w:tab w:leader="none" w:pos="96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Includes our 2008 Equity Incentive Plan (“</w:t>
      </w:r>
      <w:r>
        <w:rPr>
          <w:rFonts w:ascii="Arial" w:cs="Arial" w:eastAsia="Arial" w:hAnsi="Arial"/>
          <w:sz w:val="14"/>
          <w:szCs w:val="14"/>
          <w:b w:val="1"/>
          <w:bCs w:val="1"/>
          <w:i w:val="1"/>
          <w:iCs w:val="1"/>
          <w:color w:val="auto"/>
        </w:rPr>
        <w:t>2008 Plan</w:t>
      </w:r>
      <w:r>
        <w:rPr>
          <w:rFonts w:ascii="Arial" w:cs="Arial" w:eastAsia="Arial" w:hAnsi="Arial"/>
          <w:sz w:val="14"/>
          <w:szCs w:val="14"/>
          <w:color w:val="auto"/>
        </w:rPr>
        <w:t>”), 2017 Equity Incentive Plan (“</w:t>
      </w:r>
      <w:r>
        <w:rPr>
          <w:rFonts w:ascii="Arial" w:cs="Arial" w:eastAsia="Arial" w:hAnsi="Arial"/>
          <w:sz w:val="14"/>
          <w:szCs w:val="14"/>
          <w:b w:val="1"/>
          <w:bCs w:val="1"/>
          <w:i w:val="1"/>
          <w:iCs w:val="1"/>
          <w:color w:val="auto"/>
        </w:rPr>
        <w:t>2017 Plan</w:t>
      </w:r>
      <w:r>
        <w:rPr>
          <w:rFonts w:ascii="Arial" w:cs="Arial" w:eastAsia="Arial" w:hAnsi="Arial"/>
          <w:sz w:val="14"/>
          <w:szCs w:val="14"/>
          <w:color w:val="auto"/>
        </w:rPr>
        <w:t>”) and 2018 Equity Incentive Plan (“</w:t>
      </w:r>
      <w:r>
        <w:rPr>
          <w:rFonts w:ascii="Arial" w:cs="Arial" w:eastAsia="Arial" w:hAnsi="Arial"/>
          <w:sz w:val="14"/>
          <w:szCs w:val="14"/>
          <w:b w:val="1"/>
          <w:bCs w:val="1"/>
          <w:i w:val="1"/>
          <w:iCs w:val="1"/>
          <w:color w:val="auto"/>
        </w:rPr>
        <w:t>2018 Plan</w:t>
      </w:r>
      <w:r>
        <w:rPr>
          <w:rFonts w:ascii="Arial" w:cs="Arial" w:eastAsia="Arial" w:hAnsi="Arial"/>
          <w:sz w:val="14"/>
          <w:szCs w:val="14"/>
          <w:color w:val="auto"/>
        </w:rPr>
        <w:t>”). Our 2008 Plan was terminated effective March 7, 2017 and our 2017 Plan was terminated effective March 20, 2018.</w:t>
      </w:r>
    </w:p>
    <w:p>
      <w:pPr>
        <w:spacing w:after="0" w:line="16" w:lineRule="exact"/>
        <w:rPr>
          <w:rFonts w:ascii="Arial" w:cs="Arial" w:eastAsia="Arial" w:hAnsi="Arial"/>
          <w:sz w:val="22"/>
          <w:szCs w:val="22"/>
          <w:color w:val="auto"/>
          <w:vertAlign w:val="superscript"/>
        </w:rPr>
      </w:pPr>
    </w:p>
    <w:p>
      <w:pPr>
        <w:ind w:left="960" w:right="800" w:hanging="244"/>
        <w:spacing w:after="0" w:line="217" w:lineRule="auto"/>
        <w:tabs>
          <w:tab w:leader="none" w:pos="960"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Includes 32,531,904 shares subject to options and RSUs outstanding as of December 31, 2019 that were issued under the 2008 Plan, 2017 Plan, and 2018 Plan.</w:t>
      </w:r>
    </w:p>
    <w:p>
      <w:pPr>
        <w:spacing w:after="0" w:line="1" w:lineRule="exact"/>
        <w:rPr>
          <w:rFonts w:ascii="Arial" w:cs="Arial" w:eastAsia="Arial" w:hAnsi="Arial"/>
          <w:sz w:val="18"/>
          <w:szCs w:val="18"/>
          <w:color w:val="auto"/>
          <w:vertAlign w:val="superscript"/>
        </w:rPr>
      </w:pPr>
    </w:p>
    <w:p>
      <w:pPr>
        <w:ind w:left="960" w:hanging="244"/>
        <w:spacing w:after="0" w:line="203" w:lineRule="auto"/>
        <w:tabs>
          <w:tab w:leader="none" w:pos="960"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RSUs, which do not have an exercise price, are excluded in the calculation of weighted-average exercise price.</w:t>
      </w:r>
    </w:p>
    <w:p>
      <w:pPr>
        <w:spacing w:after="0" w:line="3" w:lineRule="exact"/>
        <w:rPr>
          <w:rFonts w:ascii="Arial" w:cs="Arial" w:eastAsia="Arial" w:hAnsi="Arial"/>
          <w:sz w:val="18"/>
          <w:szCs w:val="18"/>
          <w:color w:val="auto"/>
          <w:vertAlign w:val="superscript"/>
        </w:rPr>
      </w:pPr>
    </w:p>
    <w:p>
      <w:pPr>
        <w:ind w:left="960" w:hanging="244"/>
        <w:spacing w:after="0" w:line="199" w:lineRule="auto"/>
        <w:tabs>
          <w:tab w:leader="none" w:pos="960"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As of December 31, 2019, an aggregate of 78,351,603 shares of Class A common stock were available for issuance under our 2018 Plan.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00" w:type="dxa"/>
            <w:vAlign w:val="bottom"/>
          </w:tcPr>
          <w:p>
            <w:pPr>
              <w:ind w:left="434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20" w:type="dxa"/>
            <w:vAlign w:val="bottom"/>
          </w:tcPr>
          <w:p>
            <w:pPr>
              <w:jc w:val="right"/>
              <w:ind w:right="648"/>
              <w:spacing w:after="0"/>
              <w:rPr>
                <w:sz w:val="20"/>
                <w:szCs w:val="20"/>
                <w:color w:val="auto"/>
              </w:rPr>
            </w:pPr>
            <w:r>
              <w:rPr>
                <w:rFonts w:ascii="Arial" w:cs="Arial" w:eastAsia="Arial" w:hAnsi="Arial"/>
                <w:sz w:val="14"/>
                <w:szCs w:val="14"/>
                <w:b w:val="1"/>
                <w:bCs w:val="1"/>
                <w:color w:val="auto"/>
              </w:rPr>
              <w:t>47</w:t>
            </w:r>
          </w:p>
        </w:tc>
      </w:tr>
      <w:tr>
        <w:trPr>
          <w:trHeight w:val="181"/>
        </w:trPr>
        <w:tc>
          <w:tcPr>
            <w:tcW w:w="99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51" w:name="page52"/>
    <w:bookmarkEnd w:id="51"/>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280"/>
        <w:spacing w:after="0" w:line="260" w:lineRule="auto"/>
        <w:rPr>
          <w:sz w:val="20"/>
          <w:szCs w:val="20"/>
          <w:color w:val="auto"/>
        </w:rPr>
      </w:pPr>
      <w:r>
        <w:rPr>
          <w:rFonts w:ascii="Arial" w:cs="Arial" w:eastAsia="Arial" w:hAnsi="Arial"/>
          <w:sz w:val="32"/>
          <w:szCs w:val="32"/>
          <w:color w:val="005CB8"/>
        </w:rPr>
        <w:t>SECURITY OWNERSHIP OF CERTAIN BENEFICIAL OWNERS AND MANAGEMENT</w:t>
      </w:r>
    </w:p>
    <w:p>
      <w:pPr>
        <w:spacing w:after="0" w:line="146" w:lineRule="exact"/>
        <w:rPr>
          <w:sz w:val="20"/>
          <w:szCs w:val="20"/>
          <w:color w:val="auto"/>
        </w:rPr>
      </w:pPr>
    </w:p>
    <w:p>
      <w:pPr>
        <w:ind w:left="4" w:right="140"/>
        <w:spacing w:after="0" w:line="260"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March 13, 2020 for:</w:t>
      </w:r>
    </w:p>
    <w:p>
      <w:pPr>
        <w:spacing w:after="0" w:line="141" w:lineRule="exact"/>
        <w:rPr>
          <w:sz w:val="20"/>
          <w:szCs w:val="20"/>
          <w:color w:val="auto"/>
        </w:rPr>
      </w:pPr>
    </w:p>
    <w:p>
      <w:pPr>
        <w:ind w:left="284" w:hanging="284"/>
        <w:spacing w:after="0"/>
        <w:tabs>
          <w:tab w:leader="none" w:pos="284" w:val="left"/>
        </w:tabs>
        <w:numPr>
          <w:ilvl w:val="0"/>
          <w:numId w:val="74"/>
        </w:numPr>
        <w:rPr>
          <w:rFonts w:ascii="Arial" w:cs="Arial" w:eastAsia="Arial" w:hAnsi="Arial"/>
          <w:sz w:val="16"/>
          <w:szCs w:val="16"/>
          <w:color w:val="005CB8"/>
        </w:rPr>
      </w:pPr>
      <w:r>
        <w:rPr>
          <w:rFonts w:ascii="Arial" w:cs="Arial" w:eastAsia="Arial" w:hAnsi="Arial"/>
          <w:sz w:val="16"/>
          <w:szCs w:val="16"/>
          <w:color w:val="auto"/>
        </w:rPr>
        <w:t>each of our directors;</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74"/>
        </w:numPr>
        <w:rPr>
          <w:rFonts w:ascii="Arial" w:cs="Arial" w:eastAsia="Arial" w:hAnsi="Arial"/>
          <w:sz w:val="16"/>
          <w:szCs w:val="16"/>
          <w:color w:val="005CB8"/>
        </w:rPr>
      </w:pPr>
      <w:r>
        <w:rPr>
          <w:rFonts w:ascii="Arial" w:cs="Arial" w:eastAsia="Arial" w:hAnsi="Arial"/>
          <w:sz w:val="16"/>
          <w:szCs w:val="16"/>
          <w:color w:val="auto"/>
        </w:rPr>
        <w:t>each of our named executive officers;</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74"/>
        </w:numPr>
        <w:rPr>
          <w:rFonts w:ascii="Arial" w:cs="Arial" w:eastAsia="Arial" w:hAnsi="Arial"/>
          <w:sz w:val="16"/>
          <w:szCs w:val="16"/>
          <w:color w:val="005CB8"/>
        </w:rPr>
      </w:pPr>
      <w:r>
        <w:rPr>
          <w:rFonts w:ascii="Arial" w:cs="Arial" w:eastAsia="Arial" w:hAnsi="Arial"/>
          <w:sz w:val="16"/>
          <w:szCs w:val="16"/>
          <w:color w:val="auto"/>
        </w:rPr>
        <w:t>all of our current directors and executive officers as a group; and</w:t>
      </w:r>
    </w:p>
    <w:p>
      <w:pPr>
        <w:spacing w:after="0" w:line="167" w:lineRule="exact"/>
        <w:rPr>
          <w:rFonts w:ascii="Arial" w:cs="Arial" w:eastAsia="Arial" w:hAnsi="Arial"/>
          <w:sz w:val="16"/>
          <w:szCs w:val="16"/>
          <w:color w:val="005CB8"/>
        </w:rPr>
      </w:pPr>
    </w:p>
    <w:p>
      <w:pPr>
        <w:ind w:left="284" w:hanging="284"/>
        <w:spacing w:after="0"/>
        <w:tabs>
          <w:tab w:leader="none" w:pos="284" w:val="left"/>
        </w:tabs>
        <w:numPr>
          <w:ilvl w:val="0"/>
          <w:numId w:val="74"/>
        </w:numPr>
        <w:rPr>
          <w:rFonts w:ascii="Arial" w:cs="Arial" w:eastAsia="Arial" w:hAnsi="Arial"/>
          <w:sz w:val="16"/>
          <w:szCs w:val="16"/>
          <w:color w:val="005CB8"/>
        </w:rPr>
      </w:pPr>
      <w:r>
        <w:rPr>
          <w:rFonts w:ascii="Arial" w:cs="Arial" w:eastAsia="Arial" w:hAnsi="Arial"/>
          <w:sz w:val="16"/>
          <w:szCs w:val="16"/>
          <w:color w:val="auto"/>
        </w:rPr>
        <w:t>each person or group known by us to be the beneficial owner of more than 5% of our Class A or Class B common stock.</w:t>
      </w:r>
    </w:p>
    <w:p>
      <w:pPr>
        <w:spacing w:after="0" w:line="167" w:lineRule="exact"/>
        <w:rPr>
          <w:sz w:val="20"/>
          <w:szCs w:val="20"/>
          <w:color w:val="auto"/>
        </w:rPr>
      </w:pPr>
    </w:p>
    <w:p>
      <w:pPr>
        <w:ind w:left="4" w:right="40"/>
        <w:spacing w:after="0" w:line="251"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48"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We have based our calculation of the percentage of beneficial ownership on 282,482,844 shares of our Class A common stock, 151,462,020 shares of our Class B common stock, and no shares of our Class C common stock outstanding as of March 13, 2020. We have deemed shares of our common stock subject to stock options that are currently exercisable or exercisable within 60 days of March 13, 2020 or issuable pursuant to RSUs which are subject to vesting and settlement conditions expected to occur within 60 days of March 13, 2020,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54" w:lineRule="exact"/>
        <w:rPr>
          <w:sz w:val="20"/>
          <w:szCs w:val="20"/>
          <w:color w:val="auto"/>
        </w:rPr>
      </w:pPr>
    </w:p>
    <w:p>
      <w:pPr>
        <w:jc w:val="both"/>
        <w:ind w:left="4" w:right="280"/>
        <w:spacing w:after="0" w:line="253" w:lineRule="auto"/>
        <w:rPr>
          <w:sz w:val="20"/>
          <w:szCs w:val="20"/>
          <w:color w:val="auto"/>
        </w:rPr>
      </w:pPr>
      <w:r>
        <w:rPr>
          <w:rFonts w:ascii="Arial" w:cs="Arial" w:eastAsia="Arial" w:hAnsi="Arial"/>
          <w:sz w:val="16"/>
          <w:szCs w:val="16"/>
          <w:color w:val="auto"/>
        </w:rPr>
        <w:t>Unless otherwise indicated, the address of each beneficial owner listed in the table below is c/o Dropbox, Inc., 1800 Owens Street San Francisco, California 94158. The information provided in the table is based on our records, information filed with the SEC and information provided to us, except where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126365</wp:posOffset>
            </wp:positionV>
            <wp:extent cx="6077585" cy="46031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7585" cy="4603115"/>
                    </a:xfrm>
                    <a:prstGeom prst="rect">
                      <a:avLst/>
                    </a:prstGeom>
                    <a:noFill/>
                  </pic:spPr>
                </pic:pic>
              </a:graphicData>
            </a:graphic>
          </wp:anchor>
        </w:drawing>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285"/>
        </w:trPr>
        <w:tc>
          <w:tcPr>
            <w:tcW w:w="3150" w:type="dxa"/>
            <w:vAlign w:val="bottom"/>
            <w:shd w:val="clear" w:color="auto" w:fill="0060EC"/>
          </w:tcPr>
          <w:p>
            <w:pPr>
              <w:spacing w:after="0"/>
              <w:rPr>
                <w:sz w:val="24"/>
                <w:szCs w:val="24"/>
                <w:color w:val="auto"/>
              </w:rPr>
            </w:pPr>
          </w:p>
        </w:tc>
        <w:tc>
          <w:tcPr>
            <w:tcW w:w="290" w:type="dxa"/>
            <w:vAlign w:val="bottom"/>
            <w:shd w:val="clear" w:color="auto" w:fill="0060EC"/>
          </w:tcPr>
          <w:p>
            <w:pPr>
              <w:spacing w:after="0"/>
              <w:rPr>
                <w:sz w:val="24"/>
                <w:szCs w:val="24"/>
                <w:color w:val="auto"/>
              </w:rPr>
            </w:pPr>
          </w:p>
        </w:tc>
        <w:tc>
          <w:tcPr>
            <w:tcW w:w="3960" w:type="dxa"/>
            <w:vAlign w:val="bottom"/>
            <w:gridSpan w:val="6"/>
            <w:shd w:val="clear" w:color="auto" w:fill="0060EC"/>
          </w:tcPr>
          <w:p>
            <w:pPr>
              <w:ind w:left="860"/>
              <w:spacing w:after="0"/>
              <w:rPr>
                <w:sz w:val="20"/>
                <w:szCs w:val="20"/>
                <w:color w:val="auto"/>
              </w:rPr>
            </w:pPr>
            <w:r>
              <w:rPr>
                <w:rFonts w:ascii="Arial" w:cs="Arial" w:eastAsia="Arial" w:hAnsi="Arial"/>
                <w:sz w:val="14"/>
                <w:szCs w:val="14"/>
                <w:b w:val="1"/>
                <w:bCs w:val="1"/>
                <w:color w:val="FFFFFF"/>
              </w:rPr>
              <w:t>Amount and nature of beneficial ownership</w:t>
            </w:r>
          </w:p>
        </w:tc>
        <w:tc>
          <w:tcPr>
            <w:tcW w:w="900" w:type="dxa"/>
            <w:vAlign w:val="bottom"/>
            <w:shd w:val="clear" w:color="auto" w:fill="0060EC"/>
          </w:tcPr>
          <w:p>
            <w:pPr>
              <w:spacing w:after="0"/>
              <w:rPr>
                <w:sz w:val="24"/>
                <w:szCs w:val="24"/>
                <w:color w:val="auto"/>
              </w:rPr>
            </w:pPr>
          </w:p>
        </w:tc>
        <w:tc>
          <w:tcPr>
            <w:tcW w:w="1260" w:type="dxa"/>
            <w:vAlign w:val="bottom"/>
            <w:shd w:val="clear" w:color="auto" w:fill="0060EC"/>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150" w:type="dxa"/>
            <w:vAlign w:val="bottom"/>
            <w:shd w:val="clear" w:color="auto" w:fill="0060EC"/>
          </w:tcPr>
          <w:p>
            <w:pPr>
              <w:spacing w:after="0"/>
              <w:rPr>
                <w:sz w:val="24"/>
                <w:szCs w:val="24"/>
                <w:color w:val="auto"/>
              </w:rPr>
            </w:pPr>
          </w:p>
        </w:tc>
        <w:tc>
          <w:tcPr>
            <w:tcW w:w="290" w:type="dxa"/>
            <w:vAlign w:val="bottom"/>
            <w:shd w:val="clear" w:color="auto" w:fill="0060EC"/>
          </w:tcPr>
          <w:p>
            <w:pPr>
              <w:spacing w:after="0"/>
              <w:rPr>
                <w:sz w:val="24"/>
                <w:szCs w:val="24"/>
                <w:color w:val="auto"/>
              </w:rPr>
            </w:pPr>
          </w:p>
        </w:tc>
        <w:tc>
          <w:tcPr>
            <w:tcW w:w="1480" w:type="dxa"/>
            <w:vAlign w:val="bottom"/>
            <w:gridSpan w:val="2"/>
            <w:shd w:val="clear" w:color="auto" w:fill="0060EC"/>
          </w:tcPr>
          <w:p>
            <w:pPr>
              <w:jc w:val="center"/>
              <w:ind w:right="240"/>
              <w:spacing w:after="0"/>
              <w:rPr>
                <w:sz w:val="20"/>
                <w:szCs w:val="20"/>
                <w:color w:val="auto"/>
              </w:rPr>
            </w:pPr>
            <w:r>
              <w:rPr>
                <w:rFonts w:ascii="Arial" w:cs="Arial" w:eastAsia="Arial" w:hAnsi="Arial"/>
                <w:sz w:val="14"/>
                <w:szCs w:val="14"/>
                <w:b w:val="1"/>
                <w:bCs w:val="1"/>
                <w:color w:val="FFFFFF"/>
              </w:rPr>
              <w:t>Class A</w:t>
            </w:r>
          </w:p>
        </w:tc>
        <w:tc>
          <w:tcPr>
            <w:tcW w:w="640" w:type="dxa"/>
            <w:vAlign w:val="bottom"/>
            <w:shd w:val="clear" w:color="auto" w:fill="0060EC"/>
          </w:tcPr>
          <w:p>
            <w:pPr>
              <w:spacing w:after="0"/>
              <w:rPr>
                <w:sz w:val="24"/>
                <w:szCs w:val="24"/>
                <w:color w:val="auto"/>
              </w:rPr>
            </w:pPr>
          </w:p>
        </w:tc>
        <w:tc>
          <w:tcPr>
            <w:tcW w:w="380" w:type="dxa"/>
            <w:vAlign w:val="bottom"/>
            <w:shd w:val="clear" w:color="auto" w:fill="0060EC"/>
          </w:tcPr>
          <w:p>
            <w:pPr>
              <w:spacing w:after="0"/>
              <w:rPr>
                <w:sz w:val="24"/>
                <w:szCs w:val="24"/>
                <w:color w:val="auto"/>
              </w:rPr>
            </w:pPr>
          </w:p>
        </w:tc>
        <w:tc>
          <w:tcPr>
            <w:tcW w:w="1460" w:type="dxa"/>
            <w:vAlign w:val="bottom"/>
            <w:gridSpan w:val="2"/>
            <w:shd w:val="clear" w:color="auto" w:fill="0060EC"/>
          </w:tcPr>
          <w:p>
            <w:pPr>
              <w:jc w:val="center"/>
              <w:ind w:right="220"/>
              <w:spacing w:after="0"/>
              <w:rPr>
                <w:sz w:val="20"/>
                <w:szCs w:val="20"/>
                <w:color w:val="auto"/>
              </w:rPr>
            </w:pPr>
            <w:r>
              <w:rPr>
                <w:rFonts w:ascii="Arial" w:cs="Arial" w:eastAsia="Arial" w:hAnsi="Arial"/>
                <w:sz w:val="14"/>
                <w:szCs w:val="14"/>
                <w:b w:val="1"/>
                <w:bCs w:val="1"/>
                <w:color w:val="FFFFFF"/>
              </w:rPr>
              <w:t>Class B</w:t>
            </w:r>
          </w:p>
        </w:tc>
        <w:tc>
          <w:tcPr>
            <w:tcW w:w="900" w:type="dxa"/>
            <w:vAlign w:val="bottom"/>
            <w:shd w:val="clear" w:color="auto" w:fill="0060EC"/>
          </w:tcPr>
          <w:p>
            <w:pPr>
              <w:spacing w:after="0"/>
              <w:rPr>
                <w:sz w:val="24"/>
                <w:szCs w:val="24"/>
                <w:color w:val="auto"/>
              </w:rPr>
            </w:pPr>
          </w:p>
        </w:tc>
        <w:tc>
          <w:tcPr>
            <w:tcW w:w="1260" w:type="dxa"/>
            <w:vAlign w:val="bottom"/>
            <w:shd w:val="clear" w:color="auto" w:fill="0060EC"/>
          </w:tcPr>
          <w:p>
            <w:pPr>
              <w:jc w:val="right"/>
              <w:ind w:right="160"/>
              <w:spacing w:after="0"/>
              <w:rPr>
                <w:sz w:val="20"/>
                <w:szCs w:val="20"/>
                <w:color w:val="auto"/>
              </w:rPr>
            </w:pPr>
            <w:r>
              <w:rPr>
                <w:rFonts w:ascii="Arial" w:cs="Arial" w:eastAsia="Arial" w:hAnsi="Arial"/>
                <w:sz w:val="14"/>
                <w:szCs w:val="14"/>
                <w:b w:val="1"/>
                <w:bCs w:val="1"/>
                <w:color w:val="FFFFFF"/>
              </w:rPr>
              <w:t>% of total</w:t>
            </w:r>
          </w:p>
        </w:tc>
        <w:tc>
          <w:tcPr>
            <w:tcW w:w="0" w:type="dxa"/>
            <w:vAlign w:val="bottom"/>
          </w:tcPr>
          <w:p>
            <w:pPr>
              <w:spacing w:after="0"/>
              <w:rPr>
                <w:sz w:val="1"/>
                <w:szCs w:val="1"/>
                <w:color w:val="auto"/>
              </w:rPr>
            </w:pPr>
          </w:p>
        </w:tc>
      </w:tr>
      <w:tr>
        <w:trPr>
          <w:trHeight w:val="283"/>
        </w:trPr>
        <w:tc>
          <w:tcPr>
            <w:tcW w:w="3150" w:type="dxa"/>
            <w:vAlign w:val="bottom"/>
            <w:shd w:val="clear" w:color="auto" w:fill="0060EC"/>
          </w:tcPr>
          <w:p>
            <w:pPr>
              <w:ind w:left="20"/>
              <w:spacing w:after="0"/>
              <w:rPr>
                <w:sz w:val="20"/>
                <w:szCs w:val="20"/>
                <w:color w:val="auto"/>
              </w:rPr>
            </w:pPr>
            <w:r>
              <w:rPr>
                <w:rFonts w:ascii="Arial" w:cs="Arial" w:eastAsia="Arial" w:hAnsi="Arial"/>
                <w:sz w:val="14"/>
                <w:szCs w:val="14"/>
                <w:b w:val="1"/>
                <w:bCs w:val="1"/>
                <w:color w:val="FFFFFF"/>
              </w:rPr>
              <w:t>Name of beneficial owner</w:t>
            </w:r>
          </w:p>
        </w:tc>
        <w:tc>
          <w:tcPr>
            <w:tcW w:w="290" w:type="dxa"/>
            <w:vAlign w:val="bottom"/>
            <w:shd w:val="clear" w:color="auto" w:fill="0060EC"/>
          </w:tcPr>
          <w:p>
            <w:pPr>
              <w:spacing w:after="0"/>
              <w:rPr>
                <w:sz w:val="24"/>
                <w:szCs w:val="24"/>
                <w:color w:val="auto"/>
              </w:rPr>
            </w:pPr>
          </w:p>
        </w:tc>
        <w:tc>
          <w:tcPr>
            <w:tcW w:w="1480" w:type="dxa"/>
            <w:vAlign w:val="bottom"/>
            <w:gridSpan w:val="2"/>
            <w:shd w:val="clear" w:color="auto" w:fill="0060EC"/>
          </w:tcPr>
          <w:p>
            <w:pPr>
              <w:jc w:val="center"/>
              <w:ind w:right="180"/>
              <w:spacing w:after="0"/>
              <w:rPr>
                <w:sz w:val="20"/>
                <w:szCs w:val="20"/>
                <w:color w:val="auto"/>
              </w:rPr>
            </w:pPr>
            <w:r>
              <w:rPr>
                <w:rFonts w:ascii="Arial" w:cs="Arial" w:eastAsia="Arial" w:hAnsi="Arial"/>
                <w:sz w:val="14"/>
                <w:szCs w:val="14"/>
                <w:b w:val="1"/>
                <w:bCs w:val="1"/>
                <w:color w:val="FFFFFF"/>
              </w:rPr>
              <w:t>Common shares</w:t>
            </w:r>
          </w:p>
        </w:tc>
        <w:tc>
          <w:tcPr>
            <w:tcW w:w="640" w:type="dxa"/>
            <w:vAlign w:val="bottom"/>
            <w:shd w:val="clear" w:color="auto" w:fill="0060EC"/>
          </w:tcPr>
          <w:p>
            <w:pPr>
              <w:jc w:val="right"/>
              <w:ind w:right="80"/>
              <w:spacing w:after="0"/>
              <w:rPr>
                <w:sz w:val="20"/>
                <w:szCs w:val="20"/>
                <w:color w:val="auto"/>
              </w:rPr>
            </w:pPr>
            <w:r>
              <w:rPr>
                <w:rFonts w:ascii="Arial" w:cs="Arial" w:eastAsia="Arial" w:hAnsi="Arial"/>
                <w:sz w:val="14"/>
                <w:szCs w:val="14"/>
                <w:b w:val="1"/>
                <w:bCs w:val="1"/>
                <w:color w:val="FFFFFF"/>
              </w:rPr>
              <w:t>%</w:t>
            </w:r>
          </w:p>
        </w:tc>
        <w:tc>
          <w:tcPr>
            <w:tcW w:w="380" w:type="dxa"/>
            <w:vAlign w:val="bottom"/>
            <w:shd w:val="clear" w:color="auto" w:fill="0060EC"/>
          </w:tcPr>
          <w:p>
            <w:pPr>
              <w:spacing w:after="0"/>
              <w:rPr>
                <w:sz w:val="24"/>
                <w:szCs w:val="24"/>
                <w:color w:val="auto"/>
              </w:rPr>
            </w:pPr>
          </w:p>
        </w:tc>
        <w:tc>
          <w:tcPr>
            <w:tcW w:w="1460" w:type="dxa"/>
            <w:vAlign w:val="bottom"/>
            <w:gridSpan w:val="2"/>
            <w:shd w:val="clear" w:color="auto" w:fill="0060EC"/>
          </w:tcPr>
          <w:p>
            <w:pPr>
              <w:jc w:val="center"/>
              <w:ind w:right="180"/>
              <w:spacing w:after="0"/>
              <w:rPr>
                <w:sz w:val="20"/>
                <w:szCs w:val="20"/>
                <w:color w:val="auto"/>
              </w:rPr>
            </w:pPr>
            <w:r>
              <w:rPr>
                <w:rFonts w:ascii="Arial" w:cs="Arial" w:eastAsia="Arial" w:hAnsi="Arial"/>
                <w:sz w:val="14"/>
                <w:szCs w:val="14"/>
                <w:b w:val="1"/>
                <w:bCs w:val="1"/>
                <w:color w:val="FFFFFF"/>
              </w:rPr>
              <w:t>Common shares†</w:t>
            </w:r>
          </w:p>
        </w:tc>
        <w:tc>
          <w:tcPr>
            <w:tcW w:w="900" w:type="dxa"/>
            <w:vAlign w:val="bottom"/>
            <w:shd w:val="clear" w:color="auto" w:fill="0060EC"/>
          </w:tcPr>
          <w:p>
            <w:pPr>
              <w:jc w:val="right"/>
              <w:ind w:right="300"/>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0060EC"/>
          </w:tcPr>
          <w:p>
            <w:pPr>
              <w:jc w:val="right"/>
              <w:spacing w:after="0"/>
              <w:rPr>
                <w:sz w:val="20"/>
                <w:szCs w:val="20"/>
                <w:color w:val="auto"/>
              </w:rPr>
            </w:pPr>
            <w:r>
              <w:rPr>
                <w:rFonts w:ascii="Arial" w:cs="Arial" w:eastAsia="Arial" w:hAnsi="Arial"/>
                <w:sz w:val="14"/>
                <w:szCs w:val="14"/>
                <w:b w:val="1"/>
                <w:bCs w:val="1"/>
                <w:color w:val="FFFFFF"/>
              </w:rPr>
              <w:t>voting power</w:t>
            </w:r>
            <w:r>
              <w:rPr>
                <w:rFonts w:ascii="Arial" w:cs="Arial" w:eastAsia="Arial" w:hAnsi="Arial"/>
                <w:sz w:val="23"/>
                <w:szCs w:val="23"/>
                <w:b w:val="1"/>
                <w:bCs w:val="1"/>
                <w:color w:val="FFFFFF"/>
                <w:vertAlign w:val="superscript"/>
              </w:rPr>
              <w:t>#</w:t>
            </w:r>
          </w:p>
        </w:tc>
        <w:tc>
          <w:tcPr>
            <w:tcW w:w="0" w:type="dxa"/>
            <w:vAlign w:val="bottom"/>
          </w:tcPr>
          <w:p>
            <w:pPr>
              <w:spacing w:after="0"/>
              <w:rPr>
                <w:sz w:val="1"/>
                <w:szCs w:val="1"/>
                <w:color w:val="auto"/>
              </w:rPr>
            </w:pPr>
          </w:p>
        </w:tc>
      </w:tr>
      <w:tr>
        <w:trPr>
          <w:trHeight w:val="265"/>
        </w:trPr>
        <w:tc>
          <w:tcPr>
            <w:tcW w:w="3150" w:type="dxa"/>
            <w:vAlign w:val="bottom"/>
            <w:shd w:val="clear" w:color="auto" w:fill="E5EFFD"/>
          </w:tcPr>
          <w:p>
            <w:pPr>
              <w:ind w:left="20"/>
              <w:spacing w:after="0"/>
              <w:rPr>
                <w:sz w:val="20"/>
                <w:szCs w:val="20"/>
                <w:color w:val="auto"/>
              </w:rPr>
            </w:pPr>
            <w:r>
              <w:rPr>
                <w:rFonts w:ascii="Arial" w:cs="Arial" w:eastAsia="Arial" w:hAnsi="Arial"/>
                <w:sz w:val="16"/>
                <w:szCs w:val="16"/>
                <w:b w:val="1"/>
                <w:bCs w:val="1"/>
                <w:color w:val="005CB8"/>
              </w:rPr>
              <w:t>Named executive officers and</w:t>
            </w:r>
          </w:p>
        </w:tc>
        <w:tc>
          <w:tcPr>
            <w:tcW w:w="290" w:type="dxa"/>
            <w:vAlign w:val="bottom"/>
            <w:shd w:val="clear" w:color="auto" w:fill="E5EFFD"/>
          </w:tcPr>
          <w:p>
            <w:pPr>
              <w:spacing w:after="0"/>
              <w:rPr>
                <w:sz w:val="23"/>
                <w:szCs w:val="23"/>
                <w:color w:val="auto"/>
              </w:rPr>
            </w:pPr>
          </w:p>
        </w:tc>
        <w:tc>
          <w:tcPr>
            <w:tcW w:w="1280" w:type="dxa"/>
            <w:vAlign w:val="bottom"/>
            <w:shd w:val="clear" w:color="auto" w:fill="E5EFFD"/>
          </w:tcPr>
          <w:p>
            <w:pPr>
              <w:spacing w:after="0"/>
              <w:rPr>
                <w:sz w:val="23"/>
                <w:szCs w:val="23"/>
                <w:color w:val="auto"/>
              </w:rPr>
            </w:pPr>
          </w:p>
        </w:tc>
        <w:tc>
          <w:tcPr>
            <w:tcW w:w="200" w:type="dxa"/>
            <w:vAlign w:val="bottom"/>
            <w:shd w:val="clear" w:color="auto" w:fill="E5EFFD"/>
          </w:tcPr>
          <w:p>
            <w:pPr>
              <w:spacing w:after="0"/>
              <w:rPr>
                <w:sz w:val="23"/>
                <w:szCs w:val="23"/>
                <w:color w:val="auto"/>
              </w:rPr>
            </w:pPr>
          </w:p>
        </w:tc>
        <w:tc>
          <w:tcPr>
            <w:tcW w:w="640" w:type="dxa"/>
            <w:vAlign w:val="bottom"/>
            <w:shd w:val="clear" w:color="auto" w:fill="E5EFFD"/>
          </w:tcPr>
          <w:p>
            <w:pPr>
              <w:spacing w:after="0"/>
              <w:rPr>
                <w:sz w:val="23"/>
                <w:szCs w:val="23"/>
                <w:color w:val="auto"/>
              </w:rPr>
            </w:pPr>
          </w:p>
        </w:tc>
        <w:tc>
          <w:tcPr>
            <w:tcW w:w="380" w:type="dxa"/>
            <w:vAlign w:val="bottom"/>
            <w:shd w:val="clear" w:color="auto" w:fill="E5EFFD"/>
          </w:tcPr>
          <w:p>
            <w:pPr>
              <w:spacing w:after="0"/>
              <w:rPr>
                <w:sz w:val="23"/>
                <w:szCs w:val="23"/>
                <w:color w:val="auto"/>
              </w:rPr>
            </w:pPr>
          </w:p>
        </w:tc>
        <w:tc>
          <w:tcPr>
            <w:tcW w:w="1280" w:type="dxa"/>
            <w:vAlign w:val="bottom"/>
            <w:shd w:val="clear" w:color="auto" w:fill="E5EFFD"/>
          </w:tcPr>
          <w:p>
            <w:pPr>
              <w:spacing w:after="0"/>
              <w:rPr>
                <w:sz w:val="23"/>
                <w:szCs w:val="23"/>
                <w:color w:val="auto"/>
              </w:rPr>
            </w:pPr>
          </w:p>
        </w:tc>
        <w:tc>
          <w:tcPr>
            <w:tcW w:w="180" w:type="dxa"/>
            <w:vAlign w:val="bottom"/>
            <w:shd w:val="clear" w:color="auto" w:fill="E5EFFD"/>
          </w:tcPr>
          <w:p>
            <w:pPr>
              <w:spacing w:after="0"/>
              <w:rPr>
                <w:sz w:val="23"/>
                <w:szCs w:val="23"/>
                <w:color w:val="auto"/>
              </w:rPr>
            </w:pPr>
          </w:p>
        </w:tc>
        <w:tc>
          <w:tcPr>
            <w:tcW w:w="900" w:type="dxa"/>
            <w:vAlign w:val="bottom"/>
            <w:shd w:val="clear" w:color="auto" w:fill="E5EFFD"/>
          </w:tcPr>
          <w:p>
            <w:pPr>
              <w:spacing w:after="0"/>
              <w:rPr>
                <w:sz w:val="23"/>
                <w:szCs w:val="23"/>
                <w:color w:val="auto"/>
              </w:rPr>
            </w:pPr>
          </w:p>
        </w:tc>
        <w:tc>
          <w:tcPr>
            <w:tcW w:w="1260" w:type="dxa"/>
            <w:vAlign w:val="bottom"/>
            <w:shd w:val="clear" w:color="auto" w:fill="E5EFFD"/>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150" w:type="dxa"/>
            <w:vAlign w:val="bottom"/>
            <w:shd w:val="clear" w:color="auto" w:fill="E5EFFD"/>
          </w:tcPr>
          <w:p>
            <w:pPr>
              <w:ind w:left="20"/>
              <w:spacing w:after="0"/>
              <w:rPr>
                <w:sz w:val="20"/>
                <w:szCs w:val="20"/>
                <w:color w:val="auto"/>
              </w:rPr>
            </w:pPr>
            <w:r>
              <w:rPr>
                <w:rFonts w:ascii="Arial" w:cs="Arial" w:eastAsia="Arial" w:hAnsi="Arial"/>
                <w:sz w:val="16"/>
                <w:szCs w:val="16"/>
                <w:b w:val="1"/>
                <w:bCs w:val="1"/>
                <w:color w:val="005CB8"/>
              </w:rPr>
              <w:t>directors:</w:t>
            </w:r>
          </w:p>
        </w:tc>
        <w:tc>
          <w:tcPr>
            <w:tcW w:w="290" w:type="dxa"/>
            <w:vAlign w:val="bottom"/>
            <w:shd w:val="clear" w:color="auto" w:fill="E5EFFD"/>
          </w:tcPr>
          <w:p>
            <w:pPr>
              <w:spacing w:after="0"/>
              <w:rPr>
                <w:sz w:val="18"/>
                <w:szCs w:val="18"/>
                <w:color w:val="auto"/>
              </w:rPr>
            </w:pPr>
          </w:p>
        </w:tc>
        <w:tc>
          <w:tcPr>
            <w:tcW w:w="1280" w:type="dxa"/>
            <w:vAlign w:val="bottom"/>
            <w:shd w:val="clear" w:color="auto" w:fill="E5EFFD"/>
          </w:tcPr>
          <w:p>
            <w:pPr>
              <w:spacing w:after="0"/>
              <w:rPr>
                <w:sz w:val="18"/>
                <w:szCs w:val="18"/>
                <w:color w:val="auto"/>
              </w:rPr>
            </w:pPr>
          </w:p>
        </w:tc>
        <w:tc>
          <w:tcPr>
            <w:tcW w:w="200" w:type="dxa"/>
            <w:vAlign w:val="bottom"/>
            <w:shd w:val="clear" w:color="auto" w:fill="E5EFFD"/>
          </w:tcPr>
          <w:p>
            <w:pPr>
              <w:spacing w:after="0"/>
              <w:rPr>
                <w:sz w:val="18"/>
                <w:szCs w:val="18"/>
                <w:color w:val="auto"/>
              </w:rPr>
            </w:pPr>
          </w:p>
        </w:tc>
        <w:tc>
          <w:tcPr>
            <w:tcW w:w="640" w:type="dxa"/>
            <w:vAlign w:val="bottom"/>
            <w:shd w:val="clear" w:color="auto" w:fill="E5EFFD"/>
          </w:tcPr>
          <w:p>
            <w:pPr>
              <w:spacing w:after="0"/>
              <w:rPr>
                <w:sz w:val="18"/>
                <w:szCs w:val="18"/>
                <w:color w:val="auto"/>
              </w:rPr>
            </w:pPr>
          </w:p>
        </w:tc>
        <w:tc>
          <w:tcPr>
            <w:tcW w:w="380" w:type="dxa"/>
            <w:vAlign w:val="bottom"/>
            <w:shd w:val="clear" w:color="auto" w:fill="E5EFFD"/>
          </w:tcPr>
          <w:p>
            <w:pPr>
              <w:spacing w:after="0"/>
              <w:rPr>
                <w:sz w:val="18"/>
                <w:szCs w:val="18"/>
                <w:color w:val="auto"/>
              </w:rPr>
            </w:pPr>
          </w:p>
        </w:tc>
        <w:tc>
          <w:tcPr>
            <w:tcW w:w="1280" w:type="dxa"/>
            <w:vAlign w:val="bottom"/>
            <w:shd w:val="clear" w:color="auto" w:fill="E5EFFD"/>
          </w:tcPr>
          <w:p>
            <w:pPr>
              <w:spacing w:after="0"/>
              <w:rPr>
                <w:sz w:val="18"/>
                <w:szCs w:val="18"/>
                <w:color w:val="auto"/>
              </w:rPr>
            </w:pPr>
          </w:p>
        </w:tc>
        <w:tc>
          <w:tcPr>
            <w:tcW w:w="180" w:type="dxa"/>
            <w:vAlign w:val="bottom"/>
            <w:shd w:val="clear" w:color="auto" w:fill="E5EFFD"/>
          </w:tcPr>
          <w:p>
            <w:pPr>
              <w:spacing w:after="0"/>
              <w:rPr>
                <w:sz w:val="18"/>
                <w:szCs w:val="18"/>
                <w:color w:val="auto"/>
              </w:rPr>
            </w:pPr>
          </w:p>
        </w:tc>
        <w:tc>
          <w:tcPr>
            <w:tcW w:w="900" w:type="dxa"/>
            <w:vAlign w:val="bottom"/>
            <w:shd w:val="clear" w:color="auto" w:fill="E5EFFD"/>
          </w:tcPr>
          <w:p>
            <w:pPr>
              <w:spacing w:after="0"/>
              <w:rPr>
                <w:sz w:val="18"/>
                <w:szCs w:val="18"/>
                <w:color w:val="auto"/>
              </w:rPr>
            </w:pPr>
          </w:p>
        </w:tc>
        <w:tc>
          <w:tcPr>
            <w:tcW w:w="1260" w:type="dxa"/>
            <w:vAlign w:val="bottom"/>
            <w:shd w:val="clear" w:color="auto" w:fill="E5EFFD"/>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315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Andrew W. Houston</w:t>
            </w:r>
            <w:r>
              <w:rPr>
                <w:rFonts w:ascii="Arial" w:cs="Arial" w:eastAsia="Arial" w:hAnsi="Arial"/>
                <w:sz w:val="26"/>
                <w:szCs w:val="26"/>
                <w:color w:val="005CB8"/>
                <w:vertAlign w:val="superscript"/>
              </w:rPr>
              <w:t>(1)</w:t>
            </w:r>
          </w:p>
        </w:tc>
        <w:tc>
          <w:tcPr>
            <w:tcW w:w="1570" w:type="dxa"/>
            <w:vAlign w:val="bottom"/>
            <w:gridSpan w:val="2"/>
            <w:shd w:val="clear" w:color="auto" w:fill="E5EFFD"/>
          </w:tcPr>
          <w:p>
            <w:pPr>
              <w:jc w:val="right"/>
              <w:ind w:right="81"/>
              <w:spacing w:after="0"/>
              <w:rPr>
                <w:sz w:val="20"/>
                <w:szCs w:val="20"/>
                <w:color w:val="auto"/>
              </w:rPr>
            </w:pPr>
            <w:r>
              <w:rPr>
                <w:rFonts w:ascii="Arial" w:cs="Arial" w:eastAsia="Arial" w:hAnsi="Arial"/>
                <w:sz w:val="16"/>
                <w:szCs w:val="16"/>
                <w:color w:val="005CB8"/>
              </w:rPr>
              <w:t>11,550,061</w:t>
            </w:r>
          </w:p>
        </w:tc>
        <w:tc>
          <w:tcPr>
            <w:tcW w:w="200" w:type="dxa"/>
            <w:vAlign w:val="bottom"/>
            <w:shd w:val="clear" w:color="auto" w:fill="E5EFFD"/>
          </w:tcPr>
          <w:p>
            <w:pPr>
              <w:spacing w:after="0"/>
              <w:rPr>
                <w:sz w:val="24"/>
                <w:szCs w:val="24"/>
                <w:color w:val="auto"/>
              </w:rPr>
            </w:pPr>
          </w:p>
        </w:tc>
        <w:tc>
          <w:tcPr>
            <w:tcW w:w="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4.1%</w:t>
            </w:r>
          </w:p>
        </w:tc>
        <w:tc>
          <w:tcPr>
            <w:tcW w:w="1660" w:type="dxa"/>
            <w:vAlign w:val="bottom"/>
            <w:gridSpan w:val="2"/>
            <w:shd w:val="clear" w:color="auto" w:fill="E5EFFD"/>
          </w:tcPr>
          <w:p>
            <w:pPr>
              <w:jc w:val="right"/>
              <w:spacing w:after="0"/>
              <w:rPr>
                <w:sz w:val="20"/>
                <w:szCs w:val="20"/>
                <w:color w:val="auto"/>
              </w:rPr>
            </w:pPr>
            <w:r>
              <w:rPr>
                <w:rFonts w:ascii="Arial" w:cs="Arial" w:eastAsia="Arial" w:hAnsi="Arial"/>
                <w:sz w:val="16"/>
                <w:szCs w:val="16"/>
                <w:color w:val="005CB8"/>
              </w:rPr>
              <w:t>82,497,337</w:t>
            </w:r>
          </w:p>
        </w:tc>
        <w:tc>
          <w:tcPr>
            <w:tcW w:w="180" w:type="dxa"/>
            <w:vAlign w:val="bottom"/>
            <w:shd w:val="clear" w:color="auto" w:fill="E5EFFD"/>
          </w:tcPr>
          <w:p>
            <w:pPr>
              <w:spacing w:after="0"/>
              <w:rPr>
                <w:sz w:val="24"/>
                <w:szCs w:val="24"/>
                <w:color w:val="auto"/>
              </w:rPr>
            </w:pPr>
          </w:p>
        </w:tc>
        <w:tc>
          <w:tcPr>
            <w:tcW w:w="900" w:type="dxa"/>
            <w:vAlign w:val="bottom"/>
            <w:shd w:val="clear" w:color="auto" w:fill="E5EFFD"/>
          </w:tcPr>
          <w:p>
            <w:pPr>
              <w:jc w:val="right"/>
              <w:ind w:right="160"/>
              <w:spacing w:after="0"/>
              <w:rPr>
                <w:sz w:val="20"/>
                <w:szCs w:val="20"/>
                <w:color w:val="auto"/>
              </w:rPr>
            </w:pPr>
            <w:r>
              <w:rPr>
                <w:rFonts w:ascii="Arial" w:cs="Arial" w:eastAsia="Arial" w:hAnsi="Arial"/>
                <w:sz w:val="16"/>
                <w:szCs w:val="16"/>
                <w:color w:val="005CB8"/>
              </w:rPr>
              <w:t>54.5%</w:t>
            </w:r>
          </w:p>
        </w:tc>
        <w:tc>
          <w:tcPr>
            <w:tcW w:w="1260" w:type="dxa"/>
            <w:vAlign w:val="bottom"/>
            <w:shd w:val="clear" w:color="auto" w:fill="E5EFFD"/>
          </w:tcPr>
          <w:p>
            <w:pPr>
              <w:jc w:val="right"/>
              <w:ind w:right="20"/>
              <w:spacing w:after="0"/>
              <w:rPr>
                <w:sz w:val="20"/>
                <w:szCs w:val="20"/>
                <w:color w:val="auto"/>
              </w:rPr>
            </w:pPr>
            <w:r>
              <w:rPr>
                <w:rFonts w:ascii="Arial" w:cs="Arial" w:eastAsia="Arial" w:hAnsi="Arial"/>
                <w:sz w:val="16"/>
                <w:szCs w:val="16"/>
                <w:color w:val="005CB8"/>
              </w:rPr>
              <w:t>46.6%</w:t>
            </w:r>
          </w:p>
        </w:tc>
        <w:tc>
          <w:tcPr>
            <w:tcW w:w="0" w:type="dxa"/>
            <w:vAlign w:val="bottom"/>
          </w:tcPr>
          <w:p>
            <w:pPr>
              <w:spacing w:after="0"/>
              <w:rPr>
                <w:sz w:val="1"/>
                <w:szCs w:val="1"/>
                <w:color w:val="auto"/>
              </w:rPr>
            </w:pPr>
          </w:p>
        </w:tc>
      </w:tr>
      <w:tr>
        <w:trPr>
          <w:trHeight w:val="378"/>
        </w:trPr>
        <w:tc>
          <w:tcPr>
            <w:tcW w:w="315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Arash Ferdowsi</w:t>
            </w:r>
            <w:r>
              <w:rPr>
                <w:rFonts w:ascii="Arial" w:cs="Arial" w:eastAsia="Arial" w:hAnsi="Arial"/>
                <w:sz w:val="26"/>
                <w:szCs w:val="26"/>
                <w:color w:val="005CB8"/>
                <w:vertAlign w:val="superscript"/>
              </w:rPr>
              <w:t>(2)</w:t>
            </w:r>
          </w:p>
        </w:tc>
        <w:tc>
          <w:tcPr>
            <w:tcW w:w="290" w:type="dxa"/>
            <w:vAlign w:val="bottom"/>
            <w:shd w:val="clear" w:color="auto" w:fill="E5EFFD"/>
          </w:tcPr>
          <w:p>
            <w:pPr>
              <w:spacing w:after="0"/>
              <w:rPr>
                <w:sz w:val="24"/>
                <w:szCs w:val="24"/>
                <w:color w:val="auto"/>
              </w:rPr>
            </w:pPr>
          </w:p>
        </w:tc>
        <w:tc>
          <w:tcPr>
            <w:tcW w:w="128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4,423,900</w:t>
            </w:r>
          </w:p>
        </w:tc>
        <w:tc>
          <w:tcPr>
            <w:tcW w:w="200" w:type="dxa"/>
            <w:vAlign w:val="bottom"/>
            <w:shd w:val="clear" w:color="auto" w:fill="E5EFFD"/>
          </w:tcPr>
          <w:p>
            <w:pPr>
              <w:spacing w:after="0"/>
              <w:rPr>
                <w:sz w:val="24"/>
                <w:szCs w:val="24"/>
                <w:color w:val="auto"/>
              </w:rPr>
            </w:pPr>
          </w:p>
        </w:tc>
        <w:tc>
          <w:tcPr>
            <w:tcW w:w="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1.6%</w:t>
            </w:r>
          </w:p>
        </w:tc>
        <w:tc>
          <w:tcPr>
            <w:tcW w:w="1660" w:type="dxa"/>
            <w:vAlign w:val="bottom"/>
            <w:gridSpan w:val="2"/>
            <w:shd w:val="clear" w:color="auto" w:fill="E5EFFD"/>
          </w:tcPr>
          <w:p>
            <w:pPr>
              <w:jc w:val="right"/>
              <w:spacing w:after="0"/>
              <w:rPr>
                <w:sz w:val="20"/>
                <w:szCs w:val="20"/>
                <w:color w:val="auto"/>
              </w:rPr>
            </w:pPr>
            <w:r>
              <w:rPr>
                <w:rFonts w:ascii="Arial" w:cs="Arial" w:eastAsia="Arial" w:hAnsi="Arial"/>
                <w:sz w:val="16"/>
                <w:szCs w:val="16"/>
                <w:color w:val="005CB8"/>
              </w:rPr>
              <w:t>31,487,385</w:t>
            </w:r>
          </w:p>
        </w:tc>
        <w:tc>
          <w:tcPr>
            <w:tcW w:w="180" w:type="dxa"/>
            <w:vAlign w:val="bottom"/>
            <w:shd w:val="clear" w:color="auto" w:fill="E5EFFD"/>
          </w:tcPr>
          <w:p>
            <w:pPr>
              <w:spacing w:after="0"/>
              <w:rPr>
                <w:sz w:val="24"/>
                <w:szCs w:val="24"/>
                <w:color w:val="auto"/>
              </w:rPr>
            </w:pPr>
          </w:p>
        </w:tc>
        <w:tc>
          <w:tcPr>
            <w:tcW w:w="900" w:type="dxa"/>
            <w:vAlign w:val="bottom"/>
            <w:shd w:val="clear" w:color="auto" w:fill="E5EFFD"/>
          </w:tcPr>
          <w:p>
            <w:pPr>
              <w:jc w:val="right"/>
              <w:ind w:right="160"/>
              <w:spacing w:after="0"/>
              <w:rPr>
                <w:sz w:val="20"/>
                <w:szCs w:val="20"/>
                <w:color w:val="auto"/>
              </w:rPr>
            </w:pPr>
            <w:r>
              <w:rPr>
                <w:rFonts w:ascii="Arial" w:cs="Arial" w:eastAsia="Arial" w:hAnsi="Arial"/>
                <w:sz w:val="16"/>
                <w:szCs w:val="16"/>
                <w:color w:val="005CB8"/>
              </w:rPr>
              <w:t>20.8%</w:t>
            </w:r>
          </w:p>
        </w:tc>
        <w:tc>
          <w:tcPr>
            <w:tcW w:w="1260" w:type="dxa"/>
            <w:vAlign w:val="bottom"/>
            <w:shd w:val="clear" w:color="auto" w:fill="E5EFFD"/>
          </w:tcPr>
          <w:p>
            <w:pPr>
              <w:jc w:val="right"/>
              <w:ind w:right="20"/>
              <w:spacing w:after="0"/>
              <w:rPr>
                <w:sz w:val="20"/>
                <w:szCs w:val="20"/>
                <w:color w:val="auto"/>
              </w:rPr>
            </w:pPr>
            <w:r>
              <w:rPr>
                <w:rFonts w:ascii="Arial" w:cs="Arial" w:eastAsia="Arial" w:hAnsi="Arial"/>
                <w:sz w:val="16"/>
                <w:szCs w:val="16"/>
                <w:color w:val="005CB8"/>
              </w:rPr>
              <w:t>17.8%</w:t>
            </w:r>
          </w:p>
        </w:tc>
        <w:tc>
          <w:tcPr>
            <w:tcW w:w="0" w:type="dxa"/>
            <w:vAlign w:val="bottom"/>
          </w:tcPr>
          <w:p>
            <w:pPr>
              <w:spacing w:after="0"/>
              <w:rPr>
                <w:sz w:val="1"/>
                <w:szCs w:val="1"/>
                <w:color w:val="auto"/>
              </w:rPr>
            </w:pPr>
          </w:p>
        </w:tc>
      </w:tr>
      <w:tr>
        <w:trPr>
          <w:trHeight w:val="291"/>
        </w:trPr>
        <w:tc>
          <w:tcPr>
            <w:tcW w:w="315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Bharat Mediratta</w:t>
            </w:r>
          </w:p>
        </w:tc>
        <w:tc>
          <w:tcPr>
            <w:tcW w:w="290" w:type="dxa"/>
            <w:vAlign w:val="bottom"/>
            <w:shd w:val="clear" w:color="auto" w:fill="E5EFFD"/>
          </w:tcPr>
          <w:p>
            <w:pPr>
              <w:spacing w:after="0"/>
              <w:rPr>
                <w:sz w:val="24"/>
                <w:szCs w:val="24"/>
                <w:color w:val="auto"/>
              </w:rPr>
            </w:pPr>
          </w:p>
        </w:tc>
        <w:tc>
          <w:tcPr>
            <w:tcW w:w="128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1,053,108</w:t>
            </w:r>
          </w:p>
        </w:tc>
        <w:tc>
          <w:tcPr>
            <w:tcW w:w="200" w:type="dxa"/>
            <w:vAlign w:val="bottom"/>
            <w:shd w:val="clear" w:color="auto" w:fill="E5EFFD"/>
          </w:tcPr>
          <w:p>
            <w:pPr>
              <w:spacing w:after="0"/>
              <w:rPr>
                <w:sz w:val="24"/>
                <w:szCs w:val="24"/>
                <w:color w:val="auto"/>
              </w:rPr>
            </w:pPr>
          </w:p>
        </w:tc>
        <w:tc>
          <w:tcPr>
            <w:tcW w:w="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380" w:type="dxa"/>
            <w:vAlign w:val="bottom"/>
            <w:shd w:val="clear" w:color="auto" w:fill="E5EFFD"/>
          </w:tcPr>
          <w:p>
            <w:pPr>
              <w:spacing w:after="0"/>
              <w:rPr>
                <w:sz w:val="24"/>
                <w:szCs w:val="24"/>
                <w:color w:val="auto"/>
              </w:rPr>
            </w:pPr>
          </w:p>
        </w:tc>
        <w:tc>
          <w:tcPr>
            <w:tcW w:w="1460" w:type="dxa"/>
            <w:vAlign w:val="bottom"/>
            <w:gridSpan w:val="2"/>
            <w:shd w:val="clear" w:color="auto" w:fill="E5EFFD"/>
          </w:tcPr>
          <w:p>
            <w:pPr>
              <w:jc w:val="right"/>
              <w:ind w:right="260"/>
              <w:spacing w:after="0"/>
              <w:rPr>
                <w:sz w:val="20"/>
                <w:szCs w:val="20"/>
                <w:color w:val="auto"/>
              </w:rPr>
            </w:pPr>
            <w:r>
              <w:rPr>
                <w:rFonts w:ascii="Arial" w:cs="Arial" w:eastAsia="Arial" w:hAnsi="Arial"/>
                <w:sz w:val="16"/>
                <w:szCs w:val="16"/>
                <w:color w:val="005CB8"/>
              </w:rPr>
              <w:t>—</w:t>
            </w:r>
          </w:p>
        </w:tc>
        <w:tc>
          <w:tcPr>
            <w:tcW w:w="900" w:type="dxa"/>
            <w:vAlign w:val="bottom"/>
            <w:shd w:val="clear" w:color="auto" w:fill="E5EFFD"/>
          </w:tcPr>
          <w:p>
            <w:pPr>
              <w:jc w:val="right"/>
              <w:ind w:right="160"/>
              <w:spacing w:after="0"/>
              <w:rPr>
                <w:sz w:val="20"/>
                <w:szCs w:val="20"/>
                <w:color w:val="auto"/>
              </w:rPr>
            </w:pPr>
            <w:r>
              <w:rPr>
                <w:rFonts w:ascii="Arial" w:cs="Arial" w:eastAsia="Arial" w:hAnsi="Arial"/>
                <w:sz w:val="16"/>
                <w:szCs w:val="16"/>
                <w:color w:val="005CB8"/>
              </w:rPr>
              <w:t>—</w:t>
            </w:r>
          </w:p>
        </w:tc>
        <w:tc>
          <w:tcPr>
            <w:tcW w:w="126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0" w:type="dxa"/>
            <w:vAlign w:val="bottom"/>
          </w:tcPr>
          <w:p>
            <w:pPr>
              <w:spacing w:after="0"/>
              <w:rPr>
                <w:sz w:val="1"/>
                <w:szCs w:val="1"/>
                <w:color w:val="auto"/>
              </w:rPr>
            </w:pPr>
          </w:p>
        </w:tc>
      </w:tr>
      <w:tr>
        <w:trPr>
          <w:trHeight w:val="378"/>
        </w:trPr>
        <w:tc>
          <w:tcPr>
            <w:tcW w:w="315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Timothy Young</w:t>
            </w:r>
          </w:p>
        </w:tc>
        <w:tc>
          <w:tcPr>
            <w:tcW w:w="290" w:type="dxa"/>
            <w:vAlign w:val="bottom"/>
            <w:shd w:val="clear" w:color="auto" w:fill="E5EFFD"/>
          </w:tcPr>
          <w:p>
            <w:pPr>
              <w:spacing w:after="0"/>
              <w:rPr>
                <w:sz w:val="24"/>
                <w:szCs w:val="24"/>
                <w:color w:val="auto"/>
              </w:rPr>
            </w:pPr>
          </w:p>
        </w:tc>
        <w:tc>
          <w:tcPr>
            <w:tcW w:w="128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1,053,108</w:t>
            </w:r>
          </w:p>
        </w:tc>
        <w:tc>
          <w:tcPr>
            <w:tcW w:w="200" w:type="dxa"/>
            <w:vAlign w:val="bottom"/>
            <w:shd w:val="clear" w:color="auto" w:fill="E5EFFD"/>
          </w:tcPr>
          <w:p>
            <w:pPr>
              <w:spacing w:after="0"/>
              <w:rPr>
                <w:sz w:val="24"/>
                <w:szCs w:val="24"/>
                <w:color w:val="auto"/>
              </w:rPr>
            </w:pPr>
          </w:p>
        </w:tc>
        <w:tc>
          <w:tcPr>
            <w:tcW w:w="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380" w:type="dxa"/>
            <w:vAlign w:val="bottom"/>
            <w:shd w:val="clear" w:color="auto" w:fill="E5EFFD"/>
          </w:tcPr>
          <w:p>
            <w:pPr>
              <w:spacing w:after="0"/>
              <w:rPr>
                <w:sz w:val="24"/>
                <w:szCs w:val="24"/>
                <w:color w:val="auto"/>
              </w:rPr>
            </w:pPr>
          </w:p>
        </w:tc>
        <w:tc>
          <w:tcPr>
            <w:tcW w:w="1460" w:type="dxa"/>
            <w:vAlign w:val="bottom"/>
            <w:gridSpan w:val="2"/>
            <w:shd w:val="clear" w:color="auto" w:fill="E5EFFD"/>
          </w:tcPr>
          <w:p>
            <w:pPr>
              <w:jc w:val="right"/>
              <w:ind w:right="260"/>
              <w:spacing w:after="0"/>
              <w:rPr>
                <w:sz w:val="20"/>
                <w:szCs w:val="20"/>
                <w:color w:val="auto"/>
              </w:rPr>
            </w:pPr>
            <w:r>
              <w:rPr>
                <w:rFonts w:ascii="Arial" w:cs="Arial" w:eastAsia="Arial" w:hAnsi="Arial"/>
                <w:sz w:val="16"/>
                <w:szCs w:val="16"/>
                <w:color w:val="005CB8"/>
              </w:rPr>
              <w:t>—</w:t>
            </w:r>
          </w:p>
        </w:tc>
        <w:tc>
          <w:tcPr>
            <w:tcW w:w="900" w:type="dxa"/>
            <w:vAlign w:val="bottom"/>
            <w:shd w:val="clear" w:color="auto" w:fill="E5EFFD"/>
          </w:tcPr>
          <w:p>
            <w:pPr>
              <w:jc w:val="right"/>
              <w:ind w:right="160"/>
              <w:spacing w:after="0"/>
              <w:rPr>
                <w:sz w:val="20"/>
                <w:szCs w:val="20"/>
                <w:color w:val="auto"/>
              </w:rPr>
            </w:pPr>
            <w:r>
              <w:rPr>
                <w:rFonts w:ascii="Arial" w:cs="Arial" w:eastAsia="Arial" w:hAnsi="Arial"/>
                <w:sz w:val="16"/>
                <w:szCs w:val="16"/>
                <w:color w:val="005CB8"/>
              </w:rPr>
              <w:t>—</w:t>
            </w:r>
          </w:p>
        </w:tc>
        <w:tc>
          <w:tcPr>
            <w:tcW w:w="126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0" w:type="dxa"/>
            <w:vAlign w:val="bottom"/>
          </w:tcPr>
          <w:p>
            <w:pPr>
              <w:spacing w:after="0"/>
              <w:rPr>
                <w:sz w:val="1"/>
                <w:szCs w:val="1"/>
                <w:color w:val="auto"/>
              </w:rPr>
            </w:pPr>
          </w:p>
        </w:tc>
      </w:tr>
      <w:tr>
        <w:trPr>
          <w:trHeight w:val="378"/>
        </w:trPr>
        <w:tc>
          <w:tcPr>
            <w:tcW w:w="315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Yamini Rangan</w:t>
            </w:r>
          </w:p>
        </w:tc>
        <w:tc>
          <w:tcPr>
            <w:tcW w:w="290" w:type="dxa"/>
            <w:vAlign w:val="bottom"/>
            <w:shd w:val="clear" w:color="auto" w:fill="E5EFFD"/>
          </w:tcPr>
          <w:p>
            <w:pPr>
              <w:spacing w:after="0"/>
              <w:rPr>
                <w:sz w:val="24"/>
                <w:szCs w:val="24"/>
                <w:color w:val="auto"/>
              </w:rPr>
            </w:pPr>
          </w:p>
        </w:tc>
        <w:tc>
          <w:tcPr>
            <w:tcW w:w="128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62,687</w:t>
            </w:r>
          </w:p>
        </w:tc>
        <w:tc>
          <w:tcPr>
            <w:tcW w:w="200" w:type="dxa"/>
            <w:vAlign w:val="bottom"/>
            <w:shd w:val="clear" w:color="auto" w:fill="E5EFFD"/>
          </w:tcPr>
          <w:p>
            <w:pPr>
              <w:spacing w:after="0"/>
              <w:rPr>
                <w:sz w:val="24"/>
                <w:szCs w:val="24"/>
                <w:color w:val="auto"/>
              </w:rPr>
            </w:pPr>
          </w:p>
        </w:tc>
        <w:tc>
          <w:tcPr>
            <w:tcW w:w="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380" w:type="dxa"/>
            <w:vAlign w:val="bottom"/>
            <w:shd w:val="clear" w:color="auto" w:fill="E5EFFD"/>
          </w:tcPr>
          <w:p>
            <w:pPr>
              <w:spacing w:after="0"/>
              <w:rPr>
                <w:sz w:val="24"/>
                <w:szCs w:val="24"/>
                <w:color w:val="auto"/>
              </w:rPr>
            </w:pPr>
          </w:p>
        </w:tc>
        <w:tc>
          <w:tcPr>
            <w:tcW w:w="1460" w:type="dxa"/>
            <w:vAlign w:val="bottom"/>
            <w:gridSpan w:val="2"/>
            <w:shd w:val="clear" w:color="auto" w:fill="E5EFFD"/>
          </w:tcPr>
          <w:p>
            <w:pPr>
              <w:jc w:val="right"/>
              <w:ind w:right="260"/>
              <w:spacing w:after="0"/>
              <w:rPr>
                <w:sz w:val="20"/>
                <w:szCs w:val="20"/>
                <w:color w:val="auto"/>
              </w:rPr>
            </w:pPr>
            <w:r>
              <w:rPr>
                <w:rFonts w:ascii="Arial" w:cs="Arial" w:eastAsia="Arial" w:hAnsi="Arial"/>
                <w:sz w:val="16"/>
                <w:szCs w:val="16"/>
                <w:color w:val="005CB8"/>
              </w:rPr>
              <w:t>—</w:t>
            </w:r>
          </w:p>
        </w:tc>
        <w:tc>
          <w:tcPr>
            <w:tcW w:w="900" w:type="dxa"/>
            <w:vAlign w:val="bottom"/>
            <w:shd w:val="clear" w:color="auto" w:fill="E5EFFD"/>
          </w:tcPr>
          <w:p>
            <w:pPr>
              <w:jc w:val="right"/>
              <w:ind w:right="160"/>
              <w:spacing w:after="0"/>
              <w:rPr>
                <w:sz w:val="20"/>
                <w:szCs w:val="20"/>
                <w:color w:val="auto"/>
              </w:rPr>
            </w:pPr>
            <w:r>
              <w:rPr>
                <w:rFonts w:ascii="Arial" w:cs="Arial" w:eastAsia="Arial" w:hAnsi="Arial"/>
                <w:sz w:val="16"/>
                <w:szCs w:val="16"/>
                <w:color w:val="005CB8"/>
              </w:rPr>
              <w:t>—</w:t>
            </w:r>
          </w:p>
        </w:tc>
        <w:tc>
          <w:tcPr>
            <w:tcW w:w="126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0" w:type="dxa"/>
            <w:vAlign w:val="bottom"/>
          </w:tcPr>
          <w:p>
            <w:pPr>
              <w:spacing w:after="0"/>
              <w:rPr>
                <w:sz w:val="1"/>
                <w:szCs w:val="1"/>
                <w:color w:val="auto"/>
              </w:rPr>
            </w:pPr>
          </w:p>
        </w:tc>
      </w:tr>
      <w:tr>
        <w:trPr>
          <w:trHeight w:val="378"/>
        </w:trPr>
        <w:tc>
          <w:tcPr>
            <w:tcW w:w="315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Ajay V. Vashee</w:t>
            </w:r>
          </w:p>
        </w:tc>
        <w:tc>
          <w:tcPr>
            <w:tcW w:w="290" w:type="dxa"/>
            <w:vAlign w:val="bottom"/>
            <w:shd w:val="clear" w:color="auto" w:fill="E5EFFD"/>
          </w:tcPr>
          <w:p>
            <w:pPr>
              <w:spacing w:after="0"/>
              <w:rPr>
                <w:sz w:val="24"/>
                <w:szCs w:val="24"/>
                <w:color w:val="auto"/>
              </w:rPr>
            </w:pPr>
          </w:p>
        </w:tc>
        <w:tc>
          <w:tcPr>
            <w:tcW w:w="128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97,499</w:t>
            </w:r>
          </w:p>
        </w:tc>
        <w:tc>
          <w:tcPr>
            <w:tcW w:w="200" w:type="dxa"/>
            <w:vAlign w:val="bottom"/>
            <w:shd w:val="clear" w:color="auto" w:fill="E5EFFD"/>
          </w:tcPr>
          <w:p>
            <w:pPr>
              <w:spacing w:after="0"/>
              <w:rPr>
                <w:sz w:val="24"/>
                <w:szCs w:val="24"/>
                <w:color w:val="auto"/>
              </w:rPr>
            </w:pPr>
          </w:p>
        </w:tc>
        <w:tc>
          <w:tcPr>
            <w:tcW w:w="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1660" w:type="dxa"/>
            <w:vAlign w:val="bottom"/>
            <w:gridSpan w:val="2"/>
            <w:shd w:val="clear" w:color="auto" w:fill="E5EFFD"/>
          </w:tcPr>
          <w:p>
            <w:pPr>
              <w:jc w:val="right"/>
              <w:spacing w:after="0"/>
              <w:rPr>
                <w:sz w:val="20"/>
                <w:szCs w:val="20"/>
                <w:color w:val="auto"/>
              </w:rPr>
            </w:pPr>
            <w:r>
              <w:rPr>
                <w:rFonts w:ascii="Arial" w:cs="Arial" w:eastAsia="Arial" w:hAnsi="Arial"/>
                <w:sz w:val="16"/>
                <w:szCs w:val="16"/>
                <w:color w:val="005CB8"/>
              </w:rPr>
              <w:t>298,115</w:t>
            </w:r>
          </w:p>
        </w:tc>
        <w:tc>
          <w:tcPr>
            <w:tcW w:w="180" w:type="dxa"/>
            <w:vAlign w:val="bottom"/>
            <w:shd w:val="clear" w:color="auto" w:fill="E5EFFD"/>
          </w:tcPr>
          <w:p>
            <w:pPr>
              <w:spacing w:after="0"/>
              <w:rPr>
                <w:sz w:val="24"/>
                <w:szCs w:val="24"/>
                <w:color w:val="auto"/>
              </w:rPr>
            </w:pPr>
          </w:p>
        </w:tc>
        <w:tc>
          <w:tcPr>
            <w:tcW w:w="900" w:type="dxa"/>
            <w:vAlign w:val="bottom"/>
            <w:shd w:val="clear" w:color="auto" w:fill="E5EFFD"/>
          </w:tcPr>
          <w:p>
            <w:pPr>
              <w:jc w:val="right"/>
              <w:ind w:right="100"/>
              <w:spacing w:after="0"/>
              <w:rPr>
                <w:sz w:val="20"/>
                <w:szCs w:val="20"/>
                <w:color w:val="auto"/>
              </w:rPr>
            </w:pPr>
            <w:r>
              <w:rPr>
                <w:rFonts w:ascii="Arial" w:cs="Arial" w:eastAsia="Arial" w:hAnsi="Arial"/>
                <w:sz w:val="16"/>
                <w:szCs w:val="16"/>
                <w:color w:val="005CB8"/>
              </w:rPr>
              <w:t>*</w:t>
            </w:r>
          </w:p>
        </w:tc>
        <w:tc>
          <w:tcPr>
            <w:tcW w:w="126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0" w:type="dxa"/>
            <w:vAlign w:val="bottom"/>
          </w:tcPr>
          <w:p>
            <w:pPr>
              <w:spacing w:after="0"/>
              <w:rPr>
                <w:sz w:val="1"/>
                <w:szCs w:val="1"/>
                <w:color w:val="auto"/>
              </w:rPr>
            </w:pPr>
          </w:p>
        </w:tc>
      </w:tr>
      <w:tr>
        <w:trPr>
          <w:trHeight w:val="378"/>
        </w:trPr>
        <w:tc>
          <w:tcPr>
            <w:tcW w:w="315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Donald W. Blair</w:t>
            </w:r>
          </w:p>
        </w:tc>
        <w:tc>
          <w:tcPr>
            <w:tcW w:w="290" w:type="dxa"/>
            <w:vAlign w:val="bottom"/>
            <w:shd w:val="clear" w:color="auto" w:fill="E5EFFD"/>
          </w:tcPr>
          <w:p>
            <w:pPr>
              <w:spacing w:after="0"/>
              <w:rPr>
                <w:sz w:val="24"/>
                <w:szCs w:val="24"/>
                <w:color w:val="auto"/>
              </w:rPr>
            </w:pPr>
          </w:p>
        </w:tc>
        <w:tc>
          <w:tcPr>
            <w:tcW w:w="128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53,333</w:t>
            </w:r>
          </w:p>
        </w:tc>
        <w:tc>
          <w:tcPr>
            <w:tcW w:w="200" w:type="dxa"/>
            <w:vAlign w:val="bottom"/>
            <w:shd w:val="clear" w:color="auto" w:fill="E5EFFD"/>
          </w:tcPr>
          <w:p>
            <w:pPr>
              <w:spacing w:after="0"/>
              <w:rPr>
                <w:sz w:val="24"/>
                <w:szCs w:val="24"/>
                <w:color w:val="auto"/>
              </w:rPr>
            </w:pPr>
          </w:p>
        </w:tc>
        <w:tc>
          <w:tcPr>
            <w:tcW w:w="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380" w:type="dxa"/>
            <w:vAlign w:val="bottom"/>
            <w:shd w:val="clear" w:color="auto" w:fill="E5EFFD"/>
          </w:tcPr>
          <w:p>
            <w:pPr>
              <w:spacing w:after="0"/>
              <w:rPr>
                <w:sz w:val="24"/>
                <w:szCs w:val="24"/>
                <w:color w:val="auto"/>
              </w:rPr>
            </w:pPr>
          </w:p>
        </w:tc>
        <w:tc>
          <w:tcPr>
            <w:tcW w:w="1460" w:type="dxa"/>
            <w:vAlign w:val="bottom"/>
            <w:gridSpan w:val="2"/>
            <w:shd w:val="clear" w:color="auto" w:fill="E5EFFD"/>
          </w:tcPr>
          <w:p>
            <w:pPr>
              <w:jc w:val="right"/>
              <w:ind w:right="260"/>
              <w:spacing w:after="0"/>
              <w:rPr>
                <w:sz w:val="20"/>
                <w:szCs w:val="20"/>
                <w:color w:val="auto"/>
              </w:rPr>
            </w:pPr>
            <w:r>
              <w:rPr>
                <w:rFonts w:ascii="Arial" w:cs="Arial" w:eastAsia="Arial" w:hAnsi="Arial"/>
                <w:sz w:val="16"/>
                <w:szCs w:val="16"/>
                <w:color w:val="005CB8"/>
              </w:rPr>
              <w:t>—</w:t>
            </w:r>
          </w:p>
        </w:tc>
        <w:tc>
          <w:tcPr>
            <w:tcW w:w="900" w:type="dxa"/>
            <w:vAlign w:val="bottom"/>
            <w:shd w:val="clear" w:color="auto" w:fill="E5EFFD"/>
          </w:tcPr>
          <w:p>
            <w:pPr>
              <w:jc w:val="right"/>
              <w:ind w:right="160"/>
              <w:spacing w:after="0"/>
              <w:rPr>
                <w:sz w:val="20"/>
                <w:szCs w:val="20"/>
                <w:color w:val="auto"/>
              </w:rPr>
            </w:pPr>
            <w:r>
              <w:rPr>
                <w:rFonts w:ascii="Arial" w:cs="Arial" w:eastAsia="Arial" w:hAnsi="Arial"/>
                <w:sz w:val="16"/>
                <w:szCs w:val="16"/>
                <w:color w:val="005CB8"/>
              </w:rPr>
              <w:t>—</w:t>
            </w:r>
          </w:p>
        </w:tc>
        <w:tc>
          <w:tcPr>
            <w:tcW w:w="126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0" w:type="dxa"/>
            <w:vAlign w:val="bottom"/>
          </w:tcPr>
          <w:p>
            <w:pPr>
              <w:spacing w:after="0"/>
              <w:rPr>
                <w:sz w:val="1"/>
                <w:szCs w:val="1"/>
                <w:color w:val="auto"/>
              </w:rPr>
            </w:pPr>
          </w:p>
        </w:tc>
      </w:tr>
      <w:tr>
        <w:trPr>
          <w:trHeight w:val="378"/>
        </w:trPr>
        <w:tc>
          <w:tcPr>
            <w:tcW w:w="315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Lisa Campbell</w:t>
            </w:r>
          </w:p>
        </w:tc>
        <w:tc>
          <w:tcPr>
            <w:tcW w:w="290" w:type="dxa"/>
            <w:vAlign w:val="bottom"/>
            <w:shd w:val="clear" w:color="auto" w:fill="E5EFFD"/>
          </w:tcPr>
          <w:p>
            <w:pPr>
              <w:spacing w:after="0"/>
              <w:rPr>
                <w:sz w:val="24"/>
                <w:szCs w:val="24"/>
                <w:color w:val="auto"/>
              </w:rPr>
            </w:pPr>
          </w:p>
        </w:tc>
        <w:tc>
          <w:tcPr>
            <w:tcW w:w="128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w:t>
            </w:r>
          </w:p>
        </w:tc>
        <w:tc>
          <w:tcPr>
            <w:tcW w:w="200" w:type="dxa"/>
            <w:vAlign w:val="bottom"/>
            <w:shd w:val="clear" w:color="auto" w:fill="E5EFFD"/>
          </w:tcPr>
          <w:p>
            <w:pPr>
              <w:spacing w:after="0"/>
              <w:rPr>
                <w:sz w:val="24"/>
                <w:szCs w:val="24"/>
                <w:color w:val="auto"/>
              </w:rPr>
            </w:pPr>
          </w:p>
        </w:tc>
        <w:tc>
          <w:tcPr>
            <w:tcW w:w="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380" w:type="dxa"/>
            <w:vAlign w:val="bottom"/>
            <w:shd w:val="clear" w:color="auto" w:fill="E5EFFD"/>
          </w:tcPr>
          <w:p>
            <w:pPr>
              <w:spacing w:after="0"/>
              <w:rPr>
                <w:sz w:val="24"/>
                <w:szCs w:val="24"/>
                <w:color w:val="auto"/>
              </w:rPr>
            </w:pPr>
          </w:p>
        </w:tc>
        <w:tc>
          <w:tcPr>
            <w:tcW w:w="1460" w:type="dxa"/>
            <w:vAlign w:val="bottom"/>
            <w:gridSpan w:val="2"/>
            <w:shd w:val="clear" w:color="auto" w:fill="E5EFFD"/>
          </w:tcPr>
          <w:p>
            <w:pPr>
              <w:jc w:val="right"/>
              <w:ind w:right="260"/>
              <w:spacing w:after="0"/>
              <w:rPr>
                <w:sz w:val="20"/>
                <w:szCs w:val="20"/>
                <w:color w:val="auto"/>
              </w:rPr>
            </w:pPr>
            <w:r>
              <w:rPr>
                <w:rFonts w:ascii="Arial" w:cs="Arial" w:eastAsia="Arial" w:hAnsi="Arial"/>
                <w:sz w:val="16"/>
                <w:szCs w:val="16"/>
                <w:color w:val="005CB8"/>
              </w:rPr>
              <w:t>—</w:t>
            </w:r>
          </w:p>
        </w:tc>
        <w:tc>
          <w:tcPr>
            <w:tcW w:w="900" w:type="dxa"/>
            <w:vAlign w:val="bottom"/>
            <w:shd w:val="clear" w:color="auto" w:fill="E5EFFD"/>
          </w:tcPr>
          <w:p>
            <w:pPr>
              <w:jc w:val="right"/>
              <w:ind w:right="160"/>
              <w:spacing w:after="0"/>
              <w:rPr>
                <w:sz w:val="20"/>
                <w:szCs w:val="20"/>
                <w:color w:val="auto"/>
              </w:rPr>
            </w:pPr>
            <w:r>
              <w:rPr>
                <w:rFonts w:ascii="Arial" w:cs="Arial" w:eastAsia="Arial" w:hAnsi="Arial"/>
                <w:sz w:val="16"/>
                <w:szCs w:val="16"/>
                <w:color w:val="005CB8"/>
              </w:rPr>
              <w:t>—</w:t>
            </w:r>
          </w:p>
        </w:tc>
        <w:tc>
          <w:tcPr>
            <w:tcW w:w="126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0" w:type="dxa"/>
            <w:vAlign w:val="bottom"/>
          </w:tcPr>
          <w:p>
            <w:pPr>
              <w:spacing w:after="0"/>
              <w:rPr>
                <w:sz w:val="1"/>
                <w:szCs w:val="1"/>
                <w:color w:val="auto"/>
              </w:rPr>
            </w:pPr>
          </w:p>
        </w:tc>
      </w:tr>
      <w:tr>
        <w:trPr>
          <w:trHeight w:val="465"/>
        </w:trPr>
        <w:tc>
          <w:tcPr>
            <w:tcW w:w="315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Paul E. Jacobs</w:t>
            </w:r>
            <w:r>
              <w:rPr>
                <w:rFonts w:ascii="Arial" w:cs="Arial" w:eastAsia="Arial" w:hAnsi="Arial"/>
                <w:sz w:val="26"/>
                <w:szCs w:val="26"/>
                <w:color w:val="005CB8"/>
                <w:vertAlign w:val="superscript"/>
              </w:rPr>
              <w:t>(3)</w:t>
            </w:r>
          </w:p>
        </w:tc>
        <w:tc>
          <w:tcPr>
            <w:tcW w:w="290" w:type="dxa"/>
            <w:vAlign w:val="bottom"/>
            <w:shd w:val="clear" w:color="auto" w:fill="E5EFFD"/>
          </w:tcPr>
          <w:p>
            <w:pPr>
              <w:spacing w:after="0"/>
              <w:rPr>
                <w:sz w:val="24"/>
                <w:szCs w:val="24"/>
                <w:color w:val="auto"/>
              </w:rPr>
            </w:pPr>
          </w:p>
        </w:tc>
        <w:tc>
          <w:tcPr>
            <w:tcW w:w="128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245,650</w:t>
            </w:r>
          </w:p>
        </w:tc>
        <w:tc>
          <w:tcPr>
            <w:tcW w:w="200" w:type="dxa"/>
            <w:vAlign w:val="bottom"/>
            <w:shd w:val="clear" w:color="auto" w:fill="E5EFFD"/>
          </w:tcPr>
          <w:p>
            <w:pPr>
              <w:spacing w:after="0"/>
              <w:rPr>
                <w:sz w:val="24"/>
                <w:szCs w:val="24"/>
                <w:color w:val="auto"/>
              </w:rPr>
            </w:pPr>
          </w:p>
        </w:tc>
        <w:tc>
          <w:tcPr>
            <w:tcW w:w="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380" w:type="dxa"/>
            <w:vAlign w:val="bottom"/>
            <w:shd w:val="clear" w:color="auto" w:fill="E5EFFD"/>
          </w:tcPr>
          <w:p>
            <w:pPr>
              <w:spacing w:after="0"/>
              <w:rPr>
                <w:sz w:val="24"/>
                <w:szCs w:val="24"/>
                <w:color w:val="auto"/>
              </w:rPr>
            </w:pPr>
          </w:p>
        </w:tc>
        <w:tc>
          <w:tcPr>
            <w:tcW w:w="128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180" w:type="dxa"/>
            <w:vAlign w:val="bottom"/>
            <w:shd w:val="clear" w:color="auto" w:fill="E5EFFD"/>
          </w:tcPr>
          <w:p>
            <w:pPr>
              <w:spacing w:after="0"/>
              <w:rPr>
                <w:sz w:val="24"/>
                <w:szCs w:val="24"/>
                <w:color w:val="auto"/>
              </w:rPr>
            </w:pPr>
          </w:p>
        </w:tc>
        <w:tc>
          <w:tcPr>
            <w:tcW w:w="900" w:type="dxa"/>
            <w:vAlign w:val="bottom"/>
            <w:shd w:val="clear" w:color="auto" w:fill="E5EFFD"/>
          </w:tcPr>
          <w:p>
            <w:pPr>
              <w:jc w:val="right"/>
              <w:ind w:right="160"/>
              <w:spacing w:after="0"/>
              <w:rPr>
                <w:sz w:val="20"/>
                <w:szCs w:val="20"/>
                <w:color w:val="auto"/>
              </w:rPr>
            </w:pPr>
            <w:r>
              <w:rPr>
                <w:rFonts w:ascii="Arial" w:cs="Arial" w:eastAsia="Arial" w:hAnsi="Arial"/>
                <w:sz w:val="16"/>
                <w:szCs w:val="16"/>
                <w:color w:val="005CB8"/>
              </w:rPr>
              <w:t>—</w:t>
            </w:r>
          </w:p>
        </w:tc>
        <w:tc>
          <w:tcPr>
            <w:tcW w:w="126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0" w:type="dxa"/>
            <w:vAlign w:val="bottom"/>
          </w:tcPr>
          <w:p>
            <w:pPr>
              <w:spacing w:after="0"/>
              <w:rPr>
                <w:sz w:val="1"/>
                <w:szCs w:val="1"/>
                <w:color w:val="auto"/>
              </w:rPr>
            </w:pPr>
          </w:p>
        </w:tc>
      </w:tr>
      <w:tr>
        <w:trPr>
          <w:trHeight w:val="378"/>
        </w:trPr>
        <w:tc>
          <w:tcPr>
            <w:tcW w:w="315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Robert J. Mylod, Jr.</w:t>
            </w:r>
            <w:r>
              <w:rPr>
                <w:rFonts w:ascii="Arial" w:cs="Arial" w:eastAsia="Arial" w:hAnsi="Arial"/>
                <w:sz w:val="26"/>
                <w:szCs w:val="26"/>
                <w:color w:val="005CB8"/>
                <w:vertAlign w:val="superscript"/>
              </w:rPr>
              <w:t>(4)</w:t>
            </w:r>
          </w:p>
        </w:tc>
        <w:tc>
          <w:tcPr>
            <w:tcW w:w="290" w:type="dxa"/>
            <w:vAlign w:val="bottom"/>
            <w:shd w:val="clear" w:color="auto" w:fill="E5EFFD"/>
          </w:tcPr>
          <w:p>
            <w:pPr>
              <w:spacing w:after="0"/>
              <w:rPr>
                <w:sz w:val="24"/>
                <w:szCs w:val="24"/>
                <w:color w:val="auto"/>
              </w:rPr>
            </w:pPr>
          </w:p>
        </w:tc>
        <w:tc>
          <w:tcPr>
            <w:tcW w:w="128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177,011</w:t>
            </w:r>
          </w:p>
        </w:tc>
        <w:tc>
          <w:tcPr>
            <w:tcW w:w="200" w:type="dxa"/>
            <w:vAlign w:val="bottom"/>
            <w:shd w:val="clear" w:color="auto" w:fill="E5EFFD"/>
          </w:tcPr>
          <w:p>
            <w:pPr>
              <w:spacing w:after="0"/>
              <w:rPr>
                <w:sz w:val="24"/>
                <w:szCs w:val="24"/>
                <w:color w:val="auto"/>
              </w:rPr>
            </w:pPr>
          </w:p>
        </w:tc>
        <w:tc>
          <w:tcPr>
            <w:tcW w:w="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380" w:type="dxa"/>
            <w:vAlign w:val="bottom"/>
            <w:shd w:val="clear" w:color="auto" w:fill="E5EFFD"/>
          </w:tcPr>
          <w:p>
            <w:pPr>
              <w:spacing w:after="0"/>
              <w:rPr>
                <w:sz w:val="24"/>
                <w:szCs w:val="24"/>
                <w:color w:val="auto"/>
              </w:rPr>
            </w:pPr>
          </w:p>
        </w:tc>
        <w:tc>
          <w:tcPr>
            <w:tcW w:w="128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180" w:type="dxa"/>
            <w:vAlign w:val="bottom"/>
            <w:shd w:val="clear" w:color="auto" w:fill="E5EFFD"/>
          </w:tcPr>
          <w:p>
            <w:pPr>
              <w:spacing w:after="0"/>
              <w:rPr>
                <w:sz w:val="24"/>
                <w:szCs w:val="24"/>
                <w:color w:val="auto"/>
              </w:rPr>
            </w:pPr>
          </w:p>
        </w:tc>
        <w:tc>
          <w:tcPr>
            <w:tcW w:w="900" w:type="dxa"/>
            <w:vAlign w:val="bottom"/>
            <w:shd w:val="clear" w:color="auto" w:fill="E5EFFD"/>
          </w:tcPr>
          <w:p>
            <w:pPr>
              <w:jc w:val="right"/>
              <w:ind w:right="160"/>
              <w:spacing w:after="0"/>
              <w:rPr>
                <w:sz w:val="20"/>
                <w:szCs w:val="20"/>
                <w:color w:val="auto"/>
              </w:rPr>
            </w:pPr>
            <w:r>
              <w:rPr>
                <w:rFonts w:ascii="Arial" w:cs="Arial" w:eastAsia="Arial" w:hAnsi="Arial"/>
                <w:sz w:val="16"/>
                <w:szCs w:val="16"/>
                <w:color w:val="005CB8"/>
              </w:rPr>
              <w:t>—</w:t>
            </w:r>
          </w:p>
        </w:tc>
        <w:tc>
          <w:tcPr>
            <w:tcW w:w="126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0" w:type="dxa"/>
            <w:vAlign w:val="bottom"/>
          </w:tcPr>
          <w:p>
            <w:pPr>
              <w:spacing w:after="0"/>
              <w:rPr>
                <w:sz w:val="1"/>
                <w:szCs w:val="1"/>
                <w:color w:val="auto"/>
              </w:rPr>
            </w:pPr>
          </w:p>
        </w:tc>
      </w:tr>
      <w:tr>
        <w:trPr>
          <w:trHeight w:val="291"/>
        </w:trPr>
        <w:tc>
          <w:tcPr>
            <w:tcW w:w="315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Karen Peacock</w:t>
            </w:r>
          </w:p>
        </w:tc>
        <w:tc>
          <w:tcPr>
            <w:tcW w:w="290" w:type="dxa"/>
            <w:vAlign w:val="bottom"/>
            <w:shd w:val="clear" w:color="auto" w:fill="E5EFFD"/>
          </w:tcPr>
          <w:p>
            <w:pPr>
              <w:spacing w:after="0"/>
              <w:rPr>
                <w:sz w:val="24"/>
                <w:szCs w:val="24"/>
                <w:color w:val="auto"/>
              </w:rPr>
            </w:pPr>
          </w:p>
        </w:tc>
        <w:tc>
          <w:tcPr>
            <w:tcW w:w="128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w:t>
            </w:r>
          </w:p>
        </w:tc>
        <w:tc>
          <w:tcPr>
            <w:tcW w:w="200" w:type="dxa"/>
            <w:vAlign w:val="bottom"/>
            <w:shd w:val="clear" w:color="auto" w:fill="E5EFFD"/>
          </w:tcPr>
          <w:p>
            <w:pPr>
              <w:spacing w:after="0"/>
              <w:rPr>
                <w:sz w:val="24"/>
                <w:szCs w:val="24"/>
                <w:color w:val="auto"/>
              </w:rPr>
            </w:pPr>
          </w:p>
        </w:tc>
        <w:tc>
          <w:tcPr>
            <w:tcW w:w="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380" w:type="dxa"/>
            <w:vAlign w:val="bottom"/>
            <w:shd w:val="clear" w:color="auto" w:fill="E5EFFD"/>
          </w:tcPr>
          <w:p>
            <w:pPr>
              <w:spacing w:after="0"/>
              <w:rPr>
                <w:sz w:val="24"/>
                <w:szCs w:val="24"/>
                <w:color w:val="auto"/>
              </w:rPr>
            </w:pPr>
          </w:p>
        </w:tc>
        <w:tc>
          <w:tcPr>
            <w:tcW w:w="128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180" w:type="dxa"/>
            <w:vAlign w:val="bottom"/>
            <w:shd w:val="clear" w:color="auto" w:fill="E5EFFD"/>
          </w:tcPr>
          <w:p>
            <w:pPr>
              <w:spacing w:after="0"/>
              <w:rPr>
                <w:sz w:val="24"/>
                <w:szCs w:val="24"/>
                <w:color w:val="auto"/>
              </w:rPr>
            </w:pPr>
          </w:p>
        </w:tc>
        <w:tc>
          <w:tcPr>
            <w:tcW w:w="900" w:type="dxa"/>
            <w:vAlign w:val="bottom"/>
            <w:shd w:val="clear" w:color="auto" w:fill="E5EFFD"/>
          </w:tcPr>
          <w:p>
            <w:pPr>
              <w:jc w:val="right"/>
              <w:ind w:right="160"/>
              <w:spacing w:after="0"/>
              <w:rPr>
                <w:sz w:val="20"/>
                <w:szCs w:val="20"/>
                <w:color w:val="auto"/>
              </w:rPr>
            </w:pPr>
            <w:r>
              <w:rPr>
                <w:rFonts w:ascii="Arial" w:cs="Arial" w:eastAsia="Arial" w:hAnsi="Arial"/>
                <w:sz w:val="16"/>
                <w:szCs w:val="16"/>
                <w:color w:val="005CB8"/>
              </w:rPr>
              <w:t>—</w:t>
            </w:r>
          </w:p>
        </w:tc>
        <w:tc>
          <w:tcPr>
            <w:tcW w:w="126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0" w:type="dxa"/>
            <w:vAlign w:val="bottom"/>
          </w:tcPr>
          <w:p>
            <w:pPr>
              <w:spacing w:after="0"/>
              <w:rPr>
                <w:sz w:val="1"/>
                <w:szCs w:val="1"/>
                <w:color w:val="auto"/>
              </w:rPr>
            </w:pPr>
          </w:p>
        </w:tc>
      </w:tr>
      <w:tr>
        <w:trPr>
          <w:trHeight w:val="378"/>
        </w:trPr>
        <w:tc>
          <w:tcPr>
            <w:tcW w:w="315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Condoleezza Rice</w:t>
            </w:r>
          </w:p>
        </w:tc>
        <w:tc>
          <w:tcPr>
            <w:tcW w:w="290" w:type="dxa"/>
            <w:vAlign w:val="bottom"/>
            <w:shd w:val="clear" w:color="auto" w:fill="E5EFFD"/>
          </w:tcPr>
          <w:p>
            <w:pPr>
              <w:spacing w:after="0"/>
              <w:rPr>
                <w:sz w:val="24"/>
                <w:szCs w:val="24"/>
                <w:color w:val="auto"/>
              </w:rPr>
            </w:pPr>
          </w:p>
        </w:tc>
        <w:tc>
          <w:tcPr>
            <w:tcW w:w="128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43,109</w:t>
            </w:r>
          </w:p>
        </w:tc>
        <w:tc>
          <w:tcPr>
            <w:tcW w:w="200" w:type="dxa"/>
            <w:vAlign w:val="bottom"/>
            <w:shd w:val="clear" w:color="auto" w:fill="E5EFFD"/>
          </w:tcPr>
          <w:p>
            <w:pPr>
              <w:spacing w:after="0"/>
              <w:rPr>
                <w:sz w:val="24"/>
                <w:szCs w:val="24"/>
                <w:color w:val="auto"/>
              </w:rPr>
            </w:pPr>
          </w:p>
        </w:tc>
        <w:tc>
          <w:tcPr>
            <w:tcW w:w="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380" w:type="dxa"/>
            <w:vAlign w:val="bottom"/>
            <w:shd w:val="clear" w:color="auto" w:fill="E5EFFD"/>
          </w:tcPr>
          <w:p>
            <w:pPr>
              <w:spacing w:after="0"/>
              <w:rPr>
                <w:sz w:val="24"/>
                <w:szCs w:val="24"/>
                <w:color w:val="auto"/>
              </w:rPr>
            </w:pPr>
          </w:p>
        </w:tc>
        <w:tc>
          <w:tcPr>
            <w:tcW w:w="128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180" w:type="dxa"/>
            <w:vAlign w:val="bottom"/>
            <w:shd w:val="clear" w:color="auto" w:fill="E5EFFD"/>
          </w:tcPr>
          <w:p>
            <w:pPr>
              <w:spacing w:after="0"/>
              <w:rPr>
                <w:sz w:val="24"/>
                <w:szCs w:val="24"/>
                <w:color w:val="auto"/>
              </w:rPr>
            </w:pPr>
          </w:p>
        </w:tc>
        <w:tc>
          <w:tcPr>
            <w:tcW w:w="900" w:type="dxa"/>
            <w:vAlign w:val="bottom"/>
            <w:shd w:val="clear" w:color="auto" w:fill="E5EFFD"/>
          </w:tcPr>
          <w:p>
            <w:pPr>
              <w:jc w:val="right"/>
              <w:ind w:right="160"/>
              <w:spacing w:after="0"/>
              <w:rPr>
                <w:sz w:val="20"/>
                <w:szCs w:val="20"/>
                <w:color w:val="auto"/>
              </w:rPr>
            </w:pPr>
            <w:r>
              <w:rPr>
                <w:rFonts w:ascii="Arial" w:cs="Arial" w:eastAsia="Arial" w:hAnsi="Arial"/>
                <w:sz w:val="16"/>
                <w:szCs w:val="16"/>
                <w:color w:val="005CB8"/>
              </w:rPr>
              <w:t>—</w:t>
            </w:r>
          </w:p>
        </w:tc>
        <w:tc>
          <w:tcPr>
            <w:tcW w:w="126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0" w:type="dxa"/>
            <w:vAlign w:val="bottom"/>
          </w:tcPr>
          <w:p>
            <w:pPr>
              <w:spacing w:after="0"/>
              <w:rPr>
                <w:sz w:val="1"/>
                <w:szCs w:val="1"/>
                <w:color w:val="auto"/>
              </w:rPr>
            </w:pPr>
          </w:p>
        </w:tc>
      </w:tr>
      <w:tr>
        <w:trPr>
          <w:trHeight w:val="465"/>
        </w:trPr>
        <w:tc>
          <w:tcPr>
            <w:tcW w:w="315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R. Bryan Schreier</w:t>
            </w:r>
            <w:r>
              <w:rPr>
                <w:rFonts w:ascii="Arial" w:cs="Arial" w:eastAsia="Arial" w:hAnsi="Arial"/>
                <w:sz w:val="26"/>
                <w:szCs w:val="26"/>
                <w:color w:val="005CB8"/>
                <w:vertAlign w:val="superscript"/>
              </w:rPr>
              <w:t>(5)</w:t>
            </w:r>
          </w:p>
        </w:tc>
        <w:tc>
          <w:tcPr>
            <w:tcW w:w="290" w:type="dxa"/>
            <w:vAlign w:val="bottom"/>
            <w:shd w:val="clear" w:color="auto" w:fill="E5EFFD"/>
          </w:tcPr>
          <w:p>
            <w:pPr>
              <w:spacing w:after="0"/>
              <w:rPr>
                <w:sz w:val="24"/>
                <w:szCs w:val="24"/>
                <w:color w:val="auto"/>
              </w:rPr>
            </w:pPr>
          </w:p>
        </w:tc>
        <w:tc>
          <w:tcPr>
            <w:tcW w:w="128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551,895</w:t>
            </w:r>
          </w:p>
        </w:tc>
        <w:tc>
          <w:tcPr>
            <w:tcW w:w="200" w:type="dxa"/>
            <w:vAlign w:val="bottom"/>
            <w:shd w:val="clear" w:color="auto" w:fill="E5EFFD"/>
          </w:tcPr>
          <w:p>
            <w:pPr>
              <w:spacing w:after="0"/>
              <w:rPr>
                <w:sz w:val="24"/>
                <w:szCs w:val="24"/>
                <w:color w:val="auto"/>
              </w:rPr>
            </w:pPr>
          </w:p>
        </w:tc>
        <w:tc>
          <w:tcPr>
            <w:tcW w:w="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380" w:type="dxa"/>
            <w:vAlign w:val="bottom"/>
            <w:shd w:val="clear" w:color="auto" w:fill="E5EFFD"/>
          </w:tcPr>
          <w:p>
            <w:pPr>
              <w:spacing w:after="0"/>
              <w:rPr>
                <w:sz w:val="24"/>
                <w:szCs w:val="24"/>
                <w:color w:val="auto"/>
              </w:rPr>
            </w:pPr>
          </w:p>
        </w:tc>
        <w:tc>
          <w:tcPr>
            <w:tcW w:w="128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180" w:type="dxa"/>
            <w:vAlign w:val="bottom"/>
            <w:shd w:val="clear" w:color="auto" w:fill="E5EFFD"/>
          </w:tcPr>
          <w:p>
            <w:pPr>
              <w:spacing w:after="0"/>
              <w:rPr>
                <w:sz w:val="24"/>
                <w:szCs w:val="24"/>
                <w:color w:val="auto"/>
              </w:rPr>
            </w:pPr>
          </w:p>
        </w:tc>
        <w:tc>
          <w:tcPr>
            <w:tcW w:w="900" w:type="dxa"/>
            <w:vAlign w:val="bottom"/>
            <w:shd w:val="clear" w:color="auto" w:fill="E5EFFD"/>
          </w:tcPr>
          <w:p>
            <w:pPr>
              <w:jc w:val="right"/>
              <w:ind w:right="160"/>
              <w:spacing w:after="0"/>
              <w:rPr>
                <w:sz w:val="20"/>
                <w:szCs w:val="20"/>
                <w:color w:val="auto"/>
              </w:rPr>
            </w:pPr>
            <w:r>
              <w:rPr>
                <w:rFonts w:ascii="Arial" w:cs="Arial" w:eastAsia="Arial" w:hAnsi="Arial"/>
                <w:sz w:val="16"/>
                <w:szCs w:val="16"/>
                <w:color w:val="005CB8"/>
              </w:rPr>
              <w:t>—</w:t>
            </w:r>
          </w:p>
        </w:tc>
        <w:tc>
          <w:tcPr>
            <w:tcW w:w="126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0" w:type="dxa"/>
            <w:vAlign w:val="bottom"/>
          </w:tcPr>
          <w:p>
            <w:pPr>
              <w:spacing w:after="0"/>
              <w:rPr>
                <w:sz w:val="1"/>
                <w:szCs w:val="1"/>
                <w:color w:val="auto"/>
              </w:rPr>
            </w:pPr>
          </w:p>
        </w:tc>
      </w:tr>
      <w:tr>
        <w:trPr>
          <w:trHeight w:val="378"/>
        </w:trPr>
        <w:tc>
          <w:tcPr>
            <w:tcW w:w="315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Margaret C. Whitman</w:t>
            </w:r>
            <w:r>
              <w:rPr>
                <w:rFonts w:ascii="Arial" w:cs="Arial" w:eastAsia="Arial" w:hAnsi="Arial"/>
                <w:sz w:val="26"/>
                <w:szCs w:val="26"/>
                <w:color w:val="005CB8"/>
                <w:vertAlign w:val="superscript"/>
              </w:rPr>
              <w:t>(6)</w:t>
            </w:r>
          </w:p>
        </w:tc>
        <w:tc>
          <w:tcPr>
            <w:tcW w:w="290" w:type="dxa"/>
            <w:vAlign w:val="bottom"/>
            <w:shd w:val="clear" w:color="auto" w:fill="E5EFFD"/>
          </w:tcPr>
          <w:p>
            <w:pPr>
              <w:spacing w:after="0"/>
              <w:rPr>
                <w:sz w:val="24"/>
                <w:szCs w:val="24"/>
                <w:color w:val="auto"/>
              </w:rPr>
            </w:pPr>
          </w:p>
        </w:tc>
        <w:tc>
          <w:tcPr>
            <w:tcW w:w="128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53,333</w:t>
            </w:r>
          </w:p>
        </w:tc>
        <w:tc>
          <w:tcPr>
            <w:tcW w:w="200" w:type="dxa"/>
            <w:vAlign w:val="bottom"/>
            <w:shd w:val="clear" w:color="auto" w:fill="E5EFFD"/>
          </w:tcPr>
          <w:p>
            <w:pPr>
              <w:spacing w:after="0"/>
              <w:rPr>
                <w:sz w:val="24"/>
                <w:szCs w:val="24"/>
                <w:color w:val="auto"/>
              </w:rPr>
            </w:pPr>
          </w:p>
        </w:tc>
        <w:tc>
          <w:tcPr>
            <w:tcW w:w="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380" w:type="dxa"/>
            <w:vAlign w:val="bottom"/>
            <w:shd w:val="clear" w:color="auto" w:fill="E5EFFD"/>
          </w:tcPr>
          <w:p>
            <w:pPr>
              <w:spacing w:after="0"/>
              <w:rPr>
                <w:sz w:val="24"/>
                <w:szCs w:val="24"/>
                <w:color w:val="auto"/>
              </w:rPr>
            </w:pPr>
          </w:p>
        </w:tc>
        <w:tc>
          <w:tcPr>
            <w:tcW w:w="128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34,901</w:t>
            </w:r>
          </w:p>
        </w:tc>
        <w:tc>
          <w:tcPr>
            <w:tcW w:w="180" w:type="dxa"/>
            <w:vAlign w:val="bottom"/>
            <w:shd w:val="clear" w:color="auto" w:fill="E5EFFD"/>
          </w:tcPr>
          <w:p>
            <w:pPr>
              <w:spacing w:after="0"/>
              <w:rPr>
                <w:sz w:val="24"/>
                <w:szCs w:val="24"/>
                <w:color w:val="auto"/>
              </w:rPr>
            </w:pPr>
          </w:p>
        </w:tc>
        <w:tc>
          <w:tcPr>
            <w:tcW w:w="900" w:type="dxa"/>
            <w:vAlign w:val="bottom"/>
            <w:shd w:val="clear" w:color="auto" w:fill="E5EFFD"/>
          </w:tcPr>
          <w:p>
            <w:pPr>
              <w:jc w:val="right"/>
              <w:ind w:right="100"/>
              <w:spacing w:after="0"/>
              <w:rPr>
                <w:sz w:val="20"/>
                <w:szCs w:val="20"/>
                <w:color w:val="auto"/>
              </w:rPr>
            </w:pPr>
            <w:r>
              <w:rPr>
                <w:rFonts w:ascii="Arial" w:cs="Arial" w:eastAsia="Arial" w:hAnsi="Arial"/>
                <w:sz w:val="16"/>
                <w:szCs w:val="16"/>
                <w:color w:val="005CB8"/>
              </w:rPr>
              <w:t>*</w:t>
            </w:r>
          </w:p>
        </w:tc>
        <w:tc>
          <w:tcPr>
            <w:tcW w:w="126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w:t>
            </w:r>
          </w:p>
        </w:tc>
        <w:tc>
          <w:tcPr>
            <w:tcW w:w="0" w:type="dxa"/>
            <w:vAlign w:val="bottom"/>
          </w:tcPr>
          <w:p>
            <w:pPr>
              <w:spacing w:after="0"/>
              <w:rPr>
                <w:sz w:val="1"/>
                <w:szCs w:val="1"/>
                <w:color w:val="auto"/>
              </w:rPr>
            </w:pPr>
          </w:p>
        </w:tc>
      </w:tr>
      <w:tr>
        <w:trPr>
          <w:trHeight w:val="285"/>
        </w:trPr>
        <w:tc>
          <w:tcPr>
            <w:tcW w:w="315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All current executive officers and directors</w:t>
            </w:r>
          </w:p>
        </w:tc>
        <w:tc>
          <w:tcPr>
            <w:tcW w:w="290" w:type="dxa"/>
            <w:vAlign w:val="bottom"/>
            <w:shd w:val="clear" w:color="auto" w:fill="E5EFFD"/>
          </w:tcPr>
          <w:p>
            <w:pPr>
              <w:spacing w:after="0"/>
              <w:rPr>
                <w:sz w:val="24"/>
                <w:szCs w:val="24"/>
                <w:color w:val="auto"/>
              </w:rPr>
            </w:pPr>
          </w:p>
        </w:tc>
        <w:tc>
          <w:tcPr>
            <w:tcW w:w="1280" w:type="dxa"/>
            <w:vAlign w:val="bottom"/>
            <w:vMerge w:val="restart"/>
            <w:shd w:val="clear" w:color="auto" w:fill="E5EFFD"/>
          </w:tcPr>
          <w:p>
            <w:pPr>
              <w:jc w:val="right"/>
              <w:spacing w:after="0"/>
              <w:rPr>
                <w:sz w:val="20"/>
                <w:szCs w:val="20"/>
                <w:color w:val="auto"/>
              </w:rPr>
            </w:pPr>
            <w:r>
              <w:rPr>
                <w:rFonts w:ascii="Arial" w:cs="Arial" w:eastAsia="Arial" w:hAnsi="Arial"/>
                <w:sz w:val="16"/>
                <w:szCs w:val="16"/>
                <w:color w:val="005CB8"/>
              </w:rPr>
              <w:t>19,364,694</w:t>
            </w:r>
            <w:r>
              <w:rPr>
                <w:rFonts w:ascii="Arial" w:cs="Arial" w:eastAsia="Arial" w:hAnsi="Arial"/>
                <w:sz w:val="26"/>
                <w:szCs w:val="26"/>
                <w:color w:val="005CB8"/>
                <w:vertAlign w:val="superscript"/>
              </w:rPr>
              <w:t>(7)</w:t>
            </w:r>
          </w:p>
        </w:tc>
        <w:tc>
          <w:tcPr>
            <w:tcW w:w="200" w:type="dxa"/>
            <w:vAlign w:val="bottom"/>
            <w:shd w:val="clear" w:color="auto" w:fill="E5EFFD"/>
          </w:tcPr>
          <w:p>
            <w:pPr>
              <w:spacing w:after="0"/>
              <w:rPr>
                <w:sz w:val="24"/>
                <w:szCs w:val="24"/>
                <w:color w:val="auto"/>
              </w:rPr>
            </w:pPr>
          </w:p>
        </w:tc>
        <w:tc>
          <w:tcPr>
            <w:tcW w:w="640" w:type="dxa"/>
            <w:vAlign w:val="bottom"/>
            <w:shd w:val="clear" w:color="auto" w:fill="E5EFFD"/>
          </w:tcPr>
          <w:p>
            <w:pPr>
              <w:spacing w:after="0"/>
              <w:rPr>
                <w:sz w:val="24"/>
                <w:szCs w:val="24"/>
                <w:color w:val="auto"/>
              </w:rPr>
            </w:pPr>
          </w:p>
        </w:tc>
        <w:tc>
          <w:tcPr>
            <w:tcW w:w="380" w:type="dxa"/>
            <w:vAlign w:val="bottom"/>
            <w:shd w:val="clear" w:color="auto" w:fill="E5EFFD"/>
          </w:tcPr>
          <w:p>
            <w:pPr>
              <w:spacing w:after="0"/>
              <w:rPr>
                <w:sz w:val="24"/>
                <w:szCs w:val="24"/>
                <w:color w:val="auto"/>
              </w:rPr>
            </w:pPr>
          </w:p>
        </w:tc>
        <w:tc>
          <w:tcPr>
            <w:tcW w:w="1280" w:type="dxa"/>
            <w:vAlign w:val="bottom"/>
            <w:vMerge w:val="restart"/>
            <w:shd w:val="clear" w:color="auto" w:fill="E5EFFD"/>
          </w:tcPr>
          <w:p>
            <w:pPr>
              <w:jc w:val="right"/>
              <w:spacing w:after="0"/>
              <w:rPr>
                <w:sz w:val="20"/>
                <w:szCs w:val="20"/>
                <w:color w:val="auto"/>
              </w:rPr>
            </w:pPr>
            <w:r>
              <w:rPr>
                <w:rFonts w:ascii="Arial" w:cs="Arial" w:eastAsia="Arial" w:hAnsi="Arial"/>
                <w:sz w:val="16"/>
                <w:szCs w:val="16"/>
                <w:color w:val="005CB8"/>
              </w:rPr>
              <w:t>114,317,738</w:t>
            </w:r>
            <w:r>
              <w:rPr>
                <w:rFonts w:ascii="Arial" w:cs="Arial" w:eastAsia="Arial" w:hAnsi="Arial"/>
                <w:sz w:val="26"/>
                <w:szCs w:val="26"/>
                <w:color w:val="005CB8"/>
                <w:vertAlign w:val="superscript"/>
              </w:rPr>
              <w:t>(8)</w:t>
            </w:r>
          </w:p>
        </w:tc>
        <w:tc>
          <w:tcPr>
            <w:tcW w:w="180" w:type="dxa"/>
            <w:vAlign w:val="bottom"/>
            <w:shd w:val="clear" w:color="auto" w:fill="E5EFFD"/>
          </w:tcPr>
          <w:p>
            <w:pPr>
              <w:spacing w:after="0"/>
              <w:rPr>
                <w:sz w:val="24"/>
                <w:szCs w:val="24"/>
                <w:color w:val="auto"/>
              </w:rPr>
            </w:pPr>
          </w:p>
        </w:tc>
        <w:tc>
          <w:tcPr>
            <w:tcW w:w="900" w:type="dxa"/>
            <w:vAlign w:val="bottom"/>
            <w:shd w:val="clear" w:color="auto" w:fill="E5EFFD"/>
          </w:tcPr>
          <w:p>
            <w:pPr>
              <w:spacing w:after="0"/>
              <w:rPr>
                <w:sz w:val="24"/>
                <w:szCs w:val="24"/>
                <w:color w:val="auto"/>
              </w:rPr>
            </w:pPr>
          </w:p>
        </w:tc>
        <w:tc>
          <w:tcPr>
            <w:tcW w:w="1260" w:type="dxa"/>
            <w:vAlign w:val="bottom"/>
            <w:shd w:val="clear" w:color="auto" w:fill="E5EFFD"/>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5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as a group (14 persons)</w:t>
            </w:r>
          </w:p>
        </w:tc>
        <w:tc>
          <w:tcPr>
            <w:tcW w:w="290" w:type="dxa"/>
            <w:vAlign w:val="bottom"/>
            <w:shd w:val="clear" w:color="auto" w:fill="E5EFFD"/>
          </w:tcPr>
          <w:p>
            <w:pPr>
              <w:spacing w:after="0"/>
              <w:rPr>
                <w:sz w:val="18"/>
                <w:szCs w:val="18"/>
                <w:color w:val="auto"/>
              </w:rPr>
            </w:pPr>
          </w:p>
        </w:tc>
        <w:tc>
          <w:tcPr>
            <w:tcW w:w="1280" w:type="dxa"/>
            <w:vAlign w:val="bottom"/>
            <w:vMerge w:val="continue"/>
            <w:shd w:val="clear" w:color="auto" w:fill="E5EFFD"/>
          </w:tcPr>
          <w:p>
            <w:pPr>
              <w:spacing w:after="0"/>
              <w:rPr>
                <w:sz w:val="18"/>
                <w:szCs w:val="18"/>
                <w:color w:val="auto"/>
              </w:rPr>
            </w:pPr>
          </w:p>
        </w:tc>
        <w:tc>
          <w:tcPr>
            <w:tcW w:w="200" w:type="dxa"/>
            <w:vAlign w:val="bottom"/>
            <w:shd w:val="clear" w:color="auto" w:fill="E5EFFD"/>
          </w:tcPr>
          <w:p>
            <w:pPr>
              <w:spacing w:after="0"/>
              <w:rPr>
                <w:sz w:val="18"/>
                <w:szCs w:val="18"/>
                <w:color w:val="auto"/>
              </w:rPr>
            </w:pPr>
          </w:p>
        </w:tc>
        <w:tc>
          <w:tcPr>
            <w:tcW w:w="64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6.9%</w:t>
            </w:r>
          </w:p>
        </w:tc>
        <w:tc>
          <w:tcPr>
            <w:tcW w:w="380" w:type="dxa"/>
            <w:vAlign w:val="bottom"/>
            <w:shd w:val="clear" w:color="auto" w:fill="E5EFFD"/>
          </w:tcPr>
          <w:p>
            <w:pPr>
              <w:spacing w:after="0"/>
              <w:rPr>
                <w:sz w:val="18"/>
                <w:szCs w:val="18"/>
                <w:color w:val="auto"/>
              </w:rPr>
            </w:pPr>
          </w:p>
        </w:tc>
        <w:tc>
          <w:tcPr>
            <w:tcW w:w="1280" w:type="dxa"/>
            <w:vAlign w:val="bottom"/>
            <w:vMerge w:val="continue"/>
            <w:shd w:val="clear" w:color="auto" w:fill="E5EFFD"/>
          </w:tcPr>
          <w:p>
            <w:pPr>
              <w:spacing w:after="0"/>
              <w:rPr>
                <w:sz w:val="18"/>
                <w:szCs w:val="18"/>
                <w:color w:val="auto"/>
              </w:rPr>
            </w:pPr>
          </w:p>
        </w:tc>
        <w:tc>
          <w:tcPr>
            <w:tcW w:w="180" w:type="dxa"/>
            <w:vAlign w:val="bottom"/>
            <w:shd w:val="clear" w:color="auto" w:fill="E5EFFD"/>
          </w:tcPr>
          <w:p>
            <w:pPr>
              <w:spacing w:after="0"/>
              <w:rPr>
                <w:sz w:val="18"/>
                <w:szCs w:val="18"/>
                <w:color w:val="auto"/>
              </w:rPr>
            </w:pPr>
          </w:p>
        </w:tc>
        <w:tc>
          <w:tcPr>
            <w:tcW w:w="900" w:type="dxa"/>
            <w:vAlign w:val="bottom"/>
            <w:shd w:val="clear" w:color="auto" w:fill="E5EFFD"/>
          </w:tcPr>
          <w:p>
            <w:pPr>
              <w:jc w:val="right"/>
              <w:ind w:right="160"/>
              <w:spacing w:after="0"/>
              <w:rPr>
                <w:sz w:val="20"/>
                <w:szCs w:val="20"/>
                <w:color w:val="auto"/>
              </w:rPr>
            </w:pPr>
            <w:r>
              <w:rPr>
                <w:rFonts w:ascii="Arial" w:cs="Arial" w:eastAsia="Arial" w:hAnsi="Arial"/>
                <w:sz w:val="16"/>
                <w:szCs w:val="16"/>
                <w:color w:val="005CB8"/>
              </w:rPr>
              <w:t>75.5%</w:t>
            </w:r>
          </w:p>
        </w:tc>
        <w:tc>
          <w:tcPr>
            <w:tcW w:w="1260" w:type="dxa"/>
            <w:vAlign w:val="bottom"/>
            <w:shd w:val="clear" w:color="auto" w:fill="E5EFFD"/>
          </w:tcPr>
          <w:p>
            <w:pPr>
              <w:jc w:val="right"/>
              <w:ind w:right="20"/>
              <w:spacing w:after="0"/>
              <w:rPr>
                <w:sz w:val="20"/>
                <w:szCs w:val="20"/>
                <w:color w:val="auto"/>
              </w:rPr>
            </w:pPr>
            <w:r>
              <w:rPr>
                <w:rFonts w:ascii="Arial" w:cs="Arial" w:eastAsia="Arial" w:hAnsi="Arial"/>
                <w:sz w:val="16"/>
                <w:szCs w:val="16"/>
                <w:color w:val="005CB8"/>
              </w:rPr>
              <w:t>64.7%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564"/>
          </w:cols>
          <w:pgMar w:left="1156" w:top="265" w:right="1179" w:bottom="1440" w:gutter="0" w:footer="0" w:header="0"/>
        </w:sectPr>
      </w:pPr>
    </w:p>
    <w:p>
      <w:pPr>
        <w:spacing w:after="0" w:line="16" w:lineRule="exact"/>
        <w:rPr>
          <w:sz w:val="20"/>
          <w:szCs w:val="20"/>
          <w:color w:val="auto"/>
        </w:rPr>
      </w:pPr>
    </w:p>
    <w:p>
      <w:pPr>
        <w:ind w:left="524" w:hanging="524"/>
        <w:spacing w:after="0"/>
        <w:tabs>
          <w:tab w:leader="none" w:pos="524" w:val="left"/>
        </w:tabs>
        <w:numPr>
          <w:ilvl w:val="0"/>
          <w:numId w:val="75"/>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120650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type w:val="continuous"/>
        </w:sectPr>
      </w:pPr>
    </w:p>
    <w:bookmarkStart w:id="52" w:name="page53"/>
    <w:bookmarkEnd w:id="52"/>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right="1020"/>
        <w:spacing w:after="0" w:line="260" w:lineRule="auto"/>
        <w:rPr>
          <w:sz w:val="20"/>
          <w:szCs w:val="20"/>
          <w:color w:val="auto"/>
        </w:rPr>
      </w:pPr>
      <w:r>
        <w:rPr>
          <w:rFonts w:ascii="Arial" w:cs="Arial" w:eastAsia="Arial" w:hAnsi="Arial"/>
          <w:sz w:val="32"/>
          <w:szCs w:val="32"/>
          <w:color w:val="005CB8"/>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116840</wp:posOffset>
            </wp:positionV>
            <wp:extent cx="6077585" cy="1602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7585" cy="1602740"/>
                    </a:xfrm>
                    <a:prstGeom prst="rect">
                      <a:avLst/>
                    </a:prstGeom>
                    <a:noFill/>
                  </pic:spPr>
                </pic:pic>
              </a:graphicData>
            </a:graphic>
          </wp:anchor>
        </w:drawing>
      </w:r>
    </w:p>
    <w:p>
      <w:pPr>
        <w:spacing w:after="0" w:line="164" w:lineRule="exact"/>
        <w:rPr>
          <w:sz w:val="20"/>
          <w:szCs w:val="20"/>
          <w:color w:val="auto"/>
        </w:rPr>
      </w:pPr>
    </w:p>
    <w:tbl>
      <w:tblPr>
        <w:tblLayout w:type="fixed"/>
        <w:tblInd w:w="720" w:type="dxa"/>
        <w:tblCellMar>
          <w:top w:w="0" w:type="dxa"/>
          <w:left w:w="0" w:type="dxa"/>
          <w:bottom w:w="0" w:type="dxa"/>
          <w:right w:w="0" w:type="dxa"/>
        </w:tblCellMar>
      </w:tblPr>
      <w:tr>
        <w:trPr>
          <w:trHeight w:val="285"/>
        </w:trPr>
        <w:tc>
          <w:tcPr>
            <w:tcW w:w="3280" w:type="dxa"/>
            <w:vAlign w:val="bottom"/>
            <w:shd w:val="clear" w:color="auto" w:fill="0060EC"/>
          </w:tcPr>
          <w:p>
            <w:pPr>
              <w:spacing w:after="0"/>
              <w:rPr>
                <w:sz w:val="24"/>
                <w:szCs w:val="24"/>
                <w:color w:val="auto"/>
              </w:rPr>
            </w:pPr>
          </w:p>
        </w:tc>
        <w:tc>
          <w:tcPr>
            <w:tcW w:w="4240" w:type="dxa"/>
            <w:vAlign w:val="bottom"/>
            <w:gridSpan w:val="3"/>
            <w:shd w:val="clear" w:color="auto" w:fill="0060EC"/>
          </w:tcPr>
          <w:p>
            <w:pPr>
              <w:jc w:val="right"/>
              <w:ind w:right="43"/>
              <w:spacing w:after="0"/>
              <w:rPr>
                <w:sz w:val="20"/>
                <w:szCs w:val="20"/>
                <w:color w:val="auto"/>
              </w:rPr>
            </w:pPr>
            <w:r>
              <w:rPr>
                <w:rFonts w:ascii="Arial" w:cs="Arial" w:eastAsia="Arial" w:hAnsi="Arial"/>
                <w:sz w:val="14"/>
                <w:szCs w:val="14"/>
                <w:b w:val="1"/>
                <w:bCs w:val="1"/>
                <w:color w:val="FFFFFF"/>
              </w:rPr>
              <w:t>Amount and nature of beneficial ownership</w:t>
            </w:r>
          </w:p>
        </w:tc>
        <w:tc>
          <w:tcPr>
            <w:tcW w:w="800" w:type="dxa"/>
            <w:vAlign w:val="bottom"/>
            <w:shd w:val="clear" w:color="auto" w:fill="0060EC"/>
          </w:tcPr>
          <w:p>
            <w:pPr>
              <w:spacing w:after="0"/>
              <w:rPr>
                <w:sz w:val="24"/>
                <w:szCs w:val="24"/>
                <w:color w:val="auto"/>
              </w:rPr>
            </w:pPr>
          </w:p>
        </w:tc>
        <w:tc>
          <w:tcPr>
            <w:tcW w:w="1240" w:type="dxa"/>
            <w:vAlign w:val="bottom"/>
            <w:shd w:val="clear" w:color="auto" w:fill="0060EC"/>
          </w:tcPr>
          <w:p>
            <w:pPr>
              <w:spacing w:after="0"/>
              <w:rPr>
                <w:sz w:val="24"/>
                <w:szCs w:val="24"/>
                <w:color w:val="auto"/>
              </w:rPr>
            </w:pPr>
          </w:p>
        </w:tc>
      </w:tr>
      <w:tr>
        <w:trPr>
          <w:trHeight w:val="309"/>
        </w:trPr>
        <w:tc>
          <w:tcPr>
            <w:tcW w:w="3280" w:type="dxa"/>
            <w:vAlign w:val="bottom"/>
            <w:shd w:val="clear" w:color="auto" w:fill="0060EC"/>
          </w:tcPr>
          <w:p>
            <w:pPr>
              <w:spacing w:after="0"/>
              <w:rPr>
                <w:sz w:val="24"/>
                <w:szCs w:val="24"/>
                <w:color w:val="auto"/>
              </w:rPr>
            </w:pPr>
          </w:p>
        </w:tc>
        <w:tc>
          <w:tcPr>
            <w:tcW w:w="1760" w:type="dxa"/>
            <w:vAlign w:val="bottom"/>
            <w:shd w:val="clear" w:color="auto" w:fill="0060EC"/>
          </w:tcPr>
          <w:p>
            <w:pPr>
              <w:jc w:val="right"/>
              <w:ind w:right="444"/>
              <w:spacing w:after="0"/>
              <w:rPr>
                <w:sz w:val="20"/>
                <w:szCs w:val="20"/>
                <w:color w:val="auto"/>
              </w:rPr>
            </w:pPr>
            <w:r>
              <w:rPr>
                <w:rFonts w:ascii="Arial" w:cs="Arial" w:eastAsia="Arial" w:hAnsi="Arial"/>
                <w:sz w:val="14"/>
                <w:szCs w:val="14"/>
                <w:b w:val="1"/>
                <w:bCs w:val="1"/>
                <w:color w:val="FFFFFF"/>
              </w:rPr>
              <w:t>Class A</w:t>
            </w:r>
          </w:p>
        </w:tc>
        <w:tc>
          <w:tcPr>
            <w:tcW w:w="780" w:type="dxa"/>
            <w:vAlign w:val="bottom"/>
            <w:shd w:val="clear" w:color="auto" w:fill="0060EC"/>
          </w:tcPr>
          <w:p>
            <w:pPr>
              <w:spacing w:after="0"/>
              <w:rPr>
                <w:sz w:val="24"/>
                <w:szCs w:val="24"/>
                <w:color w:val="auto"/>
              </w:rPr>
            </w:pPr>
          </w:p>
        </w:tc>
        <w:tc>
          <w:tcPr>
            <w:tcW w:w="1700" w:type="dxa"/>
            <w:vAlign w:val="bottom"/>
            <w:shd w:val="clear" w:color="auto" w:fill="0060EC"/>
          </w:tcPr>
          <w:p>
            <w:pPr>
              <w:jc w:val="right"/>
              <w:ind w:right="563"/>
              <w:spacing w:after="0"/>
              <w:rPr>
                <w:sz w:val="20"/>
                <w:szCs w:val="20"/>
                <w:color w:val="auto"/>
              </w:rPr>
            </w:pPr>
            <w:r>
              <w:rPr>
                <w:rFonts w:ascii="Arial" w:cs="Arial" w:eastAsia="Arial" w:hAnsi="Arial"/>
                <w:sz w:val="14"/>
                <w:szCs w:val="14"/>
                <w:b w:val="1"/>
                <w:bCs w:val="1"/>
                <w:color w:val="FFFFFF"/>
              </w:rPr>
              <w:t>Class B</w:t>
            </w:r>
          </w:p>
        </w:tc>
        <w:tc>
          <w:tcPr>
            <w:tcW w:w="800" w:type="dxa"/>
            <w:vAlign w:val="bottom"/>
            <w:shd w:val="clear" w:color="auto" w:fill="0060EC"/>
          </w:tcPr>
          <w:p>
            <w:pPr>
              <w:spacing w:after="0"/>
              <w:rPr>
                <w:sz w:val="24"/>
                <w:szCs w:val="24"/>
                <w:color w:val="auto"/>
              </w:rPr>
            </w:pPr>
          </w:p>
        </w:tc>
        <w:tc>
          <w:tcPr>
            <w:tcW w:w="1240" w:type="dxa"/>
            <w:vAlign w:val="bottom"/>
            <w:shd w:val="clear" w:color="auto" w:fill="0060EC"/>
          </w:tcPr>
          <w:p>
            <w:pPr>
              <w:jc w:val="right"/>
              <w:ind w:right="143"/>
              <w:spacing w:after="0"/>
              <w:rPr>
                <w:sz w:val="20"/>
                <w:szCs w:val="20"/>
                <w:color w:val="auto"/>
              </w:rPr>
            </w:pPr>
            <w:r>
              <w:rPr>
                <w:rFonts w:ascii="Arial" w:cs="Arial" w:eastAsia="Arial" w:hAnsi="Arial"/>
                <w:sz w:val="14"/>
                <w:szCs w:val="14"/>
                <w:b w:val="1"/>
                <w:bCs w:val="1"/>
                <w:color w:val="FFFFFF"/>
              </w:rPr>
              <w:t>% of total</w:t>
            </w:r>
          </w:p>
        </w:tc>
      </w:tr>
      <w:tr>
        <w:trPr>
          <w:trHeight w:val="284"/>
        </w:trPr>
        <w:tc>
          <w:tcPr>
            <w:tcW w:w="3280" w:type="dxa"/>
            <w:vAlign w:val="bottom"/>
            <w:shd w:val="clear" w:color="auto" w:fill="0060EC"/>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1760" w:type="dxa"/>
            <w:vAlign w:val="bottom"/>
            <w:shd w:val="clear" w:color="auto" w:fill="0060EC"/>
          </w:tcPr>
          <w:p>
            <w:pPr>
              <w:jc w:val="right"/>
              <w:ind w:right="124"/>
              <w:spacing w:after="0"/>
              <w:rPr>
                <w:sz w:val="20"/>
                <w:szCs w:val="20"/>
                <w:color w:val="auto"/>
              </w:rPr>
            </w:pPr>
            <w:r>
              <w:rPr>
                <w:rFonts w:ascii="Arial" w:cs="Arial" w:eastAsia="Arial" w:hAnsi="Arial"/>
                <w:sz w:val="14"/>
                <w:szCs w:val="14"/>
                <w:b w:val="1"/>
                <w:bCs w:val="1"/>
                <w:color w:val="FFFFFF"/>
              </w:rPr>
              <w:t>Common shares</w:t>
            </w:r>
          </w:p>
        </w:tc>
        <w:tc>
          <w:tcPr>
            <w:tcW w:w="780" w:type="dxa"/>
            <w:vAlign w:val="bottom"/>
            <w:shd w:val="clear" w:color="auto" w:fill="0060EC"/>
          </w:tcPr>
          <w:p>
            <w:pPr>
              <w:jc w:val="right"/>
              <w:ind w:right="241"/>
              <w:spacing w:after="0"/>
              <w:rPr>
                <w:sz w:val="20"/>
                <w:szCs w:val="20"/>
                <w:color w:val="auto"/>
              </w:rPr>
            </w:pPr>
            <w:r>
              <w:rPr>
                <w:rFonts w:ascii="Arial" w:cs="Arial" w:eastAsia="Arial" w:hAnsi="Arial"/>
                <w:sz w:val="14"/>
                <w:szCs w:val="14"/>
                <w:b w:val="1"/>
                <w:bCs w:val="1"/>
                <w:color w:val="FFFFFF"/>
              </w:rPr>
              <w:t>%</w:t>
            </w:r>
          </w:p>
        </w:tc>
        <w:tc>
          <w:tcPr>
            <w:tcW w:w="1700" w:type="dxa"/>
            <w:vAlign w:val="bottom"/>
            <w:shd w:val="clear" w:color="auto" w:fill="0060EC"/>
          </w:tcPr>
          <w:p>
            <w:pPr>
              <w:jc w:val="right"/>
              <w:ind w:right="203"/>
              <w:spacing w:after="0"/>
              <w:rPr>
                <w:sz w:val="20"/>
                <w:szCs w:val="20"/>
                <w:color w:val="auto"/>
              </w:rPr>
            </w:pPr>
            <w:r>
              <w:rPr>
                <w:rFonts w:ascii="Arial" w:cs="Arial" w:eastAsia="Arial" w:hAnsi="Arial"/>
                <w:sz w:val="14"/>
                <w:szCs w:val="14"/>
                <w:b w:val="1"/>
                <w:bCs w:val="1"/>
                <w:color w:val="FFFFFF"/>
              </w:rPr>
              <w:t>Common shares†</w:t>
            </w:r>
          </w:p>
        </w:tc>
        <w:tc>
          <w:tcPr>
            <w:tcW w:w="800" w:type="dxa"/>
            <w:vAlign w:val="bottom"/>
            <w:shd w:val="clear" w:color="auto" w:fill="0060EC"/>
          </w:tcPr>
          <w:p>
            <w:pPr>
              <w:jc w:val="right"/>
              <w:ind w:right="281"/>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0060EC"/>
          </w:tcPr>
          <w:p>
            <w:pPr>
              <w:jc w:val="right"/>
              <w:spacing w:after="0"/>
              <w:rPr>
                <w:sz w:val="20"/>
                <w:szCs w:val="20"/>
                <w:color w:val="auto"/>
              </w:rPr>
            </w:pPr>
            <w:r>
              <w:rPr>
                <w:rFonts w:ascii="Arial" w:cs="Arial" w:eastAsia="Arial" w:hAnsi="Arial"/>
                <w:sz w:val="14"/>
                <w:szCs w:val="14"/>
                <w:b w:val="1"/>
                <w:bCs w:val="1"/>
                <w:color w:val="FFFFFF"/>
              </w:rPr>
              <w:t>voting power</w:t>
            </w:r>
            <w:r>
              <w:rPr>
                <w:rFonts w:ascii="Arial" w:cs="Arial" w:eastAsia="Arial" w:hAnsi="Arial"/>
                <w:sz w:val="23"/>
                <w:szCs w:val="23"/>
                <w:b w:val="1"/>
                <w:bCs w:val="1"/>
                <w:color w:val="FFFFFF"/>
                <w:vertAlign w:val="superscript"/>
              </w:rPr>
              <w:t>#</w:t>
            </w:r>
          </w:p>
        </w:tc>
      </w:tr>
      <w:tr>
        <w:trPr>
          <w:trHeight w:val="291"/>
        </w:trPr>
        <w:tc>
          <w:tcPr>
            <w:tcW w:w="3280" w:type="dxa"/>
            <w:vAlign w:val="bottom"/>
            <w:shd w:val="clear" w:color="auto" w:fill="E5EFFD"/>
          </w:tcPr>
          <w:p>
            <w:pPr>
              <w:ind w:left="60"/>
              <w:spacing w:after="0"/>
              <w:rPr>
                <w:sz w:val="20"/>
                <w:szCs w:val="20"/>
                <w:color w:val="auto"/>
              </w:rPr>
            </w:pPr>
            <w:r>
              <w:rPr>
                <w:rFonts w:ascii="Arial" w:cs="Arial" w:eastAsia="Arial" w:hAnsi="Arial"/>
                <w:sz w:val="16"/>
                <w:szCs w:val="16"/>
                <w:b w:val="1"/>
                <w:bCs w:val="1"/>
                <w:color w:val="005CB8"/>
              </w:rPr>
              <w:t>Greater than 5% stockholders</w:t>
            </w:r>
          </w:p>
        </w:tc>
        <w:tc>
          <w:tcPr>
            <w:tcW w:w="1760" w:type="dxa"/>
            <w:vAlign w:val="bottom"/>
            <w:shd w:val="clear" w:color="auto" w:fill="E5EFFD"/>
          </w:tcPr>
          <w:p>
            <w:pPr>
              <w:spacing w:after="0"/>
              <w:rPr>
                <w:sz w:val="24"/>
                <w:szCs w:val="24"/>
                <w:color w:val="auto"/>
              </w:rPr>
            </w:pPr>
          </w:p>
        </w:tc>
        <w:tc>
          <w:tcPr>
            <w:tcW w:w="780" w:type="dxa"/>
            <w:vAlign w:val="bottom"/>
            <w:shd w:val="clear" w:color="auto" w:fill="E5EFFD"/>
          </w:tcPr>
          <w:p>
            <w:pPr>
              <w:spacing w:after="0"/>
              <w:rPr>
                <w:sz w:val="24"/>
                <w:szCs w:val="24"/>
                <w:color w:val="auto"/>
              </w:rPr>
            </w:pPr>
          </w:p>
        </w:tc>
        <w:tc>
          <w:tcPr>
            <w:tcW w:w="1700" w:type="dxa"/>
            <w:vAlign w:val="bottom"/>
            <w:shd w:val="clear" w:color="auto" w:fill="E5EFFD"/>
          </w:tcPr>
          <w:p>
            <w:pPr>
              <w:spacing w:after="0"/>
              <w:rPr>
                <w:sz w:val="24"/>
                <w:szCs w:val="24"/>
                <w:color w:val="auto"/>
              </w:rPr>
            </w:pPr>
          </w:p>
        </w:tc>
        <w:tc>
          <w:tcPr>
            <w:tcW w:w="800" w:type="dxa"/>
            <w:vAlign w:val="bottom"/>
            <w:shd w:val="clear" w:color="auto" w:fill="E5EFFD"/>
          </w:tcPr>
          <w:p>
            <w:pPr>
              <w:spacing w:after="0"/>
              <w:rPr>
                <w:sz w:val="24"/>
                <w:szCs w:val="24"/>
                <w:color w:val="auto"/>
              </w:rPr>
            </w:pPr>
          </w:p>
        </w:tc>
        <w:tc>
          <w:tcPr>
            <w:tcW w:w="1240" w:type="dxa"/>
            <w:vAlign w:val="bottom"/>
            <w:shd w:val="clear" w:color="auto" w:fill="E5EFFD"/>
          </w:tcPr>
          <w:p>
            <w:pPr>
              <w:spacing w:after="0"/>
              <w:rPr>
                <w:sz w:val="24"/>
                <w:szCs w:val="24"/>
                <w:color w:val="auto"/>
              </w:rPr>
            </w:pPr>
          </w:p>
        </w:tc>
      </w:tr>
      <w:tr>
        <w:trPr>
          <w:trHeight w:val="378"/>
        </w:trPr>
        <w:tc>
          <w:tcPr>
            <w:tcW w:w="328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Entities affiliated with The Vanguard Group</w:t>
            </w:r>
          </w:p>
        </w:tc>
        <w:tc>
          <w:tcPr>
            <w:tcW w:w="1760" w:type="dxa"/>
            <w:vAlign w:val="bottom"/>
            <w:shd w:val="clear" w:color="auto" w:fill="E5EFFD"/>
          </w:tcPr>
          <w:p>
            <w:pPr>
              <w:jc w:val="right"/>
              <w:ind w:right="124"/>
              <w:spacing w:after="0"/>
              <w:rPr>
                <w:sz w:val="20"/>
                <w:szCs w:val="20"/>
                <w:color w:val="auto"/>
              </w:rPr>
            </w:pPr>
            <w:r>
              <w:rPr>
                <w:rFonts w:ascii="Arial" w:cs="Arial" w:eastAsia="Arial" w:hAnsi="Arial"/>
                <w:sz w:val="16"/>
                <w:szCs w:val="16"/>
                <w:color w:val="005CB8"/>
              </w:rPr>
              <w:t>20,557,933</w:t>
            </w:r>
          </w:p>
        </w:tc>
        <w:tc>
          <w:tcPr>
            <w:tcW w:w="780" w:type="dxa"/>
            <w:vAlign w:val="bottom"/>
            <w:shd w:val="clear" w:color="auto" w:fill="E5EFFD"/>
          </w:tcPr>
          <w:p>
            <w:pPr>
              <w:jc w:val="right"/>
              <w:ind w:right="121"/>
              <w:spacing w:after="0"/>
              <w:rPr>
                <w:sz w:val="20"/>
                <w:szCs w:val="20"/>
                <w:color w:val="auto"/>
              </w:rPr>
            </w:pPr>
            <w:r>
              <w:rPr>
                <w:rFonts w:ascii="Arial" w:cs="Arial" w:eastAsia="Arial" w:hAnsi="Arial"/>
                <w:sz w:val="16"/>
                <w:szCs w:val="16"/>
                <w:color w:val="005CB8"/>
              </w:rPr>
              <w:t>7.3%</w:t>
            </w:r>
          </w:p>
        </w:tc>
        <w:tc>
          <w:tcPr>
            <w:tcW w:w="1700" w:type="dxa"/>
            <w:vAlign w:val="bottom"/>
            <w:shd w:val="clear" w:color="auto" w:fill="E5EFFD"/>
          </w:tcPr>
          <w:p>
            <w:pPr>
              <w:jc w:val="right"/>
              <w:ind w:right="203"/>
              <w:spacing w:after="0"/>
              <w:rPr>
                <w:sz w:val="20"/>
                <w:szCs w:val="20"/>
                <w:color w:val="auto"/>
              </w:rPr>
            </w:pPr>
            <w:r>
              <w:rPr>
                <w:rFonts w:ascii="Arial" w:cs="Arial" w:eastAsia="Arial" w:hAnsi="Arial"/>
                <w:sz w:val="16"/>
                <w:szCs w:val="16"/>
                <w:color w:val="005CB8"/>
              </w:rPr>
              <w:t>—</w:t>
            </w:r>
          </w:p>
        </w:tc>
        <w:tc>
          <w:tcPr>
            <w:tcW w:w="800" w:type="dxa"/>
            <w:vAlign w:val="bottom"/>
            <w:shd w:val="clear" w:color="auto" w:fill="E5EFFD"/>
          </w:tcPr>
          <w:p>
            <w:pPr>
              <w:jc w:val="right"/>
              <w:ind w:right="141"/>
              <w:spacing w:after="0"/>
              <w:rPr>
                <w:sz w:val="20"/>
                <w:szCs w:val="20"/>
                <w:color w:val="auto"/>
              </w:rPr>
            </w:pPr>
            <w:r>
              <w:rPr>
                <w:rFonts w:ascii="Arial" w:cs="Arial" w:eastAsia="Arial" w:hAnsi="Arial"/>
                <w:sz w:val="16"/>
                <w:szCs w:val="16"/>
                <w:color w:val="005CB8"/>
              </w:rPr>
              <w:t>—</w:t>
            </w:r>
          </w:p>
        </w:tc>
        <w:tc>
          <w:tcPr>
            <w:tcW w:w="1240" w:type="dxa"/>
            <w:vAlign w:val="bottom"/>
            <w:shd w:val="clear" w:color="auto" w:fill="E5EFFD"/>
          </w:tcPr>
          <w:p>
            <w:pPr>
              <w:jc w:val="right"/>
              <w:ind w:right="3"/>
              <w:spacing w:after="0"/>
              <w:rPr>
                <w:sz w:val="20"/>
                <w:szCs w:val="20"/>
                <w:color w:val="auto"/>
              </w:rPr>
            </w:pPr>
            <w:r>
              <w:rPr>
                <w:rFonts w:ascii="Arial" w:cs="Arial" w:eastAsia="Arial" w:hAnsi="Arial"/>
                <w:sz w:val="16"/>
                <w:szCs w:val="16"/>
                <w:color w:val="005CB8"/>
              </w:rPr>
              <w:t>1.1%</w:t>
            </w:r>
          </w:p>
        </w:tc>
      </w:tr>
      <w:tr>
        <w:trPr>
          <w:trHeight w:val="372"/>
        </w:trPr>
        <w:tc>
          <w:tcPr>
            <w:tcW w:w="328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Entities affiliated with Renaissance</w:t>
            </w:r>
          </w:p>
        </w:tc>
        <w:tc>
          <w:tcPr>
            <w:tcW w:w="1760" w:type="dxa"/>
            <w:vAlign w:val="bottom"/>
            <w:shd w:val="clear" w:color="auto" w:fill="E5EFFD"/>
          </w:tcPr>
          <w:p>
            <w:pPr>
              <w:spacing w:after="0"/>
              <w:rPr>
                <w:sz w:val="24"/>
                <w:szCs w:val="24"/>
                <w:color w:val="auto"/>
              </w:rPr>
            </w:pPr>
          </w:p>
        </w:tc>
        <w:tc>
          <w:tcPr>
            <w:tcW w:w="780" w:type="dxa"/>
            <w:vAlign w:val="bottom"/>
            <w:shd w:val="clear" w:color="auto" w:fill="E5EFFD"/>
          </w:tcPr>
          <w:p>
            <w:pPr>
              <w:spacing w:after="0"/>
              <w:rPr>
                <w:sz w:val="24"/>
                <w:szCs w:val="24"/>
                <w:color w:val="auto"/>
              </w:rPr>
            </w:pPr>
          </w:p>
        </w:tc>
        <w:tc>
          <w:tcPr>
            <w:tcW w:w="1700" w:type="dxa"/>
            <w:vAlign w:val="bottom"/>
            <w:shd w:val="clear" w:color="auto" w:fill="E5EFFD"/>
          </w:tcPr>
          <w:p>
            <w:pPr>
              <w:spacing w:after="0"/>
              <w:rPr>
                <w:sz w:val="24"/>
                <w:szCs w:val="24"/>
                <w:color w:val="auto"/>
              </w:rPr>
            </w:pPr>
          </w:p>
        </w:tc>
        <w:tc>
          <w:tcPr>
            <w:tcW w:w="800" w:type="dxa"/>
            <w:vAlign w:val="bottom"/>
            <w:shd w:val="clear" w:color="auto" w:fill="E5EFFD"/>
          </w:tcPr>
          <w:p>
            <w:pPr>
              <w:spacing w:after="0"/>
              <w:rPr>
                <w:sz w:val="24"/>
                <w:szCs w:val="24"/>
                <w:color w:val="auto"/>
              </w:rPr>
            </w:pPr>
          </w:p>
        </w:tc>
        <w:tc>
          <w:tcPr>
            <w:tcW w:w="1240" w:type="dxa"/>
            <w:vAlign w:val="bottom"/>
            <w:shd w:val="clear" w:color="auto" w:fill="E5EFFD"/>
          </w:tcPr>
          <w:p>
            <w:pPr>
              <w:spacing w:after="0"/>
              <w:rPr>
                <w:sz w:val="24"/>
                <w:szCs w:val="24"/>
                <w:color w:val="auto"/>
              </w:rPr>
            </w:pPr>
          </w:p>
        </w:tc>
      </w:tr>
      <w:tr>
        <w:trPr>
          <w:trHeight w:val="195"/>
        </w:trPr>
        <w:tc>
          <w:tcPr>
            <w:tcW w:w="328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Technologies LLC</w:t>
            </w:r>
          </w:p>
        </w:tc>
        <w:tc>
          <w:tcPr>
            <w:tcW w:w="1760" w:type="dxa"/>
            <w:vAlign w:val="bottom"/>
            <w:shd w:val="clear" w:color="auto" w:fill="E5EFFD"/>
          </w:tcPr>
          <w:p>
            <w:pPr>
              <w:jc w:val="right"/>
              <w:ind w:right="124"/>
              <w:spacing w:after="0"/>
              <w:rPr>
                <w:sz w:val="20"/>
                <w:szCs w:val="20"/>
                <w:color w:val="auto"/>
              </w:rPr>
            </w:pPr>
            <w:r>
              <w:rPr>
                <w:rFonts w:ascii="Arial" w:cs="Arial" w:eastAsia="Arial" w:hAnsi="Arial"/>
                <w:sz w:val="16"/>
                <w:szCs w:val="16"/>
                <w:color w:val="005CB8"/>
              </w:rPr>
              <w:t>17,326,092</w:t>
            </w:r>
          </w:p>
        </w:tc>
        <w:tc>
          <w:tcPr>
            <w:tcW w:w="780" w:type="dxa"/>
            <w:vAlign w:val="bottom"/>
            <w:shd w:val="clear" w:color="auto" w:fill="E5EFFD"/>
          </w:tcPr>
          <w:p>
            <w:pPr>
              <w:jc w:val="right"/>
              <w:ind w:right="121"/>
              <w:spacing w:after="0"/>
              <w:rPr>
                <w:sz w:val="20"/>
                <w:szCs w:val="20"/>
                <w:color w:val="auto"/>
              </w:rPr>
            </w:pPr>
            <w:r>
              <w:rPr>
                <w:rFonts w:ascii="Arial" w:cs="Arial" w:eastAsia="Arial" w:hAnsi="Arial"/>
                <w:sz w:val="16"/>
                <w:szCs w:val="16"/>
                <w:color w:val="005CB8"/>
              </w:rPr>
              <w:t>6.1%</w:t>
            </w:r>
          </w:p>
        </w:tc>
        <w:tc>
          <w:tcPr>
            <w:tcW w:w="1700" w:type="dxa"/>
            <w:vAlign w:val="bottom"/>
            <w:shd w:val="clear" w:color="auto" w:fill="E5EFFD"/>
          </w:tcPr>
          <w:p>
            <w:pPr>
              <w:jc w:val="right"/>
              <w:ind w:right="203"/>
              <w:spacing w:after="0"/>
              <w:rPr>
                <w:sz w:val="20"/>
                <w:szCs w:val="20"/>
                <w:color w:val="auto"/>
              </w:rPr>
            </w:pPr>
            <w:r>
              <w:rPr>
                <w:rFonts w:ascii="Arial" w:cs="Arial" w:eastAsia="Arial" w:hAnsi="Arial"/>
                <w:sz w:val="16"/>
                <w:szCs w:val="16"/>
                <w:color w:val="005CB8"/>
              </w:rPr>
              <w:t>—</w:t>
            </w:r>
          </w:p>
        </w:tc>
        <w:tc>
          <w:tcPr>
            <w:tcW w:w="800" w:type="dxa"/>
            <w:vAlign w:val="bottom"/>
            <w:shd w:val="clear" w:color="auto" w:fill="E5EFFD"/>
          </w:tcPr>
          <w:p>
            <w:pPr>
              <w:jc w:val="right"/>
              <w:ind w:right="141"/>
              <w:spacing w:after="0"/>
              <w:rPr>
                <w:sz w:val="20"/>
                <w:szCs w:val="20"/>
                <w:color w:val="auto"/>
              </w:rPr>
            </w:pPr>
            <w:r>
              <w:rPr>
                <w:rFonts w:ascii="Arial" w:cs="Arial" w:eastAsia="Arial" w:hAnsi="Arial"/>
                <w:sz w:val="16"/>
                <w:szCs w:val="16"/>
                <w:color w:val="005CB8"/>
              </w:rPr>
              <w:t>—</w:t>
            </w:r>
          </w:p>
        </w:tc>
        <w:tc>
          <w:tcPr>
            <w:tcW w:w="1240" w:type="dxa"/>
            <w:vAlign w:val="bottom"/>
            <w:shd w:val="clear" w:color="auto" w:fill="E5EFFD"/>
          </w:tcPr>
          <w:p>
            <w:pPr>
              <w:jc w:val="right"/>
              <w:ind w:right="3"/>
              <w:spacing w:after="0"/>
              <w:rPr>
                <w:sz w:val="20"/>
                <w:szCs w:val="20"/>
                <w:color w:val="auto"/>
              </w:rPr>
            </w:pPr>
            <w:r>
              <w:rPr>
                <w:rFonts w:ascii="Arial" w:cs="Arial" w:eastAsia="Arial" w:hAnsi="Arial"/>
                <w:sz w:val="16"/>
                <w:szCs w:val="16"/>
                <w:color w:val="005CB8"/>
              </w:rPr>
              <w:t>1.0%</w:t>
            </w:r>
          </w:p>
        </w:tc>
      </w:tr>
      <w:tr>
        <w:trPr>
          <w:trHeight w:val="398"/>
        </w:trPr>
        <w:tc>
          <w:tcPr>
            <w:tcW w:w="328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Entities affiliated with Sequoia Capital</w:t>
            </w:r>
            <w:r>
              <w:rPr>
                <w:rFonts w:ascii="Arial" w:cs="Arial" w:eastAsia="Arial" w:hAnsi="Arial"/>
                <w:sz w:val="26"/>
                <w:szCs w:val="26"/>
                <w:color w:val="005CB8"/>
                <w:vertAlign w:val="superscript"/>
              </w:rPr>
              <w:t>(9)</w:t>
            </w:r>
          </w:p>
        </w:tc>
        <w:tc>
          <w:tcPr>
            <w:tcW w:w="1760" w:type="dxa"/>
            <w:vAlign w:val="bottom"/>
            <w:shd w:val="clear" w:color="auto" w:fill="E5EFFD"/>
          </w:tcPr>
          <w:p>
            <w:pPr>
              <w:jc w:val="right"/>
              <w:ind w:right="124"/>
              <w:spacing w:after="0"/>
              <w:rPr>
                <w:sz w:val="20"/>
                <w:szCs w:val="20"/>
                <w:color w:val="auto"/>
              </w:rPr>
            </w:pPr>
            <w:r>
              <w:rPr>
                <w:rFonts w:ascii="Arial" w:cs="Arial" w:eastAsia="Arial" w:hAnsi="Arial"/>
                <w:sz w:val="16"/>
                <w:szCs w:val="16"/>
                <w:color w:val="005CB8"/>
              </w:rPr>
              <w:t>—</w:t>
            </w:r>
          </w:p>
        </w:tc>
        <w:tc>
          <w:tcPr>
            <w:tcW w:w="780" w:type="dxa"/>
            <w:vAlign w:val="bottom"/>
            <w:shd w:val="clear" w:color="auto" w:fill="E5EFFD"/>
          </w:tcPr>
          <w:p>
            <w:pPr>
              <w:jc w:val="right"/>
              <w:ind w:right="121"/>
              <w:spacing w:after="0"/>
              <w:rPr>
                <w:sz w:val="20"/>
                <w:szCs w:val="20"/>
                <w:color w:val="auto"/>
              </w:rPr>
            </w:pPr>
            <w:r>
              <w:rPr>
                <w:rFonts w:ascii="Arial" w:cs="Arial" w:eastAsia="Arial" w:hAnsi="Arial"/>
                <w:sz w:val="16"/>
                <w:szCs w:val="16"/>
                <w:color w:val="005CB8"/>
              </w:rPr>
              <w:t>—</w:t>
            </w:r>
          </w:p>
        </w:tc>
        <w:tc>
          <w:tcPr>
            <w:tcW w:w="1700" w:type="dxa"/>
            <w:vAlign w:val="bottom"/>
            <w:shd w:val="clear" w:color="auto" w:fill="E5EFFD"/>
          </w:tcPr>
          <w:p>
            <w:pPr>
              <w:jc w:val="right"/>
              <w:ind w:right="203"/>
              <w:spacing w:after="0"/>
              <w:rPr>
                <w:sz w:val="20"/>
                <w:szCs w:val="20"/>
                <w:color w:val="auto"/>
              </w:rPr>
            </w:pPr>
            <w:r>
              <w:rPr>
                <w:rFonts w:ascii="Arial" w:cs="Arial" w:eastAsia="Arial" w:hAnsi="Arial"/>
                <w:sz w:val="16"/>
                <w:szCs w:val="16"/>
                <w:color w:val="005CB8"/>
              </w:rPr>
              <w:t>34,868,576</w:t>
            </w:r>
          </w:p>
        </w:tc>
        <w:tc>
          <w:tcPr>
            <w:tcW w:w="800" w:type="dxa"/>
            <w:vAlign w:val="bottom"/>
            <w:shd w:val="clear" w:color="auto" w:fill="E5EFFD"/>
          </w:tcPr>
          <w:p>
            <w:pPr>
              <w:jc w:val="right"/>
              <w:ind w:right="141"/>
              <w:spacing w:after="0"/>
              <w:rPr>
                <w:sz w:val="20"/>
                <w:szCs w:val="20"/>
                <w:color w:val="auto"/>
              </w:rPr>
            </w:pPr>
            <w:r>
              <w:rPr>
                <w:rFonts w:ascii="Arial" w:cs="Arial" w:eastAsia="Arial" w:hAnsi="Arial"/>
                <w:sz w:val="16"/>
                <w:szCs w:val="16"/>
                <w:color w:val="005CB8"/>
              </w:rPr>
              <w:t>23.0%</w:t>
            </w:r>
          </w:p>
        </w:tc>
        <w:tc>
          <w:tcPr>
            <w:tcW w:w="1240" w:type="dxa"/>
            <w:vAlign w:val="bottom"/>
            <w:shd w:val="clear" w:color="auto" w:fill="E5EFFD"/>
          </w:tcPr>
          <w:p>
            <w:pPr>
              <w:jc w:val="right"/>
              <w:ind w:right="3"/>
              <w:spacing w:after="0"/>
              <w:rPr>
                <w:sz w:val="20"/>
                <w:szCs w:val="20"/>
                <w:color w:val="auto"/>
              </w:rPr>
            </w:pPr>
            <w:r>
              <w:rPr>
                <w:rFonts w:ascii="Arial" w:cs="Arial" w:eastAsia="Arial" w:hAnsi="Arial"/>
                <w:sz w:val="16"/>
                <w:szCs w:val="16"/>
                <w:color w:val="005CB8"/>
              </w:rPr>
              <w:t>19.4%</w:t>
            </w:r>
          </w:p>
        </w:tc>
      </w:tr>
    </w:tbl>
    <w:p>
      <w:pPr>
        <w:ind w:left="720"/>
        <w:spacing w:after="0" w:line="213" w:lineRule="auto"/>
        <w:rPr>
          <w:sz w:val="20"/>
          <w:szCs w:val="20"/>
          <w:color w:val="auto"/>
        </w:rPr>
      </w:pPr>
      <w:r>
        <w:rPr>
          <w:rFonts w:ascii="Arial" w:cs="Arial" w:eastAsia="Arial" w:hAnsi="Arial"/>
          <w:sz w:val="11"/>
          <w:szCs w:val="11"/>
          <w:color w:val="auto"/>
        </w:rPr>
        <w:t>†</w:t>
      </w:r>
    </w:p>
    <w:p>
      <w:pPr>
        <w:spacing w:after="0" w:line="1" w:lineRule="exact"/>
        <w:rPr>
          <w:sz w:val="20"/>
          <w:szCs w:val="20"/>
          <w:color w:val="auto"/>
        </w:rPr>
      </w:pPr>
    </w:p>
    <w:p>
      <w:pPr>
        <w:ind w:left="960" w:right="1040"/>
        <w:spacing w:after="0" w:line="251" w:lineRule="auto"/>
        <w:rPr>
          <w:sz w:val="20"/>
          <w:szCs w:val="20"/>
          <w:color w:val="auto"/>
        </w:rPr>
      </w:pPr>
      <w:r>
        <w:rPr>
          <w:rFonts w:ascii="Arial" w:cs="Arial" w:eastAsia="Arial" w:hAnsi="Arial"/>
          <w:sz w:val="14"/>
          <w:szCs w:val="14"/>
          <w:color w:val="auto"/>
        </w:rPr>
        <w:t>The Class B common stock is convertible at any time by the holder into shares of Class A common stock on a share-for-share basis, such that each holder of Class B common stock beneficially owns an equivalent number of Class A common stock.</w:t>
      </w:r>
    </w:p>
    <w:p>
      <w:pPr>
        <w:spacing w:after="0" w:line="1" w:lineRule="exact"/>
        <w:rPr>
          <w:sz w:val="20"/>
          <w:szCs w:val="20"/>
          <w:color w:val="auto"/>
        </w:rPr>
      </w:pPr>
    </w:p>
    <w:p>
      <w:pPr>
        <w:ind w:left="960" w:right="740" w:hanging="244"/>
        <w:spacing w:after="0" w:line="239" w:lineRule="auto"/>
        <w:tabs>
          <w:tab w:leader="none" w:pos="9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Percentage total voting power represents voting power with respect to all shares of our Class A common stock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ind w:left="960" w:hanging="244"/>
        <w:spacing w:after="0" w:line="222" w:lineRule="auto"/>
        <w:tabs>
          <w:tab w:leader="none" w:pos="96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Represents beneficial ownership of less than one percent (1%) of the outstanding shares of our common stock.</w:t>
      </w:r>
    </w:p>
    <w:p>
      <w:pPr>
        <w:spacing w:after="0" w:line="19" w:lineRule="exact"/>
        <w:rPr>
          <w:sz w:val="20"/>
          <w:szCs w:val="20"/>
          <w:color w:val="auto"/>
        </w:rPr>
      </w:pPr>
    </w:p>
    <w:p>
      <w:pPr>
        <w:ind w:left="960" w:right="920" w:hanging="244"/>
        <w:spacing w:after="0" w:line="232" w:lineRule="auto"/>
        <w:tabs>
          <w:tab w:leader="none" w:pos="96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(i) 716,728 shares of Class A common stock and 7,893,764 shares of Class B common stock held by the Houston Remainder Trust dated 12/30/2010, for which Mr. Houston serves as trustee, (ii) 500,000 shares of Class A common stock and 73,103,073 shares of Class B common stock held by the Andrew W. Houston Revocable Trust dated 9/7/2011, for which Mr. Houston serves as trustee, (iii) 500,500 shares of Class B common stock held by the Houston 2012 Irrevocable Children’s Trust dated 4/12/2012, for which Mr. Houston serves as trustee, (iv) 10,333,333 shares of Class A common stock underlying RSAs subject to Mr. Houston’s Co-Founder Grant, and (v) 1,000,000 shares of Class B common stock subject to certain proxy agreements, in which Mr. Houston has voting power over the shares.</w:t>
      </w:r>
    </w:p>
    <w:p>
      <w:pPr>
        <w:spacing w:after="0" w:line="7" w:lineRule="exact"/>
        <w:rPr>
          <w:rFonts w:ascii="Arial" w:cs="Arial" w:eastAsia="Arial" w:hAnsi="Arial"/>
          <w:sz w:val="18"/>
          <w:szCs w:val="18"/>
          <w:color w:val="auto"/>
          <w:vertAlign w:val="superscript"/>
        </w:rPr>
      </w:pPr>
    </w:p>
    <w:p>
      <w:pPr>
        <w:ind w:left="960" w:right="820" w:hanging="244"/>
        <w:spacing w:after="0" w:line="234" w:lineRule="auto"/>
        <w:tabs>
          <w:tab w:leader="none" w:pos="96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(i) 2,900,802 shares of Class B common stock held by the Arash Ferdowsi Remainder Trust dated 3/21/2011, for which Mr. Ferdowsi serves as trustee, (ii) 23,900 shares of Class A common stock and 28,586,583 shares of Class B common stock held by the Arash Ferdowsi Revocable Trust dated 4/20/2012, for which Mr. Ferdowsi serves as trustee, and (iii) 4,400,000 shares of Class A common stock underlying RSAs subject to Mr. Ferdowsi’s Co-Founder Grant. Effective March 19, 2020 (the “</w:t>
      </w:r>
      <w:r>
        <w:rPr>
          <w:rFonts w:ascii="Arial" w:cs="Arial" w:eastAsia="Arial" w:hAnsi="Arial"/>
          <w:sz w:val="14"/>
          <w:szCs w:val="14"/>
          <w:b w:val="1"/>
          <w:bCs w:val="1"/>
          <w:i w:val="1"/>
          <w:iCs w:val="1"/>
          <w:color w:val="auto"/>
        </w:rPr>
        <w:t>Expiration Date</w:t>
      </w:r>
      <w:r>
        <w:rPr>
          <w:rFonts w:ascii="Arial" w:cs="Arial" w:eastAsia="Arial" w:hAnsi="Arial"/>
          <w:sz w:val="14"/>
          <w:szCs w:val="14"/>
          <w:color w:val="auto"/>
        </w:rPr>
        <w:t>”), Mr. Ferdowsi resigned as a member of the board and as an officer of the company. As a result, he ceased to satisfy the service-based vesting condition of his Co-Founder Grant as of that date. None of the 4,400,000 shares of Class A common stock underlying the RSAs subject to Mr. Ferdowsi’s Co-Founder Grant had vested prior to the Expiration Date. Accordingly, all were forfeited by Mr. Ferdowsi and reacquired by the Company as of that date. See “</w:t>
      </w:r>
      <w:r>
        <w:rPr>
          <w:rFonts w:ascii="Arial" w:cs="Arial" w:eastAsia="Arial" w:hAnsi="Arial"/>
          <w:sz w:val="14"/>
          <w:szCs w:val="14"/>
          <w:i w:val="1"/>
          <w:iCs w:val="1"/>
          <w:color w:val="auto"/>
        </w:rPr>
        <w:t>Co-Founder Grants</w:t>
      </w:r>
      <w:r>
        <w:rPr>
          <w:rFonts w:ascii="Arial" w:cs="Arial" w:eastAsia="Arial" w:hAnsi="Arial"/>
          <w:sz w:val="14"/>
          <w:szCs w:val="14"/>
          <w:color w:val="auto"/>
        </w:rPr>
        <w:t>” above.</w:t>
      </w:r>
    </w:p>
    <w:p>
      <w:pPr>
        <w:spacing w:after="0" w:line="3" w:lineRule="exact"/>
        <w:rPr>
          <w:rFonts w:ascii="Arial" w:cs="Arial" w:eastAsia="Arial" w:hAnsi="Arial"/>
          <w:sz w:val="18"/>
          <w:szCs w:val="18"/>
          <w:color w:val="auto"/>
          <w:vertAlign w:val="superscript"/>
        </w:rPr>
      </w:pPr>
    </w:p>
    <w:p>
      <w:pPr>
        <w:ind w:left="960" w:right="920" w:hanging="244"/>
        <w:spacing w:after="0" w:line="217" w:lineRule="auto"/>
        <w:tabs>
          <w:tab w:leader="none" w:pos="96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(i) 178,031 shares of Class A common stock held by the Paul E. Jacobs Trust dated November 7, 2014, for which Mr. Jacobs serves as trustee, (ii) and 67,619 shares of Class A common stock held by Mr. Jacobs.</w:t>
      </w:r>
    </w:p>
    <w:p>
      <w:pPr>
        <w:spacing w:after="0" w:line="18" w:lineRule="exact"/>
        <w:rPr>
          <w:rFonts w:ascii="Arial" w:cs="Arial" w:eastAsia="Arial" w:hAnsi="Arial"/>
          <w:sz w:val="18"/>
          <w:szCs w:val="18"/>
          <w:color w:val="auto"/>
          <w:vertAlign w:val="superscript"/>
        </w:rPr>
      </w:pPr>
    </w:p>
    <w:p>
      <w:pPr>
        <w:ind w:left="960" w:right="840" w:hanging="244"/>
        <w:spacing w:after="0" w:line="225" w:lineRule="auto"/>
        <w:tabs>
          <w:tab w:leader="none" w:pos="96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(i) 122,698 shares of Class A common stock held by Annox Capital, LLC, or Annox, and (ii) 54,313 shares of Class A common stock held by Mr. Mylod. Mr. Mylod, one of our directors, is the managing member of Annox and has sole voting and investment control over the shares held by Annox.</w:t>
      </w:r>
    </w:p>
    <w:p>
      <w:pPr>
        <w:spacing w:after="0" w:line="3" w:lineRule="exact"/>
        <w:rPr>
          <w:rFonts w:ascii="Arial" w:cs="Arial" w:eastAsia="Arial" w:hAnsi="Arial"/>
          <w:sz w:val="18"/>
          <w:szCs w:val="18"/>
          <w:color w:val="auto"/>
          <w:vertAlign w:val="superscript"/>
        </w:rPr>
      </w:pPr>
    </w:p>
    <w:p>
      <w:pPr>
        <w:ind w:left="960" w:right="780" w:hanging="244"/>
        <w:spacing w:after="0" w:line="225" w:lineRule="auto"/>
        <w:tabs>
          <w:tab w:leader="none" w:pos="96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(i) 537,609 shares of Class A common stock held by family trust, (ii) and 14,286 shares of Class A common stock held by Mr. Schreier. Excludes shares listed in footnote 9 below, which are held by entities affiliated with Sequoia Capital. Mr. Schreier, one of our directors, is a non-managing member of SC XII LLC.</w:t>
      </w:r>
    </w:p>
    <w:p>
      <w:pPr>
        <w:spacing w:after="0" w:line="3" w:lineRule="exact"/>
        <w:rPr>
          <w:rFonts w:ascii="Arial" w:cs="Arial" w:eastAsia="Arial" w:hAnsi="Arial"/>
          <w:sz w:val="18"/>
          <w:szCs w:val="18"/>
          <w:color w:val="auto"/>
          <w:vertAlign w:val="superscript"/>
        </w:rPr>
      </w:pPr>
    </w:p>
    <w:p>
      <w:pPr>
        <w:ind w:left="960" w:right="740" w:hanging="244"/>
        <w:spacing w:after="0" w:line="217" w:lineRule="auto"/>
        <w:tabs>
          <w:tab w:leader="none" w:pos="96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(i) 34,901 shares of Class B common stock held by held by Sweetwater Trust UAD 10/15/1999, for which Ms. Whitman and her spouse serve as trustees, and (ii) 53,333 shares of Class A common stock held by Ms. Whitman.</w:t>
      </w:r>
    </w:p>
    <w:p>
      <w:pPr>
        <w:spacing w:after="0" w:line="1" w:lineRule="exact"/>
        <w:rPr>
          <w:rFonts w:ascii="Arial" w:cs="Arial" w:eastAsia="Arial" w:hAnsi="Arial"/>
          <w:sz w:val="18"/>
          <w:szCs w:val="18"/>
          <w:color w:val="auto"/>
          <w:vertAlign w:val="superscript"/>
        </w:rPr>
      </w:pPr>
    </w:p>
    <w:p>
      <w:pPr>
        <w:ind w:left="960" w:hanging="244"/>
        <w:spacing w:after="0" w:line="219" w:lineRule="auto"/>
        <w:tabs>
          <w:tab w:leader="none" w:pos="96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19,364,694 shares of Class A common stock beneficially owned by our executive officers and directors.</w:t>
      </w:r>
    </w:p>
    <w:p>
      <w:pPr>
        <w:spacing w:after="0" w:line="3" w:lineRule="exact"/>
        <w:rPr>
          <w:rFonts w:ascii="Arial" w:cs="Arial" w:eastAsia="Arial" w:hAnsi="Arial"/>
          <w:sz w:val="18"/>
          <w:szCs w:val="18"/>
          <w:color w:val="auto"/>
          <w:vertAlign w:val="superscript"/>
        </w:rPr>
      </w:pPr>
    </w:p>
    <w:p>
      <w:pPr>
        <w:ind w:left="960" w:hanging="244"/>
        <w:spacing w:after="0" w:line="199" w:lineRule="auto"/>
        <w:tabs>
          <w:tab w:leader="none" w:pos="96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114,317,738 shares of Class B common stock beneficially owned by our executive officers and directors.</w:t>
      </w:r>
    </w:p>
    <w:p>
      <w:pPr>
        <w:spacing w:after="0" w:line="3" w:lineRule="exact"/>
        <w:rPr>
          <w:rFonts w:ascii="Arial" w:cs="Arial" w:eastAsia="Arial" w:hAnsi="Arial"/>
          <w:sz w:val="18"/>
          <w:szCs w:val="18"/>
          <w:color w:val="auto"/>
          <w:vertAlign w:val="superscript"/>
        </w:rPr>
      </w:pPr>
    </w:p>
    <w:p>
      <w:pPr>
        <w:ind w:left="960" w:right="840" w:hanging="244"/>
        <w:spacing w:after="0" w:line="232" w:lineRule="auto"/>
        <w:tabs>
          <w:tab w:leader="none" w:pos="960" w:val="left"/>
        </w:tabs>
        <w:numPr>
          <w:ilvl w:val="0"/>
          <w:numId w:val="78"/>
        </w:numPr>
        <w:rPr>
          <w:rFonts w:ascii="Arial" w:cs="Arial" w:eastAsia="Arial" w:hAnsi="Arial"/>
          <w:sz w:val="18"/>
          <w:szCs w:val="18"/>
          <w:color w:val="auto"/>
          <w:vertAlign w:val="superscript"/>
        </w:rPr>
      </w:pPr>
      <w:r>
        <w:rPr>
          <w:rFonts w:ascii="Arial" w:cs="Arial" w:eastAsia="Arial" w:hAnsi="Arial"/>
          <w:sz w:val="14"/>
          <w:szCs w:val="14"/>
          <w:color w:val="auto"/>
        </w:rPr>
        <w:t>Consists of (i) 30,471,658 shares of Class B common stock held by Sequoia Capital XII, L.P., or SC XII, (ii) 3,256,722 shares of Class B common stock held by Sequoia Capital XII Principals Fund, LLC, or SC XII PF, (iii) and 1,140,196 shares of Class B common stock held by Sequoia Technology Partners XII, L.P., or STP XII. SC XII Management, LLC, or SC XII LLC, is the general partner of each of SC XII and STP XII, and the managing member of SC XII PF. As a result, and by virtue of the relationships described in this footnote, SC XII LLC may be deemed to share beneficial ownership of the shares held by SC XII, SC XII PF, and STP XII. The address for these entities is 2800 Sand Hill Road #101, Menlo Park, California 94025.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38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49</w:t>
            </w:r>
          </w:p>
        </w:tc>
      </w:tr>
      <w:tr>
        <w:trPr>
          <w:trHeight w:val="181"/>
        </w:trPr>
        <w:tc>
          <w:tcPr>
            <w:tcW w:w="99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53" w:name="page54"/>
    <w:bookmarkEnd w:id="53"/>
    <w:p>
      <w:pPr>
        <w:ind w:left="4"/>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4" w:right="720"/>
        <w:spacing w:after="0" w:line="260" w:lineRule="auto"/>
        <w:rPr>
          <w:sz w:val="20"/>
          <w:szCs w:val="20"/>
          <w:color w:val="auto"/>
        </w:rPr>
      </w:pPr>
      <w:r>
        <w:rPr>
          <w:rFonts w:ascii="Arial" w:cs="Arial" w:eastAsia="Arial" w:hAnsi="Arial"/>
          <w:sz w:val="32"/>
          <w:szCs w:val="32"/>
          <w:color w:val="005CB8"/>
        </w:rPr>
        <w:t>CERTAIN RELATIONSHIPS, RELATED PARTY AND OTHER TRANSACTIONS</w:t>
      </w:r>
    </w:p>
    <w:p>
      <w:pPr>
        <w:spacing w:after="0" w:line="119" w:lineRule="exact"/>
        <w:rPr>
          <w:sz w:val="20"/>
          <w:szCs w:val="20"/>
          <w:color w:val="auto"/>
        </w:rPr>
      </w:pPr>
    </w:p>
    <w:p>
      <w:pPr>
        <w:ind w:left="4"/>
        <w:spacing w:after="0" w:line="260" w:lineRule="auto"/>
        <w:rPr>
          <w:sz w:val="20"/>
          <w:szCs w:val="20"/>
          <w:color w:val="auto"/>
        </w:rPr>
      </w:pPr>
      <w:r>
        <w:rPr>
          <w:rFonts w:ascii="Arial" w:cs="Arial" w:eastAsia="Arial" w:hAnsi="Arial"/>
          <w:sz w:val="16"/>
          <w:szCs w:val="16"/>
          <w:color w:val="auto"/>
        </w:rPr>
        <w:t>Since the beginning of our last fiscal year we have not engaged in any transactions that would require disclosure under Item 404(a) of Regulation S-K, and are not aware of any such transactions currently proposed.</w:t>
      </w:r>
    </w:p>
    <w:p>
      <w:pPr>
        <w:spacing w:after="0" w:line="349" w:lineRule="exact"/>
        <w:rPr>
          <w:sz w:val="20"/>
          <w:szCs w:val="20"/>
          <w:color w:val="auto"/>
        </w:rPr>
      </w:pPr>
    </w:p>
    <w:p>
      <w:pPr>
        <w:ind w:left="4"/>
        <w:spacing w:after="0"/>
        <w:rPr>
          <w:sz w:val="20"/>
          <w:szCs w:val="20"/>
          <w:color w:val="auto"/>
        </w:rPr>
      </w:pPr>
      <w:r>
        <w:rPr>
          <w:rFonts w:ascii="Arial" w:cs="Arial" w:eastAsia="Arial" w:hAnsi="Arial"/>
          <w:sz w:val="26"/>
          <w:szCs w:val="26"/>
          <w:color w:val="005CB8"/>
        </w:rPr>
        <w:t>Policies and Procedures for Related Person Transactions</w:t>
      </w:r>
    </w:p>
    <w:p>
      <w:pPr>
        <w:spacing w:after="0" w:line="169" w:lineRule="exact"/>
        <w:rPr>
          <w:sz w:val="20"/>
          <w:szCs w:val="20"/>
          <w:color w:val="auto"/>
        </w:rPr>
      </w:pPr>
    </w:p>
    <w:p>
      <w:pPr>
        <w:ind w:left="4" w:right="20"/>
        <w:spacing w:after="0" w:line="248" w:lineRule="auto"/>
        <w:rPr>
          <w:sz w:val="20"/>
          <w:szCs w:val="20"/>
          <w:color w:val="auto"/>
        </w:rPr>
      </w:pPr>
      <w:r>
        <w:rPr>
          <w:rFonts w:ascii="Arial" w:cs="Arial" w:eastAsia="Arial" w:hAnsi="Arial"/>
          <w:sz w:val="16"/>
          <w:szCs w:val="16"/>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154" w:lineRule="exact"/>
        <w:rPr>
          <w:sz w:val="20"/>
          <w:szCs w:val="20"/>
          <w:color w:val="auto"/>
        </w:rPr>
      </w:pPr>
    </w:p>
    <w:p>
      <w:pPr>
        <w:ind w:left="4" w:right="60"/>
        <w:spacing w:after="0" w:line="246" w:lineRule="auto"/>
        <w:rPr>
          <w:sz w:val="20"/>
          <w:szCs w:val="20"/>
          <w:color w:val="auto"/>
        </w:rPr>
      </w:pPr>
      <w:r>
        <w:rPr>
          <w:rFonts w:ascii="Arial" w:cs="Arial" w:eastAsia="Arial" w:hAnsi="Arial"/>
          <w:sz w:val="16"/>
          <w:szCs w:val="16"/>
          <w:color w:val="auto"/>
        </w:rPr>
        <w:t>Under this policy, all related person transactions may be consummated or continued only if approved or ratified by our audit committee. In determining whether to approve or ratify any such proposal, our audit committee will take into account, among other factors it deems appropriate, (i) whether the transaction is on terms no less favorable than terms generally available to an unaffiliated third party and (ii) the extent of the related person’s interest in the transaction. The policy grants standing pre-approval of certain transactions, including (i) executive compensation governed by our standard compensation and benefits policies, (ii) director compensation arrangements governed by our standard director compensation policies, (iii) transactions with another company at which a related person’s only relationship is as an employee, other than an executive officer or director, or beneficial owner of less than 10% equity interest of that company, if the aggregate amount involved does not exceed the greater of $200,000 or 2% of the recipient’s consolidated gross revenues, (iv) charitable contributions, grants or endowments by us to a charitable organization, foundation or university where the related person’s only relationship is as an employee, other than an executive officer or director, if the aggregate amount involved does not exceed the lesser of $1,000,000 or 2% of the charitable organization’s total annual receipts,</w:t>
      </w:r>
    </w:p>
    <w:p>
      <w:pPr>
        <w:spacing w:after="0" w:line="5" w:lineRule="exact"/>
        <w:rPr>
          <w:sz w:val="20"/>
          <w:szCs w:val="20"/>
          <w:color w:val="auto"/>
        </w:rPr>
      </w:pPr>
    </w:p>
    <w:p>
      <w:pPr>
        <w:ind w:left="4" w:right="40" w:hanging="4"/>
        <w:spacing w:after="0" w:line="260" w:lineRule="auto"/>
        <w:tabs>
          <w:tab w:leader="none" w:pos="238"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transaction available to all U.S. employees generally, and (vi) transactions where a related person’s interest arises solely from the ownership of our common stock and all holders of our common stock received the same benefit on a pro rata basis.</w:t>
      </w:r>
    </w:p>
    <w:p>
      <w:pPr>
        <w:spacing w:after="0" w:line="180" w:lineRule="exact"/>
        <w:rPr>
          <w:sz w:val="20"/>
          <w:szCs w:val="20"/>
          <w:color w:val="auto"/>
        </w:rPr>
      </w:pPr>
    </w:p>
    <w:p>
      <w:pPr>
        <w:ind w:left="524" w:hanging="524"/>
        <w:spacing w:after="0"/>
        <w:tabs>
          <w:tab w:leader="none" w:pos="524" w:val="left"/>
        </w:tabs>
        <w:numPr>
          <w:ilvl w:val="0"/>
          <w:numId w:val="80"/>
        </w:numPr>
        <w:rPr>
          <w:rFonts w:ascii="Arial" w:cs="Arial" w:eastAsia="Arial" w:hAnsi="Arial"/>
          <w:sz w:val="14"/>
          <w:szCs w:val="14"/>
          <w:b w:val="1"/>
          <w:bCs w:val="1"/>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64"/>
          </w:cols>
          <w:pgMar w:left="1156" w:top="265" w:right="1179" w:bottom="1440" w:gutter="0" w:footer="0" w:header="0"/>
        </w:sectPr>
      </w:pPr>
    </w:p>
    <w:bookmarkStart w:id="54" w:name="page55"/>
    <w:bookmarkEnd w:id="54"/>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OTHER MATTERS</w:t>
      </w:r>
    </w:p>
    <w:p>
      <w:pPr>
        <w:spacing w:after="0" w:line="351" w:lineRule="exact"/>
        <w:rPr>
          <w:sz w:val="20"/>
          <w:szCs w:val="20"/>
          <w:color w:val="auto"/>
        </w:rPr>
      </w:pPr>
    </w:p>
    <w:p>
      <w:pPr>
        <w:ind w:left="720"/>
        <w:spacing w:after="0"/>
        <w:rPr>
          <w:sz w:val="20"/>
          <w:szCs w:val="20"/>
          <w:color w:val="auto"/>
        </w:rPr>
      </w:pPr>
      <w:r>
        <w:rPr>
          <w:rFonts w:ascii="Arial" w:cs="Arial" w:eastAsia="Arial" w:hAnsi="Arial"/>
          <w:sz w:val="26"/>
          <w:szCs w:val="26"/>
          <w:color w:val="005CB8"/>
        </w:rPr>
        <w:t>Section 16(a) Beneficial Ownership Reporting Compliance</w:t>
      </w:r>
    </w:p>
    <w:p>
      <w:pPr>
        <w:spacing w:after="0" w:line="169" w:lineRule="exact"/>
        <w:rPr>
          <w:sz w:val="20"/>
          <w:szCs w:val="20"/>
          <w:color w:val="auto"/>
        </w:rPr>
      </w:pPr>
    </w:p>
    <w:p>
      <w:pPr>
        <w:ind w:left="720" w:right="1080"/>
        <w:spacing w:after="0" w:line="253" w:lineRule="auto"/>
        <w:rPr>
          <w:sz w:val="20"/>
          <w:szCs w:val="20"/>
          <w:color w:val="auto"/>
        </w:rPr>
      </w:pPr>
      <w:r>
        <w:rPr>
          <w:rFonts w:ascii="Arial" w:cs="Arial" w:eastAsia="Arial" w:hAnsi="Arial"/>
          <w:sz w:val="16"/>
          <w:szCs w:val="16"/>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47" w:lineRule="exact"/>
        <w:rPr>
          <w:sz w:val="20"/>
          <w:szCs w:val="20"/>
          <w:color w:val="auto"/>
        </w:rPr>
      </w:pPr>
    </w:p>
    <w:p>
      <w:pPr>
        <w:ind w:left="720" w:right="760"/>
        <w:spacing w:after="0" w:line="251" w:lineRule="auto"/>
        <w:rPr>
          <w:sz w:val="20"/>
          <w:szCs w:val="20"/>
          <w:color w:val="auto"/>
        </w:rPr>
      </w:pPr>
      <w:r>
        <w:rPr>
          <w:rFonts w:ascii="Arial" w:cs="Arial" w:eastAsia="Arial" w:hAnsi="Arial"/>
          <w:sz w:val="16"/>
          <w:szCs w:val="16"/>
          <w:color w:val="auto"/>
        </w:rPr>
        <w:t>SEC regulations require us to identify in this proxy statement anyone who filed a required report late during the most recent fiscal year. Based solely on our review of copies of such forms that we have received, or written representations from reporting persons, we believe that during the fiscal year ended December 31, 2019, all executive officers, directors and greater than 10% stockholders complied with all applicable SEC filing requirements, with the exceptions noted below:</w:t>
      </w:r>
    </w:p>
    <w:p>
      <w:pPr>
        <w:spacing w:after="0" w:line="148" w:lineRule="exact"/>
        <w:rPr>
          <w:sz w:val="20"/>
          <w:szCs w:val="20"/>
          <w:color w:val="auto"/>
        </w:rPr>
      </w:pPr>
    </w:p>
    <w:p>
      <w:pPr>
        <w:ind w:left="1000" w:right="1000" w:hanging="284"/>
        <w:spacing w:after="0" w:line="260" w:lineRule="auto"/>
        <w:tabs>
          <w:tab w:leader="none" w:pos="1000" w:val="left"/>
        </w:tabs>
        <w:numPr>
          <w:ilvl w:val="0"/>
          <w:numId w:val="81"/>
        </w:numPr>
        <w:rPr>
          <w:rFonts w:ascii="Arial" w:cs="Arial" w:eastAsia="Arial" w:hAnsi="Arial"/>
          <w:sz w:val="16"/>
          <w:szCs w:val="16"/>
          <w:color w:val="005CB8"/>
        </w:rPr>
      </w:pPr>
      <w:r>
        <w:rPr>
          <w:rFonts w:ascii="Arial" w:cs="Arial" w:eastAsia="Arial" w:hAnsi="Arial"/>
          <w:sz w:val="16"/>
          <w:szCs w:val="16"/>
          <w:color w:val="auto"/>
        </w:rPr>
        <w:t>Due to an administrative error, a late Form 4 report was filed for Quentin Clark on February 28, 2019 to report a sale of 16,666 shares of our Class A common stock on February 25, 2019.</w:t>
      </w:r>
    </w:p>
    <w:p>
      <w:pPr>
        <w:spacing w:after="0" w:line="141" w:lineRule="exact"/>
        <w:rPr>
          <w:rFonts w:ascii="Arial" w:cs="Arial" w:eastAsia="Arial" w:hAnsi="Arial"/>
          <w:sz w:val="16"/>
          <w:szCs w:val="16"/>
          <w:color w:val="005CB8"/>
        </w:rPr>
      </w:pPr>
    </w:p>
    <w:p>
      <w:pPr>
        <w:ind w:left="1000" w:right="1100" w:hanging="284"/>
        <w:spacing w:after="0" w:line="260" w:lineRule="auto"/>
        <w:tabs>
          <w:tab w:leader="none" w:pos="1000" w:val="left"/>
        </w:tabs>
        <w:numPr>
          <w:ilvl w:val="0"/>
          <w:numId w:val="81"/>
        </w:numPr>
        <w:rPr>
          <w:rFonts w:ascii="Arial" w:cs="Arial" w:eastAsia="Arial" w:hAnsi="Arial"/>
          <w:sz w:val="16"/>
          <w:szCs w:val="16"/>
          <w:color w:val="005CB8"/>
        </w:rPr>
      </w:pPr>
      <w:r>
        <w:rPr>
          <w:rFonts w:ascii="Arial" w:cs="Arial" w:eastAsia="Arial" w:hAnsi="Arial"/>
          <w:sz w:val="16"/>
          <w:szCs w:val="16"/>
          <w:color w:val="auto"/>
        </w:rPr>
        <w:t>Due to an administrative error, a late Form 4 report was filed for Ajay Vashee on February 28, 2019 to report a sale of 13,731 shares of our Class A common stock on February 25, 2019.</w:t>
      </w:r>
    </w:p>
    <w:p>
      <w:pPr>
        <w:spacing w:after="0" w:line="349" w:lineRule="exact"/>
        <w:rPr>
          <w:sz w:val="20"/>
          <w:szCs w:val="20"/>
          <w:color w:val="auto"/>
        </w:rPr>
      </w:pPr>
    </w:p>
    <w:p>
      <w:pPr>
        <w:ind w:left="720"/>
        <w:spacing w:after="0"/>
        <w:rPr>
          <w:sz w:val="20"/>
          <w:szCs w:val="20"/>
          <w:color w:val="auto"/>
        </w:rPr>
      </w:pPr>
      <w:r>
        <w:rPr>
          <w:rFonts w:ascii="Arial" w:cs="Arial" w:eastAsia="Arial" w:hAnsi="Arial"/>
          <w:sz w:val="26"/>
          <w:szCs w:val="26"/>
          <w:color w:val="005CB8"/>
        </w:rPr>
        <w:t>Fiscal Year 2019 Annual Report and SEC Filings</w:t>
      </w:r>
    </w:p>
    <w:p>
      <w:pPr>
        <w:spacing w:after="0" w:line="169" w:lineRule="exact"/>
        <w:rPr>
          <w:sz w:val="20"/>
          <w:szCs w:val="20"/>
          <w:color w:val="auto"/>
        </w:rPr>
      </w:pPr>
    </w:p>
    <w:p>
      <w:pPr>
        <w:ind w:left="720" w:right="780"/>
        <w:spacing w:after="0" w:line="250" w:lineRule="auto"/>
        <w:rPr>
          <w:sz w:val="20"/>
          <w:szCs w:val="20"/>
          <w:color w:val="auto"/>
        </w:rPr>
      </w:pPr>
      <w:r>
        <w:rPr>
          <w:rFonts w:ascii="Arial" w:cs="Arial" w:eastAsia="Arial" w:hAnsi="Arial"/>
          <w:sz w:val="16"/>
          <w:szCs w:val="16"/>
          <w:color w:val="auto"/>
        </w:rPr>
        <w:t>Our financial statements for our fiscal year ended December 31, 2019 are included in our Annual Report on Form 10-K, which we will make available to stockholders at the same time as this proxy statement. This proxy statement and our annual report are posted on our website at investors.dropbox.com and are available from the SEC on its website at www.sec.gov. You may also obtain a copy of our annual report without charge by sending a written request to Dropbox, Inc., Attention: Corporate Secretary, 1800 Owens Street, San Francisco, California 94158.</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 *</w:t>
      </w:r>
    </w:p>
    <w:p>
      <w:pPr>
        <w:spacing w:after="0" w:line="167" w:lineRule="exact"/>
        <w:rPr>
          <w:sz w:val="20"/>
          <w:szCs w:val="20"/>
          <w:color w:val="auto"/>
        </w:rPr>
      </w:pPr>
    </w:p>
    <w:p>
      <w:pPr>
        <w:ind w:left="720" w:right="1000"/>
        <w:spacing w:after="0" w:line="253" w:lineRule="auto"/>
        <w:rPr>
          <w:sz w:val="20"/>
          <w:szCs w:val="20"/>
          <w:color w:val="auto"/>
        </w:rPr>
      </w:pPr>
      <w:r>
        <w:rPr>
          <w:rFonts w:ascii="Arial" w:cs="Arial" w:eastAsia="Arial" w:hAnsi="Arial"/>
          <w:sz w:val="16"/>
          <w:szCs w:val="16"/>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47" w:lineRule="exact"/>
        <w:rPr>
          <w:sz w:val="20"/>
          <w:szCs w:val="20"/>
          <w:color w:val="auto"/>
        </w:rPr>
      </w:pPr>
    </w:p>
    <w:p>
      <w:pPr>
        <w:jc w:val="both"/>
        <w:ind w:left="720" w:right="840"/>
        <w:spacing w:after="0" w:line="253" w:lineRule="auto"/>
        <w:rPr>
          <w:sz w:val="20"/>
          <w:szCs w:val="20"/>
          <w:color w:val="auto"/>
        </w:rPr>
      </w:pPr>
      <w:r>
        <w:rPr>
          <w:rFonts w:ascii="Arial" w:cs="Arial" w:eastAsia="Arial" w:hAnsi="Arial"/>
          <w:sz w:val="16"/>
          <w:szCs w:val="16"/>
          <w:color w:val="auto"/>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THE BOARD OF DIRECTORS</w:t>
      </w:r>
    </w:p>
    <w:p>
      <w:pPr>
        <w:spacing w:after="0" w:line="21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San Francisco, California</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April 7, 2020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ind w:left="4380"/>
              <w:spacing w:after="0"/>
              <w:rPr>
                <w:sz w:val="20"/>
                <w:szCs w:val="20"/>
                <w:color w:val="auto"/>
              </w:rPr>
            </w:pPr>
            <w:r>
              <w:rPr>
                <w:rFonts w:ascii="Arial" w:cs="Arial" w:eastAsia="Arial" w:hAnsi="Arial"/>
                <w:sz w:val="14"/>
                <w:szCs w:val="14"/>
                <w:b w:val="1"/>
                <w:bCs w:val="1"/>
                <w:color w:val="005CB8"/>
              </w:rPr>
              <w:t xml:space="preserve">Dropbox, Inc. </w:t>
            </w:r>
            <w:r>
              <w:rPr>
                <w:rFonts w:ascii="Arial" w:cs="Arial" w:eastAsia="Arial" w:hAnsi="Arial"/>
                <w:sz w:val="14"/>
                <w:szCs w:val="14"/>
                <w:color w:val="005CB8"/>
              </w:rPr>
              <w:t>Proxy Statement and Notice of 2020 Annual Meeting of Stockholders</w:t>
            </w:r>
          </w:p>
        </w:tc>
        <w:tc>
          <w:tcPr>
            <w:tcW w:w="1100" w:type="dxa"/>
            <w:vAlign w:val="bottom"/>
          </w:tcPr>
          <w:p>
            <w:pPr>
              <w:jc w:val="right"/>
              <w:ind w:right="648"/>
              <w:spacing w:after="0"/>
              <w:rPr>
                <w:sz w:val="20"/>
                <w:szCs w:val="20"/>
                <w:color w:val="auto"/>
              </w:rPr>
            </w:pPr>
            <w:r>
              <w:rPr>
                <w:rFonts w:ascii="Arial" w:cs="Arial" w:eastAsia="Arial" w:hAnsi="Arial"/>
                <w:sz w:val="14"/>
                <w:szCs w:val="14"/>
                <w:b w:val="1"/>
                <w:bCs w:val="1"/>
                <w:color w:val="auto"/>
              </w:rPr>
              <w:t>51</w:t>
            </w:r>
          </w:p>
        </w:tc>
      </w:tr>
      <w:tr>
        <w:trPr>
          <w:trHeight w:val="168"/>
        </w:trPr>
        <w:tc>
          <w:tcPr>
            <w:tcW w:w="99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55" w:name="page56"/>
    <w:bookmarkEnd w:id="55"/>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APPENDIX A</w:t>
      </w:r>
    </w:p>
    <w:p>
      <w:pPr>
        <w:spacing w:after="0" w:line="351" w:lineRule="exact"/>
        <w:rPr>
          <w:sz w:val="20"/>
          <w:szCs w:val="20"/>
          <w:color w:val="auto"/>
        </w:rPr>
      </w:pPr>
    </w:p>
    <w:p>
      <w:pPr>
        <w:ind w:left="720"/>
        <w:spacing w:after="0"/>
        <w:rPr>
          <w:sz w:val="20"/>
          <w:szCs w:val="20"/>
          <w:color w:val="auto"/>
        </w:rPr>
      </w:pPr>
      <w:r>
        <w:rPr>
          <w:rFonts w:ascii="Arial" w:cs="Arial" w:eastAsia="Arial" w:hAnsi="Arial"/>
          <w:sz w:val="26"/>
          <w:szCs w:val="26"/>
          <w:color w:val="005CB8"/>
        </w:rPr>
        <w:t>Reconciliation of GAAP financial measures to non-GAAP financial measures</w:t>
      </w:r>
    </w:p>
    <w:p>
      <w:pPr>
        <w:spacing w:after="0" w:line="169" w:lineRule="exact"/>
        <w:rPr>
          <w:sz w:val="20"/>
          <w:szCs w:val="20"/>
          <w:color w:val="auto"/>
        </w:rPr>
      </w:pPr>
    </w:p>
    <w:p>
      <w:pPr>
        <w:ind w:left="720" w:right="740"/>
        <w:spacing w:after="0" w:line="248" w:lineRule="auto"/>
        <w:rPr>
          <w:sz w:val="20"/>
          <w:szCs w:val="20"/>
          <w:color w:val="auto"/>
        </w:rPr>
      </w:pPr>
      <w:r>
        <w:rPr>
          <w:rFonts w:ascii="Arial" w:cs="Arial" w:eastAsia="Arial" w:hAnsi="Arial"/>
          <w:sz w:val="16"/>
          <w:szCs w:val="16"/>
          <w:color w:val="auto"/>
        </w:rPr>
        <w:t>This proxy statement contains information regarding three non-GAAP financial measures: non-GAAP gross margin, non-GAAP operating margin, and free cash flow, each of which are not calculated in accordance with GAAP. Non-GAAP gross margin is calculated as our non-GAAP gross profit divided by revenue and non-GAAP operating margin is calculated as our non-GAAP income (loss) from operations divided by revenue. Non-GAAP gross profit and non-GAAP income (loss) from operations each differ from GAAP in that they exclude stock-based compensation expense, amortization of acquired intangible assets, other acquisition-related expenses, which include third-party diligence costs and compensation expense for key acquired personnel, and employer payroll tax expense relating to the release of two-tier RSUs in connection with our initial public offering during the six months ended June 30, 2018. Free cash flow differs from GAAP net cash provided by operating activities in that it treats capital expenditures as a reduction to net cash provided by operating activities.</w:t>
      </w:r>
    </w:p>
    <w:p>
      <w:pPr>
        <w:spacing w:after="0" w:line="152" w:lineRule="exact"/>
        <w:rPr>
          <w:sz w:val="20"/>
          <w:szCs w:val="20"/>
          <w:color w:val="auto"/>
        </w:rPr>
      </w:pPr>
    </w:p>
    <w:p>
      <w:pPr>
        <w:ind w:left="720" w:right="1440"/>
        <w:spacing w:after="0" w:line="253" w:lineRule="auto"/>
        <w:rPr>
          <w:sz w:val="20"/>
          <w:szCs w:val="20"/>
          <w:color w:val="auto"/>
        </w:rPr>
      </w:pPr>
      <w:r>
        <w:rPr>
          <w:rFonts w:ascii="Arial" w:cs="Arial" w:eastAsia="Arial" w:hAnsi="Arial"/>
          <w:sz w:val="16"/>
          <w:szCs w:val="16"/>
          <w:color w:val="auto"/>
        </w:rPr>
        <w:t>We believe that these non-GAAP financial measures are appropriate to enhance an overall understanding of our fiscal 2019 performance in relation to the principal elements of Dropbox’s annual executive compensation program considered by the compensation committee, as described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section of this proxy statement.</w:t>
      </w:r>
    </w:p>
    <w:p>
      <w:pPr>
        <w:spacing w:after="0" w:line="147" w:lineRule="exact"/>
        <w:rPr>
          <w:sz w:val="20"/>
          <w:szCs w:val="20"/>
          <w:color w:val="auto"/>
        </w:rPr>
      </w:pPr>
    </w:p>
    <w:p>
      <w:pPr>
        <w:ind w:left="720" w:right="840"/>
        <w:spacing w:after="0" w:line="248" w:lineRule="auto"/>
        <w:rPr>
          <w:sz w:val="20"/>
          <w:szCs w:val="20"/>
          <w:color w:val="auto"/>
        </w:rPr>
      </w:pPr>
      <w:r>
        <w:rPr>
          <w:rFonts w:ascii="Arial" w:cs="Arial" w:eastAsia="Arial" w:hAnsi="Arial"/>
          <w:sz w:val="16"/>
          <w:szCs w:val="16"/>
          <w:color w:val="auto"/>
        </w:rPr>
        <w:t>The use of non-GAAP gross margin, non-GAAP operating margin, and free cash flow has certain limitations as they do not reflect all items of income, expense, and cash expenditures, as applicable, that affect Dropbox’s operations. Dropbox compensates for these limitations by reconciling the non-GAAP financial measures to the most comparable GAAP financial measures.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stockholders and others to review Dropbox’s financial information in its entirety and not rely on a single financial measure.</w:t>
      </w:r>
    </w:p>
    <w:p>
      <w:pPr>
        <w:spacing w:after="0" w:line="154" w:lineRule="exact"/>
        <w:rPr>
          <w:sz w:val="20"/>
          <w:szCs w:val="20"/>
          <w:color w:val="auto"/>
        </w:rPr>
      </w:pPr>
    </w:p>
    <w:p>
      <w:pPr>
        <w:jc w:val="both"/>
        <w:ind w:left="720" w:right="1040"/>
        <w:spacing w:after="0" w:line="253" w:lineRule="auto"/>
        <w:rPr>
          <w:sz w:val="20"/>
          <w:szCs w:val="20"/>
          <w:color w:val="auto"/>
        </w:rPr>
      </w:pPr>
      <w:r>
        <w:rPr>
          <w:rFonts w:ascii="Arial" w:cs="Arial" w:eastAsia="Arial" w:hAnsi="Arial"/>
          <w:sz w:val="16"/>
          <w:szCs w:val="16"/>
          <w:color w:val="auto"/>
        </w:rPr>
        <w:t>Stockholders should review the reconciliation of non-GAAP gross margin, non-GAAP operating margin and free cash flow to their most directly comparable GAAP financial measures, as provided in the following tables (in millions, except for percentages, which may not foot due to rounding):</w:t>
      </w:r>
    </w:p>
    <w:p>
      <w:pPr>
        <w:spacing w:after="0" w:line="34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Non-GAAP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143510</wp:posOffset>
            </wp:positionV>
            <wp:extent cx="6077585" cy="258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7585" cy="258000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20" w:type="dxa"/>
            <w:vAlign w:val="bottom"/>
          </w:tcPr>
          <w:p>
            <w:pPr>
              <w:spacing w:after="0"/>
              <w:rPr>
                <w:sz w:val="24"/>
                <w:szCs w:val="24"/>
                <w:color w:val="auto"/>
              </w:rPr>
            </w:pPr>
          </w:p>
        </w:tc>
        <w:tc>
          <w:tcPr>
            <w:tcW w:w="6440" w:type="dxa"/>
            <w:vAlign w:val="bottom"/>
            <w:shd w:val="clear" w:color="auto" w:fill="0060EC"/>
          </w:tcPr>
          <w:p>
            <w:pPr>
              <w:spacing w:after="0"/>
              <w:rPr>
                <w:sz w:val="24"/>
                <w:szCs w:val="24"/>
                <w:color w:val="auto"/>
              </w:rPr>
            </w:pPr>
          </w:p>
        </w:tc>
        <w:tc>
          <w:tcPr>
            <w:tcW w:w="3120" w:type="dxa"/>
            <w:vAlign w:val="bottom"/>
            <w:gridSpan w:val="2"/>
            <w:shd w:val="clear" w:color="auto" w:fill="0060EC"/>
          </w:tcPr>
          <w:p>
            <w:pPr>
              <w:jc w:val="right"/>
              <w:spacing w:after="0"/>
              <w:rPr>
                <w:sz w:val="20"/>
                <w:szCs w:val="20"/>
                <w:color w:val="auto"/>
              </w:rPr>
            </w:pPr>
            <w:r>
              <w:rPr>
                <w:rFonts w:ascii="Arial" w:cs="Arial" w:eastAsia="Arial" w:hAnsi="Arial"/>
                <w:sz w:val="14"/>
                <w:szCs w:val="14"/>
                <w:b w:val="1"/>
                <w:bCs w:val="1"/>
                <w:color w:val="FFFFFF"/>
              </w:rPr>
              <w:t>Twelve Months Ended December 31,</w:t>
            </w:r>
          </w:p>
        </w:tc>
        <w:tc>
          <w:tcPr>
            <w:tcW w:w="740" w:type="dxa"/>
            <w:vAlign w:val="bottom"/>
          </w:tcPr>
          <w:p>
            <w:pPr>
              <w:spacing w:after="0"/>
              <w:rPr>
                <w:sz w:val="24"/>
                <w:szCs w:val="24"/>
                <w:color w:val="auto"/>
              </w:rPr>
            </w:pPr>
          </w:p>
        </w:tc>
      </w:tr>
      <w:tr>
        <w:trPr>
          <w:trHeight w:val="351"/>
        </w:trPr>
        <w:tc>
          <w:tcPr>
            <w:tcW w:w="720" w:type="dxa"/>
            <w:vAlign w:val="bottom"/>
          </w:tcPr>
          <w:p>
            <w:pPr>
              <w:spacing w:after="0"/>
              <w:rPr>
                <w:sz w:val="24"/>
                <w:szCs w:val="24"/>
                <w:color w:val="auto"/>
              </w:rPr>
            </w:pPr>
          </w:p>
        </w:tc>
        <w:tc>
          <w:tcPr>
            <w:tcW w:w="6440" w:type="dxa"/>
            <w:vAlign w:val="bottom"/>
            <w:shd w:val="clear" w:color="auto" w:fill="0060EC"/>
          </w:tcPr>
          <w:p>
            <w:pPr>
              <w:spacing w:after="0"/>
              <w:rPr>
                <w:sz w:val="24"/>
                <w:szCs w:val="24"/>
                <w:color w:val="auto"/>
              </w:rPr>
            </w:pPr>
          </w:p>
        </w:tc>
        <w:tc>
          <w:tcPr>
            <w:tcW w:w="1700" w:type="dxa"/>
            <w:vAlign w:val="bottom"/>
            <w:shd w:val="clear" w:color="auto" w:fill="0060EC"/>
          </w:tcPr>
          <w:p>
            <w:pPr>
              <w:jc w:val="right"/>
              <w:ind w:right="81"/>
              <w:spacing w:after="0"/>
              <w:rPr>
                <w:sz w:val="20"/>
                <w:szCs w:val="20"/>
                <w:color w:val="auto"/>
              </w:rPr>
            </w:pPr>
            <w:r>
              <w:rPr>
                <w:rFonts w:ascii="Arial" w:cs="Arial" w:eastAsia="Arial" w:hAnsi="Arial"/>
                <w:sz w:val="14"/>
                <w:szCs w:val="14"/>
                <w:b w:val="1"/>
                <w:bCs w:val="1"/>
                <w:color w:val="FFFFFF"/>
              </w:rPr>
              <w:t>2019</w:t>
            </w:r>
          </w:p>
        </w:tc>
        <w:tc>
          <w:tcPr>
            <w:tcW w:w="1420" w:type="dxa"/>
            <w:vAlign w:val="bottom"/>
            <w:shd w:val="clear" w:color="auto" w:fill="0060EC"/>
          </w:tcPr>
          <w:p>
            <w:pPr>
              <w:jc w:val="right"/>
              <w:spacing w:after="0"/>
              <w:rPr>
                <w:sz w:val="20"/>
                <w:szCs w:val="20"/>
                <w:color w:val="auto"/>
              </w:rPr>
            </w:pPr>
            <w:r>
              <w:rPr>
                <w:rFonts w:ascii="Arial" w:cs="Arial" w:eastAsia="Arial" w:hAnsi="Arial"/>
                <w:sz w:val="14"/>
                <w:szCs w:val="14"/>
                <w:b w:val="1"/>
                <w:bCs w:val="1"/>
                <w:color w:val="FFFFFF"/>
              </w:rPr>
              <w:t>2018</w:t>
            </w:r>
          </w:p>
        </w:tc>
        <w:tc>
          <w:tcPr>
            <w:tcW w:w="740" w:type="dxa"/>
            <w:vAlign w:val="bottom"/>
          </w:tcPr>
          <w:p>
            <w:pPr>
              <w:spacing w:after="0"/>
              <w:rPr>
                <w:sz w:val="24"/>
                <w:szCs w:val="24"/>
                <w:color w:val="auto"/>
              </w:rPr>
            </w:pPr>
          </w:p>
        </w:tc>
      </w:tr>
      <w:tr>
        <w:trPr>
          <w:trHeight w:val="80"/>
        </w:trPr>
        <w:tc>
          <w:tcPr>
            <w:tcW w:w="720" w:type="dxa"/>
            <w:vAlign w:val="bottom"/>
          </w:tcPr>
          <w:p>
            <w:pPr>
              <w:spacing w:after="0"/>
              <w:rPr>
                <w:sz w:val="6"/>
                <w:szCs w:val="6"/>
                <w:color w:val="auto"/>
              </w:rPr>
            </w:pPr>
          </w:p>
        </w:tc>
        <w:tc>
          <w:tcPr>
            <w:tcW w:w="6440" w:type="dxa"/>
            <w:vAlign w:val="bottom"/>
            <w:shd w:val="clear" w:color="auto" w:fill="0060EC"/>
          </w:tcPr>
          <w:p>
            <w:pPr>
              <w:spacing w:after="0"/>
              <w:rPr>
                <w:sz w:val="6"/>
                <w:szCs w:val="6"/>
                <w:color w:val="auto"/>
              </w:rPr>
            </w:pPr>
          </w:p>
        </w:tc>
        <w:tc>
          <w:tcPr>
            <w:tcW w:w="1700" w:type="dxa"/>
            <w:vAlign w:val="bottom"/>
            <w:shd w:val="clear" w:color="auto" w:fill="0060EC"/>
          </w:tcPr>
          <w:p>
            <w:pPr>
              <w:spacing w:after="0"/>
              <w:rPr>
                <w:sz w:val="6"/>
                <w:szCs w:val="6"/>
                <w:color w:val="auto"/>
              </w:rPr>
            </w:pPr>
          </w:p>
        </w:tc>
        <w:tc>
          <w:tcPr>
            <w:tcW w:w="1420" w:type="dxa"/>
            <w:vAlign w:val="bottom"/>
            <w:shd w:val="clear" w:color="auto" w:fill="0060EC"/>
          </w:tcPr>
          <w:p>
            <w:pPr>
              <w:spacing w:after="0"/>
              <w:rPr>
                <w:sz w:val="6"/>
                <w:szCs w:val="6"/>
                <w:color w:val="auto"/>
              </w:rPr>
            </w:pPr>
          </w:p>
        </w:tc>
        <w:tc>
          <w:tcPr>
            <w:tcW w:w="740" w:type="dxa"/>
            <w:vAlign w:val="bottom"/>
          </w:tcPr>
          <w:p>
            <w:pPr>
              <w:spacing w:after="0"/>
              <w:rPr>
                <w:sz w:val="6"/>
                <w:szCs w:val="6"/>
                <w:color w:val="auto"/>
              </w:rPr>
            </w:pPr>
          </w:p>
        </w:tc>
      </w:tr>
      <w:tr>
        <w:trPr>
          <w:trHeight w:val="291"/>
        </w:trPr>
        <w:tc>
          <w:tcPr>
            <w:tcW w:w="720" w:type="dxa"/>
            <w:vAlign w:val="bottom"/>
          </w:tcPr>
          <w:p>
            <w:pPr>
              <w:spacing w:after="0"/>
              <w:rPr>
                <w:sz w:val="24"/>
                <w:szCs w:val="24"/>
                <w:color w:val="auto"/>
              </w:rPr>
            </w:pPr>
          </w:p>
        </w:tc>
        <w:tc>
          <w:tcPr>
            <w:tcW w:w="644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GAAP gross profit</w:t>
            </w:r>
          </w:p>
        </w:tc>
        <w:tc>
          <w:tcPr>
            <w:tcW w:w="1700" w:type="dxa"/>
            <w:vAlign w:val="bottom"/>
            <w:shd w:val="clear" w:color="auto" w:fill="E5EFFD"/>
          </w:tcPr>
          <w:p>
            <w:pPr>
              <w:jc w:val="right"/>
              <w:ind w:right="141"/>
              <w:spacing w:after="0"/>
              <w:rPr>
                <w:sz w:val="20"/>
                <w:szCs w:val="20"/>
                <w:color w:val="auto"/>
              </w:rPr>
            </w:pPr>
            <w:r>
              <w:rPr>
                <w:rFonts w:ascii="Arial" w:cs="Arial" w:eastAsia="Arial" w:hAnsi="Arial"/>
                <w:sz w:val="16"/>
                <w:szCs w:val="16"/>
                <w:color w:val="005CB8"/>
              </w:rPr>
              <w:t>$1,250.3</w:t>
            </w:r>
          </w:p>
        </w:tc>
        <w:tc>
          <w:tcPr>
            <w:tcW w:w="1420" w:type="dxa"/>
            <w:vAlign w:val="bottom"/>
            <w:shd w:val="clear" w:color="auto" w:fill="E5EFFD"/>
          </w:tcPr>
          <w:p>
            <w:pPr>
              <w:jc w:val="right"/>
              <w:ind w:right="21"/>
              <w:spacing w:after="0"/>
              <w:rPr>
                <w:sz w:val="20"/>
                <w:szCs w:val="20"/>
                <w:color w:val="auto"/>
              </w:rPr>
            </w:pPr>
            <w:r>
              <w:rPr>
                <w:rFonts w:ascii="Arial" w:cs="Arial" w:eastAsia="Arial" w:hAnsi="Arial"/>
                <w:sz w:val="16"/>
                <w:szCs w:val="16"/>
                <w:color w:val="005CB8"/>
              </w:rPr>
              <w:t>$  997.0</w:t>
            </w:r>
          </w:p>
        </w:tc>
        <w:tc>
          <w:tcPr>
            <w:tcW w:w="740" w:type="dxa"/>
            <w:vAlign w:val="bottom"/>
          </w:tcPr>
          <w:p>
            <w:pPr>
              <w:spacing w:after="0"/>
              <w:rPr>
                <w:sz w:val="24"/>
                <w:szCs w:val="24"/>
                <w:color w:val="auto"/>
              </w:rPr>
            </w:pPr>
          </w:p>
        </w:tc>
      </w:tr>
      <w:tr>
        <w:trPr>
          <w:trHeight w:val="378"/>
        </w:trPr>
        <w:tc>
          <w:tcPr>
            <w:tcW w:w="720" w:type="dxa"/>
            <w:vAlign w:val="bottom"/>
          </w:tcPr>
          <w:p>
            <w:pPr>
              <w:spacing w:after="0"/>
              <w:rPr>
                <w:sz w:val="24"/>
                <w:szCs w:val="24"/>
                <w:color w:val="auto"/>
              </w:rPr>
            </w:pPr>
          </w:p>
        </w:tc>
        <w:tc>
          <w:tcPr>
            <w:tcW w:w="6440" w:type="dxa"/>
            <w:vAlign w:val="bottom"/>
            <w:shd w:val="clear" w:color="auto" w:fill="E5EFFD"/>
          </w:tcPr>
          <w:p>
            <w:pPr>
              <w:ind w:left="300"/>
              <w:spacing w:after="0"/>
              <w:rPr>
                <w:sz w:val="20"/>
                <w:szCs w:val="20"/>
                <w:color w:val="auto"/>
              </w:rPr>
            </w:pPr>
            <w:r>
              <w:rPr>
                <w:rFonts w:ascii="Arial" w:cs="Arial" w:eastAsia="Arial" w:hAnsi="Arial"/>
                <w:sz w:val="16"/>
                <w:szCs w:val="16"/>
                <w:i w:val="1"/>
                <w:iCs w:val="1"/>
                <w:color w:val="005CB8"/>
              </w:rPr>
              <w:t>GAAP gross margin</w:t>
            </w:r>
          </w:p>
        </w:tc>
        <w:tc>
          <w:tcPr>
            <w:tcW w:w="1700" w:type="dxa"/>
            <w:vAlign w:val="bottom"/>
            <w:shd w:val="clear" w:color="auto" w:fill="E5EFFD"/>
          </w:tcPr>
          <w:p>
            <w:pPr>
              <w:jc w:val="right"/>
              <w:ind w:right="161"/>
              <w:spacing w:after="0"/>
              <w:rPr>
                <w:sz w:val="20"/>
                <w:szCs w:val="20"/>
                <w:color w:val="auto"/>
              </w:rPr>
            </w:pPr>
            <w:r>
              <w:rPr>
                <w:rFonts w:ascii="Arial" w:cs="Arial" w:eastAsia="Arial" w:hAnsi="Arial"/>
                <w:sz w:val="16"/>
                <w:szCs w:val="16"/>
                <w:color w:val="005CB8"/>
              </w:rPr>
              <w:t>75.3%</w:t>
            </w:r>
          </w:p>
        </w:tc>
        <w:tc>
          <w:tcPr>
            <w:tcW w:w="1420" w:type="dxa"/>
            <w:vAlign w:val="bottom"/>
            <w:shd w:val="clear" w:color="auto" w:fill="E5EFFD"/>
          </w:tcPr>
          <w:p>
            <w:pPr>
              <w:jc w:val="right"/>
              <w:ind w:right="41"/>
              <w:spacing w:after="0"/>
              <w:rPr>
                <w:sz w:val="20"/>
                <w:szCs w:val="20"/>
                <w:color w:val="auto"/>
              </w:rPr>
            </w:pPr>
            <w:r>
              <w:rPr>
                <w:rFonts w:ascii="Arial" w:cs="Arial" w:eastAsia="Arial" w:hAnsi="Arial"/>
                <w:sz w:val="16"/>
                <w:szCs w:val="16"/>
                <w:color w:val="005CB8"/>
              </w:rPr>
              <w:t>71.6%</w:t>
            </w:r>
          </w:p>
        </w:tc>
        <w:tc>
          <w:tcPr>
            <w:tcW w:w="740" w:type="dxa"/>
            <w:vAlign w:val="bottom"/>
          </w:tcPr>
          <w:p>
            <w:pPr>
              <w:spacing w:after="0"/>
              <w:rPr>
                <w:sz w:val="24"/>
                <w:szCs w:val="24"/>
                <w:color w:val="auto"/>
              </w:rPr>
            </w:pPr>
          </w:p>
        </w:tc>
      </w:tr>
      <w:tr>
        <w:trPr>
          <w:trHeight w:val="378"/>
        </w:trPr>
        <w:tc>
          <w:tcPr>
            <w:tcW w:w="720" w:type="dxa"/>
            <w:vAlign w:val="bottom"/>
          </w:tcPr>
          <w:p>
            <w:pPr>
              <w:spacing w:after="0"/>
              <w:rPr>
                <w:sz w:val="24"/>
                <w:szCs w:val="24"/>
                <w:color w:val="auto"/>
              </w:rPr>
            </w:pPr>
          </w:p>
        </w:tc>
        <w:tc>
          <w:tcPr>
            <w:tcW w:w="644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Less:</w:t>
            </w:r>
          </w:p>
        </w:tc>
        <w:tc>
          <w:tcPr>
            <w:tcW w:w="1700" w:type="dxa"/>
            <w:vAlign w:val="bottom"/>
            <w:shd w:val="clear" w:color="auto" w:fill="E5EFFD"/>
          </w:tcPr>
          <w:p>
            <w:pPr>
              <w:spacing w:after="0"/>
              <w:rPr>
                <w:sz w:val="24"/>
                <w:szCs w:val="24"/>
                <w:color w:val="auto"/>
              </w:rPr>
            </w:pPr>
          </w:p>
        </w:tc>
        <w:tc>
          <w:tcPr>
            <w:tcW w:w="1420" w:type="dxa"/>
            <w:vAlign w:val="bottom"/>
            <w:shd w:val="clear" w:color="auto" w:fill="E5EFFD"/>
          </w:tcPr>
          <w:p>
            <w:pPr>
              <w:spacing w:after="0"/>
              <w:rPr>
                <w:sz w:val="24"/>
                <w:szCs w:val="24"/>
                <w:color w:val="auto"/>
              </w:rPr>
            </w:pPr>
          </w:p>
        </w:tc>
        <w:tc>
          <w:tcPr>
            <w:tcW w:w="740" w:type="dxa"/>
            <w:vAlign w:val="bottom"/>
          </w:tcPr>
          <w:p>
            <w:pPr>
              <w:spacing w:after="0"/>
              <w:rPr>
                <w:sz w:val="24"/>
                <w:szCs w:val="24"/>
                <w:color w:val="auto"/>
              </w:rPr>
            </w:pPr>
          </w:p>
        </w:tc>
      </w:tr>
      <w:tr>
        <w:trPr>
          <w:trHeight w:val="378"/>
        </w:trPr>
        <w:tc>
          <w:tcPr>
            <w:tcW w:w="720" w:type="dxa"/>
            <w:vAlign w:val="bottom"/>
          </w:tcPr>
          <w:p>
            <w:pPr>
              <w:spacing w:after="0"/>
              <w:rPr>
                <w:sz w:val="24"/>
                <w:szCs w:val="24"/>
                <w:color w:val="auto"/>
              </w:rPr>
            </w:pPr>
          </w:p>
        </w:tc>
        <w:tc>
          <w:tcPr>
            <w:tcW w:w="6440" w:type="dxa"/>
            <w:vAlign w:val="bottom"/>
            <w:shd w:val="clear" w:color="auto" w:fill="E5EFFD"/>
          </w:tcPr>
          <w:p>
            <w:pPr>
              <w:ind w:left="300"/>
              <w:spacing w:after="0"/>
              <w:rPr>
                <w:sz w:val="20"/>
                <w:szCs w:val="20"/>
                <w:color w:val="auto"/>
              </w:rPr>
            </w:pPr>
            <w:r>
              <w:rPr>
                <w:rFonts w:ascii="Arial" w:cs="Arial" w:eastAsia="Arial" w:hAnsi="Arial"/>
                <w:sz w:val="16"/>
                <w:szCs w:val="16"/>
                <w:color w:val="005CB8"/>
              </w:rPr>
              <w:t>Stock-based compensation</w:t>
            </w:r>
          </w:p>
        </w:tc>
        <w:tc>
          <w:tcPr>
            <w:tcW w:w="170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(15.8)</w:t>
            </w:r>
          </w:p>
        </w:tc>
        <w:tc>
          <w:tcPr>
            <w:tcW w:w="142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(47.0)</w:t>
            </w:r>
          </w:p>
        </w:tc>
        <w:tc>
          <w:tcPr>
            <w:tcW w:w="740" w:type="dxa"/>
            <w:vAlign w:val="bottom"/>
          </w:tcPr>
          <w:p>
            <w:pPr>
              <w:spacing w:after="0"/>
              <w:rPr>
                <w:sz w:val="24"/>
                <w:szCs w:val="24"/>
                <w:color w:val="auto"/>
              </w:rPr>
            </w:pPr>
          </w:p>
        </w:tc>
      </w:tr>
      <w:tr>
        <w:trPr>
          <w:trHeight w:val="378"/>
        </w:trPr>
        <w:tc>
          <w:tcPr>
            <w:tcW w:w="720" w:type="dxa"/>
            <w:vAlign w:val="bottom"/>
          </w:tcPr>
          <w:p>
            <w:pPr>
              <w:spacing w:after="0"/>
              <w:rPr>
                <w:sz w:val="24"/>
                <w:szCs w:val="24"/>
                <w:color w:val="auto"/>
              </w:rPr>
            </w:pPr>
          </w:p>
        </w:tc>
        <w:tc>
          <w:tcPr>
            <w:tcW w:w="6440" w:type="dxa"/>
            <w:vAlign w:val="bottom"/>
            <w:shd w:val="clear" w:color="auto" w:fill="E5EFFD"/>
          </w:tcPr>
          <w:p>
            <w:pPr>
              <w:ind w:left="300"/>
              <w:spacing w:after="0"/>
              <w:rPr>
                <w:sz w:val="20"/>
                <w:szCs w:val="20"/>
                <w:color w:val="auto"/>
              </w:rPr>
            </w:pPr>
            <w:r>
              <w:rPr>
                <w:rFonts w:ascii="Arial" w:cs="Arial" w:eastAsia="Arial" w:hAnsi="Arial"/>
                <w:sz w:val="16"/>
                <w:szCs w:val="16"/>
                <w:color w:val="005CB8"/>
              </w:rPr>
              <w:t>Acquisition-related and other expenses</w:t>
            </w:r>
          </w:p>
        </w:tc>
        <w:tc>
          <w:tcPr>
            <w:tcW w:w="1700" w:type="dxa"/>
            <w:vAlign w:val="bottom"/>
            <w:shd w:val="clear" w:color="auto" w:fill="E5EFFD"/>
          </w:tcPr>
          <w:p>
            <w:pPr>
              <w:jc w:val="right"/>
              <w:ind w:right="161"/>
              <w:spacing w:after="0"/>
              <w:rPr>
                <w:sz w:val="20"/>
                <w:szCs w:val="20"/>
                <w:color w:val="auto"/>
              </w:rPr>
            </w:pPr>
            <w:r>
              <w:rPr>
                <w:rFonts w:ascii="Arial" w:cs="Arial" w:eastAsia="Arial" w:hAnsi="Arial"/>
                <w:sz w:val="16"/>
                <w:szCs w:val="16"/>
                <w:color w:val="005CB8"/>
              </w:rPr>
              <w:t>—</w:t>
            </w:r>
          </w:p>
        </w:tc>
        <w:tc>
          <w:tcPr>
            <w:tcW w:w="1420" w:type="dxa"/>
            <w:vAlign w:val="bottom"/>
            <w:shd w:val="clear" w:color="auto" w:fill="E5EFFD"/>
          </w:tcPr>
          <w:p>
            <w:pPr>
              <w:jc w:val="right"/>
              <w:ind w:right="41"/>
              <w:spacing w:after="0"/>
              <w:rPr>
                <w:sz w:val="20"/>
                <w:szCs w:val="20"/>
                <w:color w:val="auto"/>
              </w:rPr>
            </w:pPr>
            <w:r>
              <w:rPr>
                <w:rFonts w:ascii="Arial" w:cs="Arial" w:eastAsia="Arial" w:hAnsi="Arial"/>
                <w:sz w:val="16"/>
                <w:szCs w:val="16"/>
                <w:color w:val="005CB8"/>
              </w:rPr>
              <w:t>—</w:t>
            </w:r>
          </w:p>
        </w:tc>
        <w:tc>
          <w:tcPr>
            <w:tcW w:w="740" w:type="dxa"/>
            <w:vAlign w:val="bottom"/>
          </w:tcPr>
          <w:p>
            <w:pPr>
              <w:spacing w:after="0"/>
              <w:rPr>
                <w:sz w:val="24"/>
                <w:szCs w:val="24"/>
                <w:color w:val="auto"/>
              </w:rPr>
            </w:pPr>
          </w:p>
        </w:tc>
      </w:tr>
      <w:tr>
        <w:trPr>
          <w:trHeight w:val="378"/>
        </w:trPr>
        <w:tc>
          <w:tcPr>
            <w:tcW w:w="720" w:type="dxa"/>
            <w:vAlign w:val="bottom"/>
          </w:tcPr>
          <w:p>
            <w:pPr>
              <w:spacing w:after="0"/>
              <w:rPr>
                <w:sz w:val="24"/>
                <w:szCs w:val="24"/>
                <w:color w:val="auto"/>
              </w:rPr>
            </w:pPr>
          </w:p>
        </w:tc>
        <w:tc>
          <w:tcPr>
            <w:tcW w:w="6440" w:type="dxa"/>
            <w:vAlign w:val="bottom"/>
            <w:shd w:val="clear" w:color="auto" w:fill="E5EFFD"/>
          </w:tcPr>
          <w:p>
            <w:pPr>
              <w:ind w:left="300"/>
              <w:spacing w:after="0"/>
              <w:rPr>
                <w:sz w:val="20"/>
                <w:szCs w:val="20"/>
                <w:color w:val="auto"/>
              </w:rPr>
            </w:pPr>
            <w:r>
              <w:rPr>
                <w:rFonts w:ascii="Arial" w:cs="Arial" w:eastAsia="Arial" w:hAnsi="Arial"/>
                <w:sz w:val="16"/>
                <w:szCs w:val="16"/>
                <w:color w:val="005CB8"/>
              </w:rPr>
              <w:t>Intangibles amortization</w:t>
            </w:r>
          </w:p>
        </w:tc>
        <w:tc>
          <w:tcPr>
            <w:tcW w:w="170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(3.4)</w:t>
            </w:r>
          </w:p>
        </w:tc>
        <w:tc>
          <w:tcPr>
            <w:tcW w:w="1420" w:type="dxa"/>
            <w:vAlign w:val="bottom"/>
            <w:shd w:val="clear" w:color="auto" w:fill="E5EFFD"/>
          </w:tcPr>
          <w:p>
            <w:pPr>
              <w:jc w:val="right"/>
              <w:ind w:right="41"/>
              <w:spacing w:after="0"/>
              <w:rPr>
                <w:sz w:val="20"/>
                <w:szCs w:val="20"/>
                <w:color w:val="auto"/>
              </w:rPr>
            </w:pPr>
            <w:r>
              <w:rPr>
                <w:rFonts w:ascii="Arial" w:cs="Arial" w:eastAsia="Arial" w:hAnsi="Arial"/>
                <w:sz w:val="16"/>
                <w:szCs w:val="16"/>
                <w:color w:val="005CB8"/>
              </w:rPr>
              <w:t>—</w:t>
            </w:r>
          </w:p>
        </w:tc>
        <w:tc>
          <w:tcPr>
            <w:tcW w:w="740" w:type="dxa"/>
            <w:vAlign w:val="bottom"/>
          </w:tcPr>
          <w:p>
            <w:pPr>
              <w:spacing w:after="0"/>
              <w:rPr>
                <w:sz w:val="24"/>
                <w:szCs w:val="24"/>
                <w:color w:val="auto"/>
              </w:rPr>
            </w:pPr>
          </w:p>
        </w:tc>
      </w:tr>
      <w:tr>
        <w:trPr>
          <w:trHeight w:val="378"/>
        </w:trPr>
        <w:tc>
          <w:tcPr>
            <w:tcW w:w="720" w:type="dxa"/>
            <w:vAlign w:val="bottom"/>
          </w:tcPr>
          <w:p>
            <w:pPr>
              <w:spacing w:after="0"/>
              <w:rPr>
                <w:sz w:val="24"/>
                <w:szCs w:val="24"/>
                <w:color w:val="auto"/>
              </w:rPr>
            </w:pPr>
          </w:p>
        </w:tc>
        <w:tc>
          <w:tcPr>
            <w:tcW w:w="6440" w:type="dxa"/>
            <w:vAlign w:val="bottom"/>
            <w:shd w:val="clear" w:color="auto" w:fill="E5EFFD"/>
          </w:tcPr>
          <w:p>
            <w:pPr>
              <w:ind w:left="300"/>
              <w:spacing w:after="0"/>
              <w:rPr>
                <w:sz w:val="20"/>
                <w:szCs w:val="20"/>
                <w:color w:val="auto"/>
              </w:rPr>
            </w:pPr>
            <w:r>
              <w:rPr>
                <w:rFonts w:ascii="Arial" w:cs="Arial" w:eastAsia="Arial" w:hAnsi="Arial"/>
                <w:sz w:val="16"/>
                <w:szCs w:val="16"/>
                <w:color w:val="005CB8"/>
              </w:rPr>
              <w:t>Employer payroll related to the release of two-tier RSUs</w:t>
            </w:r>
          </w:p>
        </w:tc>
        <w:tc>
          <w:tcPr>
            <w:tcW w:w="1700" w:type="dxa"/>
            <w:vAlign w:val="bottom"/>
            <w:shd w:val="clear" w:color="auto" w:fill="E5EFFD"/>
          </w:tcPr>
          <w:p>
            <w:pPr>
              <w:jc w:val="right"/>
              <w:ind w:right="161"/>
              <w:spacing w:after="0"/>
              <w:rPr>
                <w:sz w:val="20"/>
                <w:szCs w:val="20"/>
                <w:color w:val="auto"/>
              </w:rPr>
            </w:pPr>
            <w:r>
              <w:rPr>
                <w:rFonts w:ascii="Arial" w:cs="Arial" w:eastAsia="Arial" w:hAnsi="Arial"/>
                <w:sz w:val="16"/>
                <w:szCs w:val="16"/>
                <w:color w:val="005CB8"/>
              </w:rPr>
              <w:t>—</w:t>
            </w:r>
          </w:p>
        </w:tc>
        <w:tc>
          <w:tcPr>
            <w:tcW w:w="142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(1.1)</w:t>
            </w:r>
          </w:p>
        </w:tc>
        <w:tc>
          <w:tcPr>
            <w:tcW w:w="740" w:type="dxa"/>
            <w:vAlign w:val="bottom"/>
          </w:tcPr>
          <w:p>
            <w:pPr>
              <w:spacing w:after="0"/>
              <w:rPr>
                <w:sz w:val="24"/>
                <w:szCs w:val="24"/>
                <w:color w:val="auto"/>
              </w:rPr>
            </w:pPr>
          </w:p>
        </w:tc>
      </w:tr>
      <w:tr>
        <w:trPr>
          <w:trHeight w:val="378"/>
        </w:trPr>
        <w:tc>
          <w:tcPr>
            <w:tcW w:w="720" w:type="dxa"/>
            <w:vAlign w:val="bottom"/>
          </w:tcPr>
          <w:p>
            <w:pPr>
              <w:spacing w:after="0"/>
              <w:rPr>
                <w:sz w:val="24"/>
                <w:szCs w:val="24"/>
                <w:color w:val="auto"/>
              </w:rPr>
            </w:pPr>
          </w:p>
        </w:tc>
        <w:tc>
          <w:tcPr>
            <w:tcW w:w="644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Non-GAAP gross profit</w:t>
            </w:r>
          </w:p>
        </w:tc>
        <w:tc>
          <w:tcPr>
            <w:tcW w:w="1700" w:type="dxa"/>
            <w:vAlign w:val="bottom"/>
            <w:shd w:val="clear" w:color="auto" w:fill="E5EFFD"/>
          </w:tcPr>
          <w:p>
            <w:pPr>
              <w:jc w:val="right"/>
              <w:ind w:right="161"/>
              <w:spacing w:after="0"/>
              <w:rPr>
                <w:sz w:val="20"/>
                <w:szCs w:val="20"/>
                <w:color w:val="auto"/>
              </w:rPr>
            </w:pPr>
            <w:r>
              <w:rPr>
                <w:rFonts w:ascii="Arial" w:cs="Arial" w:eastAsia="Arial" w:hAnsi="Arial"/>
                <w:sz w:val="16"/>
                <w:szCs w:val="16"/>
                <w:color w:val="005CB8"/>
              </w:rPr>
              <w:t>1,269.5</w:t>
            </w:r>
          </w:p>
        </w:tc>
        <w:tc>
          <w:tcPr>
            <w:tcW w:w="1420" w:type="dxa"/>
            <w:vAlign w:val="bottom"/>
            <w:shd w:val="clear" w:color="auto" w:fill="E5EFFD"/>
          </w:tcPr>
          <w:p>
            <w:pPr>
              <w:jc w:val="right"/>
              <w:ind w:right="41"/>
              <w:spacing w:after="0"/>
              <w:rPr>
                <w:sz w:val="20"/>
                <w:szCs w:val="20"/>
                <w:color w:val="auto"/>
              </w:rPr>
            </w:pPr>
            <w:r>
              <w:rPr>
                <w:rFonts w:ascii="Arial" w:cs="Arial" w:eastAsia="Arial" w:hAnsi="Arial"/>
                <w:sz w:val="16"/>
                <w:szCs w:val="16"/>
                <w:color w:val="005CB8"/>
              </w:rPr>
              <w:t>1,045.1</w:t>
            </w:r>
          </w:p>
        </w:tc>
        <w:tc>
          <w:tcPr>
            <w:tcW w:w="740" w:type="dxa"/>
            <w:vAlign w:val="bottom"/>
          </w:tcPr>
          <w:p>
            <w:pPr>
              <w:spacing w:after="0"/>
              <w:rPr>
                <w:sz w:val="24"/>
                <w:szCs w:val="24"/>
                <w:color w:val="auto"/>
              </w:rPr>
            </w:pPr>
          </w:p>
        </w:tc>
      </w:tr>
      <w:tr>
        <w:trPr>
          <w:trHeight w:val="398"/>
        </w:trPr>
        <w:tc>
          <w:tcPr>
            <w:tcW w:w="720" w:type="dxa"/>
            <w:vAlign w:val="bottom"/>
          </w:tcPr>
          <w:p>
            <w:pPr>
              <w:spacing w:after="0"/>
              <w:rPr>
                <w:sz w:val="24"/>
                <w:szCs w:val="24"/>
                <w:color w:val="auto"/>
              </w:rPr>
            </w:pPr>
          </w:p>
        </w:tc>
        <w:tc>
          <w:tcPr>
            <w:tcW w:w="6440" w:type="dxa"/>
            <w:vAlign w:val="bottom"/>
            <w:shd w:val="clear" w:color="auto" w:fill="E5EFFD"/>
          </w:tcPr>
          <w:p>
            <w:pPr>
              <w:ind w:left="300"/>
              <w:spacing w:after="0"/>
              <w:rPr>
                <w:sz w:val="20"/>
                <w:szCs w:val="20"/>
                <w:color w:val="auto"/>
              </w:rPr>
            </w:pPr>
            <w:r>
              <w:rPr>
                <w:rFonts w:ascii="Arial" w:cs="Arial" w:eastAsia="Arial" w:hAnsi="Arial"/>
                <w:sz w:val="16"/>
                <w:szCs w:val="16"/>
                <w:i w:val="1"/>
                <w:iCs w:val="1"/>
                <w:color w:val="005CB8"/>
              </w:rPr>
              <w:t>Non-GAAP gross margin</w:t>
            </w:r>
          </w:p>
        </w:tc>
        <w:tc>
          <w:tcPr>
            <w:tcW w:w="1700" w:type="dxa"/>
            <w:vAlign w:val="bottom"/>
            <w:shd w:val="clear" w:color="auto" w:fill="E5EFFD"/>
          </w:tcPr>
          <w:p>
            <w:pPr>
              <w:jc w:val="right"/>
              <w:ind w:right="161"/>
              <w:spacing w:after="0"/>
              <w:rPr>
                <w:sz w:val="20"/>
                <w:szCs w:val="20"/>
                <w:color w:val="auto"/>
              </w:rPr>
            </w:pPr>
            <w:r>
              <w:rPr>
                <w:rFonts w:ascii="Arial" w:cs="Arial" w:eastAsia="Arial" w:hAnsi="Arial"/>
                <w:sz w:val="16"/>
                <w:szCs w:val="16"/>
                <w:color w:val="005CB8"/>
              </w:rPr>
              <w:t>76.4%</w:t>
            </w:r>
          </w:p>
        </w:tc>
        <w:tc>
          <w:tcPr>
            <w:tcW w:w="1420" w:type="dxa"/>
            <w:vAlign w:val="bottom"/>
            <w:shd w:val="clear" w:color="auto" w:fill="E5EFFD"/>
          </w:tcPr>
          <w:p>
            <w:pPr>
              <w:jc w:val="right"/>
              <w:ind w:right="41"/>
              <w:spacing w:after="0"/>
              <w:rPr>
                <w:sz w:val="20"/>
                <w:szCs w:val="20"/>
                <w:color w:val="auto"/>
              </w:rPr>
            </w:pPr>
            <w:r>
              <w:rPr>
                <w:rFonts w:ascii="Arial" w:cs="Arial" w:eastAsia="Arial" w:hAnsi="Arial"/>
                <w:sz w:val="16"/>
                <w:szCs w:val="16"/>
                <w:color w:val="005CB8"/>
              </w:rPr>
              <w:t>75.1%</w:t>
            </w:r>
          </w:p>
        </w:tc>
        <w:tc>
          <w:tcPr>
            <w:tcW w:w="740" w:type="dxa"/>
            <w:vAlign w:val="bottom"/>
          </w:tcPr>
          <w:p>
            <w:pPr>
              <w:spacing w:after="0"/>
              <w:rPr>
                <w:sz w:val="24"/>
                <w:szCs w:val="24"/>
                <w:color w:val="auto"/>
              </w:rPr>
            </w:pPr>
          </w:p>
        </w:tc>
      </w:tr>
      <w:tr>
        <w:trPr>
          <w:trHeight w:val="407"/>
        </w:trPr>
        <w:tc>
          <w:tcPr>
            <w:tcW w:w="7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60" w:type="dxa"/>
            <w:vAlign w:val="bottom"/>
            <w:gridSpan w:val="2"/>
          </w:tcPr>
          <w:p>
            <w:pPr>
              <w:ind w:left="1200"/>
              <w:spacing w:after="0"/>
              <w:rPr>
                <w:sz w:val="20"/>
                <w:szCs w:val="20"/>
                <w:color w:val="auto"/>
              </w:rPr>
            </w:pPr>
            <w:r>
              <w:rPr>
                <w:rFonts w:ascii="Arial" w:cs="Arial" w:eastAsia="Arial" w:hAnsi="Arial"/>
                <w:sz w:val="14"/>
                <w:szCs w:val="14"/>
                <w:b w:val="1"/>
                <w:bCs w:val="1"/>
                <w:color w:val="auto"/>
              </w:rPr>
              <w:t>A-1</w:t>
            </w:r>
          </w:p>
        </w:tc>
      </w:tr>
      <w:tr>
        <w:trPr>
          <w:trHeight w:val="167"/>
        </w:trPr>
        <w:tc>
          <w:tcPr>
            <w:tcW w:w="720" w:type="dxa"/>
            <w:vAlign w:val="bottom"/>
            <w:tcBorders>
              <w:bottom w:val="single" w:sz="8" w:color="auto"/>
            </w:tcBorders>
          </w:tcPr>
          <w:p>
            <w:pPr>
              <w:spacing w:after="0"/>
              <w:rPr>
                <w:sz w:val="14"/>
                <w:szCs w:val="14"/>
                <w:color w:val="auto"/>
              </w:rPr>
            </w:pPr>
          </w:p>
        </w:tc>
        <w:tc>
          <w:tcPr>
            <w:tcW w:w="64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56" w:name="page57"/>
    <w:bookmarkEnd w:id="56"/>
    <w:p>
      <w:pPr>
        <w:ind w:left="72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0" w:lineRule="exact"/>
        <w:rPr>
          <w:sz w:val="20"/>
          <w:szCs w:val="20"/>
          <w:color w:val="auto"/>
        </w:rPr>
      </w:pPr>
    </w:p>
    <w:p>
      <w:pPr>
        <w:ind w:left="720"/>
        <w:spacing w:after="0"/>
        <w:rPr>
          <w:sz w:val="20"/>
          <w:szCs w:val="20"/>
          <w:color w:val="auto"/>
        </w:rPr>
      </w:pPr>
      <w:r>
        <w:rPr>
          <w:rFonts w:ascii="Arial" w:cs="Arial" w:eastAsia="Arial" w:hAnsi="Arial"/>
          <w:sz w:val="32"/>
          <w:szCs w:val="32"/>
          <w:color w:val="005CB8"/>
        </w:rPr>
        <w:t>APPENDIX A (continued)</w:t>
      </w:r>
    </w:p>
    <w:p>
      <w:pPr>
        <w:spacing w:after="0" w:line="366"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005CB8"/>
        </w:rPr>
        <w:t>Non-GAAP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134620</wp:posOffset>
            </wp:positionV>
            <wp:extent cx="6077585" cy="258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7585" cy="258000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20" w:type="dxa"/>
            <w:vAlign w:val="bottom"/>
          </w:tcPr>
          <w:p>
            <w:pPr>
              <w:spacing w:after="0"/>
              <w:rPr>
                <w:sz w:val="24"/>
                <w:szCs w:val="24"/>
                <w:color w:val="auto"/>
              </w:rPr>
            </w:pPr>
          </w:p>
        </w:tc>
        <w:tc>
          <w:tcPr>
            <w:tcW w:w="6440" w:type="dxa"/>
            <w:vAlign w:val="bottom"/>
            <w:shd w:val="clear" w:color="auto" w:fill="0060EC"/>
          </w:tcPr>
          <w:p>
            <w:pPr>
              <w:spacing w:after="0"/>
              <w:rPr>
                <w:sz w:val="24"/>
                <w:szCs w:val="24"/>
                <w:color w:val="auto"/>
              </w:rPr>
            </w:pPr>
          </w:p>
        </w:tc>
        <w:tc>
          <w:tcPr>
            <w:tcW w:w="3120" w:type="dxa"/>
            <w:vAlign w:val="bottom"/>
            <w:gridSpan w:val="2"/>
            <w:shd w:val="clear" w:color="auto" w:fill="0060EC"/>
          </w:tcPr>
          <w:p>
            <w:pPr>
              <w:jc w:val="right"/>
              <w:spacing w:after="0"/>
              <w:rPr>
                <w:sz w:val="20"/>
                <w:szCs w:val="20"/>
                <w:color w:val="auto"/>
              </w:rPr>
            </w:pPr>
            <w:r>
              <w:rPr>
                <w:rFonts w:ascii="Arial" w:cs="Arial" w:eastAsia="Arial" w:hAnsi="Arial"/>
                <w:sz w:val="14"/>
                <w:szCs w:val="14"/>
                <w:b w:val="1"/>
                <w:bCs w:val="1"/>
                <w:color w:val="FFFFFF"/>
              </w:rPr>
              <w:t>Twelve Months Ended December 31,</w:t>
            </w:r>
          </w:p>
        </w:tc>
        <w:tc>
          <w:tcPr>
            <w:tcW w:w="740" w:type="dxa"/>
            <w:vAlign w:val="bottom"/>
          </w:tcPr>
          <w:p>
            <w:pPr>
              <w:spacing w:after="0"/>
              <w:rPr>
                <w:sz w:val="24"/>
                <w:szCs w:val="24"/>
                <w:color w:val="auto"/>
              </w:rPr>
            </w:pPr>
          </w:p>
        </w:tc>
      </w:tr>
      <w:tr>
        <w:trPr>
          <w:trHeight w:val="351"/>
        </w:trPr>
        <w:tc>
          <w:tcPr>
            <w:tcW w:w="720" w:type="dxa"/>
            <w:vAlign w:val="bottom"/>
          </w:tcPr>
          <w:p>
            <w:pPr>
              <w:spacing w:after="0"/>
              <w:rPr>
                <w:sz w:val="24"/>
                <w:szCs w:val="24"/>
                <w:color w:val="auto"/>
              </w:rPr>
            </w:pPr>
          </w:p>
        </w:tc>
        <w:tc>
          <w:tcPr>
            <w:tcW w:w="6440" w:type="dxa"/>
            <w:vAlign w:val="bottom"/>
            <w:shd w:val="clear" w:color="auto" w:fill="0060EC"/>
          </w:tcPr>
          <w:p>
            <w:pPr>
              <w:spacing w:after="0"/>
              <w:rPr>
                <w:sz w:val="24"/>
                <w:szCs w:val="24"/>
                <w:color w:val="auto"/>
              </w:rPr>
            </w:pPr>
          </w:p>
        </w:tc>
        <w:tc>
          <w:tcPr>
            <w:tcW w:w="1620" w:type="dxa"/>
            <w:vAlign w:val="bottom"/>
            <w:shd w:val="clear" w:color="auto" w:fill="0060EC"/>
          </w:tcPr>
          <w:p>
            <w:pPr>
              <w:jc w:val="right"/>
              <w:ind w:right="1"/>
              <w:spacing w:after="0"/>
              <w:rPr>
                <w:sz w:val="20"/>
                <w:szCs w:val="20"/>
                <w:color w:val="auto"/>
              </w:rPr>
            </w:pPr>
            <w:r>
              <w:rPr>
                <w:rFonts w:ascii="Arial" w:cs="Arial" w:eastAsia="Arial" w:hAnsi="Arial"/>
                <w:sz w:val="14"/>
                <w:szCs w:val="14"/>
                <w:b w:val="1"/>
                <w:bCs w:val="1"/>
                <w:color w:val="FFFFFF"/>
              </w:rPr>
              <w:t>2019</w:t>
            </w:r>
          </w:p>
        </w:tc>
        <w:tc>
          <w:tcPr>
            <w:tcW w:w="1500" w:type="dxa"/>
            <w:vAlign w:val="bottom"/>
            <w:shd w:val="clear" w:color="auto" w:fill="0060EC"/>
          </w:tcPr>
          <w:p>
            <w:pPr>
              <w:jc w:val="right"/>
              <w:spacing w:after="0"/>
              <w:rPr>
                <w:sz w:val="20"/>
                <w:szCs w:val="20"/>
                <w:color w:val="auto"/>
              </w:rPr>
            </w:pPr>
            <w:r>
              <w:rPr>
                <w:rFonts w:ascii="Arial" w:cs="Arial" w:eastAsia="Arial" w:hAnsi="Arial"/>
                <w:sz w:val="14"/>
                <w:szCs w:val="14"/>
                <w:b w:val="1"/>
                <w:bCs w:val="1"/>
                <w:color w:val="FFFFFF"/>
              </w:rPr>
              <w:t>2018</w:t>
            </w:r>
          </w:p>
        </w:tc>
        <w:tc>
          <w:tcPr>
            <w:tcW w:w="740" w:type="dxa"/>
            <w:vAlign w:val="bottom"/>
          </w:tcPr>
          <w:p>
            <w:pPr>
              <w:spacing w:after="0"/>
              <w:rPr>
                <w:sz w:val="24"/>
                <w:szCs w:val="24"/>
                <w:color w:val="auto"/>
              </w:rPr>
            </w:pPr>
          </w:p>
        </w:tc>
      </w:tr>
      <w:tr>
        <w:trPr>
          <w:trHeight w:val="79"/>
        </w:trPr>
        <w:tc>
          <w:tcPr>
            <w:tcW w:w="720" w:type="dxa"/>
            <w:vAlign w:val="bottom"/>
          </w:tcPr>
          <w:p>
            <w:pPr>
              <w:spacing w:after="0"/>
              <w:rPr>
                <w:sz w:val="6"/>
                <w:szCs w:val="6"/>
                <w:color w:val="auto"/>
              </w:rPr>
            </w:pPr>
          </w:p>
        </w:tc>
        <w:tc>
          <w:tcPr>
            <w:tcW w:w="6440" w:type="dxa"/>
            <w:vAlign w:val="bottom"/>
            <w:shd w:val="clear" w:color="auto" w:fill="0060EC"/>
          </w:tcPr>
          <w:p>
            <w:pPr>
              <w:spacing w:after="0"/>
              <w:rPr>
                <w:sz w:val="6"/>
                <w:szCs w:val="6"/>
                <w:color w:val="auto"/>
              </w:rPr>
            </w:pPr>
          </w:p>
        </w:tc>
        <w:tc>
          <w:tcPr>
            <w:tcW w:w="1620" w:type="dxa"/>
            <w:vAlign w:val="bottom"/>
            <w:shd w:val="clear" w:color="auto" w:fill="0060EC"/>
          </w:tcPr>
          <w:p>
            <w:pPr>
              <w:spacing w:after="0"/>
              <w:rPr>
                <w:sz w:val="6"/>
                <w:szCs w:val="6"/>
                <w:color w:val="auto"/>
              </w:rPr>
            </w:pPr>
          </w:p>
        </w:tc>
        <w:tc>
          <w:tcPr>
            <w:tcW w:w="1500" w:type="dxa"/>
            <w:vAlign w:val="bottom"/>
            <w:shd w:val="clear" w:color="auto" w:fill="0060EC"/>
          </w:tcPr>
          <w:p>
            <w:pPr>
              <w:spacing w:after="0"/>
              <w:rPr>
                <w:sz w:val="6"/>
                <w:szCs w:val="6"/>
                <w:color w:val="auto"/>
              </w:rPr>
            </w:pPr>
          </w:p>
        </w:tc>
        <w:tc>
          <w:tcPr>
            <w:tcW w:w="740" w:type="dxa"/>
            <w:vAlign w:val="bottom"/>
          </w:tcPr>
          <w:p>
            <w:pPr>
              <w:spacing w:after="0"/>
              <w:rPr>
                <w:sz w:val="6"/>
                <w:szCs w:val="6"/>
                <w:color w:val="auto"/>
              </w:rPr>
            </w:pPr>
          </w:p>
        </w:tc>
      </w:tr>
      <w:tr>
        <w:trPr>
          <w:trHeight w:val="291"/>
        </w:trPr>
        <w:tc>
          <w:tcPr>
            <w:tcW w:w="720" w:type="dxa"/>
            <w:vAlign w:val="bottom"/>
          </w:tcPr>
          <w:p>
            <w:pPr>
              <w:spacing w:after="0"/>
              <w:rPr>
                <w:sz w:val="24"/>
                <w:szCs w:val="24"/>
                <w:color w:val="auto"/>
              </w:rPr>
            </w:pPr>
          </w:p>
        </w:tc>
        <w:tc>
          <w:tcPr>
            <w:tcW w:w="644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GAAP income (loss) from operations</w:t>
            </w:r>
          </w:p>
        </w:tc>
        <w:tc>
          <w:tcPr>
            <w:tcW w:w="162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 (80.5)</w:t>
            </w:r>
          </w:p>
        </w:tc>
        <w:tc>
          <w:tcPr>
            <w:tcW w:w="150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$(494.0)</w:t>
            </w:r>
          </w:p>
        </w:tc>
        <w:tc>
          <w:tcPr>
            <w:tcW w:w="740" w:type="dxa"/>
            <w:vAlign w:val="bottom"/>
          </w:tcPr>
          <w:p>
            <w:pPr>
              <w:spacing w:after="0"/>
              <w:rPr>
                <w:sz w:val="24"/>
                <w:szCs w:val="24"/>
                <w:color w:val="auto"/>
              </w:rPr>
            </w:pPr>
          </w:p>
        </w:tc>
      </w:tr>
      <w:tr>
        <w:trPr>
          <w:trHeight w:val="378"/>
        </w:trPr>
        <w:tc>
          <w:tcPr>
            <w:tcW w:w="720" w:type="dxa"/>
            <w:vAlign w:val="bottom"/>
          </w:tcPr>
          <w:p>
            <w:pPr>
              <w:spacing w:after="0"/>
              <w:rPr>
                <w:sz w:val="24"/>
                <w:szCs w:val="24"/>
                <w:color w:val="auto"/>
              </w:rPr>
            </w:pPr>
          </w:p>
        </w:tc>
        <w:tc>
          <w:tcPr>
            <w:tcW w:w="6440" w:type="dxa"/>
            <w:vAlign w:val="bottom"/>
            <w:shd w:val="clear" w:color="auto" w:fill="E5EFFD"/>
          </w:tcPr>
          <w:p>
            <w:pPr>
              <w:ind w:left="300"/>
              <w:spacing w:after="0"/>
              <w:rPr>
                <w:sz w:val="20"/>
                <w:szCs w:val="20"/>
                <w:color w:val="auto"/>
              </w:rPr>
            </w:pPr>
            <w:r>
              <w:rPr>
                <w:rFonts w:ascii="Arial" w:cs="Arial" w:eastAsia="Arial" w:hAnsi="Arial"/>
                <w:sz w:val="16"/>
                <w:szCs w:val="16"/>
                <w:i w:val="1"/>
                <w:iCs w:val="1"/>
                <w:color w:val="005CB8"/>
              </w:rPr>
              <w:t>GAAP operating margin</w:t>
            </w:r>
          </w:p>
        </w:tc>
        <w:tc>
          <w:tcPr>
            <w:tcW w:w="162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(4.8)%</w:t>
            </w:r>
          </w:p>
        </w:tc>
        <w:tc>
          <w:tcPr>
            <w:tcW w:w="150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(35.5)%</w:t>
            </w:r>
          </w:p>
        </w:tc>
        <w:tc>
          <w:tcPr>
            <w:tcW w:w="740" w:type="dxa"/>
            <w:vAlign w:val="bottom"/>
          </w:tcPr>
          <w:p>
            <w:pPr>
              <w:spacing w:after="0"/>
              <w:rPr>
                <w:sz w:val="24"/>
                <w:szCs w:val="24"/>
                <w:color w:val="auto"/>
              </w:rPr>
            </w:pPr>
          </w:p>
        </w:tc>
      </w:tr>
      <w:tr>
        <w:trPr>
          <w:trHeight w:val="378"/>
        </w:trPr>
        <w:tc>
          <w:tcPr>
            <w:tcW w:w="720" w:type="dxa"/>
            <w:vAlign w:val="bottom"/>
          </w:tcPr>
          <w:p>
            <w:pPr>
              <w:spacing w:after="0"/>
              <w:rPr>
                <w:sz w:val="24"/>
                <w:szCs w:val="24"/>
                <w:color w:val="auto"/>
              </w:rPr>
            </w:pPr>
          </w:p>
        </w:tc>
        <w:tc>
          <w:tcPr>
            <w:tcW w:w="644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Less:</w:t>
            </w:r>
          </w:p>
        </w:tc>
        <w:tc>
          <w:tcPr>
            <w:tcW w:w="1620" w:type="dxa"/>
            <w:vAlign w:val="bottom"/>
            <w:shd w:val="clear" w:color="auto" w:fill="E5EFFD"/>
          </w:tcPr>
          <w:p>
            <w:pPr>
              <w:spacing w:after="0"/>
              <w:rPr>
                <w:sz w:val="24"/>
                <w:szCs w:val="24"/>
                <w:color w:val="auto"/>
              </w:rPr>
            </w:pPr>
          </w:p>
        </w:tc>
        <w:tc>
          <w:tcPr>
            <w:tcW w:w="1500" w:type="dxa"/>
            <w:vAlign w:val="bottom"/>
            <w:shd w:val="clear" w:color="auto" w:fill="E5EFFD"/>
          </w:tcPr>
          <w:p>
            <w:pPr>
              <w:spacing w:after="0"/>
              <w:rPr>
                <w:sz w:val="24"/>
                <w:szCs w:val="24"/>
                <w:color w:val="auto"/>
              </w:rPr>
            </w:pPr>
          </w:p>
        </w:tc>
        <w:tc>
          <w:tcPr>
            <w:tcW w:w="740" w:type="dxa"/>
            <w:vAlign w:val="bottom"/>
          </w:tcPr>
          <w:p>
            <w:pPr>
              <w:spacing w:after="0"/>
              <w:rPr>
                <w:sz w:val="24"/>
                <w:szCs w:val="24"/>
                <w:color w:val="auto"/>
              </w:rPr>
            </w:pPr>
          </w:p>
        </w:tc>
      </w:tr>
      <w:tr>
        <w:trPr>
          <w:trHeight w:val="378"/>
        </w:trPr>
        <w:tc>
          <w:tcPr>
            <w:tcW w:w="720" w:type="dxa"/>
            <w:vAlign w:val="bottom"/>
          </w:tcPr>
          <w:p>
            <w:pPr>
              <w:spacing w:after="0"/>
              <w:rPr>
                <w:sz w:val="24"/>
                <w:szCs w:val="24"/>
                <w:color w:val="auto"/>
              </w:rPr>
            </w:pPr>
          </w:p>
        </w:tc>
        <w:tc>
          <w:tcPr>
            <w:tcW w:w="6440" w:type="dxa"/>
            <w:vAlign w:val="bottom"/>
            <w:shd w:val="clear" w:color="auto" w:fill="E5EFFD"/>
          </w:tcPr>
          <w:p>
            <w:pPr>
              <w:ind w:left="300"/>
              <w:spacing w:after="0"/>
              <w:rPr>
                <w:sz w:val="20"/>
                <w:szCs w:val="20"/>
                <w:color w:val="auto"/>
              </w:rPr>
            </w:pPr>
            <w:r>
              <w:rPr>
                <w:rFonts w:ascii="Arial" w:cs="Arial" w:eastAsia="Arial" w:hAnsi="Arial"/>
                <w:sz w:val="16"/>
                <w:szCs w:val="16"/>
                <w:color w:val="005CB8"/>
              </w:rPr>
              <w:t>Stock-based compensation</w:t>
            </w:r>
          </w:p>
        </w:tc>
        <w:tc>
          <w:tcPr>
            <w:tcW w:w="162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(261.2)</w:t>
            </w:r>
          </w:p>
        </w:tc>
        <w:tc>
          <w:tcPr>
            <w:tcW w:w="150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(650.1)</w:t>
            </w:r>
          </w:p>
        </w:tc>
        <w:tc>
          <w:tcPr>
            <w:tcW w:w="740" w:type="dxa"/>
            <w:vAlign w:val="bottom"/>
          </w:tcPr>
          <w:p>
            <w:pPr>
              <w:spacing w:after="0"/>
              <w:rPr>
                <w:sz w:val="24"/>
                <w:szCs w:val="24"/>
                <w:color w:val="auto"/>
              </w:rPr>
            </w:pPr>
          </w:p>
        </w:tc>
      </w:tr>
      <w:tr>
        <w:trPr>
          <w:trHeight w:val="378"/>
        </w:trPr>
        <w:tc>
          <w:tcPr>
            <w:tcW w:w="720" w:type="dxa"/>
            <w:vAlign w:val="bottom"/>
          </w:tcPr>
          <w:p>
            <w:pPr>
              <w:spacing w:after="0"/>
              <w:rPr>
                <w:sz w:val="24"/>
                <w:szCs w:val="24"/>
                <w:color w:val="auto"/>
              </w:rPr>
            </w:pPr>
          </w:p>
        </w:tc>
        <w:tc>
          <w:tcPr>
            <w:tcW w:w="6440" w:type="dxa"/>
            <w:vAlign w:val="bottom"/>
            <w:shd w:val="clear" w:color="auto" w:fill="E5EFFD"/>
          </w:tcPr>
          <w:p>
            <w:pPr>
              <w:ind w:left="300"/>
              <w:spacing w:after="0"/>
              <w:rPr>
                <w:sz w:val="20"/>
                <w:szCs w:val="20"/>
                <w:color w:val="auto"/>
              </w:rPr>
            </w:pPr>
            <w:r>
              <w:rPr>
                <w:rFonts w:ascii="Arial" w:cs="Arial" w:eastAsia="Arial" w:hAnsi="Arial"/>
                <w:sz w:val="16"/>
                <w:szCs w:val="16"/>
                <w:color w:val="005CB8"/>
              </w:rPr>
              <w:t>Acquisition-related and other expenses</w:t>
            </w:r>
          </w:p>
        </w:tc>
        <w:tc>
          <w:tcPr>
            <w:tcW w:w="162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(15.9)</w:t>
            </w:r>
          </w:p>
        </w:tc>
        <w:tc>
          <w:tcPr>
            <w:tcW w:w="1500" w:type="dxa"/>
            <w:vAlign w:val="bottom"/>
            <w:shd w:val="clear" w:color="auto" w:fill="E5EFFD"/>
          </w:tcPr>
          <w:p>
            <w:pPr>
              <w:jc w:val="right"/>
              <w:ind w:right="40"/>
              <w:spacing w:after="0"/>
              <w:rPr>
                <w:sz w:val="20"/>
                <w:szCs w:val="20"/>
                <w:color w:val="auto"/>
              </w:rPr>
            </w:pPr>
            <w:r>
              <w:rPr>
                <w:rFonts w:ascii="Arial" w:cs="Arial" w:eastAsia="Arial" w:hAnsi="Arial"/>
                <w:sz w:val="16"/>
                <w:szCs w:val="16"/>
                <w:color w:val="005CB8"/>
              </w:rPr>
              <w:t>—</w:t>
            </w:r>
          </w:p>
        </w:tc>
        <w:tc>
          <w:tcPr>
            <w:tcW w:w="740" w:type="dxa"/>
            <w:vAlign w:val="bottom"/>
          </w:tcPr>
          <w:p>
            <w:pPr>
              <w:spacing w:after="0"/>
              <w:rPr>
                <w:sz w:val="24"/>
                <w:szCs w:val="24"/>
                <w:color w:val="auto"/>
              </w:rPr>
            </w:pPr>
          </w:p>
        </w:tc>
      </w:tr>
      <w:tr>
        <w:trPr>
          <w:trHeight w:val="378"/>
        </w:trPr>
        <w:tc>
          <w:tcPr>
            <w:tcW w:w="720" w:type="dxa"/>
            <w:vAlign w:val="bottom"/>
          </w:tcPr>
          <w:p>
            <w:pPr>
              <w:spacing w:after="0"/>
              <w:rPr>
                <w:sz w:val="24"/>
                <w:szCs w:val="24"/>
                <w:color w:val="auto"/>
              </w:rPr>
            </w:pPr>
          </w:p>
        </w:tc>
        <w:tc>
          <w:tcPr>
            <w:tcW w:w="6440" w:type="dxa"/>
            <w:vAlign w:val="bottom"/>
            <w:shd w:val="clear" w:color="auto" w:fill="E5EFFD"/>
          </w:tcPr>
          <w:p>
            <w:pPr>
              <w:ind w:left="300"/>
              <w:spacing w:after="0"/>
              <w:rPr>
                <w:sz w:val="20"/>
                <w:szCs w:val="20"/>
                <w:color w:val="auto"/>
              </w:rPr>
            </w:pPr>
            <w:r>
              <w:rPr>
                <w:rFonts w:ascii="Arial" w:cs="Arial" w:eastAsia="Arial" w:hAnsi="Arial"/>
                <w:sz w:val="16"/>
                <w:szCs w:val="16"/>
                <w:color w:val="005CB8"/>
              </w:rPr>
              <w:t>Intangibles amortization</w:t>
            </w:r>
          </w:p>
        </w:tc>
        <w:tc>
          <w:tcPr>
            <w:tcW w:w="1620" w:type="dxa"/>
            <w:vAlign w:val="bottom"/>
            <w:shd w:val="clear" w:color="auto" w:fill="E5EFFD"/>
          </w:tcPr>
          <w:p>
            <w:pPr>
              <w:jc w:val="right"/>
              <w:ind w:right="1"/>
              <w:spacing w:after="0"/>
              <w:rPr>
                <w:sz w:val="20"/>
                <w:szCs w:val="20"/>
                <w:color w:val="auto"/>
              </w:rPr>
            </w:pPr>
            <w:r>
              <w:rPr>
                <w:rFonts w:ascii="Arial" w:cs="Arial" w:eastAsia="Arial" w:hAnsi="Arial"/>
                <w:sz w:val="16"/>
                <w:szCs w:val="16"/>
                <w:color w:val="005CB8"/>
              </w:rPr>
              <w:t>(8.4)</w:t>
            </w:r>
          </w:p>
        </w:tc>
        <w:tc>
          <w:tcPr>
            <w:tcW w:w="1500" w:type="dxa"/>
            <w:vAlign w:val="bottom"/>
            <w:shd w:val="clear" w:color="auto" w:fill="E5EFFD"/>
          </w:tcPr>
          <w:p>
            <w:pPr>
              <w:jc w:val="right"/>
              <w:ind w:right="40"/>
              <w:spacing w:after="0"/>
              <w:rPr>
                <w:sz w:val="20"/>
                <w:szCs w:val="20"/>
                <w:color w:val="auto"/>
              </w:rPr>
            </w:pPr>
            <w:r>
              <w:rPr>
                <w:rFonts w:ascii="Arial" w:cs="Arial" w:eastAsia="Arial" w:hAnsi="Arial"/>
                <w:sz w:val="16"/>
                <w:szCs w:val="16"/>
                <w:color w:val="005CB8"/>
              </w:rPr>
              <w:t>—</w:t>
            </w:r>
          </w:p>
        </w:tc>
        <w:tc>
          <w:tcPr>
            <w:tcW w:w="740" w:type="dxa"/>
            <w:vAlign w:val="bottom"/>
          </w:tcPr>
          <w:p>
            <w:pPr>
              <w:spacing w:after="0"/>
              <w:rPr>
                <w:sz w:val="24"/>
                <w:szCs w:val="24"/>
                <w:color w:val="auto"/>
              </w:rPr>
            </w:pPr>
          </w:p>
        </w:tc>
      </w:tr>
      <w:tr>
        <w:trPr>
          <w:trHeight w:val="378"/>
        </w:trPr>
        <w:tc>
          <w:tcPr>
            <w:tcW w:w="720" w:type="dxa"/>
            <w:vAlign w:val="bottom"/>
          </w:tcPr>
          <w:p>
            <w:pPr>
              <w:spacing w:after="0"/>
              <w:rPr>
                <w:sz w:val="24"/>
                <w:szCs w:val="24"/>
                <w:color w:val="auto"/>
              </w:rPr>
            </w:pPr>
          </w:p>
        </w:tc>
        <w:tc>
          <w:tcPr>
            <w:tcW w:w="6440" w:type="dxa"/>
            <w:vAlign w:val="bottom"/>
            <w:shd w:val="clear" w:color="auto" w:fill="E5EFFD"/>
          </w:tcPr>
          <w:p>
            <w:pPr>
              <w:ind w:left="300"/>
              <w:spacing w:after="0"/>
              <w:rPr>
                <w:sz w:val="20"/>
                <w:szCs w:val="20"/>
                <w:color w:val="auto"/>
              </w:rPr>
            </w:pPr>
            <w:r>
              <w:rPr>
                <w:rFonts w:ascii="Arial" w:cs="Arial" w:eastAsia="Arial" w:hAnsi="Arial"/>
                <w:sz w:val="16"/>
                <w:szCs w:val="16"/>
                <w:color w:val="005CB8"/>
              </w:rPr>
              <w:t>Employer payroll related to the release of two-tier RSUs</w:t>
            </w:r>
          </w:p>
        </w:tc>
        <w:tc>
          <w:tcPr>
            <w:tcW w:w="162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w:t>
            </w:r>
          </w:p>
        </w:tc>
        <w:tc>
          <w:tcPr>
            <w:tcW w:w="150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(13.9)</w:t>
            </w:r>
          </w:p>
        </w:tc>
        <w:tc>
          <w:tcPr>
            <w:tcW w:w="740" w:type="dxa"/>
            <w:vAlign w:val="bottom"/>
          </w:tcPr>
          <w:p>
            <w:pPr>
              <w:spacing w:after="0"/>
              <w:rPr>
                <w:sz w:val="24"/>
                <w:szCs w:val="24"/>
                <w:color w:val="auto"/>
              </w:rPr>
            </w:pPr>
          </w:p>
        </w:tc>
      </w:tr>
      <w:tr>
        <w:trPr>
          <w:trHeight w:val="378"/>
        </w:trPr>
        <w:tc>
          <w:tcPr>
            <w:tcW w:w="720" w:type="dxa"/>
            <w:vAlign w:val="bottom"/>
          </w:tcPr>
          <w:p>
            <w:pPr>
              <w:spacing w:after="0"/>
              <w:rPr>
                <w:sz w:val="24"/>
                <w:szCs w:val="24"/>
                <w:color w:val="auto"/>
              </w:rPr>
            </w:pPr>
          </w:p>
        </w:tc>
        <w:tc>
          <w:tcPr>
            <w:tcW w:w="6440" w:type="dxa"/>
            <w:vAlign w:val="bottom"/>
            <w:shd w:val="clear" w:color="auto" w:fill="E5EFFD"/>
          </w:tcPr>
          <w:p>
            <w:pPr>
              <w:ind w:left="20"/>
              <w:spacing w:after="0"/>
              <w:rPr>
                <w:sz w:val="20"/>
                <w:szCs w:val="20"/>
                <w:color w:val="auto"/>
              </w:rPr>
            </w:pPr>
            <w:r>
              <w:rPr>
                <w:rFonts w:ascii="Arial" w:cs="Arial" w:eastAsia="Arial" w:hAnsi="Arial"/>
                <w:sz w:val="16"/>
                <w:szCs w:val="16"/>
                <w:color w:val="005CB8"/>
              </w:rPr>
              <w:t>Non-GAAP income (loss) from operations</w:t>
            </w:r>
          </w:p>
        </w:tc>
        <w:tc>
          <w:tcPr>
            <w:tcW w:w="162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205.0</w:t>
            </w:r>
          </w:p>
        </w:tc>
        <w:tc>
          <w:tcPr>
            <w:tcW w:w="150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(170.0)</w:t>
            </w:r>
          </w:p>
        </w:tc>
        <w:tc>
          <w:tcPr>
            <w:tcW w:w="740" w:type="dxa"/>
            <w:vAlign w:val="bottom"/>
          </w:tcPr>
          <w:p>
            <w:pPr>
              <w:spacing w:after="0"/>
              <w:rPr>
                <w:sz w:val="24"/>
                <w:szCs w:val="24"/>
                <w:color w:val="auto"/>
              </w:rPr>
            </w:pPr>
          </w:p>
        </w:tc>
      </w:tr>
      <w:tr>
        <w:trPr>
          <w:trHeight w:val="398"/>
        </w:trPr>
        <w:tc>
          <w:tcPr>
            <w:tcW w:w="720" w:type="dxa"/>
            <w:vAlign w:val="bottom"/>
          </w:tcPr>
          <w:p>
            <w:pPr>
              <w:spacing w:after="0"/>
              <w:rPr>
                <w:sz w:val="24"/>
                <w:szCs w:val="24"/>
                <w:color w:val="auto"/>
              </w:rPr>
            </w:pPr>
          </w:p>
        </w:tc>
        <w:tc>
          <w:tcPr>
            <w:tcW w:w="6440" w:type="dxa"/>
            <w:vAlign w:val="bottom"/>
            <w:shd w:val="clear" w:color="auto" w:fill="E5EFFD"/>
          </w:tcPr>
          <w:p>
            <w:pPr>
              <w:ind w:left="300"/>
              <w:spacing w:after="0"/>
              <w:rPr>
                <w:sz w:val="20"/>
                <w:szCs w:val="20"/>
                <w:color w:val="auto"/>
              </w:rPr>
            </w:pPr>
            <w:r>
              <w:rPr>
                <w:rFonts w:ascii="Arial" w:cs="Arial" w:eastAsia="Arial" w:hAnsi="Arial"/>
                <w:sz w:val="16"/>
                <w:szCs w:val="16"/>
                <w:i w:val="1"/>
                <w:iCs w:val="1"/>
                <w:color w:val="005CB8"/>
              </w:rPr>
              <w:t>Non-GAAP operating margin</w:t>
            </w:r>
          </w:p>
        </w:tc>
        <w:tc>
          <w:tcPr>
            <w:tcW w:w="1620" w:type="dxa"/>
            <w:vAlign w:val="bottom"/>
            <w:shd w:val="clear" w:color="auto" w:fill="E5EFFD"/>
          </w:tcPr>
          <w:p>
            <w:pPr>
              <w:jc w:val="right"/>
              <w:ind w:right="81"/>
              <w:spacing w:after="0"/>
              <w:rPr>
                <w:sz w:val="20"/>
                <w:szCs w:val="20"/>
                <w:color w:val="auto"/>
              </w:rPr>
            </w:pPr>
            <w:r>
              <w:rPr>
                <w:rFonts w:ascii="Arial" w:cs="Arial" w:eastAsia="Arial" w:hAnsi="Arial"/>
                <w:sz w:val="16"/>
                <w:szCs w:val="16"/>
                <w:color w:val="005CB8"/>
              </w:rPr>
              <w:t>12.3%</w:t>
            </w:r>
          </w:p>
        </w:tc>
        <w:tc>
          <w:tcPr>
            <w:tcW w:w="1500" w:type="dxa"/>
            <w:vAlign w:val="bottom"/>
            <w:shd w:val="clear" w:color="auto" w:fill="E5EFFD"/>
          </w:tcPr>
          <w:p>
            <w:pPr>
              <w:jc w:val="right"/>
              <w:ind w:right="40"/>
              <w:spacing w:after="0"/>
              <w:rPr>
                <w:sz w:val="20"/>
                <w:szCs w:val="20"/>
                <w:color w:val="auto"/>
              </w:rPr>
            </w:pPr>
            <w:r>
              <w:rPr>
                <w:rFonts w:ascii="Arial" w:cs="Arial" w:eastAsia="Arial" w:hAnsi="Arial"/>
                <w:sz w:val="16"/>
                <w:szCs w:val="16"/>
                <w:color w:val="005CB8"/>
              </w:rPr>
              <w:t>12.2%</w:t>
            </w:r>
          </w:p>
        </w:tc>
        <w:tc>
          <w:tcPr>
            <w:tcW w:w="740" w:type="dxa"/>
            <w:vAlign w:val="bottom"/>
          </w:tcPr>
          <w:p>
            <w:pPr>
              <w:spacing w:after="0"/>
              <w:rPr>
                <w:sz w:val="24"/>
                <w:szCs w:val="24"/>
                <w:color w:val="auto"/>
              </w:rPr>
            </w:pPr>
          </w:p>
        </w:tc>
      </w:tr>
      <w:tr>
        <w:trPr>
          <w:trHeight w:val="548"/>
        </w:trPr>
        <w:tc>
          <w:tcPr>
            <w:tcW w:w="72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005CB8"/>
              </w:rPr>
              <w:t>Free cash flow</w:t>
            </w: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860" w:type="dxa"/>
            <w:vAlign w:val="bottom"/>
            <w:gridSpan w:val="3"/>
          </w:tcPr>
          <w:p>
            <w:pPr>
              <w:spacing w:after="0"/>
              <w:rPr>
                <w:sz w:val="16"/>
                <w:szCs w:val="16"/>
                <w:color w:val="auto"/>
              </w:rPr>
            </w:pPr>
          </w:p>
        </w:tc>
      </w:tr>
      <w:tr>
        <w:trPr>
          <w:trHeight w:val="285"/>
        </w:trPr>
        <w:tc>
          <w:tcPr>
            <w:tcW w:w="720" w:type="dxa"/>
            <w:vAlign w:val="bottom"/>
          </w:tcPr>
          <w:p>
            <w:pPr>
              <w:spacing w:after="0"/>
              <w:rPr>
                <w:sz w:val="24"/>
                <w:szCs w:val="24"/>
                <w:color w:val="auto"/>
              </w:rPr>
            </w:pPr>
          </w:p>
        </w:tc>
        <w:tc>
          <w:tcPr>
            <w:tcW w:w="6440" w:type="dxa"/>
            <w:vAlign w:val="bottom"/>
            <w:shd w:val="clear" w:color="auto" w:fill="0060EC"/>
          </w:tcPr>
          <w:p>
            <w:pPr>
              <w:spacing w:after="0"/>
              <w:rPr>
                <w:sz w:val="24"/>
                <w:szCs w:val="24"/>
                <w:color w:val="auto"/>
              </w:rPr>
            </w:pPr>
          </w:p>
        </w:tc>
        <w:tc>
          <w:tcPr>
            <w:tcW w:w="3120" w:type="dxa"/>
            <w:vAlign w:val="bottom"/>
            <w:gridSpan w:val="2"/>
            <w:shd w:val="clear" w:color="auto" w:fill="0060EC"/>
          </w:tcPr>
          <w:p>
            <w:pPr>
              <w:jc w:val="right"/>
              <w:spacing w:after="0"/>
              <w:rPr>
                <w:sz w:val="20"/>
                <w:szCs w:val="20"/>
                <w:color w:val="auto"/>
              </w:rPr>
            </w:pPr>
            <w:r>
              <w:rPr>
                <w:rFonts w:ascii="Arial" w:cs="Arial" w:eastAsia="Arial" w:hAnsi="Arial"/>
                <w:sz w:val="14"/>
                <w:szCs w:val="14"/>
                <w:b w:val="1"/>
                <w:bCs w:val="1"/>
                <w:color w:val="FFFFFF"/>
              </w:rPr>
              <w:t>Twelve Months Ended December 31,</w:t>
            </w:r>
          </w:p>
        </w:tc>
        <w:tc>
          <w:tcPr>
            <w:tcW w:w="740" w:type="dxa"/>
            <w:vAlign w:val="bottom"/>
          </w:tcPr>
          <w:p>
            <w:pPr>
              <w:spacing w:after="0"/>
              <w:rPr>
                <w:sz w:val="24"/>
                <w:szCs w:val="24"/>
                <w:color w:val="auto"/>
              </w:rPr>
            </w:pPr>
          </w:p>
        </w:tc>
      </w:tr>
      <w:tr>
        <w:trPr>
          <w:trHeight w:val="351"/>
        </w:trPr>
        <w:tc>
          <w:tcPr>
            <w:tcW w:w="720" w:type="dxa"/>
            <w:vAlign w:val="bottom"/>
          </w:tcPr>
          <w:p>
            <w:pPr>
              <w:spacing w:after="0"/>
              <w:rPr>
                <w:sz w:val="24"/>
                <w:szCs w:val="24"/>
                <w:color w:val="auto"/>
              </w:rPr>
            </w:pPr>
          </w:p>
        </w:tc>
        <w:tc>
          <w:tcPr>
            <w:tcW w:w="6440" w:type="dxa"/>
            <w:vAlign w:val="bottom"/>
            <w:shd w:val="clear" w:color="auto" w:fill="0060EC"/>
          </w:tcPr>
          <w:p>
            <w:pPr>
              <w:spacing w:after="0"/>
              <w:rPr>
                <w:sz w:val="24"/>
                <w:szCs w:val="24"/>
                <w:color w:val="auto"/>
              </w:rPr>
            </w:pPr>
          </w:p>
        </w:tc>
        <w:tc>
          <w:tcPr>
            <w:tcW w:w="1620" w:type="dxa"/>
            <w:vAlign w:val="bottom"/>
            <w:shd w:val="clear" w:color="auto" w:fill="0060EC"/>
          </w:tcPr>
          <w:p>
            <w:pPr>
              <w:jc w:val="right"/>
              <w:spacing w:after="0"/>
              <w:rPr>
                <w:sz w:val="20"/>
                <w:szCs w:val="20"/>
                <w:color w:val="auto"/>
              </w:rPr>
            </w:pPr>
            <w:r>
              <w:rPr>
                <w:rFonts w:ascii="Arial" w:cs="Arial" w:eastAsia="Arial" w:hAnsi="Arial"/>
                <w:sz w:val="14"/>
                <w:szCs w:val="14"/>
                <w:b w:val="1"/>
                <w:bCs w:val="1"/>
                <w:color w:val="FFFFFF"/>
              </w:rPr>
              <w:t>2019</w:t>
            </w:r>
          </w:p>
        </w:tc>
        <w:tc>
          <w:tcPr>
            <w:tcW w:w="1500" w:type="dxa"/>
            <w:vAlign w:val="bottom"/>
            <w:shd w:val="clear" w:color="auto" w:fill="0060EC"/>
          </w:tcPr>
          <w:p>
            <w:pPr>
              <w:jc w:val="right"/>
              <w:spacing w:after="0"/>
              <w:rPr>
                <w:sz w:val="20"/>
                <w:szCs w:val="20"/>
                <w:color w:val="auto"/>
              </w:rPr>
            </w:pPr>
            <w:r>
              <w:rPr>
                <w:rFonts w:ascii="Arial" w:cs="Arial" w:eastAsia="Arial" w:hAnsi="Arial"/>
                <w:sz w:val="14"/>
                <w:szCs w:val="14"/>
                <w:b w:val="1"/>
                <w:bCs w:val="1"/>
                <w:color w:val="FFFFFF"/>
              </w:rPr>
              <w:t>2018</w:t>
            </w:r>
          </w:p>
        </w:tc>
        <w:tc>
          <w:tcPr>
            <w:tcW w:w="740" w:type="dxa"/>
            <w:vAlign w:val="bottom"/>
          </w:tcPr>
          <w:p>
            <w:pPr>
              <w:spacing w:after="0"/>
              <w:rPr>
                <w:sz w:val="24"/>
                <w:szCs w:val="24"/>
                <w:color w:val="auto"/>
              </w:rPr>
            </w:pPr>
          </w:p>
        </w:tc>
      </w:tr>
      <w:tr>
        <w:trPr>
          <w:trHeight w:val="79"/>
        </w:trPr>
        <w:tc>
          <w:tcPr>
            <w:tcW w:w="720" w:type="dxa"/>
            <w:vAlign w:val="bottom"/>
          </w:tcPr>
          <w:p>
            <w:pPr>
              <w:spacing w:after="0"/>
              <w:rPr>
                <w:sz w:val="6"/>
                <w:szCs w:val="6"/>
                <w:color w:val="auto"/>
              </w:rPr>
            </w:pPr>
          </w:p>
        </w:tc>
        <w:tc>
          <w:tcPr>
            <w:tcW w:w="6440" w:type="dxa"/>
            <w:vAlign w:val="bottom"/>
            <w:shd w:val="clear" w:color="auto" w:fill="0060EC"/>
          </w:tcPr>
          <w:p>
            <w:pPr>
              <w:spacing w:after="0"/>
              <w:rPr>
                <w:sz w:val="6"/>
                <w:szCs w:val="6"/>
                <w:color w:val="auto"/>
              </w:rPr>
            </w:pPr>
          </w:p>
        </w:tc>
        <w:tc>
          <w:tcPr>
            <w:tcW w:w="1620" w:type="dxa"/>
            <w:vAlign w:val="bottom"/>
            <w:shd w:val="clear" w:color="auto" w:fill="0060EC"/>
          </w:tcPr>
          <w:p>
            <w:pPr>
              <w:spacing w:after="0"/>
              <w:rPr>
                <w:sz w:val="6"/>
                <w:szCs w:val="6"/>
                <w:color w:val="auto"/>
              </w:rPr>
            </w:pPr>
          </w:p>
        </w:tc>
        <w:tc>
          <w:tcPr>
            <w:tcW w:w="1500" w:type="dxa"/>
            <w:vAlign w:val="bottom"/>
            <w:shd w:val="clear" w:color="auto" w:fill="0060EC"/>
          </w:tcPr>
          <w:p>
            <w:pPr>
              <w:spacing w:after="0"/>
              <w:rPr>
                <w:sz w:val="6"/>
                <w:szCs w:val="6"/>
                <w:color w:val="auto"/>
              </w:rPr>
            </w:pPr>
          </w:p>
        </w:tc>
        <w:tc>
          <w:tcPr>
            <w:tcW w:w="740" w:type="dxa"/>
            <w:vAlign w:val="bottom"/>
          </w:tcPr>
          <w:p>
            <w:pPr>
              <w:spacing w:after="0"/>
              <w:rPr>
                <w:sz w:val="6"/>
                <w:szCs w:val="6"/>
                <w:color w:val="auto"/>
              </w:rPr>
            </w:pPr>
          </w:p>
        </w:tc>
      </w:tr>
      <w:tr>
        <w:trPr>
          <w:trHeight w:val="291"/>
        </w:trPr>
        <w:tc>
          <w:tcPr>
            <w:tcW w:w="720" w:type="dxa"/>
            <w:vAlign w:val="bottom"/>
          </w:tcPr>
          <w:p>
            <w:pPr>
              <w:spacing w:after="0"/>
              <w:rPr>
                <w:sz w:val="24"/>
                <w:szCs w:val="24"/>
                <w:color w:val="auto"/>
              </w:rPr>
            </w:pPr>
          </w:p>
        </w:tc>
        <w:tc>
          <w:tcPr>
            <w:tcW w:w="644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Net cash provided by operating activities</w:t>
            </w:r>
          </w:p>
        </w:tc>
        <w:tc>
          <w:tcPr>
            <w:tcW w:w="162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$528.5</w:t>
            </w:r>
          </w:p>
        </w:tc>
        <w:tc>
          <w:tcPr>
            <w:tcW w:w="150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$425.4</w:t>
            </w:r>
          </w:p>
        </w:tc>
        <w:tc>
          <w:tcPr>
            <w:tcW w:w="740" w:type="dxa"/>
            <w:vAlign w:val="bottom"/>
          </w:tcPr>
          <w:p>
            <w:pPr>
              <w:spacing w:after="0"/>
              <w:rPr>
                <w:sz w:val="24"/>
                <w:szCs w:val="24"/>
                <w:color w:val="auto"/>
              </w:rPr>
            </w:pPr>
          </w:p>
        </w:tc>
      </w:tr>
      <w:tr>
        <w:trPr>
          <w:trHeight w:val="378"/>
        </w:trPr>
        <w:tc>
          <w:tcPr>
            <w:tcW w:w="720" w:type="dxa"/>
            <w:vAlign w:val="bottom"/>
          </w:tcPr>
          <w:p>
            <w:pPr>
              <w:spacing w:after="0"/>
              <w:rPr>
                <w:sz w:val="24"/>
                <w:szCs w:val="24"/>
                <w:color w:val="auto"/>
              </w:rPr>
            </w:pPr>
          </w:p>
        </w:tc>
        <w:tc>
          <w:tcPr>
            <w:tcW w:w="644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Less:</w:t>
            </w:r>
          </w:p>
        </w:tc>
        <w:tc>
          <w:tcPr>
            <w:tcW w:w="1620" w:type="dxa"/>
            <w:vAlign w:val="bottom"/>
            <w:shd w:val="clear" w:color="auto" w:fill="E5EFFD"/>
          </w:tcPr>
          <w:p>
            <w:pPr>
              <w:spacing w:after="0"/>
              <w:rPr>
                <w:sz w:val="24"/>
                <w:szCs w:val="24"/>
                <w:color w:val="auto"/>
              </w:rPr>
            </w:pPr>
          </w:p>
        </w:tc>
        <w:tc>
          <w:tcPr>
            <w:tcW w:w="1500" w:type="dxa"/>
            <w:vAlign w:val="bottom"/>
            <w:shd w:val="clear" w:color="auto" w:fill="E5EFFD"/>
          </w:tcPr>
          <w:p>
            <w:pPr>
              <w:spacing w:after="0"/>
              <w:rPr>
                <w:sz w:val="24"/>
                <w:szCs w:val="24"/>
                <w:color w:val="auto"/>
              </w:rPr>
            </w:pPr>
          </w:p>
        </w:tc>
        <w:tc>
          <w:tcPr>
            <w:tcW w:w="740" w:type="dxa"/>
            <w:vAlign w:val="bottom"/>
          </w:tcPr>
          <w:p>
            <w:pPr>
              <w:spacing w:after="0"/>
              <w:rPr>
                <w:sz w:val="24"/>
                <w:szCs w:val="24"/>
                <w:color w:val="auto"/>
              </w:rPr>
            </w:pPr>
          </w:p>
        </w:tc>
      </w:tr>
      <w:tr>
        <w:trPr>
          <w:trHeight w:val="378"/>
        </w:trPr>
        <w:tc>
          <w:tcPr>
            <w:tcW w:w="720" w:type="dxa"/>
            <w:vAlign w:val="bottom"/>
          </w:tcPr>
          <w:p>
            <w:pPr>
              <w:spacing w:after="0"/>
              <w:rPr>
                <w:sz w:val="24"/>
                <w:szCs w:val="24"/>
                <w:color w:val="auto"/>
              </w:rPr>
            </w:pPr>
          </w:p>
        </w:tc>
        <w:tc>
          <w:tcPr>
            <w:tcW w:w="6440" w:type="dxa"/>
            <w:vAlign w:val="bottom"/>
            <w:shd w:val="clear" w:color="auto" w:fill="E5EFFD"/>
          </w:tcPr>
          <w:p>
            <w:pPr>
              <w:ind w:left="320"/>
              <w:spacing w:after="0"/>
              <w:rPr>
                <w:sz w:val="20"/>
                <w:szCs w:val="20"/>
                <w:color w:val="auto"/>
              </w:rPr>
            </w:pPr>
            <w:r>
              <w:rPr>
                <w:rFonts w:ascii="Arial" w:cs="Arial" w:eastAsia="Arial" w:hAnsi="Arial"/>
                <w:sz w:val="16"/>
                <w:szCs w:val="16"/>
                <w:color w:val="005CB8"/>
              </w:rPr>
              <w:t>Capital expenditures</w:t>
            </w:r>
          </w:p>
        </w:tc>
        <w:tc>
          <w:tcPr>
            <w:tcW w:w="162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136.1</w:t>
            </w:r>
          </w:p>
        </w:tc>
        <w:tc>
          <w:tcPr>
            <w:tcW w:w="150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63.0</w:t>
            </w:r>
          </w:p>
        </w:tc>
        <w:tc>
          <w:tcPr>
            <w:tcW w:w="740" w:type="dxa"/>
            <w:vAlign w:val="bottom"/>
          </w:tcPr>
          <w:p>
            <w:pPr>
              <w:spacing w:after="0"/>
              <w:rPr>
                <w:sz w:val="24"/>
                <w:szCs w:val="24"/>
                <w:color w:val="auto"/>
              </w:rPr>
            </w:pPr>
          </w:p>
        </w:tc>
      </w:tr>
      <w:tr>
        <w:trPr>
          <w:trHeight w:val="384"/>
        </w:trPr>
        <w:tc>
          <w:tcPr>
            <w:tcW w:w="720" w:type="dxa"/>
            <w:vAlign w:val="bottom"/>
          </w:tcPr>
          <w:p>
            <w:pPr>
              <w:spacing w:after="0"/>
              <w:rPr>
                <w:sz w:val="24"/>
                <w:szCs w:val="24"/>
                <w:color w:val="auto"/>
              </w:rPr>
            </w:pPr>
          </w:p>
        </w:tc>
        <w:tc>
          <w:tcPr>
            <w:tcW w:w="6440" w:type="dxa"/>
            <w:vAlign w:val="bottom"/>
            <w:shd w:val="clear" w:color="auto" w:fill="E5EFFD"/>
          </w:tcPr>
          <w:p>
            <w:pPr>
              <w:ind w:left="60"/>
              <w:spacing w:after="0"/>
              <w:rPr>
                <w:sz w:val="20"/>
                <w:szCs w:val="20"/>
                <w:color w:val="auto"/>
              </w:rPr>
            </w:pPr>
            <w:r>
              <w:rPr>
                <w:rFonts w:ascii="Arial" w:cs="Arial" w:eastAsia="Arial" w:hAnsi="Arial"/>
                <w:sz w:val="16"/>
                <w:szCs w:val="16"/>
                <w:color w:val="005CB8"/>
              </w:rPr>
              <w:t>Free cash flow</w:t>
            </w:r>
          </w:p>
        </w:tc>
        <w:tc>
          <w:tcPr>
            <w:tcW w:w="1620" w:type="dxa"/>
            <w:vAlign w:val="bottom"/>
            <w:shd w:val="clear" w:color="auto" w:fill="E5EFFD"/>
          </w:tcPr>
          <w:p>
            <w:pPr>
              <w:jc w:val="right"/>
              <w:spacing w:after="0"/>
              <w:rPr>
                <w:sz w:val="20"/>
                <w:szCs w:val="20"/>
                <w:color w:val="auto"/>
              </w:rPr>
            </w:pPr>
            <w:r>
              <w:rPr>
                <w:rFonts w:ascii="Arial" w:cs="Arial" w:eastAsia="Arial" w:hAnsi="Arial"/>
                <w:sz w:val="16"/>
                <w:szCs w:val="16"/>
                <w:color w:val="005CB8"/>
              </w:rPr>
              <w:t>392.4</w:t>
            </w:r>
          </w:p>
        </w:tc>
        <w:tc>
          <w:tcPr>
            <w:tcW w:w="1500" w:type="dxa"/>
            <w:vAlign w:val="bottom"/>
            <w:shd w:val="clear" w:color="auto" w:fill="E5EFFD"/>
          </w:tcPr>
          <w:p>
            <w:pPr>
              <w:jc w:val="right"/>
              <w:ind w:right="20"/>
              <w:spacing w:after="0"/>
              <w:rPr>
                <w:sz w:val="20"/>
                <w:szCs w:val="20"/>
                <w:color w:val="auto"/>
              </w:rPr>
            </w:pPr>
            <w:r>
              <w:rPr>
                <w:rFonts w:ascii="Arial" w:cs="Arial" w:eastAsia="Arial" w:hAnsi="Arial"/>
                <w:sz w:val="16"/>
                <w:szCs w:val="16"/>
                <w:color w:val="005CB8"/>
              </w:rPr>
              <w:t>362.4</w:t>
            </w:r>
          </w:p>
        </w:tc>
        <w:tc>
          <w:tcPr>
            <w:tcW w:w="740" w:type="dxa"/>
            <w:vAlign w:val="bottom"/>
          </w:tcPr>
          <w:p>
            <w:pPr>
              <w:spacing w:after="0"/>
              <w:rPr>
                <w:sz w:val="24"/>
                <w:szCs w:val="24"/>
                <w:color w:val="auto"/>
              </w:rPr>
            </w:pPr>
          </w:p>
        </w:tc>
      </w:tr>
      <w:tr>
        <w:trPr>
          <w:trHeight w:val="393"/>
        </w:trPr>
        <w:tc>
          <w:tcPr>
            <w:tcW w:w="72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Arial" w:cs="Arial" w:eastAsia="Arial" w:hAnsi="Arial"/>
                <w:sz w:val="14"/>
                <w:szCs w:val="14"/>
                <w:b w:val="1"/>
                <w:bCs w:val="1"/>
                <w:color w:val="auto"/>
              </w:rPr>
              <w:t>A-2</w:t>
            </w: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720" w:type="dxa"/>
            <w:vAlign w:val="bottom"/>
            <w:tcBorders>
              <w:bottom w:val="single" w:sz="8" w:color="auto"/>
            </w:tcBorders>
          </w:tcPr>
          <w:p>
            <w:pPr>
              <w:spacing w:after="0"/>
              <w:rPr>
                <w:sz w:val="14"/>
                <w:szCs w:val="14"/>
                <w:color w:val="auto"/>
              </w:rPr>
            </w:pPr>
          </w:p>
        </w:tc>
        <w:tc>
          <w:tcPr>
            <w:tcW w:w="64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-1731010</wp:posOffset>
            </wp:positionV>
            <wp:extent cx="6077585" cy="13627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7585" cy="136271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7687310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lvl w:ilvl="1">
      <w:lvlJc w:val="left"/>
      <w:lvlText w:val="(%2)"/>
      <w:numFmt w:val="decimal"/>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2"/>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4"/>
      <w:numFmt w:val="bullet"/>
      <w:start w:val="1"/>
    </w:lvl>
  </w:abstractNum>
  <w:abstractNum w:abstractNumId="15">
    <w:nsid w:val="32FFF902"/>
    <w:multiLevelType w:val="hybridMultilevel"/>
    <w:lvl w:ilvl="0">
      <w:lvlJc w:val="left"/>
      <w:lvlText w:val="(%1)"/>
      <w:numFmt w:val="lowerRoman"/>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6"/>
      <w:numFmt w:val="bullet"/>
      <w:start w:val="1"/>
    </w:lvl>
  </w:abstractNum>
  <w:abstractNum w:abstractNumId="19">
    <w:nsid w:val="3DC240FB"/>
    <w:multiLevelType w:val="hybridMultilevel"/>
    <w:lvl w:ilvl="0">
      <w:lvlJc w:val="left"/>
      <w:lvlText w:val="(%1)"/>
      <w:numFmt w:val="decimal"/>
      <w:start w:val="1"/>
    </w:lvl>
  </w:abstractNum>
  <w:abstractNum w:abstractNumId="20">
    <w:nsid w:val="1BA026FA"/>
    <w:multiLevelType w:val="hybridMultilevel"/>
    <w:lvl w:ilvl="0">
      <w:lvlJc w:val="left"/>
      <w:lvlText w:val="\endash "/>
      <w:numFmt w:val="bullet"/>
      <w:start w:val="1"/>
    </w:lvl>
  </w:abstractNum>
  <w:abstractNum w:abstractNumId="21">
    <w:nsid w:val="79A1DEAA"/>
    <w:multiLevelType w:val="hybridMultilevel"/>
    <w:lvl w:ilvl="0">
      <w:lvlJc w:val="left"/>
      <w:lvlText w:val="8"/>
      <w:numFmt w:val="bullet"/>
      <w:start w:val="1"/>
    </w:lvl>
  </w:abstractNum>
  <w:abstractNum w:abstractNumId="22">
    <w:nsid w:val="75C6C33A"/>
    <w:multiLevelType w:val="hybridMultilevel"/>
    <w:lvl w:ilvl="0">
      <w:lvlJc w:val="left"/>
      <w:lvlText w:val="%1"/>
      <w:numFmt w:val="decimal"/>
      <w:start w:val="10"/>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1"/>
      <w:numFmt w:val="decimal"/>
      <w:start w:val="12"/>
    </w:lvl>
  </w:abstractNum>
  <w:abstractNum w:abstractNumId="28">
    <w:nsid w:val="23F9C13C"/>
    <w:multiLevelType w:val="hybridMultilevel"/>
    <w:lvl w:ilvl="0">
      <w:lvlJc w:val="left"/>
      <w:lvlText w:val="%1"/>
      <w:numFmt w:val="decimal"/>
      <w:start w:val="14"/>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1)"/>
      <w:numFmt w:val="decimal"/>
      <w:start w:val="1"/>
    </w:lvl>
  </w:abstractNum>
  <w:abstractNum w:abstractNumId="31">
    <w:nsid w:val="39386575"/>
    <w:multiLevelType w:val="hybridMultilevel"/>
    <w:lvl w:ilvl="0">
      <w:lvlJc w:val="left"/>
      <w:lvlText w:val="%1"/>
      <w:numFmt w:val="decimal"/>
      <w:start w:val="16"/>
    </w:lvl>
  </w:abstractNum>
  <w:abstractNum w:abstractNumId="32">
    <w:nsid w:val="1CF10FD8"/>
    <w:multiLevelType w:val="hybridMultilevel"/>
    <w:lvl w:ilvl="0">
      <w:lvlJc w:val="left"/>
      <w:lvlText w:val="(%1)"/>
      <w:numFmt w:val="decimal"/>
      <w:start w:val="1"/>
    </w:lvl>
  </w:abstractNum>
  <w:abstractNum w:abstractNumId="33">
    <w:nsid w:val="180115BE"/>
    <w:multiLevelType w:val="hybridMultilevel"/>
    <w:lvl w:ilvl="0">
      <w:lvlJc w:val="left"/>
      <w:lvlText w:val="%1"/>
      <w:numFmt w:val="decimal"/>
      <w:start w:val="18"/>
    </w:lvl>
  </w:abstractNum>
  <w:abstractNum w:abstractNumId="34">
    <w:nsid w:val="235BA861"/>
    <w:multiLevelType w:val="hybridMultilevel"/>
    <w:lvl w:ilvl="0">
      <w:lvlJc w:val="left"/>
      <w:lvlText w:val="(%1)"/>
      <w:numFmt w:val="decimal"/>
      <w:start w:val="1"/>
    </w:lvl>
  </w:abstractNum>
  <w:abstractNum w:abstractNumId="35">
    <w:nsid w:val="47398C89"/>
    <w:multiLevelType w:val="hybridMultilevel"/>
    <w:lvl w:ilvl="0">
      <w:lvlJc w:val="left"/>
      <w:lvlText w:val="%1"/>
      <w:numFmt w:val="decimal"/>
      <w:start w:val="20"/>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decimal"/>
      <w:start w:val="22"/>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1)"/>
      <w:numFmt w:val="decimal"/>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1"/>
      <w:numFmt w:val="decimal"/>
      <w:start w:val="24"/>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1"/>
      <w:numFmt w:val="decimal"/>
      <w:start w:val="26"/>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1"/>
      <w:numFmt w:val="decimal"/>
      <w:start w:val="28"/>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1"/>
      <w:numFmt w:val="decimal"/>
      <w:start w:val="30"/>
    </w:lvl>
  </w:abstractNum>
  <w:abstractNum w:abstractNumId="53">
    <w:nsid w:val="1381823A"/>
    <w:multiLevelType w:val="hybridMultilevel"/>
    <w:lvl w:ilvl="0">
      <w:lvlJc w:val="left"/>
      <w:lvlText w:val="%1"/>
      <w:numFmt w:val="decimal"/>
      <w:start w:val="32"/>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1"/>
      <w:numFmt w:val="decimal"/>
      <w:start w:val="34"/>
    </w:lvl>
  </w:abstractNum>
  <w:abstractNum w:abstractNumId="56">
    <w:nsid w:val="6590700B"/>
    <w:multiLevelType w:val="hybridMultilevel"/>
    <w:lvl w:ilvl="0">
      <w:lvlJc w:val="left"/>
      <w:lvlText w:val="%1"/>
      <w:numFmt w:val="decimal"/>
      <w:start w:val="36"/>
    </w:lvl>
  </w:abstractNum>
  <w:abstractNum w:abstractNumId="57">
    <w:nsid w:val="15014ACB"/>
    <w:multiLevelType w:val="hybridMultilevel"/>
    <w:lvl w:ilvl="0">
      <w:lvlJc w:val="left"/>
      <w:lvlText w:val="%1"/>
      <w:numFmt w:val="decimal"/>
      <w:start w:val="38"/>
    </w:lvl>
  </w:abstractNum>
  <w:abstractNum w:abstractNumId="58">
    <w:nsid w:val="5F5E7FD0"/>
    <w:multiLevelType w:val="hybridMultilevel"/>
    <w:lvl w:ilvl="0">
      <w:lvlJc w:val="left"/>
      <w:lvlText w:val="(%1)"/>
      <w:numFmt w:val="decimal"/>
      <w:start w:val="1"/>
    </w:lvl>
  </w:abstractNum>
  <w:abstractNum w:abstractNumId="59">
    <w:nsid w:val="98A3148"/>
    <w:multiLevelType w:val="hybridMultilevel"/>
    <w:lvl w:ilvl="0">
      <w:lvlJc w:val="left"/>
      <w:lvlText w:val="(%1)"/>
      <w:numFmt w:val="decimal"/>
      <w:start w:val="8"/>
    </w:lvl>
  </w:abstractNum>
  <w:abstractNum w:abstractNumId="60">
    <w:nsid w:val="799D0247"/>
    <w:multiLevelType w:val="hybridMultilevel"/>
    <w:lvl w:ilvl="0">
      <w:lvlJc w:val="left"/>
      <w:lvlText w:val="%1"/>
      <w:numFmt w:val="decimal"/>
      <w:start w:val="40"/>
    </w:lvl>
  </w:abstractNum>
  <w:abstractNum w:abstractNumId="61">
    <w:nsid w:val="6B94764"/>
    <w:multiLevelType w:val="hybridMultilevel"/>
    <w:lvl w:ilvl="0">
      <w:lvlJc w:val="left"/>
      <w:lvlText w:val="(%1)"/>
      <w:numFmt w:val="decimal"/>
      <w:start w:val="1"/>
    </w:lvl>
  </w:abstractNum>
  <w:abstractNum w:abstractNumId="62">
    <w:nsid w:val="42C296BD"/>
    <w:multiLevelType w:val="hybridMultilevel"/>
    <w:lvl w:ilvl="0">
      <w:lvlJc w:val="left"/>
      <w:lvlText w:val="(%1)"/>
      <w:numFmt w:val="decimal"/>
      <w:start w:val="1"/>
    </w:lvl>
  </w:abstractNum>
  <w:abstractNum w:abstractNumId="63">
    <w:nsid w:val="168E121F"/>
    <w:multiLevelType w:val="hybridMultilevel"/>
    <w:lvl w:ilvl="0">
      <w:lvlJc w:val="left"/>
      <w:lvlText w:val="%1"/>
      <w:numFmt w:val="decimal"/>
      <w:start w:val="42"/>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1"/>
      <w:numFmt w:val="decimal"/>
      <w:start w:val="44"/>
    </w:lvl>
  </w:abstractNum>
  <w:abstractNum w:abstractNumId="68">
    <w:nsid w:val="7BD3EE7B"/>
    <w:multiLevelType w:val="hybridMultilevel"/>
    <w:lvl w:ilvl="0">
      <w:lvlJc w:val="left"/>
      <w:lvlText w:val="(%1)"/>
      <w:numFmt w:val="decimal"/>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1"/>
      <w:numFmt w:val="decimal"/>
      <w:start w:val="46"/>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1"/>
      <w:numFmt w:val="decimal"/>
      <w:start w:val="48"/>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1)"/>
      <w:numFmt w:val="decimal"/>
      <w:start w:val="1"/>
    </w:lvl>
  </w:abstractNum>
  <w:abstractNum w:abstractNumId="78">
    <w:nsid w:val="68EB2F63"/>
    <w:multiLevelType w:val="hybridMultilevel"/>
    <w:lvl w:ilvl="0">
      <w:lvlJc w:val="left"/>
      <w:lvlText w:val="(%1)"/>
      <w:numFmt w:val="lowerRoman"/>
      <w:start w:val="5"/>
    </w:lvl>
  </w:abstractNum>
  <w:abstractNum w:abstractNumId="79">
    <w:nsid w:val="4962813B"/>
    <w:multiLevelType w:val="hybridMultilevel"/>
    <w:lvl w:ilvl="0">
      <w:lvlJc w:val="left"/>
      <w:lvlText w:val="%1"/>
      <w:numFmt w:val="decimal"/>
      <w:start w:val="50"/>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2020-04-07T15:14:04Z</dcterms:created>
  <dcterms:modified xsi:type="dcterms:W3CDTF">2020-04-07T15:14:04Z</dcterms:modified>
</cp:coreProperties>
</file>