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5"/>
          <w:szCs w:val="15"/>
          <w:b w:val="1"/>
          <w:bCs w:val="1"/>
          <w:color w:val="auto"/>
        </w:rPr>
        <w:t>UNITED STATES</w:t>
      </w:r>
    </w:p>
    <w:p>
      <w:pPr>
        <w:spacing w:after="0" w:line="29"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176530</wp:posOffset>
            </wp:positionV>
            <wp:extent cx="17868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354"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182880</wp:posOffset>
            </wp:positionV>
            <wp:extent cx="17868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69" w:lineRule="exact"/>
        <w:rPr>
          <w:sz w:val="24"/>
          <w:szCs w:val="24"/>
          <w:color w:val="auto"/>
        </w:rPr>
      </w:pPr>
    </w:p>
    <w:p>
      <w:pPr>
        <w:ind w:left="7"/>
        <w:spacing w:after="0"/>
        <w:rPr>
          <w:sz w:val="20"/>
          <w:szCs w:val="20"/>
          <w:color w:val="auto"/>
        </w:rPr>
      </w:pPr>
      <w:r>
        <w:rPr>
          <w:rFonts w:ascii="Arial" w:cs="Arial" w:eastAsia="Arial" w:hAnsi="Arial"/>
          <w:sz w:val="15"/>
          <w:szCs w:val="15"/>
          <w:color w:val="auto"/>
        </w:rPr>
        <w:t>(Mark One)</w:t>
      </w:r>
    </w:p>
    <w:p>
      <w:pPr>
        <w:spacing w:after="0" w:line="23" w:lineRule="exact"/>
        <w:rPr>
          <w:sz w:val="24"/>
          <w:szCs w:val="24"/>
          <w:color w:val="auto"/>
        </w:rPr>
      </w:pPr>
    </w:p>
    <w:p>
      <w:pPr>
        <w:ind w:left="4327" w:right="3460" w:hanging="4332"/>
        <w:spacing w:after="0" w:line="275" w:lineRule="auto"/>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QUARTERLY REPORT PURSUANT TO SECTION 13 OR 15(d) OF THE SECURITIES EXCHANGE ACT OF 1934</w:t>
      </w:r>
      <w:r>
        <w:rPr>
          <w:rFonts w:ascii="Arial" w:cs="Arial" w:eastAsia="Arial" w:hAnsi="Arial"/>
          <w:sz w:val="15"/>
          <w:szCs w:val="15"/>
          <w:color w:val="auto"/>
        </w:rPr>
        <w:t xml:space="preserve"> For the quarterly period ended June 30, 2019</w:t>
      </w:r>
    </w:p>
    <w:p>
      <w:pPr>
        <w:spacing w:after="0" w:line="144"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or</w:t>
      </w:r>
    </w:p>
    <w:p>
      <w:pPr>
        <w:spacing w:after="0" w:line="25" w:lineRule="exact"/>
        <w:rPr>
          <w:sz w:val="24"/>
          <w:szCs w:val="24"/>
          <w:color w:val="auto"/>
        </w:rPr>
      </w:pPr>
    </w:p>
    <w:p>
      <w:pPr>
        <w:ind w:left="4047" w:right="3400" w:hanging="4047"/>
        <w:spacing w:after="0" w:line="281" w:lineRule="auto"/>
        <w:tabs>
          <w:tab w:leader="none" w:pos="183"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from________to________</w:t>
      </w:r>
    </w:p>
    <w:p>
      <w:pPr>
        <w:spacing w:after="0" w:line="140" w:lineRule="exact"/>
        <w:rPr>
          <w:sz w:val="24"/>
          <w:szCs w:val="24"/>
          <w:color w:val="auto"/>
        </w:rPr>
      </w:pPr>
    </w:p>
    <w:tbl>
      <w:tblPr>
        <w:tblLayout w:type="fixed"/>
        <w:tblInd w:w="767"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720" w:type="dxa"/>
            <w:vAlign w:val="bottom"/>
            <w:gridSpan w:val="2"/>
          </w:tcPr>
          <w:p>
            <w:pPr>
              <w:jc w:val="center"/>
              <w:ind w:right="3498"/>
              <w:spacing w:after="0"/>
              <w:rPr>
                <w:sz w:val="20"/>
                <w:szCs w:val="20"/>
                <w:color w:val="auto"/>
              </w:rPr>
            </w:pPr>
            <w:r>
              <w:rPr>
                <w:rFonts w:ascii="Arial" w:cs="Arial" w:eastAsia="Arial" w:hAnsi="Arial"/>
                <w:sz w:val="15"/>
                <w:szCs w:val="15"/>
                <w:b w:val="1"/>
                <w:bCs w:val="1"/>
                <w:color w:val="auto"/>
                <w:w w:val="93"/>
              </w:rPr>
              <w:t>Commission File Number 001-38434</w:t>
            </w:r>
          </w:p>
        </w:tc>
      </w:tr>
      <w:tr>
        <w:trPr>
          <w:trHeight w:val="406"/>
        </w:trPr>
        <w:tc>
          <w:tcPr>
            <w:tcW w:w="2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447"/>
        </w:trPr>
        <w:tc>
          <w:tcPr>
            <w:tcW w:w="2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gridSpan w:val="2"/>
          </w:tcPr>
          <w:p>
            <w:pPr>
              <w:jc w:val="center"/>
              <w:ind w:right="3518"/>
              <w:spacing w:after="0"/>
              <w:rPr>
                <w:sz w:val="20"/>
                <w:szCs w:val="20"/>
                <w:color w:val="auto"/>
              </w:rPr>
            </w:pPr>
            <w:r>
              <w:rPr>
                <w:rFonts w:ascii="Arial" w:cs="Arial" w:eastAsia="Arial" w:hAnsi="Arial"/>
                <w:sz w:val="31"/>
                <w:szCs w:val="31"/>
                <w:b w:val="1"/>
                <w:bCs w:val="1"/>
                <w:color w:val="auto"/>
                <w:w w:val="91"/>
              </w:rPr>
              <w:t>Dropbox, Inc.</w:t>
            </w:r>
          </w:p>
        </w:tc>
      </w:tr>
      <w:tr>
        <w:trPr>
          <w:trHeight w:val="160"/>
        </w:trPr>
        <w:tc>
          <w:tcPr>
            <w:tcW w:w="2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720" w:type="dxa"/>
            <w:vAlign w:val="bottom"/>
            <w:gridSpan w:val="2"/>
          </w:tcPr>
          <w:p>
            <w:pPr>
              <w:jc w:val="center"/>
              <w:ind w:right="3498"/>
              <w:spacing w:after="0"/>
              <w:rPr>
                <w:sz w:val="20"/>
                <w:szCs w:val="20"/>
                <w:color w:val="auto"/>
              </w:rPr>
            </w:pPr>
            <w:r>
              <w:rPr>
                <w:rFonts w:ascii="Arial" w:cs="Arial" w:eastAsia="Arial" w:hAnsi="Arial"/>
                <w:sz w:val="12"/>
                <w:szCs w:val="12"/>
                <w:b w:val="1"/>
                <w:bCs w:val="1"/>
                <w:color w:val="auto"/>
                <w:w w:val="92"/>
              </w:rPr>
              <w:t>(Exact name of Registrant as specified in its charter)</w:t>
            </w:r>
          </w:p>
        </w:tc>
      </w:tr>
      <w:tr>
        <w:trPr>
          <w:trHeight w:val="219"/>
        </w:trPr>
        <w:tc>
          <w:tcPr>
            <w:tcW w:w="25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2760" w:type="dxa"/>
            <w:vAlign w:val="bottom"/>
          </w:tcPr>
          <w:p>
            <w:pPr>
              <w:spacing w:after="0"/>
              <w:rPr>
                <w:sz w:val="19"/>
                <w:szCs w:val="19"/>
                <w:color w:val="auto"/>
              </w:rPr>
            </w:pPr>
          </w:p>
        </w:tc>
      </w:tr>
      <w:tr>
        <w:trPr>
          <w:trHeight w:val="271"/>
        </w:trPr>
        <w:tc>
          <w:tcPr>
            <w:tcW w:w="3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Delaware</w:t>
            </w:r>
          </w:p>
        </w:tc>
        <w:tc>
          <w:tcPr>
            <w:tcW w:w="6720" w:type="dxa"/>
            <w:vAlign w:val="bottom"/>
            <w:gridSpan w:val="2"/>
          </w:tcPr>
          <w:p>
            <w:pPr>
              <w:jc w:val="right"/>
              <w:ind w:right="718"/>
              <w:spacing w:after="0"/>
              <w:rPr>
                <w:sz w:val="20"/>
                <w:szCs w:val="20"/>
                <w:color w:val="auto"/>
              </w:rPr>
            </w:pPr>
            <w:r>
              <w:rPr>
                <w:rFonts w:ascii="Arial" w:cs="Arial" w:eastAsia="Arial" w:hAnsi="Arial"/>
                <w:sz w:val="12"/>
                <w:szCs w:val="12"/>
                <w:b w:val="1"/>
                <w:bCs w:val="1"/>
                <w:color w:val="auto"/>
              </w:rPr>
              <w:t>26-0138832</w:t>
            </w:r>
          </w:p>
        </w:tc>
      </w:tr>
      <w:tr>
        <w:trPr>
          <w:trHeight w:val="290"/>
        </w:trPr>
        <w:tc>
          <w:tcPr>
            <w:tcW w:w="33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(State or other jurisdiction of incorporation or organization)</w:t>
            </w:r>
          </w:p>
        </w:tc>
        <w:tc>
          <w:tcPr>
            <w:tcW w:w="3960" w:type="dxa"/>
            <w:vAlign w:val="bottom"/>
          </w:tcPr>
          <w:p>
            <w:pPr>
              <w:spacing w:after="0"/>
              <w:rPr>
                <w:sz w:val="24"/>
                <w:szCs w:val="24"/>
                <w:color w:val="auto"/>
              </w:rPr>
            </w:pPr>
          </w:p>
        </w:tc>
        <w:tc>
          <w:tcPr>
            <w:tcW w:w="2760" w:type="dxa"/>
            <w:vAlign w:val="bottom"/>
          </w:tcPr>
          <w:p>
            <w:pPr>
              <w:jc w:val="center"/>
              <w:ind w:left="538"/>
              <w:spacing w:after="0"/>
              <w:rPr>
                <w:sz w:val="20"/>
                <w:szCs w:val="20"/>
                <w:color w:val="auto"/>
              </w:rPr>
            </w:pPr>
            <w:r>
              <w:rPr>
                <w:rFonts w:ascii="Arial" w:cs="Arial" w:eastAsia="Arial" w:hAnsi="Arial"/>
                <w:sz w:val="12"/>
                <w:szCs w:val="12"/>
                <w:b w:val="1"/>
                <w:bCs w:val="1"/>
                <w:color w:val="auto"/>
                <w:w w:val="96"/>
              </w:rPr>
              <w:t>(I.R.S. Employer Identification Number)</w:t>
            </w:r>
          </w:p>
        </w:tc>
      </w:tr>
    </w:tbl>
    <w:p>
      <w:pPr>
        <w:spacing w:after="0" w:line="225"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2125345</wp:posOffset>
            </wp:positionH>
            <wp:positionV relativeFrom="paragraph">
              <wp:posOffset>-105410</wp:posOffset>
            </wp:positionV>
            <wp:extent cx="30226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9"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333 Brannan Street</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San Francisco, California 94107</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(415) 857-6800</w:t>
      </w:r>
    </w:p>
    <w:p>
      <w:pPr>
        <w:spacing w:after="0" w:line="13"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2125345</wp:posOffset>
            </wp:positionH>
            <wp:positionV relativeFrom="paragraph">
              <wp:posOffset>147955</wp:posOffset>
            </wp:positionV>
            <wp:extent cx="30226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394" w:lineRule="exact"/>
        <w:rPr>
          <w:sz w:val="24"/>
          <w:szCs w:val="24"/>
          <w:color w:val="auto"/>
        </w:rPr>
      </w:pPr>
    </w:p>
    <w:p>
      <w:pPr>
        <w:ind w:left="7"/>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455930</wp:posOffset>
            </wp:positionH>
            <wp:positionV relativeFrom="paragraph">
              <wp:posOffset>201930</wp:posOffset>
            </wp:positionV>
            <wp:extent cx="63614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1430" cy="762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87"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3320" w:type="dxa"/>
            <w:vAlign w:val="bottom"/>
            <w:gridSpan w:val="2"/>
          </w:tcPr>
          <w:p>
            <w:pPr>
              <w:jc w:val="right"/>
              <w:ind w:right="2343"/>
              <w:spacing w:after="0"/>
              <w:rPr>
                <w:sz w:val="20"/>
                <w:szCs w:val="20"/>
                <w:color w:val="auto"/>
              </w:rPr>
            </w:pPr>
            <w:r>
              <w:rPr>
                <w:rFonts w:ascii="Arial" w:cs="Arial" w:eastAsia="Arial" w:hAnsi="Arial"/>
                <w:sz w:val="12"/>
                <w:szCs w:val="12"/>
                <w:b w:val="1"/>
                <w:bCs w:val="1"/>
                <w:color w:val="auto"/>
                <w:w w:val="87"/>
              </w:rPr>
              <w:t>Title of each class</w:t>
            </w:r>
          </w:p>
        </w:tc>
        <w:tc>
          <w:tcPr>
            <w:tcW w:w="2780" w:type="dxa"/>
            <w:vAlign w:val="bottom"/>
            <w:gridSpan w:val="2"/>
          </w:tcPr>
          <w:p>
            <w:pPr>
              <w:jc w:val="center"/>
              <w:ind w:right="1800"/>
              <w:spacing w:after="0"/>
              <w:rPr>
                <w:sz w:val="20"/>
                <w:szCs w:val="20"/>
                <w:color w:val="auto"/>
              </w:rPr>
            </w:pPr>
            <w:r>
              <w:rPr>
                <w:rFonts w:ascii="Arial" w:cs="Arial" w:eastAsia="Arial" w:hAnsi="Arial"/>
                <w:sz w:val="12"/>
                <w:szCs w:val="12"/>
                <w:b w:val="1"/>
                <w:bCs w:val="1"/>
                <w:color w:val="auto"/>
                <w:w w:val="92"/>
              </w:rPr>
              <w:t>Trading Symbol(s)</w:t>
            </w:r>
          </w:p>
        </w:tc>
        <w:tc>
          <w:tcPr>
            <w:tcW w:w="20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0"/>
              </w:rPr>
              <w:t>Name of exchange on which registered</w:t>
            </w:r>
          </w:p>
        </w:tc>
      </w:tr>
      <w:tr>
        <w:trPr>
          <w:trHeight w:val="103"/>
        </w:trPr>
        <w:tc>
          <w:tcPr>
            <w:tcW w:w="880" w:type="dxa"/>
            <w:vAlign w:val="bottom"/>
          </w:tcPr>
          <w:p>
            <w:pPr>
              <w:spacing w:after="0" w:line="103" w:lineRule="exact"/>
              <w:rPr>
                <w:sz w:val="20"/>
                <w:szCs w:val="20"/>
                <w:color w:val="auto"/>
              </w:rPr>
            </w:pPr>
            <w:r>
              <w:rPr>
                <w:rFonts w:ascii="Arial" w:cs="Arial" w:eastAsia="Arial" w:hAnsi="Arial"/>
                <w:sz w:val="11"/>
                <w:szCs w:val="11"/>
                <w:color w:val="auto"/>
              </w:rPr>
              <w:t>Class A Common</w:t>
            </w:r>
          </w:p>
        </w:tc>
        <w:tc>
          <w:tcPr>
            <w:tcW w:w="9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color w:val="auto"/>
              </w:rPr>
              <w:t>Stock, par value $</w:t>
            </w:r>
          </w:p>
        </w:tc>
        <w:tc>
          <w:tcPr>
            <w:tcW w:w="2400" w:type="dxa"/>
            <w:vAlign w:val="bottom"/>
          </w:tcPr>
          <w:p>
            <w:pPr>
              <w:jc w:val="right"/>
              <w:ind w:right="1463"/>
              <w:spacing w:after="0" w:line="103" w:lineRule="exact"/>
              <w:rPr>
                <w:sz w:val="20"/>
                <w:szCs w:val="20"/>
                <w:color w:val="auto"/>
              </w:rPr>
            </w:pPr>
            <w:r>
              <w:rPr>
                <w:rFonts w:ascii="Arial" w:cs="Arial" w:eastAsia="Arial" w:hAnsi="Arial"/>
                <w:sz w:val="11"/>
                <w:szCs w:val="11"/>
                <w:color w:val="auto"/>
                <w:w w:val="96"/>
              </w:rPr>
              <w:t>0.00001 per share</w:t>
            </w:r>
          </w:p>
        </w:tc>
        <w:tc>
          <w:tcPr>
            <w:tcW w:w="98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color w:val="auto"/>
              </w:rPr>
              <w:t>DBX</w:t>
            </w:r>
          </w:p>
        </w:tc>
        <w:tc>
          <w:tcPr>
            <w:tcW w:w="1800" w:type="dxa"/>
            <w:vAlign w:val="bottom"/>
          </w:tcPr>
          <w:p>
            <w:pPr>
              <w:spacing w:after="0"/>
              <w:rPr>
                <w:sz w:val="8"/>
                <w:szCs w:val="8"/>
                <w:color w:val="auto"/>
              </w:rPr>
            </w:pPr>
          </w:p>
        </w:tc>
        <w:tc>
          <w:tcPr>
            <w:tcW w:w="202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color w:val="auto"/>
              </w:rPr>
              <w:t>The NASDAQ Stock Market LLC</w:t>
            </w:r>
          </w:p>
        </w:tc>
        <w:tc>
          <w:tcPr>
            <w:tcW w:w="20" w:type="dxa"/>
            <w:vAlign w:val="bottom"/>
          </w:tcPr>
          <w:p>
            <w:pPr>
              <w:spacing w:after="0"/>
              <w:rPr>
                <w:sz w:val="8"/>
                <w:szCs w:val="8"/>
                <w:color w:val="auto"/>
              </w:rPr>
            </w:pPr>
          </w:p>
        </w:tc>
      </w:tr>
      <w:tr>
        <w:trPr>
          <w:trHeight w:val="156"/>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40" w:type="dxa"/>
            <w:vAlign w:val="bottom"/>
            <w:gridSpan w:val="2"/>
          </w:tcPr>
          <w:p>
            <w:pPr>
              <w:jc w:val="center"/>
              <w:ind w:right="20"/>
              <w:spacing w:after="0"/>
              <w:rPr>
                <w:sz w:val="20"/>
                <w:szCs w:val="20"/>
                <w:color w:val="auto"/>
              </w:rPr>
            </w:pPr>
            <w:r>
              <w:rPr>
                <w:rFonts w:ascii="Arial" w:cs="Arial" w:eastAsia="Arial" w:hAnsi="Arial"/>
                <w:sz w:val="12"/>
                <w:szCs w:val="12"/>
                <w:color w:val="auto"/>
                <w:w w:val="93"/>
              </w:rPr>
              <w:t>(Nasdaq Global Select Market)</w:t>
            </w:r>
          </w:p>
        </w:tc>
      </w:tr>
    </w:tbl>
    <w:p>
      <w:pPr>
        <w:spacing w:after="0" w:line="238" w:lineRule="exact"/>
        <w:rPr>
          <w:sz w:val="24"/>
          <w:szCs w:val="24"/>
          <w:color w:val="auto"/>
        </w:rPr>
      </w:pPr>
    </w:p>
    <w:p>
      <w:pPr>
        <w:ind w:left="7" w:right="320" w:firstLine="278"/>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2"/>
          <w:szCs w:val="12"/>
          <w:color w:val="auto"/>
        </w:rPr>
        <w:t>☐</w:t>
      </w:r>
    </w:p>
    <w:p>
      <w:pPr>
        <w:spacing w:after="0" w:line="109" w:lineRule="exact"/>
        <w:rPr>
          <w:sz w:val="24"/>
          <w:szCs w:val="24"/>
          <w:color w:val="auto"/>
        </w:rPr>
      </w:pPr>
    </w:p>
    <w:p>
      <w:pPr>
        <w:ind w:left="7" w:firstLine="278"/>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2"/>
          <w:szCs w:val="12"/>
          <w:color w:val="auto"/>
        </w:rPr>
        <w:t>☐</w:t>
      </w:r>
    </w:p>
    <w:p>
      <w:pPr>
        <w:spacing w:after="0" w:line="109" w:lineRule="exact"/>
        <w:rPr>
          <w:sz w:val="24"/>
          <w:szCs w:val="24"/>
          <w:color w:val="auto"/>
        </w:rPr>
      </w:pPr>
    </w:p>
    <w:p>
      <w:pPr>
        <w:ind w:left="7" w:right="280" w:firstLine="278"/>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27" w:type="dxa"/>
        <w:tblCellMar>
          <w:top w:w="0" w:type="dxa"/>
          <w:left w:w="0" w:type="dxa"/>
          <w:bottom w:w="0" w:type="dxa"/>
          <w:right w:w="0" w:type="dxa"/>
        </w:tblCellMar>
      </w:tblPr>
      <w:tr>
        <w:trPr>
          <w:trHeight w:val="193"/>
        </w:trPr>
        <w:tc>
          <w:tcPr>
            <w:tcW w:w="31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380" w:type="dxa"/>
            <w:vAlign w:val="bottom"/>
          </w:tcPr>
          <w:p>
            <w:pPr>
              <w:jc w:val="right"/>
              <w:ind w:right="138"/>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ind w:left="200"/>
              <w:spacing w:after="0"/>
              <w:rPr>
                <w:sz w:val="20"/>
                <w:szCs w:val="20"/>
                <w:color w:val="auto"/>
              </w:rPr>
            </w:pPr>
            <w:r>
              <w:rPr>
                <w:rFonts w:ascii="Arial" w:cs="Arial" w:eastAsia="Arial" w:hAnsi="Arial"/>
                <w:sz w:val="12"/>
                <w:szCs w:val="12"/>
                <w:color w:val="auto"/>
              </w:rPr>
              <w:t>Accelerated filer</w:t>
            </w:r>
          </w:p>
        </w:tc>
        <w:tc>
          <w:tcPr>
            <w:tcW w:w="2200" w:type="dxa"/>
            <w:vAlign w:val="bottom"/>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36"/>
        </w:trPr>
        <w:tc>
          <w:tcPr>
            <w:tcW w:w="3160" w:type="dxa"/>
            <w:vAlign w:val="bottom"/>
          </w:tcPr>
          <w:p>
            <w:pPr>
              <w:spacing w:after="0"/>
              <w:rPr>
                <w:sz w:val="20"/>
                <w:szCs w:val="20"/>
                <w:color w:val="auto"/>
              </w:rPr>
            </w:pPr>
            <w:r>
              <w:rPr>
                <w:rFonts w:ascii="Arial" w:cs="Arial" w:eastAsia="Arial" w:hAnsi="Arial"/>
                <w:sz w:val="12"/>
                <w:szCs w:val="12"/>
                <w:color w:val="auto"/>
              </w:rPr>
              <w:t>Non-accelerated filer</w:t>
            </w:r>
          </w:p>
        </w:tc>
        <w:tc>
          <w:tcPr>
            <w:tcW w:w="2380" w:type="dxa"/>
            <w:vAlign w:val="bottom"/>
          </w:tcPr>
          <w:p>
            <w:pPr>
              <w:jc w:val="right"/>
              <w:ind w:right="138"/>
              <w:spacing w:after="0"/>
              <w:rPr>
                <w:sz w:val="20"/>
                <w:szCs w:val="20"/>
                <w:color w:val="auto"/>
              </w:rPr>
            </w:pPr>
            <w:r>
              <w:rPr>
                <w:rFonts w:ascii="Arial" w:cs="Arial" w:eastAsia="Arial" w:hAnsi="Arial"/>
                <w:sz w:val="12"/>
                <w:szCs w:val="12"/>
                <w:color w:val="auto"/>
              </w:rPr>
              <w:t>x</w:t>
            </w:r>
          </w:p>
        </w:tc>
        <w:tc>
          <w:tcPr>
            <w:tcW w:w="3640" w:type="dxa"/>
            <w:vAlign w:val="bottom"/>
          </w:tcPr>
          <w:p>
            <w:pPr>
              <w:ind w:left="200"/>
              <w:spacing w:after="0"/>
              <w:rPr>
                <w:sz w:val="20"/>
                <w:szCs w:val="20"/>
                <w:color w:val="auto"/>
              </w:rPr>
            </w:pPr>
            <w:r>
              <w:rPr>
                <w:rFonts w:ascii="Arial" w:cs="Arial" w:eastAsia="Arial" w:hAnsi="Arial"/>
                <w:sz w:val="12"/>
                <w:szCs w:val="12"/>
                <w:color w:val="auto"/>
              </w:rPr>
              <w:t>Smaller reporting company</w:t>
            </w:r>
          </w:p>
        </w:tc>
        <w:tc>
          <w:tcPr>
            <w:tcW w:w="2200" w:type="dxa"/>
            <w:vAlign w:val="bottom"/>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71"/>
        </w:trPr>
        <w:tc>
          <w:tcPr>
            <w:tcW w:w="3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Arial" w:cs="Arial" w:eastAsia="Arial" w:hAnsi="Arial"/>
                <w:sz w:val="12"/>
                <w:szCs w:val="12"/>
                <w:color w:val="auto"/>
              </w:rPr>
              <w:t>Emerging growth company</w:t>
            </w:r>
          </w:p>
        </w:tc>
        <w:tc>
          <w:tcPr>
            <w:tcW w:w="2200" w:type="dxa"/>
            <w:vAlign w:val="bottom"/>
          </w:tcPr>
          <w:p>
            <w:pPr>
              <w:ind w:left="21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77" w:lineRule="exact"/>
        <w:rPr>
          <w:sz w:val="24"/>
          <w:szCs w:val="24"/>
          <w:color w:val="auto"/>
        </w:rPr>
      </w:pPr>
    </w:p>
    <w:p>
      <w:pPr>
        <w:ind w:left="7"/>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7(a)</w:t>
      </w:r>
    </w:p>
    <w:p>
      <w:pPr>
        <w:spacing w:after="0" w:line="18" w:lineRule="exact"/>
        <w:rPr>
          <w:sz w:val="24"/>
          <w:szCs w:val="24"/>
          <w:color w:val="auto"/>
        </w:rPr>
      </w:pPr>
    </w:p>
    <w:p>
      <w:pPr>
        <w:ind w:left="7"/>
        <w:spacing w:after="0" w:line="138" w:lineRule="exact"/>
        <w:tabs>
          <w:tab w:leader="none" w:pos="1487" w:val="left"/>
        </w:tabs>
        <w:rPr>
          <w:sz w:val="20"/>
          <w:szCs w:val="20"/>
          <w:color w:val="auto"/>
        </w:rPr>
      </w:pPr>
      <w:r>
        <w:rPr>
          <w:rFonts w:ascii="Arial" w:cs="Arial" w:eastAsia="Arial" w:hAnsi="Arial"/>
          <w:sz w:val="12"/>
          <w:szCs w:val="12"/>
          <w:color w:val="auto"/>
        </w:rPr>
        <w:t>(2)(B) of the Securities Act.</w:t>
      </w:r>
      <w:r>
        <w:rPr>
          <w:sz w:val="20"/>
          <w:szCs w:val="20"/>
          <w:color w:val="auto"/>
        </w:rPr>
        <w:tab/>
      </w:r>
      <w:r>
        <w:rPr>
          <w:rFonts w:ascii="MS PGothic" w:cs="MS PGothic" w:eastAsia="MS PGothic" w:hAnsi="MS PGothic"/>
          <w:sz w:val="10"/>
          <w:szCs w:val="10"/>
          <w:color w:val="auto"/>
        </w:rPr>
        <w:t>☐</w:t>
      </w:r>
    </w:p>
    <w:p>
      <w:pPr>
        <w:spacing w:after="0" w:line="112" w:lineRule="exact"/>
        <w:rPr>
          <w:sz w:val="24"/>
          <w:szCs w:val="24"/>
          <w:color w:val="auto"/>
        </w:rPr>
      </w:pPr>
    </w:p>
    <w:p>
      <w:pPr>
        <w:ind w:left="7"/>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by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163" w:lineRule="exact"/>
        <w:rPr>
          <w:sz w:val="24"/>
          <w:szCs w:val="24"/>
          <w:color w:val="auto"/>
        </w:rPr>
      </w:pPr>
    </w:p>
    <w:p>
      <w:pPr>
        <w:ind w:left="7" w:right="40"/>
        <w:spacing w:after="0" w:line="257" w:lineRule="auto"/>
        <w:rPr>
          <w:sz w:val="20"/>
          <w:szCs w:val="20"/>
          <w:color w:val="auto"/>
        </w:rPr>
      </w:pPr>
      <w:r>
        <w:rPr>
          <w:rFonts w:ascii="Arial" w:cs="Arial" w:eastAsia="Arial" w:hAnsi="Arial"/>
          <w:sz w:val="12"/>
          <w:szCs w:val="12"/>
          <w:color w:val="auto"/>
        </w:rPr>
        <w:t>As of August 5, 2019, there were 251,707,067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161,678,287 shares of the registrant’s Class B common stock outstanding, and no shares of the registrant’s Class C common stock outstanding.</w:t>
      </w:r>
    </w:p>
    <w:p>
      <w:pPr>
        <w:sectPr>
          <w:pgSz w:w="11900" w:h="16838" w:orient="portrait"/>
          <w:cols w:equalWidth="0" w:num="1">
            <w:col w:w="11427"/>
          </w:cols>
          <w:pgMar w:left="233" w:top="216" w:right="23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jc w:val="center"/>
        <w:ind w:left="1040"/>
        <w:spacing w:after="0"/>
        <w:rPr>
          <w:sz w:val="20"/>
          <w:szCs w:val="20"/>
          <w:color w:val="auto"/>
        </w:rPr>
      </w:pPr>
      <w:r>
        <w:rPr>
          <w:rFonts w:ascii="Arial" w:cs="Arial" w:eastAsia="Arial" w:hAnsi="Arial"/>
          <w:sz w:val="15"/>
          <w:szCs w:val="15"/>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104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PART I. FINANCIAL INFORMATION</w:t>
        </w:r>
      </w:hyperlink>
    </w:p>
    <w:p>
      <w:pPr>
        <w:spacing w:after="0" w:line="71" w:lineRule="exact"/>
        <w:rPr>
          <w:sz w:val="20"/>
          <w:szCs w:val="20"/>
          <w:color w:val="auto"/>
        </w:rPr>
      </w:pPr>
    </w:p>
    <w:p>
      <w:pPr>
        <w:ind w:left="2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Item 1.</w:t>
      </w:r>
      <w:r>
        <w:rPr>
          <w:sz w:val="20"/>
          <w:szCs w:val="20"/>
          <w:color w:val="auto"/>
        </w:rPr>
        <w:tab/>
      </w:r>
      <w:hyperlink w:anchor="page5">
        <w:r>
          <w:rPr>
            <w:rFonts w:ascii="Arial" w:cs="Arial" w:eastAsia="Arial" w:hAnsi="Arial"/>
            <w:sz w:val="12"/>
            <w:szCs w:val="12"/>
            <w:u w:val="single" w:color="auto"/>
            <w:color w:val="0000EE"/>
          </w:rPr>
          <w:t>Condensed Consolidated Financial Statements (Unaudited)</w:t>
        </w:r>
      </w:hyperlink>
    </w:p>
    <w:p>
      <w:pPr>
        <w:spacing w:after="0" w:line="59" w:lineRule="exact"/>
        <w:rPr>
          <w:sz w:val="20"/>
          <w:szCs w:val="20"/>
          <w:color w:val="auto"/>
        </w:rPr>
      </w:pPr>
    </w:p>
    <w:p>
      <w:pPr>
        <w:ind w:left="104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Condensed Consolidated Balance Sheets as of June 30, 2019 and December 31, 2018</w:t>
        </w:r>
      </w:hyperlink>
    </w:p>
    <w:p>
      <w:pPr>
        <w:spacing w:after="0" w:line="71" w:lineRule="exact"/>
        <w:rPr>
          <w:sz w:val="20"/>
          <w:szCs w:val="20"/>
          <w:color w:val="auto"/>
        </w:rPr>
      </w:pPr>
    </w:p>
    <w:p>
      <w:pPr>
        <w:ind w:left="1040"/>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Condensed Consolidated Statements of Operations for the Three and Six Months Ended June 30, 2019 and 2018</w:t>
        </w:r>
      </w:hyperlink>
    </w:p>
    <w:p>
      <w:pPr>
        <w:spacing w:after="0" w:line="82" w:lineRule="exact"/>
        <w:rPr>
          <w:sz w:val="20"/>
          <w:szCs w:val="20"/>
          <w:color w:val="auto"/>
        </w:rPr>
      </w:pPr>
    </w:p>
    <w:p>
      <w:pPr>
        <w:ind w:left="104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Condensed Consolidated Statements of Comprehensive Loss for the Three and Six Months Ended June 30, 2019 and 2018</w:t>
        </w:r>
      </w:hyperlink>
    </w:p>
    <w:p>
      <w:pPr>
        <w:spacing w:after="0" w:line="94" w:lineRule="exact"/>
        <w:rPr>
          <w:sz w:val="20"/>
          <w:szCs w:val="20"/>
          <w:color w:val="auto"/>
        </w:rPr>
      </w:pPr>
    </w:p>
    <w:p>
      <w:pPr>
        <w:ind w:left="1040"/>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Condensed Consolidated Statements of Stockholders' Equity for the Three and Six Months Ended June 30, 2019 and 2018</w:t>
        </w:r>
      </w:hyperlink>
    </w:p>
    <w:p>
      <w:pPr>
        <w:spacing w:after="0" w:line="94" w:lineRule="exact"/>
        <w:rPr>
          <w:sz w:val="20"/>
          <w:szCs w:val="20"/>
          <w:color w:val="auto"/>
        </w:rPr>
      </w:pPr>
    </w:p>
    <w:p>
      <w:pPr>
        <w:ind w:left="1040"/>
        <w:spacing w:after="0"/>
        <w:rPr>
          <w:rFonts w:ascii="Arial" w:cs="Arial" w:eastAsia="Arial" w:hAnsi="Arial"/>
          <w:sz w:val="14"/>
          <w:szCs w:val="14"/>
          <w:u w:val="single" w:color="auto"/>
          <w:color w:val="0000EE"/>
        </w:rPr>
      </w:pPr>
      <w:hyperlink w:anchor="page10">
        <w:r>
          <w:rPr>
            <w:rFonts w:ascii="Arial" w:cs="Arial" w:eastAsia="Arial" w:hAnsi="Arial"/>
            <w:sz w:val="14"/>
            <w:szCs w:val="14"/>
            <w:u w:val="single" w:color="auto"/>
            <w:color w:val="0000EE"/>
          </w:rPr>
          <w:t>Condensed Consolidated Statements of Cash Flows for the Six Months Ended June 30, 2019 and 2018</w:t>
        </w:r>
      </w:hyperlink>
    </w:p>
    <w:p>
      <w:pPr>
        <w:spacing w:after="0" w:line="71" w:lineRule="exact"/>
        <w:rPr>
          <w:sz w:val="20"/>
          <w:szCs w:val="20"/>
          <w:color w:val="auto"/>
        </w:rPr>
      </w:pPr>
    </w:p>
    <w:p>
      <w:pPr>
        <w:ind w:left="1040"/>
        <w:spacing w:after="0"/>
        <w:rPr>
          <w:rFonts w:ascii="Arial" w:cs="Arial" w:eastAsia="Arial" w:hAnsi="Arial"/>
          <w:sz w:val="14"/>
          <w:szCs w:val="14"/>
          <w:u w:val="single" w:color="auto"/>
          <w:color w:val="0000EE"/>
        </w:rPr>
      </w:pPr>
      <w:hyperlink w:anchor="page11">
        <w:r>
          <w:rPr>
            <w:rFonts w:ascii="Arial" w:cs="Arial" w:eastAsia="Arial" w:hAnsi="Arial"/>
            <w:sz w:val="14"/>
            <w:szCs w:val="14"/>
            <w:u w:val="single" w:color="auto"/>
            <w:color w:val="0000EE"/>
          </w:rPr>
          <w:t>Notes to Condensed Consolidated Financial Statements</w:t>
        </w:r>
      </w:hyperlink>
    </w:p>
    <w:p>
      <w:pPr>
        <w:spacing w:after="0" w:line="71" w:lineRule="exact"/>
        <w:rPr>
          <w:sz w:val="20"/>
          <w:szCs w:val="20"/>
          <w:color w:val="auto"/>
        </w:rPr>
      </w:pPr>
    </w:p>
    <w:p>
      <w:pPr>
        <w:ind w:left="2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Item 2.</w:t>
      </w:r>
      <w:r>
        <w:rPr>
          <w:sz w:val="20"/>
          <w:szCs w:val="20"/>
          <w:color w:val="auto"/>
        </w:rPr>
        <w:tab/>
      </w:r>
      <w:hyperlink w:anchor="page34">
        <w:r>
          <w:rPr>
            <w:rFonts w:ascii="Arial" w:cs="Arial" w:eastAsia="Arial" w:hAnsi="Arial"/>
            <w:sz w:val="12"/>
            <w:szCs w:val="12"/>
            <w:u w:val="single" w:color="auto"/>
            <w:color w:val="0000EE"/>
          </w:rPr>
          <w:t>Management's Discussion and Analysis of Financial Condition and Results of Operations</w:t>
        </w:r>
      </w:hyperlink>
    </w:p>
    <w:p>
      <w:pPr>
        <w:spacing w:after="0" w:line="59" w:lineRule="exact"/>
        <w:rPr>
          <w:sz w:val="20"/>
          <w:szCs w:val="20"/>
          <w:color w:val="auto"/>
        </w:rPr>
      </w:pPr>
    </w:p>
    <w:p>
      <w:pPr>
        <w:ind w:left="2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Item 3.</w:t>
      </w:r>
      <w:r>
        <w:rPr>
          <w:sz w:val="20"/>
          <w:szCs w:val="20"/>
          <w:color w:val="auto"/>
        </w:rPr>
        <w:tab/>
      </w:r>
      <w:hyperlink w:anchor="page53">
        <w:r>
          <w:rPr>
            <w:rFonts w:ascii="Arial" w:cs="Arial" w:eastAsia="Arial" w:hAnsi="Arial"/>
            <w:sz w:val="12"/>
            <w:szCs w:val="12"/>
            <w:u w:val="single" w:color="auto"/>
            <w:color w:val="0000EE"/>
          </w:rPr>
          <w:t>Quantitative and Qualitative Disclosures About Market Risk</w:t>
        </w:r>
      </w:hyperlink>
    </w:p>
    <w:p>
      <w:pPr>
        <w:spacing w:after="0" w:line="59" w:lineRule="exact"/>
        <w:rPr>
          <w:sz w:val="20"/>
          <w:szCs w:val="20"/>
          <w:color w:val="auto"/>
        </w:rPr>
      </w:pPr>
    </w:p>
    <w:p>
      <w:pPr>
        <w:ind w:left="2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Item 4.</w:t>
      </w:r>
      <w:r>
        <w:rPr>
          <w:sz w:val="20"/>
          <w:szCs w:val="20"/>
          <w:color w:val="auto"/>
        </w:rPr>
        <w:tab/>
      </w:r>
      <w:hyperlink w:anchor="page54">
        <w:r>
          <w:rPr>
            <w:rFonts w:ascii="Arial" w:cs="Arial" w:eastAsia="Arial" w:hAnsi="Arial"/>
            <w:sz w:val="12"/>
            <w:szCs w:val="12"/>
            <w:u w:val="single" w:color="auto"/>
            <w:color w:val="0000EE"/>
          </w:rPr>
          <w:t>Controls and Procedures</w:t>
        </w:r>
      </w:hyperlink>
    </w:p>
    <w:p>
      <w:pPr>
        <w:spacing w:after="0" w:line="337" w:lineRule="exact"/>
        <w:rPr>
          <w:sz w:val="20"/>
          <w:szCs w:val="20"/>
          <w:color w:val="auto"/>
        </w:rPr>
      </w:pPr>
    </w:p>
    <w:p>
      <w:pPr>
        <w:jc w:val="center"/>
        <w:ind w:left="1040"/>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Page</w:t>
      </w:r>
    </w:p>
    <w:p>
      <w:pPr>
        <w:spacing w:after="0" w:line="318" w:lineRule="exact"/>
        <w:rPr>
          <w:sz w:val="20"/>
          <w:szCs w:val="20"/>
          <w:color w:val="auto"/>
        </w:rPr>
      </w:pPr>
    </w:p>
    <w:p>
      <w:pPr>
        <w:jc w:val="right"/>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5</w:t>
        </w:r>
      </w:hyperlink>
    </w:p>
    <w:p>
      <w:pPr>
        <w:spacing w:after="0" w:line="71" w:lineRule="exact"/>
        <w:rPr>
          <w:sz w:val="20"/>
          <w:szCs w:val="20"/>
          <w:color w:val="auto"/>
        </w:rPr>
      </w:pPr>
    </w:p>
    <w:p>
      <w:pPr>
        <w:jc w:val="right"/>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5</w:t>
        </w:r>
      </w:hyperlink>
    </w:p>
    <w:p>
      <w:pPr>
        <w:spacing w:after="0" w:line="71" w:lineRule="exact"/>
        <w:rPr>
          <w:sz w:val="20"/>
          <w:szCs w:val="20"/>
          <w:color w:val="auto"/>
        </w:rPr>
      </w:pPr>
    </w:p>
    <w:p>
      <w:pPr>
        <w:jc w:val="right"/>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6</w:t>
        </w:r>
      </w:hyperlink>
    </w:p>
    <w:p>
      <w:pPr>
        <w:spacing w:after="0" w:line="71" w:lineRule="exact"/>
        <w:rPr>
          <w:sz w:val="20"/>
          <w:szCs w:val="20"/>
          <w:color w:val="auto"/>
        </w:rPr>
      </w:pPr>
    </w:p>
    <w:p>
      <w:pPr>
        <w:jc w:val="right"/>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7</w:t>
        </w:r>
      </w:hyperlink>
    </w:p>
    <w:p>
      <w:pPr>
        <w:spacing w:after="0" w:line="71" w:lineRule="exact"/>
        <w:rPr>
          <w:sz w:val="20"/>
          <w:szCs w:val="20"/>
          <w:color w:val="auto"/>
        </w:rPr>
      </w:pPr>
    </w:p>
    <w:p>
      <w:pPr>
        <w:jc w:val="right"/>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8</w:t>
        </w:r>
      </w:hyperlink>
    </w:p>
    <w:p>
      <w:pPr>
        <w:spacing w:after="0" w:line="71" w:lineRule="exact"/>
        <w:rPr>
          <w:sz w:val="20"/>
          <w:szCs w:val="20"/>
          <w:color w:val="auto"/>
        </w:rPr>
      </w:pPr>
    </w:p>
    <w:p>
      <w:pPr>
        <w:jc w:val="right"/>
        <w:spacing w:after="0"/>
        <w:rPr>
          <w:rFonts w:ascii="Arial" w:cs="Arial" w:eastAsia="Arial" w:hAnsi="Arial"/>
          <w:sz w:val="14"/>
          <w:szCs w:val="14"/>
          <w:u w:val="single" w:color="auto"/>
          <w:color w:val="0000EE"/>
        </w:rPr>
      </w:pPr>
      <w:hyperlink w:anchor="page10">
        <w:r>
          <w:rPr>
            <w:rFonts w:ascii="Arial" w:cs="Arial" w:eastAsia="Arial" w:hAnsi="Arial"/>
            <w:sz w:val="14"/>
            <w:szCs w:val="14"/>
            <w:u w:val="single" w:color="auto"/>
            <w:color w:val="0000EE"/>
          </w:rPr>
          <w:t>10</w:t>
        </w:r>
      </w:hyperlink>
    </w:p>
    <w:p>
      <w:pPr>
        <w:spacing w:after="0" w:line="71" w:lineRule="exact"/>
        <w:rPr>
          <w:sz w:val="20"/>
          <w:szCs w:val="20"/>
          <w:color w:val="auto"/>
        </w:rPr>
      </w:pPr>
    </w:p>
    <w:p>
      <w:pPr>
        <w:jc w:val="right"/>
        <w:spacing w:after="0"/>
        <w:rPr>
          <w:rFonts w:ascii="Arial" w:cs="Arial" w:eastAsia="Arial" w:hAnsi="Arial"/>
          <w:sz w:val="14"/>
          <w:szCs w:val="14"/>
          <w:u w:val="single" w:color="auto"/>
          <w:color w:val="0000EE"/>
        </w:rPr>
      </w:pPr>
      <w:hyperlink w:anchor="page11">
        <w:r>
          <w:rPr>
            <w:rFonts w:ascii="Arial" w:cs="Arial" w:eastAsia="Arial" w:hAnsi="Arial"/>
            <w:sz w:val="14"/>
            <w:szCs w:val="14"/>
            <w:u w:val="single" w:color="auto"/>
            <w:color w:val="0000EE"/>
          </w:rPr>
          <w:t>11</w:t>
        </w:r>
      </w:hyperlink>
    </w:p>
    <w:p>
      <w:pPr>
        <w:spacing w:after="0" w:line="59" w:lineRule="exact"/>
        <w:rPr>
          <w:sz w:val="20"/>
          <w:szCs w:val="20"/>
          <w:color w:val="auto"/>
        </w:rPr>
      </w:pPr>
    </w:p>
    <w:p>
      <w:pPr>
        <w:jc w:val="right"/>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34</w:t>
        </w:r>
      </w:hyperlink>
    </w:p>
    <w:p>
      <w:pPr>
        <w:spacing w:after="0" w:line="59" w:lineRule="exact"/>
        <w:rPr>
          <w:sz w:val="20"/>
          <w:szCs w:val="20"/>
          <w:color w:val="auto"/>
        </w:rPr>
      </w:pPr>
    </w:p>
    <w:p>
      <w:pPr>
        <w:jc w:val="right"/>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53</w:t>
        </w:r>
      </w:hyperlink>
    </w:p>
    <w:p>
      <w:pPr>
        <w:spacing w:after="0" w:line="59" w:lineRule="exact"/>
        <w:rPr>
          <w:sz w:val="20"/>
          <w:szCs w:val="20"/>
          <w:color w:val="auto"/>
        </w:rPr>
      </w:pPr>
    </w:p>
    <w:p>
      <w:pPr>
        <w:jc w:val="right"/>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54</w:t>
        </w:r>
      </w:hyperlink>
    </w:p>
    <w:p>
      <w:pPr>
        <w:spacing w:after="0" w:line="555" w:lineRule="exact"/>
        <w:rPr>
          <w:sz w:val="20"/>
          <w:szCs w:val="20"/>
          <w:color w:val="auto"/>
        </w:rPr>
      </w:pPr>
    </w:p>
    <w:p>
      <w:pPr>
        <w:sectPr>
          <w:pgSz w:w="11900" w:h="16838" w:orient="portrait"/>
          <w:cols w:equalWidth="0" w:num="2">
            <w:col w:w="10400" w:space="720"/>
            <w:col w:w="300"/>
          </w:cols>
          <w:pgMar w:left="240" w:top="123" w:right="239" w:bottom="1440" w:gutter="0" w:footer="0" w:header="0"/>
        </w:sectPr>
      </w:pPr>
    </w:p>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color w:val="auto"/>
              </w:rPr>
              <w:t>Item 1.</w:t>
            </w:r>
          </w:p>
        </w:tc>
        <w:tc>
          <w:tcPr>
            <w:tcW w:w="1040" w:type="dxa"/>
            <w:vAlign w:val="bottom"/>
            <w:gridSpan w:val="5"/>
          </w:tcPr>
          <w:p>
            <w:pPr>
              <w:spacing w:after="0"/>
              <w:rPr>
                <w:rFonts w:ascii="Arial" w:cs="Arial" w:eastAsia="Arial" w:hAnsi="Arial"/>
                <w:sz w:val="14"/>
                <w:szCs w:val="14"/>
                <w:color w:val="0000EE"/>
                <w:w w:val="87"/>
              </w:rPr>
            </w:pPr>
            <w:hyperlink w:anchor="page55">
              <w:r>
                <w:rPr>
                  <w:rFonts w:ascii="Arial" w:cs="Arial" w:eastAsia="Arial" w:hAnsi="Arial"/>
                  <w:sz w:val="14"/>
                  <w:szCs w:val="14"/>
                  <w:color w:val="0000EE"/>
                  <w:w w:val="87"/>
                </w:rPr>
                <w:t>Legal Proceedings</w:t>
              </w:r>
            </w:hyperlink>
          </w:p>
        </w:tc>
        <w:tc>
          <w:tcPr>
            <w:tcW w:w="4600" w:type="dxa"/>
            <w:vAlign w:val="bottom"/>
          </w:tcPr>
          <w:p>
            <w:pPr>
              <w:spacing w:after="0"/>
              <w:rPr>
                <w:sz w:val="14"/>
                <w:szCs w:val="14"/>
                <w:color w:val="auto"/>
              </w:rPr>
            </w:pPr>
          </w:p>
        </w:tc>
        <w:tc>
          <w:tcPr>
            <w:tcW w:w="4740" w:type="dxa"/>
            <w:vAlign w:val="bottom"/>
            <w:gridSpan w:val="2"/>
          </w:tcPr>
          <w:p>
            <w:pPr>
              <w:jc w:val="right"/>
              <w:spacing w:after="0"/>
              <w:rPr>
                <w:rFonts w:ascii="Arial" w:cs="Arial" w:eastAsia="Arial" w:hAnsi="Arial"/>
                <w:sz w:val="14"/>
                <w:szCs w:val="14"/>
                <w:color w:val="0000EE"/>
              </w:rPr>
            </w:pPr>
            <w:hyperlink w:anchor="page55">
              <w:r>
                <w:rPr>
                  <w:rFonts w:ascii="Arial" w:cs="Arial" w:eastAsia="Arial" w:hAnsi="Arial"/>
                  <w:sz w:val="14"/>
                  <w:szCs w:val="14"/>
                  <w:color w:val="0000EE"/>
                </w:rPr>
                <w:t>55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20"/>
                <w:szCs w:val="20"/>
                <w:color w:val="auto"/>
              </w:rPr>
            </w:pPr>
            <w:r>
              <w:rPr>
                <w:rFonts w:ascii="Arial" w:cs="Arial" w:eastAsia="Arial" w:hAnsi="Arial"/>
                <w:sz w:val="14"/>
                <w:szCs w:val="14"/>
                <w:color w:val="auto"/>
              </w:rPr>
              <w:t>Item 1A.</w:t>
            </w:r>
          </w:p>
        </w:tc>
        <w:tc>
          <w:tcPr>
            <w:tcW w:w="1040" w:type="dxa"/>
            <w:vAlign w:val="bottom"/>
            <w:gridSpan w:val="5"/>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Risk Factors</w:t>
              </w:r>
            </w:hyperlink>
          </w:p>
        </w:tc>
        <w:tc>
          <w:tcPr>
            <w:tcW w:w="4600" w:type="dxa"/>
            <w:vAlign w:val="bottom"/>
          </w:tcPr>
          <w:p>
            <w:pPr>
              <w:spacing w:after="0"/>
              <w:rPr>
                <w:sz w:val="17"/>
                <w:szCs w:val="17"/>
                <w:color w:val="auto"/>
              </w:rPr>
            </w:pPr>
          </w:p>
        </w:tc>
        <w:tc>
          <w:tcPr>
            <w:tcW w:w="4740" w:type="dxa"/>
            <w:vAlign w:val="bottom"/>
            <w:gridSpan w:val="2"/>
          </w:tcPr>
          <w:p>
            <w:pPr>
              <w:jc w:val="right"/>
              <w:spacing w:after="0"/>
              <w:rPr>
                <w:rFonts w:ascii="Arial" w:cs="Arial" w:eastAsia="Arial" w:hAnsi="Arial"/>
                <w:sz w:val="14"/>
                <w:szCs w:val="14"/>
                <w:color w:val="0000EE"/>
              </w:rPr>
            </w:pPr>
            <w:hyperlink w:anchor="page56">
              <w:r>
                <w:rPr>
                  <w:rFonts w:ascii="Arial" w:cs="Arial" w:eastAsia="Arial" w:hAnsi="Arial"/>
                  <w:sz w:val="14"/>
                  <w:szCs w:val="14"/>
                  <w:color w:val="0000EE"/>
                </w:rPr>
                <w:t>56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20"/>
                <w:szCs w:val="20"/>
                <w:color w:val="auto"/>
              </w:rPr>
            </w:pPr>
            <w:r>
              <w:rPr>
                <w:rFonts w:ascii="Arial" w:cs="Arial" w:eastAsia="Arial" w:hAnsi="Arial"/>
                <w:sz w:val="14"/>
                <w:szCs w:val="14"/>
                <w:color w:val="auto"/>
              </w:rPr>
              <w:t>Item 6.</w:t>
            </w:r>
          </w:p>
        </w:tc>
        <w:tc>
          <w:tcPr>
            <w:tcW w:w="480" w:type="dxa"/>
            <w:vAlign w:val="bottom"/>
          </w:tcPr>
          <w:p>
            <w:pPr>
              <w:spacing w:after="0"/>
              <w:rPr>
                <w:rFonts w:ascii="Arial" w:cs="Arial" w:eastAsia="Arial" w:hAnsi="Arial"/>
                <w:sz w:val="14"/>
                <w:szCs w:val="14"/>
                <w:color w:val="0000EE"/>
                <w:w w:val="93"/>
              </w:rPr>
            </w:pPr>
            <w:hyperlink w:anchor="page80">
              <w:r>
                <w:rPr>
                  <w:rFonts w:ascii="Arial" w:cs="Arial" w:eastAsia="Arial" w:hAnsi="Arial"/>
                  <w:sz w:val="14"/>
                  <w:szCs w:val="14"/>
                  <w:color w:val="0000EE"/>
                  <w:w w:val="93"/>
                </w:rPr>
                <w:t>Exhibits</w:t>
              </w:r>
            </w:hyperlink>
          </w:p>
        </w:tc>
        <w:tc>
          <w:tcPr>
            <w:tcW w:w="220" w:type="dxa"/>
            <w:vAlign w:val="bottom"/>
            <w:gridSpan w:val="2"/>
          </w:tcPr>
          <w:p>
            <w:pPr>
              <w:spacing w:after="0"/>
              <w:rPr>
                <w:sz w:val="17"/>
                <w:szCs w:val="17"/>
                <w:color w:val="auto"/>
              </w:rPr>
            </w:pPr>
          </w:p>
        </w:tc>
        <w:tc>
          <w:tcPr>
            <w:tcW w:w="4940" w:type="dxa"/>
            <w:vAlign w:val="bottom"/>
            <w:gridSpan w:val="3"/>
          </w:tcPr>
          <w:p>
            <w:pPr>
              <w:spacing w:after="0"/>
              <w:rPr>
                <w:sz w:val="17"/>
                <w:szCs w:val="17"/>
                <w:color w:val="auto"/>
              </w:rPr>
            </w:pPr>
          </w:p>
        </w:tc>
        <w:tc>
          <w:tcPr>
            <w:tcW w:w="4740" w:type="dxa"/>
            <w:vAlign w:val="bottom"/>
            <w:gridSpan w:val="2"/>
          </w:tcPr>
          <w:p>
            <w:pPr>
              <w:jc w:val="right"/>
              <w:spacing w:after="0"/>
              <w:rPr>
                <w:rFonts w:ascii="Arial" w:cs="Arial" w:eastAsia="Arial" w:hAnsi="Arial"/>
                <w:sz w:val="14"/>
                <w:szCs w:val="14"/>
                <w:color w:val="0000EE"/>
              </w:rPr>
            </w:pPr>
            <w:hyperlink w:anchor="page80">
              <w:r>
                <w:rPr>
                  <w:rFonts w:ascii="Arial" w:cs="Arial" w:eastAsia="Arial" w:hAnsi="Arial"/>
                  <w:sz w:val="14"/>
                  <w:szCs w:val="14"/>
                  <w:color w:val="0000EE"/>
                </w:rPr>
                <w:t>80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5640" w:type="dxa"/>
            <w:vAlign w:val="bottom"/>
            <w:gridSpan w:val="6"/>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Exhibit Index</w:t>
              </w:r>
            </w:hyperlink>
          </w:p>
        </w:tc>
        <w:tc>
          <w:tcPr>
            <w:tcW w:w="4740" w:type="dxa"/>
            <w:vAlign w:val="bottom"/>
            <w:gridSpan w:val="2"/>
          </w:tcPr>
          <w:p>
            <w:pPr>
              <w:jc w:val="right"/>
              <w:spacing w:after="0"/>
              <w:rPr>
                <w:rFonts w:ascii="Arial" w:cs="Arial" w:eastAsia="Arial" w:hAnsi="Arial"/>
                <w:sz w:val="14"/>
                <w:szCs w:val="14"/>
                <w:color w:val="0000EE"/>
              </w:rPr>
            </w:pPr>
            <w:hyperlink w:anchor="page81">
              <w:r>
                <w:rPr>
                  <w:rFonts w:ascii="Arial" w:cs="Arial" w:eastAsia="Arial" w:hAnsi="Arial"/>
                  <w:sz w:val="14"/>
                  <w:szCs w:val="14"/>
                  <w:color w:val="0000EE"/>
                </w:rPr>
                <w:t>81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tcBorders>
              <w:top w:val="single" w:sz="8" w:color="0000EE"/>
            </w:tcBorders>
            <w:gridSpan w:val="2"/>
            <w:vMerge w:val="restart"/>
          </w:tcPr>
          <w:p>
            <w:pPr>
              <w:spacing w:after="0"/>
              <w:rPr>
                <w:rFonts w:ascii="Arial" w:cs="Arial" w:eastAsia="Arial" w:hAnsi="Arial"/>
                <w:sz w:val="14"/>
                <w:szCs w:val="14"/>
                <w:color w:val="0000EE"/>
                <w:w w:val="86"/>
              </w:rPr>
            </w:pPr>
            <w:hyperlink w:anchor="page82">
              <w:r>
                <w:rPr>
                  <w:rFonts w:ascii="Arial" w:cs="Arial" w:eastAsia="Arial" w:hAnsi="Arial"/>
                  <w:sz w:val="14"/>
                  <w:szCs w:val="14"/>
                  <w:color w:val="0000EE"/>
                  <w:w w:val="86"/>
                </w:rPr>
                <w:t>Signatures</w:t>
              </w:r>
            </w:hyperlink>
          </w:p>
        </w:tc>
        <w:tc>
          <w:tcPr>
            <w:tcW w:w="160" w:type="dxa"/>
            <w:vAlign w:val="bottom"/>
            <w:tcBorders>
              <w:top w:val="single" w:sz="8" w:color="0000EE"/>
            </w:tcBorders>
            <w:gridSpan w:val="2"/>
            <w:vMerge w:val="restart"/>
          </w:tcPr>
          <w:p>
            <w:pPr>
              <w:spacing w:after="0" w:line="20" w:lineRule="exact"/>
              <w:rPr>
                <w:sz w:val="1"/>
                <w:szCs w:val="1"/>
                <w:color w:val="auto"/>
              </w:rPr>
            </w:pPr>
          </w:p>
        </w:tc>
        <w:tc>
          <w:tcPr>
            <w:tcW w:w="4880" w:type="dxa"/>
            <w:vAlign w:val="bottom"/>
            <w:gridSpan w:val="2"/>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4880" w:type="dxa"/>
            <w:vAlign w:val="bottom"/>
            <w:gridSpan w:val="2"/>
            <w:vMerge w:val="continue"/>
          </w:tcPr>
          <w:p>
            <w:pPr>
              <w:spacing w:after="0"/>
              <w:rPr>
                <w:sz w:val="16"/>
                <w:szCs w:val="16"/>
                <w:color w:val="auto"/>
              </w:rPr>
            </w:pPr>
          </w:p>
        </w:tc>
        <w:tc>
          <w:tcPr>
            <w:tcW w:w="4740" w:type="dxa"/>
            <w:vAlign w:val="bottom"/>
            <w:gridSpan w:val="2"/>
          </w:tcPr>
          <w:p>
            <w:pPr>
              <w:jc w:val="right"/>
              <w:spacing w:after="0"/>
              <w:rPr>
                <w:rFonts w:ascii="Arial" w:cs="Arial" w:eastAsia="Arial" w:hAnsi="Arial"/>
                <w:sz w:val="14"/>
                <w:szCs w:val="14"/>
                <w:color w:val="0000EE"/>
              </w:rPr>
            </w:pPr>
            <w:hyperlink w:anchor="page82">
              <w:r>
                <w:rPr>
                  <w:rFonts w:ascii="Arial" w:cs="Arial" w:eastAsia="Arial" w:hAnsi="Arial"/>
                  <w:sz w:val="14"/>
                  <w:szCs w:val="14"/>
                  <w:color w:val="0000EE"/>
                </w:rPr>
                <w:t>82</w:t>
              </w:r>
            </w:hyperlink>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123" w:right="239"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FORWARD-LOOKING STATEMENTS</w:t>
      </w:r>
    </w:p>
    <w:p>
      <w:pPr>
        <w:spacing w:after="0" w:line="257" w:lineRule="exact"/>
        <w:rPr>
          <w:sz w:val="20"/>
          <w:szCs w:val="20"/>
          <w:color w:val="auto"/>
        </w:rPr>
      </w:pPr>
    </w:p>
    <w:p>
      <w:pPr>
        <w:ind w:right="100" w:firstLine="348"/>
        <w:spacing w:after="0" w:line="264"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59" w:lineRule="exact"/>
        <w:rPr>
          <w:sz w:val="20"/>
          <w:szCs w:val="20"/>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attract new users or convert registered users to paying users;</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future financial performance, including trends in revenue, costs of revenue, gross profit or gross margin, operating expenses, paying users, and free cash flow;</w:t>
      </w:r>
    </w:p>
    <w:p>
      <w:pPr>
        <w:spacing w:after="0" w:line="209" w:lineRule="exact"/>
        <w:rPr>
          <w:rFonts w:ascii="Arial" w:cs="Arial" w:eastAsia="Arial" w:hAnsi="Arial"/>
          <w:sz w:val="14"/>
          <w:szCs w:val="14"/>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achieve or maintain profitability;</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demand for our platform or for content collaboration solutions in general;</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possible harm caused by significant disruption of service or loss or unauthorized access to users’ content;</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effectively integrate our platform with others;</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compete successfully in competitive markets;</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respond to rapid technological changes;</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expectations and management of future growth;</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grow due to our lack of a significant outbound sales force;</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attract large organizations as users;</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offer high-quality customer support;</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manage our international expansion;</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attract and retain key personnel and highly qualified personnel;</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protect our brand;</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prevent serious errors or defects in our platform;</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 and</w:t>
      </w:r>
    </w:p>
    <w:p>
      <w:pPr>
        <w:spacing w:after="0" w:line="198" w:lineRule="exact"/>
        <w:rPr>
          <w:rFonts w:ascii="Arial" w:cs="Arial" w:eastAsia="Arial" w:hAnsi="Arial"/>
          <w:sz w:val="15"/>
          <w:szCs w:val="15"/>
          <w:color w:val="auto"/>
        </w:rPr>
      </w:pPr>
    </w:p>
    <w:p>
      <w:pPr>
        <w:ind w:left="620" w:hanging="280"/>
        <w:spacing w:after="0"/>
        <w:tabs>
          <w:tab w:leader="none" w:pos="6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successfully identify, acquire, and integrate companies and assets.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Quarterly Report on Form 10-Q.</w:t>
      </w:r>
    </w:p>
    <w:p>
      <w:pPr>
        <w:spacing w:after="0" w:line="198" w:lineRule="exact"/>
        <w:rPr>
          <w:sz w:val="20"/>
          <w:szCs w:val="20"/>
          <w:color w:val="auto"/>
        </w:rPr>
      </w:pPr>
    </w:p>
    <w:p>
      <w:pPr>
        <w:ind w:firstLine="371"/>
        <w:spacing w:after="0" w:line="268"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20"/>
          </w:cols>
          <w:pgMar w:left="240" w:top="123" w:right="33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both"/>
        <w:ind w:right="140"/>
        <w:spacing w:after="0" w:line="302" w:lineRule="auto"/>
        <w:rPr>
          <w:sz w:val="20"/>
          <w:szCs w:val="20"/>
          <w:color w:val="auto"/>
        </w:rPr>
      </w:pPr>
      <w:r>
        <w:rPr>
          <w:rFonts w:ascii="Arial" w:cs="Arial" w:eastAsia="Arial" w:hAnsi="Arial"/>
          <w:sz w:val="14"/>
          <w:szCs w:val="14"/>
          <w:color w:val="auto"/>
        </w:rPr>
        <w:t>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3" w:lineRule="exact"/>
        <w:rPr>
          <w:sz w:val="20"/>
          <w:szCs w:val="20"/>
          <w:color w:val="auto"/>
        </w:rPr>
      </w:pPr>
    </w:p>
    <w:p>
      <w:pPr>
        <w:ind w:firstLine="371"/>
        <w:spacing w:after="0" w:line="265" w:lineRule="auto"/>
        <w:rPr>
          <w:sz w:val="20"/>
          <w:szCs w:val="20"/>
          <w:color w:val="auto"/>
        </w:rPr>
      </w:pPr>
      <w:r>
        <w:rPr>
          <w:rFonts w:ascii="Arial" w:cs="Arial" w:eastAsia="Arial" w:hAnsi="Arial"/>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60"/>
          </w:cols>
          <w:pgMar w:left="240" w:top="123" w:right="299" w:bottom="1440" w:gutter="0" w:footer="0" w:header="0"/>
        </w:sectPr>
      </w:pPr>
    </w:p>
    <w:bookmarkStart w:id="4" w:name="page5"/>
    <w:bookmarkEnd w:id="4"/>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1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PART I. FINANCIAL INFORMATION</w:t>
      </w:r>
    </w:p>
    <w:p>
      <w:pPr>
        <w:spacing w:after="0" w:line="200" w:lineRule="exact"/>
        <w:rPr>
          <w:sz w:val="20"/>
          <w:szCs w:val="20"/>
          <w:color w:val="auto"/>
        </w:rPr>
      </w:pPr>
    </w:p>
    <w:p>
      <w:pPr>
        <w:spacing w:after="0" w:line="285"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ITEM 1. FINANCIAL STATEMENTS</w:t>
      </w: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DROPBOX, INC.</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3" w:lineRule="exact"/>
        <w:rPr>
          <w:sz w:val="20"/>
          <w:szCs w:val="20"/>
          <w:color w:val="auto"/>
        </w:rPr>
      </w:pPr>
    </w:p>
    <w:p>
      <w:pPr>
        <w:ind w:left="5347"/>
        <w:spacing w:after="0"/>
        <w:rPr>
          <w:sz w:val="20"/>
          <w:szCs w:val="20"/>
          <w:color w:val="auto"/>
        </w:rPr>
      </w:pPr>
      <w:r>
        <w:rPr>
          <w:rFonts w:ascii="Arial" w:cs="Arial" w:eastAsia="Arial" w:hAnsi="Arial"/>
          <w:sz w:val="15"/>
          <w:szCs w:val="15"/>
          <w:i w:val="1"/>
          <w:iCs w:val="1"/>
          <w:color w:val="auto"/>
        </w:rPr>
        <w:t>(In millions)</w:t>
      </w:r>
    </w:p>
    <w:p>
      <w:pPr>
        <w:spacing w:after="0" w:line="13" w:lineRule="exact"/>
        <w:rPr>
          <w:sz w:val="20"/>
          <w:szCs w:val="20"/>
          <w:color w:val="auto"/>
        </w:rPr>
      </w:pPr>
    </w:p>
    <w:p>
      <w:pPr>
        <w:ind w:left="5347"/>
        <w:spacing w:after="0"/>
        <w:rPr>
          <w:sz w:val="20"/>
          <w:szCs w:val="20"/>
          <w:color w:val="auto"/>
        </w:rPr>
      </w:pPr>
      <w:r>
        <w:rPr>
          <w:rFonts w:ascii="Arial" w:cs="Arial" w:eastAsia="Arial" w:hAnsi="Arial"/>
          <w:sz w:val="15"/>
          <w:szCs w:val="15"/>
          <w:i w:val="1"/>
          <w:iCs w:val="1"/>
          <w:color w:val="auto"/>
        </w:rPr>
        <w:t>(Unaudited)</w:t>
      </w:r>
    </w:p>
    <w:p>
      <w:pPr>
        <w:spacing w:after="0" w:line="136"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6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w w:val="85"/>
              </w:rPr>
              <w:t>As of</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9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June 30, 2019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38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Cash and cash equivalents</w:t>
            </w:r>
          </w:p>
        </w:tc>
        <w:tc>
          <w:tcPr>
            <w:tcW w:w="1540" w:type="dxa"/>
            <w:vAlign w:val="bottom"/>
            <w:tcBorders>
              <w:bottom w:val="single" w:sz="8" w:color="CCEEFF"/>
            </w:tcBorders>
            <w:shd w:val="clear" w:color="auto" w:fill="CCEEFF"/>
          </w:tcPr>
          <w:p>
            <w:pPr>
              <w:jc w:val="right"/>
              <w:ind w:right="13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343.6</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519.3</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Arial" w:cs="Arial" w:eastAsia="Arial" w:hAnsi="Arial"/>
                <w:sz w:val="15"/>
                <w:szCs w:val="15"/>
                <w:color w:val="auto"/>
              </w:rPr>
              <w:t>Short-term investments</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570.0</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Trade and other receivables, net</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92.3</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current assets</w:t>
            </w:r>
          </w:p>
        </w:tc>
        <w:tc>
          <w:tcPr>
            <w:tcW w:w="15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1,067.7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1,210.2</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310.6</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575.7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96.5</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62.1</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1540" w:type="dxa"/>
            <w:vAlign w:val="bottom"/>
            <w:tcBorders>
              <w:bottom w:val="single" w:sz="8" w:color="CCEEFF"/>
            </w:tcBorders>
            <w:shd w:val="clear" w:color="auto" w:fill="CCEEFF"/>
          </w:tcPr>
          <w:p>
            <w:pPr>
              <w:jc w:val="right"/>
              <w:ind w:right="13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2,364.9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1,694.1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8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1540" w:type="dxa"/>
            <w:vAlign w:val="bottom"/>
          </w:tcPr>
          <w:p>
            <w:pPr>
              <w:jc w:val="right"/>
              <w:ind w:right="1363"/>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31.8</w:t>
            </w:r>
          </w:p>
        </w:tc>
        <w:tc>
          <w:tcPr>
            <w:tcW w:w="5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Accrued and other current liabilities</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149.4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164.5</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Arial" w:cs="Arial" w:eastAsia="Arial" w:hAnsi="Arial"/>
                <w:sz w:val="15"/>
                <w:szCs w:val="15"/>
                <w:color w:val="auto"/>
              </w:rPr>
              <w:t>Accrued compensation and benefits</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80.9</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Operating lease liability</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Arial" w:cs="Arial" w:eastAsia="Arial" w:hAnsi="Arial"/>
                <w:sz w:val="15"/>
                <w:szCs w:val="15"/>
                <w:color w:val="auto"/>
              </w:rPr>
              <w:t>Finance lease obligation</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Deferred revenue</w:t>
            </w:r>
          </w:p>
        </w:tc>
        <w:tc>
          <w:tcPr>
            <w:tcW w:w="1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485.0</w:t>
            </w:r>
          </w:p>
        </w:tc>
        <w:tc>
          <w:tcPr>
            <w:tcW w:w="0" w:type="dxa"/>
            <w:vAlign w:val="bottom"/>
          </w:tcPr>
          <w:p>
            <w:pPr>
              <w:spacing w:after="0"/>
              <w:rPr>
                <w:sz w:val="1"/>
                <w:szCs w:val="1"/>
                <w:color w:val="auto"/>
              </w:rPr>
            </w:pPr>
          </w:p>
        </w:tc>
      </w:tr>
      <w:tr>
        <w:trPr>
          <w:trHeight w:val="200"/>
        </w:trPr>
        <w:tc>
          <w:tcPr>
            <w:tcW w:w="69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15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903.1</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837.5</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lease liability, non-current</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Finance lease obligation, non-current</w:t>
            </w:r>
          </w:p>
        </w:tc>
        <w:tc>
          <w:tcPr>
            <w:tcW w:w="1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89.9</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Other non-current liabilities</w:t>
            </w:r>
            <w:r>
              <w:rPr>
                <w:rFonts w:ascii="Arial" w:cs="Arial" w:eastAsia="Arial" w:hAnsi="Arial"/>
                <w:sz w:val="21"/>
                <w:szCs w:val="21"/>
                <w:color w:val="auto"/>
                <w:vertAlign w:val="superscript"/>
              </w:rPr>
              <w:t>(1)</w:t>
            </w:r>
          </w:p>
        </w:tc>
        <w:tc>
          <w:tcPr>
            <w:tcW w:w="15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89.9</w:t>
            </w:r>
          </w:p>
        </w:tc>
        <w:tc>
          <w:tcPr>
            <w:tcW w:w="0" w:type="dxa"/>
            <w:vAlign w:val="bottom"/>
          </w:tcPr>
          <w:p>
            <w:pPr>
              <w:spacing w:after="0"/>
              <w:rPr>
                <w:sz w:val="1"/>
                <w:szCs w:val="1"/>
                <w:color w:val="auto"/>
              </w:rPr>
            </w:pPr>
          </w:p>
        </w:tc>
      </w:tr>
      <w:tr>
        <w:trPr>
          <w:trHeight w:val="200"/>
        </w:trPr>
        <w:tc>
          <w:tcPr>
            <w:tcW w:w="698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15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99"/>
              </w:rPr>
              <w:t>1,634.7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1,017.3</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10)</w:t>
            </w:r>
          </w:p>
        </w:tc>
        <w:tc>
          <w:tcPr>
            <w:tcW w:w="15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Additional paid-in capital</w:t>
            </w:r>
          </w:p>
        </w:tc>
        <w:tc>
          <w:tcPr>
            <w:tcW w:w="15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2,428.4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2,337.5</w:t>
            </w:r>
          </w:p>
        </w:tc>
        <w:tc>
          <w:tcPr>
            <w:tcW w:w="0" w:type="dxa"/>
            <w:vAlign w:val="bottom"/>
          </w:tcPr>
          <w:p>
            <w:pPr>
              <w:spacing w:after="0"/>
              <w:rPr>
                <w:sz w:val="1"/>
                <w:szCs w:val="1"/>
                <w:color w:val="auto"/>
              </w:rPr>
            </w:pPr>
          </w:p>
        </w:tc>
      </w:tr>
      <w:tr>
        <w:trPr>
          <w:trHeight w:val="208"/>
        </w:trPr>
        <w:tc>
          <w:tcPr>
            <w:tcW w:w="6980" w:type="dxa"/>
            <w:vAlign w:val="bottom"/>
          </w:tcPr>
          <w:p>
            <w:pPr>
              <w:ind w:left="220"/>
              <w:spacing w:after="0"/>
              <w:rPr>
                <w:sz w:val="20"/>
                <w:szCs w:val="20"/>
                <w:color w:val="auto"/>
              </w:rPr>
            </w:pPr>
            <w:r>
              <w:rPr>
                <w:rFonts w:ascii="Arial" w:cs="Arial" w:eastAsia="Arial" w:hAnsi="Arial"/>
                <w:sz w:val="15"/>
                <w:szCs w:val="15"/>
                <w:color w:val="auto"/>
              </w:rPr>
              <w:t>Accumulated deficit</w:t>
            </w:r>
          </w:p>
        </w:tc>
        <w:tc>
          <w:tcPr>
            <w:tcW w:w="1540" w:type="dxa"/>
            <w:vAlign w:val="bottom"/>
          </w:tcPr>
          <w:p>
            <w:pPr>
              <w:spacing w:after="0"/>
              <w:rPr>
                <w:sz w:val="18"/>
                <w:szCs w:val="18"/>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5"/>
                <w:szCs w:val="15"/>
                <w:color w:val="auto"/>
                <w:w w:val="89"/>
              </w:rPr>
              <w:t>(1,700.1)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(1,659.5)</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Accumulated other comprehensive income (loss)</w:t>
            </w:r>
          </w:p>
        </w:tc>
        <w:tc>
          <w:tcPr>
            <w:tcW w:w="15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0"/>
        </w:trPr>
        <w:tc>
          <w:tcPr>
            <w:tcW w:w="6980" w:type="dxa"/>
            <w:vAlign w:val="bottom"/>
          </w:tcPr>
          <w:p>
            <w:pPr>
              <w:ind w:left="20"/>
              <w:spacing w:after="0"/>
              <w:rPr>
                <w:sz w:val="20"/>
                <w:szCs w:val="20"/>
                <w:color w:val="auto"/>
              </w:rPr>
            </w:pPr>
            <w:r>
              <w:rPr>
                <w:rFonts w:ascii="Arial" w:cs="Arial" w:eastAsia="Arial" w:hAnsi="Arial"/>
                <w:sz w:val="15"/>
                <w:szCs w:val="15"/>
                <w:color w:val="auto"/>
              </w:rPr>
              <w:t>Total stockholders’ equity</w:t>
            </w:r>
          </w:p>
        </w:tc>
        <w:tc>
          <w:tcPr>
            <w:tcW w:w="15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730.2</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676.8</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1540" w:type="dxa"/>
            <w:vAlign w:val="bottom"/>
            <w:tcBorders>
              <w:bottom w:val="single" w:sz="8" w:color="CCEEFF"/>
            </w:tcBorders>
            <w:shd w:val="clear" w:color="auto" w:fill="CCEEFF"/>
          </w:tcPr>
          <w:p>
            <w:pPr>
              <w:jc w:val="right"/>
              <w:ind w:right="13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9"/>
              </w:rPr>
              <w:t>2,364.9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1,694.1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 w:right="40" w:hanging="7"/>
        <w:spacing w:after="0" w:line="221" w:lineRule="auto"/>
        <w:tabs>
          <w:tab w:leader="none" w:pos="172"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As of December 31, 2018 the Company had non-current deferred rent of $81.0 million. As of June 30, 2019, deferred rent is now included in the determination of the Company's operating lease right-of-use asset due to the adoption of ASC 842.</w:t>
      </w: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7"/>
          </w:cols>
          <w:pgMar w:left="233" w:top="123" w:right="219" w:bottom="1440" w:gutter="0" w:footer="0" w:header="0"/>
        </w:sectPr>
      </w:pPr>
    </w:p>
    <w:bookmarkStart w:id="5" w:name="page6"/>
    <w:bookmarkEnd w:id="5"/>
    <w:tbl>
      <w:tblPr>
        <w:tblLayout w:type="fixed"/>
        <w:tblInd w:w="7" w:type="dxa"/>
        <w:tblCellMar>
          <w:top w:w="0" w:type="dxa"/>
          <w:left w:w="0" w:type="dxa"/>
          <w:bottom w:w="0" w:type="dxa"/>
          <w:right w:w="0" w:type="dxa"/>
        </w:tblCellMar>
      </w:tblPr>
      <w:tr>
        <w:trPr>
          <w:trHeight w:val="172"/>
        </w:trPr>
        <w:tc>
          <w:tcPr>
            <w:tcW w:w="4580" w:type="dxa"/>
            <w:vAlign w:val="bottom"/>
            <w:gridSpan w:val="2"/>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16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2180" w:type="dxa"/>
            <w:vAlign w:val="bottom"/>
            <w:gridSpan w:val="4"/>
          </w:tcPr>
          <w:p>
            <w:pPr>
              <w:jc w:val="center"/>
              <w:ind w:left="3"/>
              <w:spacing w:after="0"/>
              <w:rPr>
                <w:sz w:val="20"/>
                <w:szCs w:val="20"/>
                <w:color w:val="auto"/>
              </w:rPr>
            </w:pPr>
            <w:r>
              <w:rPr>
                <w:rFonts w:ascii="Arial" w:cs="Arial" w:eastAsia="Arial" w:hAnsi="Arial"/>
                <w:sz w:val="15"/>
                <w:szCs w:val="15"/>
                <w:b w:val="1"/>
                <w:bCs w:val="1"/>
                <w:color w:val="auto"/>
              </w:rPr>
              <w:t>DROPBOX, INC.</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7200" w:type="dxa"/>
            <w:vAlign w:val="bottom"/>
            <w:gridSpan w:val="8"/>
          </w:tcPr>
          <w:p>
            <w:pPr>
              <w:jc w:val="center"/>
              <w:ind w:left="1823"/>
              <w:spacing w:after="0"/>
              <w:rPr>
                <w:sz w:val="20"/>
                <w:szCs w:val="20"/>
                <w:color w:val="auto"/>
              </w:rPr>
            </w:pPr>
            <w:r>
              <w:rPr>
                <w:rFonts w:ascii="Arial" w:cs="Arial" w:eastAsia="Arial" w:hAnsi="Arial"/>
                <w:sz w:val="15"/>
                <w:szCs w:val="15"/>
                <w:b w:val="1"/>
                <w:bCs w:val="1"/>
                <w:color w:val="auto"/>
              </w:rPr>
              <w:t>CONDENSED CONSOLIDATED STATEMENTS OF OPERATIONS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580" w:type="dxa"/>
            <w:vAlign w:val="bottom"/>
            <w:gridSpan w:val="5"/>
          </w:tcPr>
          <w:p>
            <w:pPr>
              <w:jc w:val="center"/>
              <w:ind w:right="243"/>
              <w:spacing w:after="0"/>
              <w:rPr>
                <w:sz w:val="20"/>
                <w:szCs w:val="20"/>
                <w:color w:val="auto"/>
              </w:rPr>
            </w:pPr>
            <w:r>
              <w:rPr>
                <w:rFonts w:ascii="Arial" w:cs="Arial" w:eastAsia="Arial" w:hAnsi="Arial"/>
                <w:sz w:val="15"/>
                <w:szCs w:val="15"/>
                <w:i w:val="1"/>
                <w:iCs w:val="1"/>
                <w:color w:val="auto"/>
                <w:w w:val="94"/>
              </w:rPr>
              <w:t>(In millions, except per share data)</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5"/>
                <w:szCs w:val="15"/>
                <w:i w:val="1"/>
                <w:iCs w:val="1"/>
                <w:color w:val="auto"/>
                <w:w w:val="96"/>
              </w:rPr>
              <w:t>(Unaudited)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5"/>
          </w:tcPr>
          <w:p>
            <w:pPr>
              <w:ind w:left="74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3"/>
          </w:tcPr>
          <w:p>
            <w:pPr>
              <w:jc w:val="right"/>
              <w:ind w:right="103"/>
              <w:spacing w:after="0"/>
              <w:rPr>
                <w:sz w:val="20"/>
                <w:szCs w:val="20"/>
                <w:color w:val="auto"/>
              </w:rPr>
            </w:pPr>
            <w:r>
              <w:rPr>
                <w:rFonts w:ascii="Arial" w:cs="Arial" w:eastAsia="Arial" w:hAnsi="Arial"/>
                <w:sz w:val="15"/>
                <w:szCs w:val="15"/>
                <w:b w:val="1"/>
                <w:bCs w:val="1"/>
                <w:color w:val="auto"/>
              </w:rPr>
              <w:t>June 30,</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263"/>
              <w:spacing w:after="0"/>
              <w:rPr>
                <w:sz w:val="20"/>
                <w:szCs w:val="20"/>
                <w:color w:val="auto"/>
              </w:rPr>
            </w:pPr>
            <w:r>
              <w:rPr>
                <w:rFonts w:ascii="Arial" w:cs="Arial" w:eastAsia="Arial" w:hAnsi="Arial"/>
                <w:sz w:val="15"/>
                <w:szCs w:val="15"/>
                <w:b w:val="1"/>
                <w:bCs w:val="1"/>
                <w:color w:val="auto"/>
              </w:rPr>
              <w:t>June 30,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2018</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401.5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339.2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787.1</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655.5</w:t>
            </w:r>
          </w:p>
        </w:tc>
        <w:tc>
          <w:tcPr>
            <w:tcW w:w="0" w:type="dxa"/>
            <w:vAlign w:val="bottom"/>
          </w:tcPr>
          <w:p>
            <w:pPr>
              <w:spacing w:after="0"/>
              <w:rPr>
                <w:sz w:val="1"/>
                <w:szCs w:val="1"/>
                <w:color w:val="auto"/>
              </w:rPr>
            </w:pPr>
          </w:p>
        </w:tc>
      </w:tr>
      <w:tr>
        <w:trPr>
          <w:trHeight w:val="232"/>
        </w:trPr>
        <w:tc>
          <w:tcPr>
            <w:tcW w:w="4580" w:type="dxa"/>
            <w:vAlign w:val="bottom"/>
            <w:tcBorders>
              <w:bottom w:val="single" w:sz="8" w:color="CCEEFF"/>
            </w:tcBorders>
            <w:gridSpan w:val="2"/>
          </w:tcPr>
          <w:p>
            <w:pPr>
              <w:ind w:left="220"/>
              <w:spacing w:after="0" w:line="232" w:lineRule="exact"/>
              <w:rPr>
                <w:sz w:val="20"/>
                <w:szCs w:val="20"/>
                <w:color w:val="auto"/>
              </w:rPr>
            </w:pPr>
            <w:r>
              <w:rPr>
                <w:rFonts w:ascii="Arial" w:cs="Arial" w:eastAsia="Arial" w:hAnsi="Arial"/>
                <w:sz w:val="15"/>
                <w:szCs w:val="15"/>
                <w:color w:val="auto"/>
              </w:rPr>
              <w:t>Cost of revenue</w:t>
            </w:r>
            <w:r>
              <w:rPr>
                <w:rFonts w:ascii="Arial" w:cs="Arial" w:eastAsia="Arial" w:hAnsi="Arial"/>
                <w:sz w:val="21"/>
                <w:szCs w:val="21"/>
                <w:color w:val="auto"/>
                <w:vertAlign w:val="superscript"/>
              </w:rPr>
              <w:t>(1)(2)</w:t>
            </w:r>
          </w:p>
        </w:tc>
        <w:tc>
          <w:tcPr>
            <w:tcW w:w="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102.9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89.5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201.3</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210.1</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298.6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249.7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585.8</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445.4</w:t>
            </w:r>
          </w:p>
        </w:tc>
        <w:tc>
          <w:tcPr>
            <w:tcW w:w="0" w:type="dxa"/>
            <w:vAlign w:val="bottom"/>
          </w:tcPr>
          <w:p>
            <w:pPr>
              <w:spacing w:after="0"/>
              <w:rPr>
                <w:sz w:val="1"/>
                <w:szCs w:val="1"/>
                <w:color w:val="auto"/>
              </w:rPr>
            </w:pPr>
          </w:p>
        </w:tc>
      </w:tr>
      <w:tr>
        <w:trPr>
          <w:trHeight w:val="232"/>
        </w:trPr>
        <w:tc>
          <w:tcPr>
            <w:tcW w:w="4580" w:type="dxa"/>
            <w:vAlign w:val="bottom"/>
            <w:gridSpan w:val="2"/>
          </w:tcPr>
          <w:p>
            <w:pPr>
              <w:ind w:left="20"/>
              <w:spacing w:after="0" w:line="232" w:lineRule="exact"/>
              <w:rPr>
                <w:sz w:val="20"/>
                <w:szCs w:val="20"/>
                <w:color w:val="auto"/>
              </w:rPr>
            </w:pPr>
            <w:r>
              <w:rPr>
                <w:rFonts w:ascii="Arial" w:cs="Arial" w:eastAsia="Arial" w:hAnsi="Arial"/>
                <w:sz w:val="15"/>
                <w:szCs w:val="15"/>
                <w:color w:val="auto"/>
              </w:rPr>
              <w:t>Operating expenses</w:t>
            </w:r>
            <w:r>
              <w:rPr>
                <w:rFonts w:ascii="Arial" w:cs="Arial" w:eastAsia="Arial" w:hAnsi="Arial"/>
                <w:sz w:val="21"/>
                <w:szCs w:val="21"/>
                <w:color w:val="auto"/>
                <w:vertAlign w:val="superscript"/>
              </w:rPr>
              <w:t>(1)(2)</w:t>
            </w:r>
            <w:r>
              <w:rPr>
                <w:rFonts w:ascii="Arial" w:cs="Arial" w:eastAsia="Arial" w:hAnsi="Arial"/>
                <w:sz w:val="15"/>
                <w:szCs w:val="15"/>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Research and development</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162.4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119.7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312.4</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498.2</w:t>
            </w:r>
          </w:p>
        </w:tc>
        <w:tc>
          <w:tcPr>
            <w:tcW w:w="0" w:type="dxa"/>
            <w:vAlign w:val="bottom"/>
          </w:tcPr>
          <w:p>
            <w:pPr>
              <w:spacing w:after="0"/>
              <w:rPr>
                <w:sz w:val="1"/>
                <w:szCs w:val="1"/>
                <w:color w:val="auto"/>
              </w:rPr>
            </w:pPr>
          </w:p>
        </w:tc>
      </w:tr>
      <w:tr>
        <w:trPr>
          <w:trHeight w:val="208"/>
        </w:trPr>
        <w:tc>
          <w:tcPr>
            <w:tcW w:w="4580" w:type="dxa"/>
            <w:vAlign w:val="bottom"/>
            <w:gridSpan w:val="2"/>
          </w:tcPr>
          <w:p>
            <w:pPr>
              <w:ind w:left="220"/>
              <w:spacing w:after="0"/>
              <w:rPr>
                <w:sz w:val="20"/>
                <w:szCs w:val="20"/>
                <w:color w:val="auto"/>
              </w:rPr>
            </w:pPr>
            <w:r>
              <w:rPr>
                <w:rFonts w:ascii="Arial" w:cs="Arial" w:eastAsia="Arial" w:hAnsi="Arial"/>
                <w:sz w:val="15"/>
                <w:szCs w:val="15"/>
                <w:color w:val="auto"/>
              </w:rPr>
              <w:t>Sales and marketing</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107.3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87.4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208.8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244.4</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General and administrative</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119.9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175.9</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Total operating expenses</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332.6</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256.9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641.1</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918.5</w:t>
            </w:r>
          </w:p>
        </w:tc>
        <w:tc>
          <w:tcPr>
            <w:tcW w:w="0" w:type="dxa"/>
            <w:vAlign w:val="bottom"/>
          </w:tcPr>
          <w:p>
            <w:pPr>
              <w:spacing w:after="0"/>
              <w:rPr>
                <w:sz w:val="1"/>
                <w:szCs w:val="1"/>
                <w:color w:val="auto"/>
              </w:rPr>
            </w:pPr>
          </w:p>
        </w:tc>
      </w:tr>
      <w:tr>
        <w:trPr>
          <w:trHeight w:val="23"/>
        </w:trPr>
        <w:tc>
          <w:tcPr>
            <w:tcW w:w="11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(473.1)</w:t>
            </w:r>
          </w:p>
        </w:tc>
        <w:tc>
          <w:tcPr>
            <w:tcW w:w="0" w:type="dxa"/>
            <w:vAlign w:val="bottom"/>
          </w:tcPr>
          <w:p>
            <w:pPr>
              <w:spacing w:after="0"/>
              <w:rPr>
                <w:sz w:val="1"/>
                <w:szCs w:val="1"/>
                <w:color w:val="auto"/>
              </w:rPr>
            </w:pPr>
          </w:p>
        </w:tc>
      </w:tr>
      <w:tr>
        <w:trPr>
          <w:trHeight w:val="208"/>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Interest income,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Loss before income taxes</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(34.2)</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(466.7)</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Benefit from (provision for) income taxes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0"/>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Net loss</w:t>
            </w:r>
          </w:p>
        </w:tc>
        <w:tc>
          <w:tcPr>
            <w:tcW w:w="5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17"/>
                <w:szCs w:val="17"/>
                <w:color w:val="auto"/>
              </w:rPr>
            </w:pPr>
          </w:p>
        </w:tc>
        <w:tc>
          <w:tcPr>
            <w:tcW w:w="540" w:type="dxa"/>
            <w:vAlign w:val="bottom"/>
            <w:tcBorders>
              <w:top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(469.6)</w:t>
            </w:r>
          </w:p>
        </w:tc>
        <w:tc>
          <w:tcPr>
            <w:tcW w:w="0" w:type="dxa"/>
            <w:vAlign w:val="bottom"/>
          </w:tcPr>
          <w:p>
            <w:pPr>
              <w:spacing w:after="0"/>
              <w:rPr>
                <w:sz w:val="1"/>
                <w:szCs w:val="1"/>
                <w:color w:val="auto"/>
              </w:rPr>
            </w:pPr>
          </w:p>
        </w:tc>
      </w:tr>
      <w:tr>
        <w:trPr>
          <w:trHeight w:val="63"/>
        </w:trPr>
        <w:tc>
          <w:tcPr>
            <w:tcW w:w="116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gridSpan w:val="2"/>
            <w:shd w:val="clear" w:color="auto" w:fill="CCEEFF"/>
          </w:tcPr>
          <w:p>
            <w:pPr>
              <w:ind w:left="20"/>
              <w:spacing w:after="0" w:line="160" w:lineRule="exact"/>
              <w:rPr>
                <w:sz w:val="20"/>
                <w:szCs w:val="20"/>
                <w:color w:val="auto"/>
              </w:rPr>
            </w:pPr>
            <w:r>
              <w:rPr>
                <w:rFonts w:ascii="Arial" w:cs="Arial" w:eastAsia="Arial" w:hAnsi="Arial"/>
                <w:sz w:val="15"/>
                <w:szCs w:val="15"/>
                <w:color w:val="auto"/>
                <w:w w:val="93"/>
              </w:rPr>
              <w:t>Net loss per share attributable to common stockholders, basic and diluted</w:t>
            </w: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40" w:type="dxa"/>
            <w:vAlign w:val="bottom"/>
            <w:gridSpan w:val="3"/>
          </w:tcPr>
          <w:p>
            <w:pPr>
              <w:ind w:left="20"/>
              <w:spacing w:after="0" w:line="149" w:lineRule="exact"/>
              <w:rPr>
                <w:sz w:val="20"/>
                <w:szCs w:val="20"/>
                <w:color w:val="auto"/>
              </w:rPr>
            </w:pPr>
            <w:r>
              <w:rPr>
                <w:rFonts w:ascii="Arial" w:cs="Arial" w:eastAsia="Arial" w:hAnsi="Arial"/>
                <w:sz w:val="15"/>
                <w:szCs w:val="15"/>
                <w:color w:val="auto"/>
                <w:w w:val="98"/>
              </w:rPr>
              <w:t>Weighted-average shares used in computing net loss per share attributable to</w:t>
            </w:r>
          </w:p>
        </w:tc>
        <w:tc>
          <w:tcPr>
            <w:tcW w:w="160" w:type="dxa"/>
            <w:vAlign w:val="bottom"/>
          </w:tcPr>
          <w:p>
            <w:pPr>
              <w:spacing w:after="0"/>
              <w:rPr>
                <w:sz w:val="12"/>
                <w:szCs w:val="12"/>
                <w:color w:val="auto"/>
              </w:rPr>
            </w:pPr>
          </w:p>
        </w:tc>
        <w:tc>
          <w:tcPr>
            <w:tcW w:w="1340" w:type="dxa"/>
            <w:vAlign w:val="bottom"/>
            <w:vMerge w:val="restart"/>
          </w:tcPr>
          <w:p>
            <w:pPr>
              <w:jc w:val="right"/>
              <w:ind w:right="43"/>
              <w:spacing w:after="0"/>
              <w:rPr>
                <w:sz w:val="20"/>
                <w:szCs w:val="20"/>
                <w:color w:val="auto"/>
              </w:rPr>
            </w:pPr>
            <w:r>
              <w:rPr>
                <w:rFonts w:ascii="Arial" w:cs="Arial" w:eastAsia="Arial" w:hAnsi="Arial"/>
                <w:sz w:val="15"/>
                <w:szCs w:val="15"/>
                <w:color w:val="auto"/>
              </w:rPr>
              <w:t>412.4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vMerge w:val="restart"/>
          </w:tcPr>
          <w:p>
            <w:pPr>
              <w:jc w:val="right"/>
              <w:ind w:right="43"/>
              <w:spacing w:after="0"/>
              <w:rPr>
                <w:sz w:val="20"/>
                <w:szCs w:val="20"/>
                <w:color w:val="auto"/>
              </w:rPr>
            </w:pPr>
            <w:r>
              <w:rPr>
                <w:rFonts w:ascii="Arial" w:cs="Arial" w:eastAsia="Arial" w:hAnsi="Arial"/>
                <w:sz w:val="15"/>
                <w:szCs w:val="15"/>
                <w:color w:val="auto"/>
              </w:rPr>
              <w:t>401.3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411.5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restart"/>
          </w:tcPr>
          <w:p>
            <w:pPr>
              <w:jc w:val="right"/>
              <w:ind w:right="23"/>
              <w:spacing w:after="0"/>
              <w:rPr>
                <w:sz w:val="20"/>
                <w:szCs w:val="20"/>
                <w:color w:val="auto"/>
              </w:rPr>
            </w:pPr>
            <w:r>
              <w:rPr>
                <w:rFonts w:ascii="Arial" w:cs="Arial" w:eastAsia="Arial" w:hAnsi="Arial"/>
                <w:sz w:val="15"/>
                <w:szCs w:val="15"/>
                <w:color w:val="auto"/>
              </w:rPr>
              <w:t>310.5</w:t>
            </w:r>
          </w:p>
        </w:tc>
        <w:tc>
          <w:tcPr>
            <w:tcW w:w="0" w:type="dxa"/>
            <w:vAlign w:val="bottom"/>
          </w:tcPr>
          <w:p>
            <w:pPr>
              <w:spacing w:after="0"/>
              <w:rPr>
                <w:sz w:val="1"/>
                <w:szCs w:val="1"/>
                <w:color w:val="auto"/>
              </w:rPr>
            </w:pPr>
          </w:p>
        </w:tc>
      </w:tr>
      <w:tr>
        <w:trPr>
          <w:trHeight w:val="202"/>
        </w:trPr>
        <w:tc>
          <w:tcPr>
            <w:tcW w:w="4580" w:type="dxa"/>
            <w:vAlign w:val="bottom"/>
            <w:gridSpan w:val="2"/>
          </w:tcPr>
          <w:p>
            <w:pPr>
              <w:ind w:left="160"/>
              <w:spacing w:after="0"/>
              <w:rPr>
                <w:sz w:val="20"/>
                <w:szCs w:val="20"/>
                <w:color w:val="auto"/>
              </w:rPr>
            </w:pPr>
            <w:r>
              <w:rPr>
                <w:rFonts w:ascii="Arial" w:cs="Arial" w:eastAsia="Arial" w:hAnsi="Arial"/>
                <w:sz w:val="15"/>
                <w:szCs w:val="15"/>
                <w:color w:val="auto"/>
              </w:rPr>
              <w:t>common stockholders, basic and diluted</w:t>
            </w:r>
          </w:p>
        </w:tc>
        <w:tc>
          <w:tcPr>
            <w:tcW w:w="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287" w:hanging="287"/>
        <w:spacing w:after="0"/>
        <w:tabs>
          <w:tab w:leader="none" w:pos="28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stock-based compensation as follows (in millions):</w:t>
      </w:r>
    </w:p>
    <w:p>
      <w:pPr>
        <w:spacing w:after="0" w:line="27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620" w:type="dxa"/>
            <w:vAlign w:val="bottom"/>
            <w:gridSpan w:val="4"/>
          </w:tcPr>
          <w:p>
            <w:pPr>
              <w:jc w:val="center"/>
              <w:ind w:left="443"/>
              <w:spacing w:after="0"/>
              <w:rPr>
                <w:sz w:val="20"/>
                <w:szCs w:val="20"/>
                <w:color w:val="auto"/>
              </w:rPr>
            </w:pPr>
            <w:r>
              <w:rPr>
                <w:rFonts w:ascii="Arial" w:cs="Arial" w:eastAsia="Arial" w:hAnsi="Arial"/>
                <w:sz w:val="15"/>
                <w:szCs w:val="15"/>
                <w:b w:val="1"/>
                <w:bCs w:val="1"/>
                <w:color w:val="auto"/>
                <w:w w:val="90"/>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91"/>
              </w:rPr>
              <w:t>Six months ended</w:t>
            </w:r>
          </w:p>
        </w:tc>
        <w:tc>
          <w:tcPr>
            <w:tcW w:w="920" w:type="dxa"/>
            <w:vAlign w:val="bottom"/>
          </w:tcPr>
          <w:p>
            <w:pPr>
              <w:spacing w:after="0"/>
              <w:rPr>
                <w:sz w:val="16"/>
                <w:szCs w:val="16"/>
                <w:color w:val="auto"/>
              </w:rPr>
            </w:pPr>
          </w:p>
        </w:tc>
      </w:tr>
      <w:tr>
        <w:trPr>
          <w:trHeight w:val="202"/>
        </w:trPr>
        <w:tc>
          <w:tcPr>
            <w:tcW w:w="5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gridSpan w:val="3"/>
          </w:tcPr>
          <w:p>
            <w:pPr>
              <w:jc w:val="center"/>
              <w:ind w:right="423"/>
              <w:spacing w:after="0"/>
              <w:rPr>
                <w:sz w:val="20"/>
                <w:szCs w:val="20"/>
                <w:color w:val="auto"/>
              </w:rPr>
            </w:pPr>
            <w:r>
              <w:rPr>
                <w:rFonts w:ascii="Arial" w:cs="Arial" w:eastAsia="Arial" w:hAnsi="Arial"/>
                <w:sz w:val="15"/>
                <w:szCs w:val="15"/>
                <w:b w:val="1"/>
                <w:bCs w:val="1"/>
                <w:color w:val="auto"/>
                <w:w w:val="89"/>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June 30,</w:t>
            </w:r>
          </w:p>
        </w:tc>
        <w:tc>
          <w:tcPr>
            <w:tcW w:w="92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rPr>
              <w:t>2019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b w:val="1"/>
                <w:bCs w:val="1"/>
                <w:color w:val="auto"/>
              </w:rPr>
              <w:t>2018</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2018</w:t>
            </w:r>
          </w:p>
        </w:tc>
      </w:tr>
      <w:tr>
        <w:trPr>
          <w:trHeight w:val="23"/>
        </w:trPr>
        <w:tc>
          <w:tcPr>
            <w:tcW w:w="5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96"/>
        </w:trPr>
        <w:tc>
          <w:tcPr>
            <w:tcW w:w="5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Cost of revenue</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40.7</w:t>
            </w:r>
          </w:p>
        </w:tc>
      </w:tr>
      <w:tr>
        <w:trPr>
          <w:trHeight w:val="208"/>
        </w:trPr>
        <w:tc>
          <w:tcPr>
            <w:tcW w:w="5140" w:type="dxa"/>
            <w:vAlign w:val="bottom"/>
          </w:tcPr>
          <w:p>
            <w:pPr>
              <w:ind w:left="220"/>
              <w:spacing w:after="0"/>
              <w:rPr>
                <w:sz w:val="20"/>
                <w:szCs w:val="20"/>
                <w:color w:val="auto"/>
              </w:rPr>
            </w:pPr>
            <w:r>
              <w:rPr>
                <w:rFonts w:ascii="Arial" w:cs="Arial" w:eastAsia="Arial" w:hAnsi="Arial"/>
                <w:sz w:val="15"/>
                <w:szCs w:val="15"/>
                <w:color w:val="auto"/>
              </w:rPr>
              <w:t>Research and development</w:t>
            </w:r>
          </w:p>
        </w:tc>
        <w:tc>
          <w:tcPr>
            <w:tcW w:w="102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37.7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5"/>
                <w:szCs w:val="15"/>
                <w:color w:val="auto"/>
              </w:rPr>
              <w:t>27.9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68.2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310.8</w:t>
            </w:r>
          </w:p>
        </w:tc>
      </w:tr>
      <w:tr>
        <w:trPr>
          <w:trHeight w:val="23"/>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Sales and marketing</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80.3</w:t>
            </w:r>
          </w:p>
        </w:tc>
      </w:tr>
      <w:tr>
        <w:trPr>
          <w:trHeight w:val="208"/>
        </w:trPr>
        <w:tc>
          <w:tcPr>
            <w:tcW w:w="514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02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16.9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ind w:right="43"/>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109.8</w:t>
            </w:r>
          </w:p>
        </w:tc>
      </w:tr>
    </w:tbl>
    <w:p>
      <w:pPr>
        <w:spacing w:after="0" w:line="200" w:lineRule="exact"/>
        <w:rPr>
          <w:sz w:val="20"/>
          <w:szCs w:val="20"/>
          <w:color w:val="auto"/>
        </w:rPr>
      </w:pPr>
    </w:p>
    <w:p>
      <w:pPr>
        <w:ind w:left="287" w:right="420" w:hanging="287"/>
        <w:spacing w:after="0" w:line="267" w:lineRule="auto"/>
        <w:tabs>
          <w:tab w:leader="none" w:pos="287"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During the six months ended June 30, 2018, the Company recognized the cumulative unrecognized stock-based compensation of $418.7 million related to two-tier restricted stock units upon the effectiveness of the registration statement for the Company's IPO. See Note 1, "Description of the Business and Summary of Significant Accounting Policies" for further information.</w:t>
      </w:r>
    </w:p>
    <w:p>
      <w:pPr>
        <w:spacing w:after="0" w:line="126" w:lineRule="exact"/>
        <w:rPr>
          <w:sz w:val="20"/>
          <w:szCs w:val="20"/>
          <w:color w:val="auto"/>
        </w:rPr>
      </w:pPr>
    </w:p>
    <w:p>
      <w:pPr>
        <w:jc w:val="center"/>
        <w:ind w:right="-6"/>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7"/>
          </w:cols>
          <w:pgMar w:left="233" w:top="118"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4700" w:type="dxa"/>
            <w:vAlign w:val="bottom"/>
            <w:gridSpan w:val="2"/>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92"/>
        </w:trPr>
        <w:tc>
          <w:tcPr>
            <w:tcW w:w="116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20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rPr>
              <w:t>DROPBOX, INC.</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7560" w:type="dxa"/>
            <w:vAlign w:val="bottom"/>
            <w:gridSpan w:val="9"/>
          </w:tcPr>
          <w:p>
            <w:pPr>
              <w:jc w:val="center"/>
              <w:ind w:left="1463"/>
              <w:spacing w:after="0"/>
              <w:rPr>
                <w:sz w:val="20"/>
                <w:szCs w:val="20"/>
                <w:color w:val="auto"/>
              </w:rPr>
            </w:pPr>
            <w:r>
              <w:rPr>
                <w:rFonts w:ascii="Arial" w:cs="Arial" w:eastAsia="Arial" w:hAnsi="Arial"/>
                <w:sz w:val="15"/>
                <w:szCs w:val="15"/>
                <w:b w:val="1"/>
                <w:bCs w:val="1"/>
                <w:color w:val="auto"/>
              </w:rPr>
              <w:t>CONDENSED CONSOLIDATED STATEMENTS OF COMPREHENSIVE LOSS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5"/>
                <w:szCs w:val="15"/>
                <w:i w:val="1"/>
                <w:iCs w:val="1"/>
                <w:color w:val="auto"/>
                <w:w w:val="99"/>
              </w:rPr>
              <w:t>(In millions)</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1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5"/>
                <w:szCs w:val="15"/>
                <w:i w:val="1"/>
                <w:iCs w:val="1"/>
                <w:color w:val="auto"/>
                <w:w w:val="96"/>
              </w:rPr>
              <w:t>(Unaudited)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08"/>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5"/>
          </w:tcPr>
          <w:p>
            <w:pPr>
              <w:ind w:left="76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920" w:type="dxa"/>
            <w:vAlign w:val="bottom"/>
          </w:tcPr>
          <w:p>
            <w:pPr>
              <w:spacing w:after="0"/>
              <w:rPr>
                <w:sz w:val="24"/>
                <w:szCs w:val="24"/>
                <w:color w:val="auto"/>
              </w:rPr>
            </w:pPr>
          </w:p>
        </w:tc>
      </w:tr>
      <w:tr>
        <w:trPr>
          <w:trHeight w:val="202"/>
        </w:trPr>
        <w:tc>
          <w:tcPr>
            <w:tcW w:w="1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3"/>
          </w:tcPr>
          <w:p>
            <w:pPr>
              <w:jc w:val="right"/>
              <w:ind w:right="103"/>
              <w:spacing w:after="0"/>
              <w:rPr>
                <w:sz w:val="20"/>
                <w:szCs w:val="20"/>
                <w:color w:val="auto"/>
              </w:rPr>
            </w:pPr>
            <w:r>
              <w:rPr>
                <w:rFonts w:ascii="Arial" w:cs="Arial" w:eastAsia="Arial" w:hAnsi="Arial"/>
                <w:sz w:val="15"/>
                <w:szCs w:val="15"/>
                <w:b w:val="1"/>
                <w:bCs w:val="1"/>
                <w:color w:val="auto"/>
              </w:rPr>
              <w:t>June 30,</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263"/>
              <w:spacing w:after="0"/>
              <w:rPr>
                <w:sz w:val="20"/>
                <w:szCs w:val="20"/>
                <w:color w:val="auto"/>
              </w:rPr>
            </w:pPr>
            <w:r>
              <w:rPr>
                <w:rFonts w:ascii="Arial" w:cs="Arial" w:eastAsia="Arial" w:hAnsi="Arial"/>
                <w:sz w:val="15"/>
                <w:szCs w:val="15"/>
                <w:b w:val="1"/>
                <w:bCs w:val="1"/>
                <w:color w:val="auto"/>
              </w:rPr>
              <w:t>June 30,</w:t>
            </w:r>
          </w:p>
        </w:tc>
        <w:tc>
          <w:tcPr>
            <w:tcW w:w="92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2018</w:t>
            </w: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96"/>
        </w:trPr>
        <w:tc>
          <w:tcPr>
            <w:tcW w:w="11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2"/>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(469.6)</w:t>
            </w:r>
          </w:p>
        </w:tc>
      </w:tr>
      <w:tr>
        <w:trPr>
          <w:trHeight w:val="208"/>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 (loss), net of tax:</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4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Change in foreign currency translation adjustments</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208"/>
        </w:trPr>
        <w:tc>
          <w:tcPr>
            <w:tcW w:w="4700" w:type="dxa"/>
            <w:vAlign w:val="bottom"/>
            <w:gridSpan w:val="2"/>
          </w:tcPr>
          <w:p>
            <w:pPr>
              <w:ind w:left="220"/>
              <w:spacing w:after="0"/>
              <w:rPr>
                <w:sz w:val="20"/>
                <w:szCs w:val="20"/>
                <w:color w:val="auto"/>
              </w:rPr>
            </w:pPr>
            <w:r>
              <w:rPr>
                <w:rFonts w:ascii="Arial" w:cs="Arial" w:eastAsia="Arial" w:hAnsi="Arial"/>
                <w:sz w:val="15"/>
                <w:szCs w:val="15"/>
                <w:color w:val="auto"/>
              </w:rPr>
              <w:t>Change in net unrealized gains (losses) on short-term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3"/>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other comprehensive income (loss), net of tax</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00"/>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Comprehensive loss</w:t>
            </w:r>
          </w:p>
        </w:tc>
        <w:tc>
          <w:tcPr>
            <w:tcW w:w="4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20" w:type="dxa"/>
            <w:vAlign w:val="bottom"/>
          </w:tcPr>
          <w:p>
            <w:pPr>
              <w:spacing w:after="0"/>
              <w:rPr>
                <w:sz w:val="17"/>
                <w:szCs w:val="17"/>
                <w:color w:val="auto"/>
              </w:rPr>
            </w:pPr>
          </w:p>
        </w:tc>
        <w:tc>
          <w:tcPr>
            <w:tcW w:w="540" w:type="dxa"/>
            <w:vAlign w:val="bottom"/>
            <w:tcBorders>
              <w:top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(471.9)</w:t>
            </w:r>
          </w:p>
        </w:tc>
      </w:tr>
      <w:tr>
        <w:trPr>
          <w:trHeight w:val="23"/>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118"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13" w:lineRule="exact"/>
        <w:rPr>
          <w:sz w:val="20"/>
          <w:szCs w:val="20"/>
          <w:color w:val="auto"/>
        </w:rPr>
      </w:pPr>
    </w:p>
    <w:p>
      <w:pPr>
        <w:ind w:left="5340"/>
        <w:spacing w:after="0"/>
        <w:rPr>
          <w:sz w:val="20"/>
          <w:szCs w:val="20"/>
          <w:color w:val="auto"/>
        </w:rPr>
      </w:pPr>
      <w:r>
        <w:rPr>
          <w:rFonts w:ascii="Arial" w:cs="Arial" w:eastAsia="Arial" w:hAnsi="Arial"/>
          <w:sz w:val="15"/>
          <w:szCs w:val="15"/>
          <w:i w:val="1"/>
          <w:iCs w:val="1"/>
          <w:color w:val="auto"/>
        </w:rPr>
        <w:t>(In millions)</w:t>
      </w:r>
    </w:p>
    <w:p>
      <w:pPr>
        <w:spacing w:after="0" w:line="13" w:lineRule="exact"/>
        <w:rPr>
          <w:sz w:val="20"/>
          <w:szCs w:val="20"/>
          <w:color w:val="auto"/>
        </w:rPr>
      </w:pPr>
    </w:p>
    <w:p>
      <w:pPr>
        <w:ind w:left="5340"/>
        <w:spacing w:after="0"/>
        <w:rPr>
          <w:sz w:val="20"/>
          <w:szCs w:val="20"/>
          <w:color w:val="auto"/>
        </w:rPr>
      </w:pPr>
      <w:r>
        <w:rPr>
          <w:rFonts w:ascii="Arial" w:cs="Arial" w:eastAsia="Arial" w:hAnsi="Arial"/>
          <w:sz w:val="15"/>
          <w:szCs w:val="15"/>
          <w:i w:val="1"/>
          <w:i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w w:val="91"/>
              </w:rPr>
              <w:t>Three months ended June 30, 2019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 June 30, 2018</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5"/>
              </w:rPr>
              <w:t>Class A and Class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5"/>
              </w:rPr>
              <w:t>Class A and Class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center"/>
              <w:ind w:left="231"/>
              <w:spacing w:after="0"/>
              <w:rPr>
                <w:sz w:val="20"/>
                <w:szCs w:val="20"/>
                <w:color w:val="auto"/>
              </w:rPr>
            </w:pPr>
            <w:r>
              <w:rPr>
                <w:rFonts w:ascii="Arial" w:cs="Arial" w:eastAsia="Arial" w:hAnsi="Arial"/>
                <w:sz w:val="14"/>
                <w:szCs w:val="14"/>
                <w:b w:val="1"/>
                <w:bCs w:val="1"/>
                <w:color w:val="auto"/>
                <w:w w:val="85"/>
              </w:rPr>
              <w:t>other</w:t>
            </w: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gridSpan w:val="5"/>
            <w:vMerge w:val="continue"/>
          </w:tcPr>
          <w:p>
            <w:pPr>
              <w:spacing w:after="0"/>
              <w:rPr>
                <w:sz w:val="5"/>
                <w:szCs w:val="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5"/>
                <w:szCs w:val="5"/>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240" w:type="dxa"/>
            <w:vAlign w:val="bottom"/>
            <w:gridSpan w:val="5"/>
          </w:tcPr>
          <w:p>
            <w:pPr>
              <w:ind w:left="60"/>
              <w:spacing w:after="0" w:line="140" w:lineRule="exact"/>
              <w:rPr>
                <w:sz w:val="20"/>
                <w:szCs w:val="20"/>
                <w:color w:val="auto"/>
              </w:rPr>
            </w:pPr>
            <w:r>
              <w:rPr>
                <w:rFonts w:ascii="Arial" w:cs="Arial" w:eastAsia="Arial" w:hAnsi="Arial"/>
                <w:sz w:val="14"/>
                <w:szCs w:val="14"/>
                <w:b w:val="1"/>
                <w:bCs w:val="1"/>
                <w:color w:val="auto"/>
                <w:w w:val="99"/>
              </w:rPr>
              <w:t>B Common Stock</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40" w:type="dxa"/>
            <w:vAlign w:val="bottom"/>
            <w:gridSpan w:val="5"/>
          </w:tcPr>
          <w:p>
            <w:pPr>
              <w:ind w:left="100"/>
              <w:spacing w:after="0" w:line="140" w:lineRule="exact"/>
              <w:rPr>
                <w:sz w:val="20"/>
                <w:szCs w:val="20"/>
                <w:color w:val="auto"/>
              </w:rPr>
            </w:pPr>
            <w:r>
              <w:rPr>
                <w:rFonts w:ascii="Arial" w:cs="Arial" w:eastAsia="Arial" w:hAnsi="Arial"/>
                <w:sz w:val="14"/>
                <w:szCs w:val="14"/>
                <w:b w:val="1"/>
                <w:bCs w:val="1"/>
                <w:color w:val="auto"/>
                <w:w w:val="99"/>
              </w:rPr>
              <w:t>B common stock</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8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ind w:left="120"/>
              <w:spacing w:after="0" w:line="150" w:lineRule="exact"/>
              <w:rPr>
                <w:sz w:val="20"/>
                <w:szCs w:val="20"/>
                <w:color w:val="auto"/>
              </w:rPr>
            </w:pPr>
            <w:r>
              <w:rPr>
                <w:rFonts w:ascii="Arial" w:cs="Arial" w:eastAsia="Arial" w:hAnsi="Arial"/>
                <w:sz w:val="14"/>
                <w:szCs w:val="14"/>
                <w:b w:val="1"/>
                <w:bCs w:val="1"/>
                <w:color w:val="auto"/>
              </w:rPr>
              <w:t>paid in</w:t>
            </w:r>
          </w:p>
        </w:tc>
        <w:tc>
          <w:tcPr>
            <w:tcW w:w="940" w:type="dxa"/>
            <w:vAlign w:val="bottom"/>
            <w:gridSpan w:val="3"/>
            <w:vMerge w:val="restart"/>
          </w:tcPr>
          <w:p>
            <w:pPr>
              <w:ind w:left="20"/>
              <w:spacing w:after="0" w:line="150"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vMerge w:val="restart"/>
          </w:tcPr>
          <w:p>
            <w:pPr>
              <w:jc w:val="center"/>
              <w:ind w:right="80"/>
              <w:spacing w:after="0" w:line="150" w:lineRule="exact"/>
              <w:rPr>
                <w:sz w:val="20"/>
                <w:szCs w:val="20"/>
                <w:color w:val="auto"/>
              </w:rPr>
            </w:pPr>
            <w:r>
              <w:rPr>
                <w:rFonts w:ascii="Arial" w:cs="Arial" w:eastAsia="Arial" w:hAnsi="Arial"/>
                <w:sz w:val="14"/>
                <w:szCs w:val="14"/>
                <w:b w:val="1"/>
                <w:bCs w:val="1"/>
                <w:color w:val="auto"/>
                <w:w w:val="85"/>
              </w:rPr>
              <w:t>comprehensive</w:t>
            </w:r>
          </w:p>
        </w:tc>
        <w:tc>
          <w:tcPr>
            <w:tcW w:w="920" w:type="dxa"/>
            <w:vAlign w:val="bottom"/>
            <w:gridSpan w:val="3"/>
            <w:vMerge w:val="restart"/>
          </w:tcPr>
          <w:p>
            <w:pPr>
              <w:jc w:val="center"/>
              <w:ind w:right="80"/>
              <w:spacing w:after="0" w:line="150" w:lineRule="exact"/>
              <w:rPr>
                <w:sz w:val="20"/>
                <w:szCs w:val="20"/>
                <w:color w:val="auto"/>
              </w:rPr>
            </w:pPr>
            <w:r>
              <w:rPr>
                <w:rFonts w:ascii="Arial" w:cs="Arial" w:eastAsia="Arial" w:hAnsi="Arial"/>
                <w:sz w:val="14"/>
                <w:szCs w:val="14"/>
                <w:b w:val="1"/>
                <w:bCs w:val="1"/>
                <w:color w:val="auto"/>
                <w:w w:val="88"/>
              </w:rPr>
              <w:t>stockholders'</w:t>
            </w: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ind w:left="120"/>
              <w:spacing w:after="0" w:line="150"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restart"/>
          </w:tcPr>
          <w:p>
            <w:pPr>
              <w:ind w:left="40"/>
              <w:spacing w:after="0" w:line="150"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vMerge w:val="restart"/>
          </w:tcPr>
          <w:p>
            <w:pPr>
              <w:jc w:val="center"/>
              <w:ind w:right="80"/>
              <w:spacing w:after="0" w:line="150"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2"/>
            <w:vMerge w:val="restart"/>
          </w:tcPr>
          <w:p>
            <w:pPr>
              <w:ind w:left="20"/>
              <w:spacing w:after="0" w:line="150"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60"/>
        </w:trPr>
        <w:tc>
          <w:tcPr>
            <w:tcW w:w="1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equity</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9"/>
        </w:trPr>
        <w:tc>
          <w:tcPr>
            <w:tcW w:w="1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beginning of</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period</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411.4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2,377.8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(1,674.7)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1"/>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704.9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395.0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2"/>
              </w:rPr>
              <w:t>$ 2,104.9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(1,600.4)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Arial" w:cs="Arial" w:eastAsia="Arial" w:hAnsi="Arial"/>
                <w:sz w:val="14"/>
                <w:szCs w:val="14"/>
                <w:color w:val="auto"/>
                <w:w w:val="90"/>
              </w:rPr>
              <w:t>Release of restricted stock units</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for tax</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 on release of</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stock</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88"/>
        </w:trPr>
        <w:tc>
          <w:tcPr>
            <w:tcW w:w="1840" w:type="dxa"/>
            <w:vAlign w:val="bottom"/>
          </w:tcPr>
          <w:p>
            <w:pPr>
              <w:ind w:left="20"/>
              <w:spacing w:after="0"/>
              <w:rPr>
                <w:sz w:val="20"/>
                <w:szCs w:val="20"/>
                <w:color w:val="auto"/>
              </w:rPr>
            </w:pPr>
            <w:r>
              <w:rPr>
                <w:rFonts w:ascii="Arial" w:cs="Arial" w:eastAsia="Arial" w:hAnsi="Arial"/>
                <w:sz w:val="14"/>
                <w:szCs w:val="14"/>
                <w:color w:val="auto"/>
                <w:w w:val="99"/>
              </w:rPr>
              <w:t>Issuance of common stock in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4"/>
                <w:szCs w:val="14"/>
                <w:color w:val="auto"/>
              </w:rPr>
              <w:t>connection with initial public</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4"/>
                <w:szCs w:val="14"/>
                <w:color w:val="auto"/>
                <w:w w:val="93"/>
              </w:rPr>
              <w:t>offering and private placement,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4"/>
                <w:szCs w:val="14"/>
                <w:color w:val="auto"/>
                <w:w w:val="99"/>
              </w:rPr>
              <w:t>net of underwriters' discounts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4"/>
                <w:szCs w:val="14"/>
                <w:color w:val="auto"/>
                <w:w w:val="92"/>
              </w:rPr>
              <w:t>and commissions and issuance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4"/>
                <w:szCs w:val="14"/>
                <w:color w:val="auto"/>
              </w:rPr>
              <w:t>costs</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108.4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Exercise of stock options and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9"/>
        </w:trPr>
        <w:tc>
          <w:tcPr>
            <w:tcW w:w="1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Other comprehensive income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1"/>
              </w:rPr>
              <w:t>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9"/>
        </w:trPr>
        <w:tc>
          <w:tcPr>
            <w:tcW w:w="1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end of period</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413.4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8"/>
              </w:rPr>
              <w:t>$ 2,428.4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(1,700.1)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81"/>
              </w:rPr>
              <w:t>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730.2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402.3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2"/>
              </w:rPr>
              <w:t>$ 2,248.4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(1,619.4)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40" w:top="123" w:right="2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9"/>
              </w:rPr>
              <w:t>Six Months Ended June 30, 2019</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8"/>
          </w:tcPr>
          <w:p>
            <w:pPr>
              <w:ind w:left="60"/>
              <w:spacing w:after="0"/>
              <w:rPr>
                <w:sz w:val="20"/>
                <w:szCs w:val="20"/>
                <w:color w:val="auto"/>
              </w:rPr>
            </w:pPr>
            <w:r>
              <w:rPr>
                <w:rFonts w:ascii="Arial" w:cs="Arial" w:eastAsia="Arial" w:hAnsi="Arial"/>
                <w:sz w:val="14"/>
                <w:szCs w:val="14"/>
                <w:b w:val="1"/>
                <w:bCs w:val="1"/>
                <w:color w:val="auto"/>
                <w:w w:val="93"/>
              </w:rPr>
              <w:t>Six Months Ended June 30, 2018</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1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Class A and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Class A and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880" w:type="dxa"/>
            <w:vAlign w:val="bottom"/>
          </w:tcPr>
          <w:p>
            <w:pPr>
              <w:spacing w:after="0"/>
              <w:rPr>
                <w:sz w:val="6"/>
                <w:szCs w:val="6"/>
                <w:color w:val="auto"/>
              </w:rPr>
            </w:pPr>
          </w:p>
        </w:tc>
        <w:tc>
          <w:tcPr>
            <w:tcW w:w="11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Class B Common</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Convertible</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Class B common</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76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93"/>
              </w:rPr>
              <w:t>Additional</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7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5"/>
              </w:rPr>
              <w:t>Total</w:t>
            </w:r>
          </w:p>
        </w:tc>
        <w:tc>
          <w:tcPr>
            <w:tcW w:w="1180" w:type="dxa"/>
            <w:vAlign w:val="bottom"/>
            <w:gridSpan w:val="3"/>
            <w:vMerge w:val="continue"/>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76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660" w:type="dxa"/>
            <w:vAlign w:val="bottom"/>
          </w:tcPr>
          <w:p>
            <w:pPr>
              <w:jc w:val="right"/>
              <w:ind w:right="191"/>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paid in</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Accumulated</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comprehensive</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stockholders'</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preferred stock</w:t>
            </w:r>
          </w:p>
        </w:tc>
        <w:tc>
          <w:tcPr>
            <w:tcW w:w="100" w:type="dxa"/>
            <w:vAlign w:val="bottom"/>
          </w:tcPr>
          <w:p>
            <w:pPr>
              <w:spacing w:after="0"/>
              <w:rPr>
                <w:sz w:val="16"/>
                <w:szCs w:val="16"/>
                <w:color w:val="auto"/>
              </w:rPr>
            </w:pPr>
          </w:p>
        </w:tc>
        <w:tc>
          <w:tcPr>
            <w:tcW w:w="740" w:type="dxa"/>
            <w:vAlign w:val="bottom"/>
            <w:tcBorders>
              <w:bottom w:val="single" w:sz="8" w:color="auto"/>
            </w:tcBorders>
            <w:gridSpan w:val="3"/>
          </w:tcPr>
          <w:p>
            <w:pPr>
              <w:jc w:val="center"/>
              <w:ind w:left="271"/>
              <w:spacing w:after="0"/>
              <w:rPr>
                <w:sz w:val="20"/>
                <w:szCs w:val="20"/>
                <w:color w:val="auto"/>
              </w:rPr>
            </w:pPr>
            <w:r>
              <w:rPr>
                <w:rFonts w:ascii="Arial" w:cs="Arial" w:eastAsia="Arial" w:hAnsi="Arial"/>
                <w:sz w:val="14"/>
                <w:szCs w:val="14"/>
                <w:b w:val="1"/>
                <w:bCs w:val="1"/>
                <w:color w:val="auto"/>
                <w:w w:val="87"/>
              </w:rPr>
              <w:t>stock</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capital</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deficit</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equity</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5"/>
                <w:szCs w:val="15"/>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9"/>
        </w:trPr>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9"/>
              </w:rPr>
              <w:t>beginning of</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period</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6"/>
              </w:rPr>
              <w:t>409.6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2,337.5</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(1,659.5)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676.8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147.6</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615.3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6"/>
              </w:rPr>
              <w:t>196.8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9"/>
              </w:rPr>
              <w:t>(1,049.7)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Cumulative-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effect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adjustment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w w:val="98"/>
              </w:rPr>
              <w:t>from adoption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4"/>
                <w:szCs w:val="14"/>
                <w:color w:val="auto"/>
              </w:rPr>
              <w:t>of ASC 842</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 of</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restricted stock</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Shares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repurchased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for tax</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withholdings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on release of</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4"/>
                <w:szCs w:val="14"/>
                <w:color w:val="auto"/>
                <w:w w:val="89"/>
              </w:rPr>
              <w:t>restricted stock</w:t>
            </w: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(35.6)</w:t>
            </w:r>
          </w:p>
        </w:tc>
        <w:tc>
          <w:tcPr>
            <w:tcW w:w="80" w:type="dxa"/>
            <w:vAlign w:val="bottom"/>
          </w:tcPr>
          <w:p>
            <w:pPr>
              <w:spacing w:after="0"/>
              <w:rPr>
                <w:sz w:val="15"/>
                <w:szCs w:val="15"/>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(100.1)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Conversion of</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preferred stock</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common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initial</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public offering</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(147.6)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6"/>
              </w:rPr>
              <w:t>147.6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615.3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Issuance of</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w w:val="93"/>
              </w:rPr>
              <w:t>common stock</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in connection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with initial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w w:val="96"/>
              </w:rPr>
              <w:t>public offering</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and private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w w:val="91"/>
              </w:rPr>
              <w:t>placement, net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of</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underwriters'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w w:val="97"/>
              </w:rPr>
              <w:t>discounts and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commissions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and issuance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4"/>
                <w:szCs w:val="14"/>
                <w:color w:val="auto"/>
              </w:rPr>
              <w:t>costs</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1"/>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739.7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739.7</w:t>
            </w: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and awards</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w w:val="88"/>
              </w:rPr>
              <w:t>Assumed stock</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options in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connection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rPr>
              <w:t>with</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4"/>
                <w:szCs w:val="14"/>
                <w:color w:val="auto"/>
              </w:rPr>
              <w:t>acquisition</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compensation</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123.7</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123.7</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541.6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541.6</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Other</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880" w:type="dxa"/>
            <w:vAlign w:val="bottom"/>
          </w:tcPr>
          <w:p>
            <w:pPr>
              <w:ind w:left="20"/>
              <w:spacing w:after="0"/>
              <w:rPr>
                <w:sz w:val="20"/>
                <w:szCs w:val="20"/>
                <w:color w:val="auto"/>
              </w:rPr>
            </w:pPr>
            <w:r>
              <w:rPr>
                <w:rFonts w:ascii="Arial" w:cs="Arial" w:eastAsia="Arial" w:hAnsi="Arial"/>
                <w:sz w:val="14"/>
                <w:szCs w:val="14"/>
                <w:color w:val="auto"/>
                <w:w w:val="88"/>
              </w:rPr>
              <w:t>comprehensive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4"/>
                <w:szCs w:val="14"/>
                <w:color w:val="auto"/>
              </w:rPr>
              <w:t>income (loss)</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(469.6)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(469.6)</w:t>
            </w:r>
          </w:p>
        </w:tc>
        <w:tc>
          <w:tcPr>
            <w:tcW w:w="0" w:type="dxa"/>
            <w:vAlign w:val="bottom"/>
          </w:tcPr>
          <w:p>
            <w:pPr>
              <w:spacing w:after="0"/>
              <w:rPr>
                <w:sz w:val="1"/>
                <w:szCs w:val="1"/>
                <w:color w:val="auto"/>
              </w:rPr>
            </w:pPr>
          </w:p>
        </w:tc>
      </w:tr>
      <w:tr>
        <w:trPr>
          <w:trHeight w:val="164"/>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Balances at</w:t>
            </w:r>
          </w:p>
        </w:tc>
        <w:tc>
          <w:tcPr>
            <w:tcW w:w="4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w w:val="96"/>
              </w:rPr>
              <w:t>413.4</w:t>
            </w:r>
          </w:p>
        </w:tc>
        <w:tc>
          <w:tcPr>
            <w:tcW w:w="100" w:type="dxa"/>
            <w:vAlign w:val="bottom"/>
          </w:tcPr>
          <w:p>
            <w:pPr>
              <w:spacing w:after="0"/>
              <w:rPr>
                <w:sz w:val="14"/>
                <w:szCs w:val="14"/>
                <w:color w:val="auto"/>
              </w:rPr>
            </w:pPr>
          </w:p>
        </w:tc>
        <w:tc>
          <w:tcPr>
            <w:tcW w:w="5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4"/>
                <w:szCs w:val="14"/>
                <w:color w:val="auto"/>
              </w:rPr>
            </w:pPr>
          </w:p>
        </w:tc>
        <w:tc>
          <w:tcPr>
            <w:tcW w:w="6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w w:val="88"/>
              </w:rPr>
              <w:t>$ 2,428.4</w:t>
            </w:r>
          </w:p>
        </w:tc>
        <w:tc>
          <w:tcPr>
            <w:tcW w:w="80" w:type="dxa"/>
            <w:vAlign w:val="bottom"/>
          </w:tcPr>
          <w:p>
            <w:pPr>
              <w:spacing w:after="0"/>
              <w:rPr>
                <w:sz w:val="14"/>
                <w:szCs w:val="14"/>
                <w:color w:val="auto"/>
              </w:rPr>
            </w:pPr>
          </w:p>
        </w:tc>
        <w:tc>
          <w:tcPr>
            <w:tcW w:w="8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  (1,700.1)</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730.2</w:t>
            </w:r>
          </w:p>
        </w:tc>
        <w:tc>
          <w:tcPr>
            <w:tcW w:w="80" w:type="dxa"/>
            <w:vAlign w:val="bottom"/>
          </w:tcPr>
          <w:p>
            <w:pPr>
              <w:spacing w:after="0"/>
              <w:rPr>
                <w:sz w:val="14"/>
                <w:szCs w:val="14"/>
                <w:color w:val="auto"/>
              </w:rPr>
            </w:pPr>
          </w:p>
        </w:tc>
        <w:tc>
          <w:tcPr>
            <w:tcW w:w="5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   —</w:t>
            </w:r>
          </w:p>
        </w:tc>
        <w:tc>
          <w:tcPr>
            <w:tcW w:w="100" w:type="dxa"/>
            <w:vAlign w:val="bottom"/>
            <w:vMerge w:val="restart"/>
          </w:tcPr>
          <w:p>
            <w:pPr>
              <w:spacing w:after="0"/>
              <w:rPr>
                <w:sz w:val="14"/>
                <w:szCs w:val="14"/>
                <w:color w:val="auto"/>
              </w:rPr>
            </w:pPr>
          </w:p>
        </w:tc>
        <w:tc>
          <w:tcPr>
            <w:tcW w:w="4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w w:val="96"/>
              </w:rPr>
              <w:t>402.3</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89"/>
              </w:rPr>
              <w:t>2,248.4</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99"/>
              </w:rPr>
              <w:t>(1,619.4)</w:t>
            </w:r>
          </w:p>
        </w:tc>
        <w:tc>
          <w:tcPr>
            <w:tcW w:w="8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630.9</w:t>
            </w:r>
          </w:p>
        </w:tc>
        <w:tc>
          <w:tcPr>
            <w:tcW w:w="0" w:type="dxa"/>
            <w:vAlign w:val="bottom"/>
          </w:tcPr>
          <w:p>
            <w:pPr>
              <w:spacing w:after="0"/>
              <w:rPr>
                <w:sz w:val="1"/>
                <w:szCs w:val="1"/>
                <w:color w:val="auto"/>
              </w:rPr>
            </w:pPr>
          </w:p>
        </w:tc>
      </w:tr>
      <w:tr>
        <w:trPr>
          <w:trHeight w:val="189"/>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4"/>
              </w:rPr>
              <w:t>end of period</w:t>
            </w: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520"/>
          </w:cols>
          <w:pgMar w:left="240" w:top="123" w:right="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8120" w:type="dxa"/>
            <w:vAlign w:val="bottom"/>
            <w:gridSpan w:val="2"/>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92"/>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63"/>
              <w:spacing w:after="0"/>
              <w:rPr>
                <w:sz w:val="20"/>
                <w:szCs w:val="20"/>
                <w:color w:val="auto"/>
              </w:rPr>
            </w:pPr>
            <w:r>
              <w:rPr>
                <w:rFonts w:ascii="Arial" w:cs="Arial" w:eastAsia="Arial" w:hAnsi="Arial"/>
                <w:sz w:val="15"/>
                <w:szCs w:val="15"/>
                <w:b w:val="1"/>
                <w:bCs w:val="1"/>
                <w:color w:val="auto"/>
              </w:rPr>
              <w:t>DROPBOX, INC.</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6960" w:type="dxa"/>
            <w:vAlign w:val="bottom"/>
          </w:tcPr>
          <w:p>
            <w:pPr>
              <w:jc w:val="center"/>
              <w:ind w:left="2083"/>
              <w:spacing w:after="0"/>
              <w:rPr>
                <w:sz w:val="20"/>
                <w:szCs w:val="20"/>
                <w:color w:val="auto"/>
              </w:rPr>
            </w:pPr>
            <w:r>
              <w:rPr>
                <w:rFonts w:ascii="Arial" w:cs="Arial" w:eastAsia="Arial" w:hAnsi="Arial"/>
                <w:sz w:val="15"/>
                <w:szCs w:val="15"/>
                <w:b w:val="1"/>
                <w:bCs w:val="1"/>
                <w:color w:val="auto"/>
              </w:rPr>
              <w:t>CONDENSED CONSOLIDATED STATEMENTS OF CASH FLOWS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5"/>
        </w:trPr>
        <w:tc>
          <w:tcPr>
            <w:tcW w:w="1160" w:type="dxa"/>
            <w:vAlign w:val="bottom"/>
          </w:tcPr>
          <w:p>
            <w:pPr>
              <w:spacing w:after="0"/>
              <w:rPr>
                <w:sz w:val="16"/>
                <w:szCs w:val="16"/>
                <w:color w:val="auto"/>
              </w:rPr>
            </w:pPr>
          </w:p>
        </w:tc>
        <w:tc>
          <w:tcPr>
            <w:tcW w:w="6960" w:type="dxa"/>
            <w:vAlign w:val="bottom"/>
          </w:tcPr>
          <w:p>
            <w:pPr>
              <w:jc w:val="center"/>
              <w:ind w:left="2083"/>
              <w:spacing w:after="0"/>
              <w:rPr>
                <w:sz w:val="20"/>
                <w:szCs w:val="20"/>
                <w:color w:val="auto"/>
              </w:rPr>
            </w:pPr>
            <w:r>
              <w:rPr>
                <w:rFonts w:ascii="Arial" w:cs="Arial" w:eastAsia="Arial" w:hAnsi="Arial"/>
                <w:sz w:val="15"/>
                <w:szCs w:val="15"/>
                <w:i w:val="1"/>
                <w:iCs w:val="1"/>
                <w:color w:val="auto"/>
                <w:w w:val="99"/>
              </w:rPr>
              <w:t>(In millions)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1160" w:type="dxa"/>
            <w:vAlign w:val="bottom"/>
          </w:tcPr>
          <w:p>
            <w:pPr>
              <w:spacing w:after="0"/>
              <w:rPr>
                <w:sz w:val="17"/>
                <w:szCs w:val="17"/>
                <w:color w:val="auto"/>
              </w:rPr>
            </w:pPr>
          </w:p>
        </w:tc>
        <w:tc>
          <w:tcPr>
            <w:tcW w:w="6960" w:type="dxa"/>
            <w:vAlign w:val="bottom"/>
          </w:tcPr>
          <w:p>
            <w:pPr>
              <w:jc w:val="center"/>
              <w:ind w:left="2083"/>
              <w:spacing w:after="0"/>
              <w:rPr>
                <w:sz w:val="20"/>
                <w:szCs w:val="20"/>
                <w:color w:val="auto"/>
              </w:rPr>
            </w:pPr>
            <w:r>
              <w:rPr>
                <w:rFonts w:ascii="Arial" w:cs="Arial" w:eastAsia="Arial" w:hAnsi="Arial"/>
                <w:sz w:val="15"/>
                <w:szCs w:val="15"/>
                <w:i w:val="1"/>
                <w:iCs w:val="1"/>
                <w:color w:val="auto"/>
                <w:w w:val="96"/>
              </w:rPr>
              <w:t>(Unaudited)</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2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740" w:type="dxa"/>
            <w:vAlign w:val="bottom"/>
            <w:gridSpan w:val="4"/>
          </w:tcPr>
          <w:p>
            <w:pPr>
              <w:jc w:val="right"/>
              <w:ind w:right="123"/>
              <w:spacing w:after="0"/>
              <w:rPr>
                <w:sz w:val="20"/>
                <w:szCs w:val="20"/>
                <w:color w:val="auto"/>
              </w:rPr>
            </w:pPr>
            <w:r>
              <w:rPr>
                <w:rFonts w:ascii="Arial" w:cs="Arial" w:eastAsia="Arial" w:hAnsi="Arial"/>
                <w:sz w:val="15"/>
                <w:szCs w:val="15"/>
                <w:b w:val="1"/>
                <w:bCs w:val="1"/>
                <w:color w:val="auto"/>
              </w:rPr>
              <w:t>Six months ended June 30,</w:t>
            </w:r>
          </w:p>
        </w:tc>
        <w:tc>
          <w:tcPr>
            <w:tcW w:w="58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58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96"/>
        </w:trPr>
        <w:tc>
          <w:tcPr>
            <w:tcW w:w="116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 from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0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Net loss</w:t>
            </w:r>
          </w:p>
        </w:tc>
        <w:tc>
          <w:tcPr>
            <w:tcW w:w="1040" w:type="dxa"/>
            <w:vAlign w:val="bottom"/>
          </w:tcPr>
          <w:p>
            <w:pPr>
              <w:jc w:val="right"/>
              <w:ind w:right="86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8"/>
                <w:szCs w:val="18"/>
                <w:color w:val="auto"/>
              </w:rPr>
            </w:pPr>
          </w:p>
        </w:tc>
        <w:tc>
          <w:tcPr>
            <w:tcW w:w="1020" w:type="dxa"/>
            <w:vAlign w:val="bottom"/>
          </w:tcPr>
          <w:p>
            <w:pPr>
              <w:jc w:val="right"/>
              <w:ind w:right="84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(469.6)</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91.9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75.9</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123.7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541.6</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Net gains on equity investments</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deferred commissions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5.3</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Other</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Trade and other receivables, net</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(33.9)</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Other assets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(17.5)</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Accounts payable</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Accrued and other current liabilities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44.5</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Accrued compensation and benefits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(24.8)</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Deferred revenue</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46.4</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Other non-current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Tenant improvement allowance reimbursement</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28.5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192.0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173.7</w:t>
            </w:r>
          </w:p>
        </w:tc>
      </w:tr>
      <w:tr>
        <w:trPr>
          <w:trHeight w:val="188"/>
        </w:trPr>
        <w:tc>
          <w:tcPr>
            <w:tcW w:w="812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 from investing activities</w:t>
            </w: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35"/>
        </w:trPr>
        <w:tc>
          <w:tcPr>
            <w:tcW w:w="1160" w:type="dxa"/>
            <w:vAlign w:val="bottom"/>
          </w:tcPr>
          <w:p>
            <w:pPr>
              <w:spacing w:after="0"/>
              <w:rPr>
                <w:sz w:val="3"/>
                <w:szCs w:val="3"/>
                <w:color w:val="auto"/>
              </w:rPr>
            </w:pPr>
          </w:p>
        </w:tc>
        <w:tc>
          <w:tcPr>
            <w:tcW w:w="6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Capital expenditures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Business combinations, net of cash acquired</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(171.6)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Purchases of short-term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(389.7)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(495.9)</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Proceeds from sales of short-term investments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181.0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3.1</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Proceeds from maturities of short-term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161.6</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16.4</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Other</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(270.5)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(497.6)</w:t>
            </w:r>
          </w:p>
        </w:tc>
      </w:tr>
      <w:tr>
        <w:trPr>
          <w:trHeight w:val="188"/>
        </w:trPr>
        <w:tc>
          <w:tcPr>
            <w:tcW w:w="812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 from financing activities</w:t>
            </w: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35"/>
        </w:trPr>
        <w:tc>
          <w:tcPr>
            <w:tcW w:w="1160" w:type="dxa"/>
            <w:vAlign w:val="bottom"/>
          </w:tcPr>
          <w:p>
            <w:pPr>
              <w:spacing w:after="0"/>
              <w:rPr>
                <w:sz w:val="3"/>
                <w:szCs w:val="3"/>
                <w:color w:val="auto"/>
              </w:rPr>
            </w:pPr>
          </w:p>
        </w:tc>
        <w:tc>
          <w:tcPr>
            <w:tcW w:w="6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Proceeds from initial public offering and private placement, net of underwriters' discounts and commissions</w:t>
            </w: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746.6</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Payments of deferred offering costs</w:t>
            </w:r>
          </w:p>
        </w:tc>
        <w:tc>
          <w:tcPr>
            <w:tcW w:w="10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Shares repurchased for tax withholdings on release of restricted stock</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(48.1)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(282.4)</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Proceeds from issuance of common stock, net of repurchases</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1.0</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8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Principal payments on finance lease obligations</w:t>
            </w:r>
          </w:p>
        </w:tc>
        <w:tc>
          <w:tcPr>
            <w:tcW w:w="10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(50.6)</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(58.3)</w:t>
            </w:r>
          </w:p>
        </w:tc>
      </w:tr>
      <w:tr>
        <w:trPr>
          <w:trHeight w:val="208"/>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Other</w:t>
            </w:r>
          </w:p>
        </w:tc>
        <w:tc>
          <w:tcPr>
            <w:tcW w:w="10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provided by financing activities</w:t>
            </w:r>
          </w:p>
        </w:tc>
        <w:tc>
          <w:tcPr>
            <w:tcW w:w="10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(97.4)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399.4</w:t>
            </w:r>
          </w:p>
        </w:tc>
      </w:tr>
      <w:tr>
        <w:trPr>
          <w:trHeight w:val="200"/>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3"/>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Change in cash and cash equivalents</w:t>
            </w:r>
          </w:p>
        </w:tc>
        <w:tc>
          <w:tcPr>
            <w:tcW w:w="10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(175.7)</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74.1</w:t>
            </w:r>
          </w:p>
        </w:tc>
      </w:tr>
      <w:tr>
        <w:trPr>
          <w:trHeight w:val="20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Cash and cash equivalents—beginning of period</w:t>
            </w:r>
          </w:p>
        </w:tc>
        <w:tc>
          <w:tcPr>
            <w:tcW w:w="104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519.3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ind w:right="23"/>
              <w:spacing w:after="0"/>
              <w:rPr>
                <w:sz w:val="20"/>
                <w:szCs w:val="20"/>
                <w:color w:val="auto"/>
              </w:rPr>
            </w:pPr>
            <w:r>
              <w:rPr>
                <w:rFonts w:ascii="Arial" w:cs="Arial" w:eastAsia="Arial" w:hAnsi="Arial"/>
                <w:sz w:val="15"/>
                <w:szCs w:val="15"/>
                <w:color w:val="auto"/>
              </w:rPr>
              <w:t>430.0</w:t>
            </w:r>
          </w:p>
        </w:tc>
      </w:tr>
      <w:tr>
        <w:trPr>
          <w:trHeight w:val="23"/>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equivalents—end of period</w:t>
            </w: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343.6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504.1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2"/>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cash flow data:</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00"/>
        </w:trPr>
        <w:tc>
          <w:tcPr>
            <w:tcW w:w="8120" w:type="dxa"/>
            <w:vAlign w:val="bottom"/>
            <w:gridSpan w:val="2"/>
          </w:tcPr>
          <w:p>
            <w:pPr>
              <w:ind w:left="220"/>
              <w:spacing w:after="0"/>
              <w:rPr>
                <w:sz w:val="20"/>
                <w:szCs w:val="20"/>
                <w:color w:val="auto"/>
              </w:rPr>
            </w:pPr>
            <w:r>
              <w:rPr>
                <w:rFonts w:ascii="Arial" w:cs="Arial" w:eastAsia="Arial" w:hAnsi="Arial"/>
                <w:sz w:val="15"/>
                <w:szCs w:val="15"/>
                <w:color w:val="auto"/>
              </w:rPr>
              <w:t>Property and equipment acquired under finance leases</w:t>
            </w:r>
          </w:p>
        </w:tc>
        <w:tc>
          <w:tcPr>
            <w:tcW w:w="1040" w:type="dxa"/>
            <w:vAlign w:val="bottom"/>
            <w:tcBorders>
              <w:top w:val="single" w:sz="8" w:color="auto"/>
            </w:tcBorders>
          </w:tcPr>
          <w:p>
            <w:pPr>
              <w:jc w:val="right"/>
              <w:ind w:right="86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75.4</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ind w:right="84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44.2</w:t>
            </w:r>
          </w:p>
        </w:tc>
      </w:tr>
      <w:tr>
        <w:trPr>
          <w:trHeight w:val="23"/>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0"/>
          </w:cols>
          <w:pgMar w:left="240" w:top="118" w:right="21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Description of the Business and Summary of Significant Accounting Policies</w:t>
      </w:r>
    </w:p>
    <w:p>
      <w:pPr>
        <w:spacing w:after="0" w:line="29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Business</w:t>
      </w:r>
    </w:p>
    <w:p>
      <w:pPr>
        <w:spacing w:after="0" w:line="105" w:lineRule="exact"/>
        <w:rPr>
          <w:sz w:val="20"/>
          <w:szCs w:val="20"/>
          <w:color w:val="auto"/>
        </w:rPr>
      </w:pPr>
    </w:p>
    <w:p>
      <w:pPr>
        <w:ind w:right="20" w:firstLine="371"/>
        <w:spacing w:after="0" w:line="289" w:lineRule="auto"/>
        <w:rPr>
          <w:sz w:val="20"/>
          <w:szCs w:val="20"/>
          <w:color w:val="auto"/>
        </w:rPr>
      </w:pPr>
      <w:r>
        <w:rPr>
          <w:rFonts w:ascii="Arial" w:cs="Arial" w:eastAsia="Arial" w:hAnsi="Arial"/>
          <w:sz w:val="15"/>
          <w:szCs w:val="15"/>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105" w:lineRule="exact"/>
        <w:rPr>
          <w:sz w:val="20"/>
          <w:szCs w:val="20"/>
          <w:color w:val="auto"/>
        </w:rPr>
      </w:pPr>
    </w:p>
    <w:p>
      <w:pPr>
        <w:ind w:right="180" w:firstLine="371"/>
        <w:spacing w:after="0" w:line="268"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56" w:lineRule="exact"/>
        <w:rPr>
          <w:sz w:val="20"/>
          <w:szCs w:val="20"/>
          <w:color w:val="auto"/>
        </w:rPr>
      </w:pPr>
    </w:p>
    <w:p>
      <w:pPr>
        <w:ind w:right="160" w:firstLine="371"/>
        <w:spacing w:after="0" w:line="268" w:lineRule="auto"/>
        <w:rPr>
          <w:sz w:val="20"/>
          <w:szCs w:val="20"/>
          <w:color w:val="auto"/>
        </w:rPr>
      </w:pPr>
      <w:r>
        <w:rPr>
          <w:rFonts w:ascii="Arial" w:cs="Arial" w:eastAsia="Arial" w:hAnsi="Arial"/>
          <w:sz w:val="15"/>
          <w:szCs w:val="15"/>
          <w:color w:val="auto"/>
        </w:rPr>
        <w:t>The condensed consolidated balance sheet as of December 31, 2018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loss, statements of stockholders' equity and the statements of cash flows for the interim periods, but are not necessarily indicative of the results of operations to be anticipated for the full fiscal year ended December 31, 2019 or any future period.</w:t>
      </w:r>
    </w:p>
    <w:p>
      <w:pPr>
        <w:spacing w:after="0" w:line="156" w:lineRule="exact"/>
        <w:rPr>
          <w:sz w:val="20"/>
          <w:szCs w:val="20"/>
          <w:color w:val="auto"/>
        </w:rPr>
      </w:pPr>
    </w:p>
    <w:p>
      <w:pPr>
        <w:ind w:firstLine="371"/>
        <w:spacing w:after="0" w:line="289"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2018, included in the Company's Annual Report on Form 10-K on file with the SEC ("Annual Report").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Initial public offering and private placement</w:t>
      </w:r>
    </w:p>
    <w:p>
      <w:pPr>
        <w:spacing w:after="0" w:line="105" w:lineRule="exact"/>
        <w:rPr>
          <w:sz w:val="20"/>
          <w:szCs w:val="20"/>
          <w:color w:val="auto"/>
        </w:rPr>
      </w:pPr>
    </w:p>
    <w:p>
      <w:pPr>
        <w:ind w:right="320" w:firstLine="371"/>
        <w:spacing w:after="0" w:line="273" w:lineRule="auto"/>
        <w:rPr>
          <w:sz w:val="20"/>
          <w:szCs w:val="20"/>
          <w:color w:val="auto"/>
        </w:rPr>
      </w:pPr>
      <w:r>
        <w:rPr>
          <w:rFonts w:ascii="Arial" w:cs="Arial" w:eastAsia="Arial" w:hAnsi="Arial"/>
          <w:sz w:val="15"/>
          <w:szCs w:val="15"/>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53" w:lineRule="exact"/>
        <w:rPr>
          <w:sz w:val="20"/>
          <w:szCs w:val="20"/>
          <w:color w:val="auto"/>
        </w:rPr>
      </w:pPr>
    </w:p>
    <w:p>
      <w:pPr>
        <w:ind w:right="20" w:firstLine="371"/>
        <w:spacing w:after="0" w:line="273" w:lineRule="auto"/>
        <w:rPr>
          <w:sz w:val="20"/>
          <w:szCs w:val="20"/>
          <w:color w:val="auto"/>
        </w:rPr>
      </w:pPr>
      <w:r>
        <w:rPr>
          <w:rFonts w:ascii="Arial" w:cs="Arial" w:eastAsia="Arial" w:hAnsi="Arial"/>
          <w:sz w:val="15"/>
          <w:szCs w:val="15"/>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53" w:lineRule="exact"/>
        <w:rPr>
          <w:sz w:val="20"/>
          <w:szCs w:val="20"/>
          <w:color w:val="auto"/>
        </w:rPr>
      </w:pPr>
    </w:p>
    <w:p>
      <w:pPr>
        <w:jc w:val="both"/>
        <w:ind w:right="120" w:firstLine="371"/>
        <w:spacing w:after="0" w:line="273" w:lineRule="auto"/>
        <w:rPr>
          <w:sz w:val="20"/>
          <w:szCs w:val="20"/>
          <w:color w:val="auto"/>
        </w:rPr>
      </w:pPr>
      <w:r>
        <w:rPr>
          <w:rFonts w:ascii="Arial" w:cs="Arial" w:eastAsia="Arial" w:hAnsi="Arial"/>
          <w:sz w:val="15"/>
          <w:szCs w:val="15"/>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53" w:lineRule="exact"/>
        <w:rPr>
          <w:sz w:val="20"/>
          <w:szCs w:val="20"/>
          <w:color w:val="auto"/>
        </w:rPr>
      </w:pPr>
    </w:p>
    <w:p>
      <w:pPr>
        <w:ind w:right="520" w:firstLine="371"/>
        <w:spacing w:after="0" w:line="289" w:lineRule="auto"/>
        <w:rPr>
          <w:sz w:val="20"/>
          <w:szCs w:val="20"/>
          <w:color w:val="auto"/>
        </w:rPr>
      </w:pPr>
      <w:r>
        <w:rPr>
          <w:rFonts w:ascii="Arial" w:cs="Arial" w:eastAsia="Arial" w:hAnsi="Arial"/>
          <w:sz w:val="15"/>
          <w:szCs w:val="15"/>
          <w:color w:val="auto"/>
        </w:rPr>
        <w:t>On March 28, 2018, the underwriters exercised their option to purchase an additional 5,400,000 shares of the Company's Class A common stock at $21.00 per share. This transaction closed on April 3, 2018, resulting in additional proceeds of $108.4 million, net of underwriters' discounts and commissions.</w:t>
      </w:r>
    </w:p>
    <w:p>
      <w:pPr>
        <w:spacing w:after="0" w:line="141" w:lineRule="exact"/>
        <w:rPr>
          <w:sz w:val="20"/>
          <w:szCs w:val="20"/>
          <w:color w:val="auto"/>
        </w:rPr>
      </w:pPr>
    </w:p>
    <w:p>
      <w:pPr>
        <w:ind w:right="60" w:firstLine="371"/>
        <w:spacing w:after="0" w:line="289" w:lineRule="auto"/>
        <w:rPr>
          <w:sz w:val="20"/>
          <w:szCs w:val="20"/>
          <w:color w:val="auto"/>
        </w:rPr>
      </w:pPr>
      <w:r>
        <w:rPr>
          <w:rFonts w:ascii="Arial" w:cs="Arial" w:eastAsia="Arial" w:hAnsi="Arial"/>
          <w:sz w:val="15"/>
          <w:szCs w:val="15"/>
          <w:color w:val="auto"/>
        </w:rPr>
        <w:t>The Company’s net proceeds from the IPO, the concurrent private placement, and underwriters' option totaled $746.6 million, before deducting offering costs of $6.9 million, net of reimbursements.</w:t>
      </w:r>
    </w:p>
    <w:p>
      <w:pPr>
        <w:spacing w:after="0" w:line="141" w:lineRule="exact"/>
        <w:rPr>
          <w:sz w:val="20"/>
          <w:szCs w:val="20"/>
          <w:color w:val="auto"/>
        </w:rPr>
      </w:pPr>
    </w:p>
    <w:p>
      <w:pPr>
        <w:ind w:right="140" w:firstLine="371"/>
        <w:spacing w:after="0" w:line="302" w:lineRule="auto"/>
        <w:rPr>
          <w:sz w:val="20"/>
          <w:szCs w:val="20"/>
          <w:color w:val="auto"/>
        </w:rPr>
      </w:pPr>
      <w:r>
        <w:rPr>
          <w:rFonts w:ascii="Arial" w:cs="Arial" w:eastAsia="Arial" w:hAnsi="Arial"/>
          <w:sz w:val="14"/>
          <w:szCs w:val="14"/>
          <w:color w:val="auto"/>
        </w:rPr>
        <w:t>Upon the effectiveness of the registration statement for the Company's IPO, which was March 22, 2018, the liquidity event-related performance vesting condition, referred to as the Performance Vesting Condition, associated with the Company's two-tier restricted stock units ("RSUs") was satisfied. As a result, the Company recognized the cumulative unrecognized stock-based compensation related to its two-tier RSUs using the accelerated attribution method of $418.7 million attributable to service prior to such effective date.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80"/>
          </w:cols>
          <w:pgMar w:left="240" w:top="123" w:right="27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right="40" w:firstLine="371"/>
        <w:spacing w:after="0" w:line="268" w:lineRule="auto"/>
        <w:rPr>
          <w:sz w:val="20"/>
          <w:szCs w:val="20"/>
          <w:color w:val="auto"/>
        </w:rPr>
      </w:pPr>
      <w:r>
        <w:rPr>
          <w:rFonts w:ascii="Arial" w:cs="Arial" w:eastAsia="Arial" w:hAnsi="Arial"/>
          <w:sz w:val="15"/>
          <w:szCs w:val="15"/>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Stock split</w:t>
      </w:r>
    </w:p>
    <w:p>
      <w:pPr>
        <w:spacing w:after="0" w:line="105" w:lineRule="exact"/>
        <w:rPr>
          <w:sz w:val="20"/>
          <w:szCs w:val="20"/>
          <w:color w:val="auto"/>
        </w:rPr>
      </w:pPr>
    </w:p>
    <w:p>
      <w:pPr>
        <w:ind w:right="460" w:firstLine="371"/>
        <w:spacing w:after="0" w:line="327" w:lineRule="auto"/>
        <w:rPr>
          <w:sz w:val="20"/>
          <w:szCs w:val="20"/>
          <w:color w:val="auto"/>
        </w:rPr>
      </w:pPr>
      <w:r>
        <w:rPr>
          <w:rFonts w:ascii="Arial" w:cs="Arial" w:eastAsia="Arial" w:hAnsi="Arial"/>
          <w:sz w:val="14"/>
          <w:szCs w:val="14"/>
          <w:color w:val="auto"/>
        </w:rPr>
        <w:t>On March 7, 2018, the Company effected a 1-for-1.5 reverse stock split of its capital stock. All of the share and per share information referenced throughout the condensed consolidated financial statements and notes to the condensed consolidated financial statements have been retroactively adjusted to reflect this reverse stock split.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5" w:lineRule="exact"/>
        <w:rPr>
          <w:sz w:val="20"/>
          <w:szCs w:val="20"/>
          <w:color w:val="auto"/>
        </w:rPr>
      </w:pPr>
    </w:p>
    <w:p>
      <w:pPr>
        <w:ind w:right="140" w:firstLine="371"/>
        <w:spacing w:after="0" w:line="302"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33" w:lineRule="exact"/>
        <w:rPr>
          <w:sz w:val="20"/>
          <w:szCs w:val="20"/>
          <w:color w:val="auto"/>
        </w:rPr>
      </w:pPr>
    </w:p>
    <w:p>
      <w:pPr>
        <w:ind w:right="380" w:firstLine="371"/>
        <w:spacing w:after="0" w:line="289" w:lineRule="auto"/>
        <w:rPr>
          <w:sz w:val="20"/>
          <w:szCs w:val="20"/>
          <w:color w:val="auto"/>
        </w:rPr>
      </w:pPr>
      <w:r>
        <w:rPr>
          <w:rFonts w:ascii="Arial" w:cs="Arial" w:eastAsia="Arial" w:hAnsi="Arial"/>
          <w:sz w:val="15"/>
          <w:szCs w:val="15"/>
          <w:color w:val="auto"/>
        </w:rPr>
        <w:t>The Company’s most significant estimates and judgments involve the estimation of the fair value of market-based awards and the valuation of acquired intangible assets and goodwill from business combinations.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Financial information about segments and geographic areas</w:t>
      </w:r>
    </w:p>
    <w:p>
      <w:pPr>
        <w:spacing w:after="0" w:line="105" w:lineRule="exact"/>
        <w:rPr>
          <w:sz w:val="20"/>
          <w:szCs w:val="20"/>
          <w:color w:val="auto"/>
        </w:rPr>
      </w:pPr>
    </w:p>
    <w:p>
      <w:pPr>
        <w:ind w:right="20" w:firstLine="371"/>
        <w:spacing w:after="0" w:line="268" w:lineRule="auto"/>
        <w:rPr>
          <w:sz w:val="20"/>
          <w:szCs w:val="20"/>
          <w:color w:val="auto"/>
        </w:rPr>
      </w:pPr>
      <w:r>
        <w:rPr>
          <w:rFonts w:ascii="Arial" w:cs="Arial" w:eastAsia="Arial" w:hAnsi="Arial"/>
          <w:sz w:val="15"/>
          <w:szCs w:val="15"/>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16, "Geographic Areas" for information regarding the Company’s long-lived assets and revenue by geography.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Foreign currency transactions</w:t>
      </w:r>
    </w:p>
    <w:p>
      <w:pPr>
        <w:spacing w:after="0" w:line="105" w:lineRule="exact"/>
        <w:rPr>
          <w:sz w:val="20"/>
          <w:szCs w:val="20"/>
          <w:color w:val="auto"/>
        </w:rPr>
      </w:pPr>
    </w:p>
    <w:p>
      <w:pPr>
        <w:ind w:right="300" w:firstLine="371"/>
        <w:spacing w:after="0" w:line="273" w:lineRule="auto"/>
        <w:rPr>
          <w:sz w:val="20"/>
          <w:szCs w:val="20"/>
          <w:color w:val="auto"/>
        </w:rPr>
      </w:pPr>
      <w:r>
        <w:rPr>
          <w:rFonts w:ascii="Arial" w:cs="Arial" w:eastAsia="Arial" w:hAnsi="Arial"/>
          <w:sz w:val="15"/>
          <w:szCs w:val="15"/>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53" w:lineRule="exact"/>
        <w:rPr>
          <w:sz w:val="20"/>
          <w:szCs w:val="20"/>
          <w:color w:val="auto"/>
        </w:rPr>
      </w:pPr>
    </w:p>
    <w:p>
      <w:pPr>
        <w:ind w:firstLine="371"/>
        <w:spacing w:after="0" w:line="293" w:lineRule="auto"/>
        <w:rPr>
          <w:sz w:val="20"/>
          <w:szCs w:val="20"/>
          <w:color w:val="auto"/>
        </w:rPr>
      </w:pPr>
      <w:r>
        <w:rPr>
          <w:rFonts w:ascii="Arial" w:cs="Arial" w:eastAsia="Arial" w:hAnsi="Arial"/>
          <w:sz w:val="14"/>
          <w:szCs w:val="14"/>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net foreign currency transaction losses of $0.5 million and $0.5 million during the three and six months ended June 30, 2019, respectively, and net foreign currency transaction losses of $1.1 million and $0.4 million during the three and six months ended June 30, 2018, respectively.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5" w:lineRule="exact"/>
        <w:rPr>
          <w:sz w:val="20"/>
          <w:szCs w:val="20"/>
          <w:color w:val="auto"/>
        </w:rPr>
      </w:pPr>
    </w:p>
    <w:p>
      <w:pPr>
        <w:ind w:right="480" w:firstLine="371"/>
        <w:spacing w:after="0" w:line="327" w:lineRule="auto"/>
        <w:rPr>
          <w:sz w:val="20"/>
          <w:szCs w:val="20"/>
          <w:color w:val="auto"/>
        </w:rPr>
      </w:pPr>
      <w:r>
        <w:rPr>
          <w:rFonts w:ascii="Arial" w:cs="Arial" w:eastAsia="Arial" w:hAnsi="Arial"/>
          <w:sz w:val="14"/>
          <w:szCs w:val="14"/>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25" w:lineRule="exact"/>
        <w:rPr>
          <w:sz w:val="20"/>
          <w:szCs w:val="20"/>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05"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5"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5"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5" w:lineRule="exact"/>
        <w:rPr>
          <w:rFonts w:ascii="Arial" w:cs="Arial" w:eastAsia="Arial" w:hAnsi="Arial"/>
          <w:sz w:val="15"/>
          <w:szCs w:val="15"/>
          <w:color w:val="auto"/>
        </w:rPr>
      </w:pPr>
    </w:p>
    <w:p>
      <w:pPr>
        <w:ind w:left="820" w:hanging="271"/>
        <w:spacing w:after="0"/>
        <w:tabs>
          <w:tab w:leader="none" w:pos="82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Recognition of revenue when, or as, the Company satisfies a performance obligation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0"/>
          </w:cols>
          <w:pgMar w:left="240" w:top="123" w:right="2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right="80" w:firstLine="371"/>
        <w:spacing w:after="0" w:line="265"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60" w:lineRule="exact"/>
        <w:rPr>
          <w:sz w:val="20"/>
          <w:szCs w:val="20"/>
          <w:color w:val="auto"/>
        </w:rPr>
      </w:pPr>
    </w:p>
    <w:p>
      <w:pPr>
        <w:ind w:right="320" w:firstLine="371"/>
        <w:spacing w:after="0" w:line="273" w:lineRule="auto"/>
        <w:rPr>
          <w:sz w:val="20"/>
          <w:szCs w:val="20"/>
          <w:color w:val="auto"/>
        </w:rPr>
      </w:pPr>
      <w:r>
        <w:rPr>
          <w:rFonts w:ascii="Arial" w:cs="Arial" w:eastAsia="Arial" w:hAnsi="Arial"/>
          <w:sz w:val="15"/>
          <w:szCs w:val="15"/>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53" w:lineRule="exact"/>
        <w:rPr>
          <w:sz w:val="20"/>
          <w:szCs w:val="20"/>
          <w:color w:val="auto"/>
        </w:rPr>
      </w:pPr>
    </w:p>
    <w:p>
      <w:pPr>
        <w:ind w:right="480" w:firstLine="371"/>
        <w:spacing w:after="0" w:line="289" w:lineRule="auto"/>
        <w:rPr>
          <w:sz w:val="20"/>
          <w:szCs w:val="20"/>
          <w:color w:val="auto"/>
        </w:rPr>
      </w:pPr>
      <w:r>
        <w:rPr>
          <w:rFonts w:ascii="Arial" w:cs="Arial" w:eastAsia="Arial" w:hAnsi="Arial"/>
          <w:sz w:val="15"/>
          <w:szCs w:val="15"/>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41" w:lineRule="exact"/>
        <w:rPr>
          <w:sz w:val="20"/>
          <w:szCs w:val="20"/>
          <w:color w:val="auto"/>
        </w:rPr>
      </w:pPr>
    </w:p>
    <w:p>
      <w:pPr>
        <w:ind w:right="20" w:firstLine="371"/>
        <w:spacing w:after="0" w:line="289" w:lineRule="auto"/>
        <w:rPr>
          <w:sz w:val="20"/>
          <w:szCs w:val="20"/>
          <w:color w:val="auto"/>
        </w:rPr>
      </w:pPr>
      <w:r>
        <w:rPr>
          <w:rFonts w:ascii="Arial" w:cs="Arial" w:eastAsia="Arial" w:hAnsi="Arial"/>
          <w:sz w:val="15"/>
          <w:szCs w:val="15"/>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41" w:lineRule="exact"/>
        <w:rPr>
          <w:sz w:val="20"/>
          <w:szCs w:val="20"/>
          <w:color w:val="auto"/>
        </w:rPr>
      </w:pPr>
    </w:p>
    <w:p>
      <w:pPr>
        <w:jc w:val="both"/>
        <w:ind w:right="280" w:firstLine="371"/>
        <w:spacing w:after="0" w:line="273" w:lineRule="auto"/>
        <w:rPr>
          <w:sz w:val="20"/>
          <w:szCs w:val="20"/>
          <w:color w:val="auto"/>
        </w:rPr>
      </w:pPr>
      <w:r>
        <w:rPr>
          <w:rFonts w:ascii="Arial" w:cs="Arial" w:eastAsia="Arial" w:hAnsi="Arial"/>
          <w:sz w:val="15"/>
          <w:szCs w:val="15"/>
          <w:color w:val="auto"/>
        </w:rPr>
        <w:t>The Company recognized $233.9 million and $365.9 million of revenue during the three and six months ended June 30, 2019, respectively, and recognized $208.7 million and $313.0 million of revenue during the three and six months ended June 30, 2018, respectively, that was included in the deferred revenue balances at the beginning of their respective periods.</w:t>
      </w:r>
    </w:p>
    <w:p>
      <w:pPr>
        <w:spacing w:after="0" w:line="153" w:lineRule="exact"/>
        <w:rPr>
          <w:sz w:val="20"/>
          <w:szCs w:val="20"/>
          <w:color w:val="auto"/>
        </w:rPr>
      </w:pPr>
    </w:p>
    <w:p>
      <w:pPr>
        <w:ind w:right="120" w:firstLine="371"/>
        <w:spacing w:after="0" w:line="289" w:lineRule="auto"/>
        <w:rPr>
          <w:sz w:val="20"/>
          <w:szCs w:val="20"/>
          <w:color w:val="auto"/>
        </w:rPr>
      </w:pPr>
      <w:r>
        <w:rPr>
          <w:rFonts w:ascii="Arial" w:cs="Arial" w:eastAsia="Arial" w:hAnsi="Arial"/>
          <w:sz w:val="15"/>
          <w:szCs w:val="15"/>
          <w:color w:val="auto"/>
        </w:rPr>
        <w:t>As of June 30, 2019, future estimated revenue related to performance obligations that were unsatisfied or partially unsatisfied was $559.4 million. The substantial majority of the unsatisfied performance obligations will be satisfied over the next twelve months.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05" w:lineRule="exact"/>
        <w:rPr>
          <w:sz w:val="20"/>
          <w:szCs w:val="20"/>
          <w:color w:val="auto"/>
        </w:rPr>
      </w:pPr>
    </w:p>
    <w:p>
      <w:pPr>
        <w:ind w:right="160" w:firstLine="371"/>
        <w:spacing w:after="0" w:line="273" w:lineRule="auto"/>
        <w:rPr>
          <w:sz w:val="20"/>
          <w:szCs w:val="20"/>
          <w:color w:val="auto"/>
        </w:rPr>
      </w:pPr>
      <w:r>
        <w:rPr>
          <w:rFonts w:ascii="Arial" w:cs="Arial" w:eastAsia="Arial" w:hAnsi="Arial"/>
          <w:sz w:val="15"/>
          <w:szCs w:val="15"/>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Incentives Plans:</w:t>
      </w:r>
    </w:p>
    <w:p>
      <w:pPr>
        <w:spacing w:after="0" w:line="153" w:lineRule="exact"/>
        <w:rPr>
          <w:sz w:val="20"/>
          <w:szCs w:val="20"/>
          <w:color w:val="auto"/>
        </w:rPr>
      </w:pPr>
    </w:p>
    <w:p>
      <w:pPr>
        <w:ind w:left="820" w:right="140" w:hanging="271"/>
        <w:spacing w:after="0" w:line="268" w:lineRule="auto"/>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56" w:lineRule="exact"/>
        <w:rPr>
          <w:rFonts w:ascii="Arial" w:cs="Arial" w:eastAsia="Arial" w:hAnsi="Arial"/>
          <w:sz w:val="15"/>
          <w:szCs w:val="15"/>
          <w:color w:val="auto"/>
        </w:rPr>
      </w:pPr>
    </w:p>
    <w:p>
      <w:pPr>
        <w:ind w:left="820" w:right="20" w:hanging="271"/>
        <w:spacing w:after="0" w:line="268" w:lineRule="auto"/>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June 30, 2019 the Company only had one-tier RSUs outstanding under the Dropbox Equity Incentive Plans.</w:t>
      </w:r>
    </w:p>
    <w:p>
      <w:pPr>
        <w:spacing w:after="0" w:line="198" w:lineRule="exact"/>
        <w:rPr>
          <w:sz w:val="20"/>
          <w:szCs w:val="20"/>
          <w:color w:val="auto"/>
        </w:rPr>
      </w:pPr>
    </w:p>
    <w:p>
      <w:pPr>
        <w:ind w:firstLine="371"/>
        <w:spacing w:after="0" w:line="265" w:lineRule="auto"/>
        <w:rPr>
          <w:sz w:val="20"/>
          <w:szCs w:val="20"/>
          <w:color w:val="auto"/>
        </w:rPr>
      </w:pPr>
      <w:r>
        <w:rPr>
          <w:rFonts w:ascii="Arial" w:cs="Arial" w:eastAsia="Arial" w:hAnsi="Arial"/>
          <w:sz w:val="15"/>
          <w:szCs w:val="15"/>
          <w:color w:val="auto"/>
        </w:rPr>
        <w:t>Since August 2015, the Company has granted one-tier RSUs as the only stock-based payment awards to its employees, with the exception of awards granted to its co-founders,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123"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92" w:lineRule="exact"/>
        <w:rPr>
          <w:sz w:val="20"/>
          <w:szCs w:val="20"/>
          <w:color w:val="auto"/>
        </w:rPr>
      </w:pPr>
    </w:p>
    <w:p>
      <w:pPr>
        <w:ind w:right="40" w:firstLine="371"/>
        <w:spacing w:after="0" w:line="327" w:lineRule="auto"/>
        <w:rPr>
          <w:sz w:val="20"/>
          <w:szCs w:val="20"/>
          <w:color w:val="auto"/>
        </w:rPr>
      </w:pPr>
      <w:r>
        <w:rPr>
          <w:rFonts w:ascii="Arial" w:cs="Arial" w:eastAsia="Arial" w:hAnsi="Arial"/>
          <w:sz w:val="14"/>
          <w:szCs w:val="14"/>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17" w:lineRule="exact"/>
        <w:rPr>
          <w:sz w:val="20"/>
          <w:szCs w:val="20"/>
          <w:color w:val="auto"/>
        </w:rPr>
      </w:pPr>
    </w:p>
    <w:p>
      <w:pPr>
        <w:ind w:right="20" w:firstLine="371"/>
        <w:spacing w:after="0" w:line="289" w:lineRule="auto"/>
        <w:rPr>
          <w:sz w:val="20"/>
          <w:szCs w:val="20"/>
          <w:color w:val="auto"/>
        </w:rPr>
      </w:pPr>
      <w:r>
        <w:rPr>
          <w:rFonts w:ascii="Arial" w:cs="Arial" w:eastAsia="Arial" w:hAnsi="Arial"/>
          <w:sz w:val="14"/>
          <w:szCs w:val="14"/>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See Note 12, "Stockholders' Equity" for further information.</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5" w:lineRule="exact"/>
        <w:rPr>
          <w:sz w:val="20"/>
          <w:szCs w:val="20"/>
          <w:color w:val="auto"/>
        </w:rPr>
      </w:pPr>
    </w:p>
    <w:p>
      <w:pPr>
        <w:ind w:right="40" w:firstLine="371"/>
        <w:spacing w:after="0" w:line="289" w:lineRule="auto"/>
        <w:rPr>
          <w:sz w:val="20"/>
          <w:szCs w:val="20"/>
          <w:color w:val="auto"/>
        </w:rPr>
      </w:pPr>
      <w:r>
        <w:rPr>
          <w:rFonts w:ascii="Arial" w:cs="Arial" w:eastAsia="Arial" w:hAnsi="Arial"/>
          <w:sz w:val="15"/>
          <w:szCs w:val="15"/>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Short-term investments</w:t>
      </w:r>
    </w:p>
    <w:p>
      <w:pPr>
        <w:spacing w:after="0" w:line="105" w:lineRule="exact"/>
        <w:rPr>
          <w:sz w:val="20"/>
          <w:szCs w:val="20"/>
          <w:color w:val="auto"/>
        </w:rPr>
      </w:pPr>
    </w:p>
    <w:p>
      <w:pPr>
        <w:ind w:firstLine="348"/>
        <w:spacing w:after="0" w:line="265" w:lineRule="auto"/>
        <w:rPr>
          <w:sz w:val="20"/>
          <w:szCs w:val="20"/>
          <w:color w:val="auto"/>
        </w:rPr>
      </w:pPr>
      <w:r>
        <w:rPr>
          <w:rFonts w:ascii="Arial" w:cs="Arial" w:eastAsia="Arial" w:hAnsi="Arial"/>
          <w:sz w:val="15"/>
          <w:szCs w:val="15"/>
          <w:color w:val="auto"/>
        </w:rPr>
        <w:t>The Company’s short-term investments are primarily comprised of corporate notes and obligations, U.S. Treasury securities, certificates of deposits, U.S. agency obligations, and commercial paper.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60" w:lineRule="exact"/>
        <w:rPr>
          <w:sz w:val="20"/>
          <w:szCs w:val="20"/>
          <w:color w:val="auto"/>
        </w:rPr>
      </w:pPr>
    </w:p>
    <w:p>
      <w:pPr>
        <w:ind w:right="200" w:firstLine="348"/>
        <w:spacing w:after="0" w:line="283" w:lineRule="auto"/>
        <w:rPr>
          <w:sz w:val="20"/>
          <w:szCs w:val="20"/>
          <w:color w:val="auto"/>
        </w:rPr>
      </w:pPr>
      <w:r>
        <w:rPr>
          <w:rFonts w:ascii="Arial" w:cs="Arial" w:eastAsia="Arial" w:hAnsi="Arial"/>
          <w:sz w:val="14"/>
          <w:szCs w:val="14"/>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condensed consolidated balance sheets until realized. Interest income is reported within interest income (expense), net in the condensed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(expense), net in the condensed consolidated statements of operations. If the Company determines that the decline in an investment’s fair value is other-than-temporary, the difference is recognized as an impairment loss in the condensed consolidated statements of operations.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Concentrations of credit risk</w:t>
      </w:r>
    </w:p>
    <w:p>
      <w:pPr>
        <w:spacing w:after="0" w:line="105" w:lineRule="exact"/>
        <w:rPr>
          <w:sz w:val="20"/>
          <w:szCs w:val="20"/>
          <w:color w:val="auto"/>
        </w:rPr>
      </w:pPr>
    </w:p>
    <w:p>
      <w:pPr>
        <w:ind w:right="140" w:firstLine="371"/>
        <w:spacing w:after="0" w:line="289"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41" w:lineRule="exact"/>
        <w:rPr>
          <w:sz w:val="20"/>
          <w:szCs w:val="20"/>
          <w:color w:val="auto"/>
        </w:rPr>
      </w:pPr>
    </w:p>
    <w:p>
      <w:pPr>
        <w:jc w:val="both"/>
        <w:ind w:right="20" w:firstLine="371"/>
        <w:spacing w:after="0" w:line="273" w:lineRule="auto"/>
        <w:rPr>
          <w:sz w:val="20"/>
          <w:szCs w:val="20"/>
          <w:color w:val="auto"/>
        </w:rPr>
      </w:pPr>
      <w:r>
        <w:rPr>
          <w:rFonts w:ascii="Arial" w:cs="Arial" w:eastAsia="Arial" w:hAnsi="Arial"/>
          <w:sz w:val="15"/>
          <w:szCs w:val="15"/>
          <w:color w:val="auto"/>
        </w:rPr>
        <w:t>Trade accounts receivables are typically unsecured and are derived from revenue earned from customers located around the world. One customer accounted for 41% of total trade and other receivables, net as of June 30, 2019. Two customers accounted for 14% and 23% of total trade and other receivables, net as of December 31, 2018. No customer accounted for more than 10% of the Company’s revenue in the periods presented.</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Non-trade receivables</w:t>
      </w:r>
    </w:p>
    <w:p>
      <w:pPr>
        <w:spacing w:after="0" w:line="105" w:lineRule="exact"/>
        <w:rPr>
          <w:sz w:val="20"/>
          <w:szCs w:val="20"/>
          <w:color w:val="auto"/>
        </w:rPr>
      </w:pPr>
    </w:p>
    <w:p>
      <w:pPr>
        <w:ind w:right="80" w:firstLine="371"/>
        <w:spacing w:after="0" w:line="273" w:lineRule="auto"/>
        <w:rPr>
          <w:sz w:val="20"/>
          <w:szCs w:val="20"/>
          <w:color w:val="auto"/>
        </w:rPr>
      </w:pPr>
      <w:r>
        <w:rPr>
          <w:rFonts w:ascii="Arial" w:cs="Arial" w:eastAsia="Arial" w:hAnsi="Arial"/>
          <w:sz w:val="15"/>
          <w:szCs w:val="15"/>
          <w:color w:val="auto"/>
        </w:rPr>
        <w:t>The Company records non-trade receivables to reflect amounts due for activities outside of its subscription agreements, such as receivables resulting from tenant improvement allowances prior to the adoption of ASC 842. Non-trade receivables totaled $3.4 million and $46.2 million, as of June 30, 2019 and December 31, 2018, respectively, and are classified within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00"/>
          </w:cols>
          <w:pgMar w:left="240" w:top="123" w:right="2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prepaid expenses and other current assets and other assets in the accompanying condensed consolidated balance sheets. See "—Lease obligations” for further discussion.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Deferred commissions, net</w:t>
      </w:r>
    </w:p>
    <w:p>
      <w:pPr>
        <w:spacing w:after="0" w:line="105" w:lineRule="exact"/>
        <w:rPr>
          <w:sz w:val="20"/>
          <w:szCs w:val="20"/>
          <w:color w:val="auto"/>
        </w:rPr>
      </w:pPr>
    </w:p>
    <w:p>
      <w:pPr>
        <w:ind w:right="120" w:firstLine="371"/>
        <w:spacing w:after="0" w:line="265" w:lineRule="auto"/>
        <w:rPr>
          <w:sz w:val="20"/>
          <w:szCs w:val="20"/>
          <w:color w:val="auto"/>
        </w:rPr>
      </w:pPr>
      <w:r>
        <w:rPr>
          <w:rFonts w:ascii="Arial" w:cs="Arial" w:eastAsia="Arial" w:hAnsi="Arial"/>
          <w:sz w:val="15"/>
          <w:szCs w:val="15"/>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$6.4 million and $13.7 million during the three and six months ended June 30, 2019, respectively, and $7.7 million and $17.5 million during the three and six months ended June 30, 2018, respectively.</w:t>
      </w:r>
    </w:p>
    <w:p>
      <w:pPr>
        <w:spacing w:after="0" w:line="160" w:lineRule="exact"/>
        <w:rPr>
          <w:sz w:val="20"/>
          <w:szCs w:val="20"/>
          <w:color w:val="auto"/>
        </w:rPr>
      </w:pPr>
    </w:p>
    <w:p>
      <w:pPr>
        <w:ind w:right="160" w:firstLine="371"/>
        <w:spacing w:after="0" w:line="289" w:lineRule="auto"/>
        <w:rPr>
          <w:sz w:val="20"/>
          <w:szCs w:val="20"/>
          <w:color w:val="auto"/>
        </w:rPr>
      </w:pPr>
      <w:r>
        <w:rPr>
          <w:rFonts w:ascii="Arial" w:cs="Arial" w:eastAsia="Arial" w:hAnsi="Arial"/>
          <w:sz w:val="15"/>
          <w:szCs w:val="15"/>
          <w:color w:val="auto"/>
        </w:rPr>
        <w:t>Deferred commissions, net included in prepaid and other current assets were $17.3 million and $14.5 million as of June 30, 2019 and December 31, 2018, respectively. Deferred commissions, net included in other assets were $41.1 million and $38.3 million as of June 30, 2019 and December 31, 2018, respectively.</w:t>
      </w:r>
    </w:p>
    <w:p>
      <w:pPr>
        <w:spacing w:after="0" w:line="141" w:lineRule="exact"/>
        <w:rPr>
          <w:sz w:val="20"/>
          <w:szCs w:val="20"/>
          <w:color w:val="auto"/>
        </w:rPr>
      </w:pPr>
    </w:p>
    <w:p>
      <w:pPr>
        <w:ind w:firstLine="371"/>
        <w:spacing w:after="0" w:line="293" w:lineRule="auto"/>
        <w:rPr>
          <w:sz w:val="20"/>
          <w:szCs w:val="20"/>
          <w:color w:val="auto"/>
        </w:rPr>
      </w:pPr>
      <w:r>
        <w:rPr>
          <w:rFonts w:ascii="Arial" w:cs="Arial" w:eastAsia="Arial" w:hAnsi="Arial"/>
          <w:sz w:val="14"/>
          <w:szCs w:val="14"/>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$4.2 million and $8.1 million for the three and six months ended June 30, 2019, respectively, and $2.9 million and $5.3 million for the three and six months ended June 30, 2018, respectively. Amortized costs are included in sales and marketing expense in the accompanying condensed consolidated statements of operations. There was no impairment loss in relation to the deferred costs for any period presented.</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105" w:lineRule="exact"/>
        <w:rPr>
          <w:sz w:val="20"/>
          <w:szCs w:val="20"/>
          <w:color w:val="auto"/>
        </w:rPr>
      </w:pPr>
    </w:p>
    <w:p>
      <w:pPr>
        <w:ind w:right="360" w:firstLine="371"/>
        <w:spacing w:after="0" w:line="327" w:lineRule="auto"/>
        <w:rPr>
          <w:sz w:val="20"/>
          <w:szCs w:val="20"/>
          <w:color w:val="auto"/>
        </w:rPr>
      </w:pPr>
      <w:r>
        <w:rPr>
          <w:rFonts w:ascii="Arial" w:cs="Arial" w:eastAsia="Arial" w:hAnsi="Arial"/>
          <w:sz w:val="14"/>
          <w:szCs w:val="14"/>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presents the estimated useful lives of property and equipment: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gridSpan w:val="2"/>
          </w:tcPr>
          <w:p>
            <w:pPr>
              <w:ind w:left="20"/>
              <w:spacing w:after="0"/>
              <w:rPr>
                <w:sz w:val="20"/>
                <w:szCs w:val="20"/>
                <w:color w:val="auto"/>
              </w:rPr>
            </w:pPr>
            <w:r>
              <w:rPr>
                <w:rFonts w:ascii="Arial" w:cs="Arial" w:eastAsia="Arial" w:hAnsi="Arial"/>
                <w:sz w:val="15"/>
                <w:szCs w:val="15"/>
                <w:b w:val="1"/>
                <w:bCs w:val="1"/>
                <w:color w:val="auto"/>
              </w:rPr>
              <w:t>Property and equipment</w:t>
            </w:r>
          </w:p>
        </w:tc>
        <w:tc>
          <w:tcPr>
            <w:tcW w:w="5720" w:type="dxa"/>
            <w:vAlign w:val="bottom"/>
          </w:tcPr>
          <w:p>
            <w:pPr>
              <w:jc w:val="center"/>
              <w:spacing w:after="0"/>
              <w:rPr>
                <w:sz w:val="20"/>
                <w:szCs w:val="20"/>
                <w:color w:val="auto"/>
              </w:rPr>
            </w:pPr>
            <w:r>
              <w:rPr>
                <w:rFonts w:ascii="Arial" w:cs="Arial" w:eastAsia="Arial" w:hAnsi="Arial"/>
                <w:sz w:val="15"/>
                <w:szCs w:val="15"/>
                <w:b w:val="1"/>
                <w:bCs w:val="1"/>
                <w:color w:val="auto"/>
                <w:w w:val="91"/>
              </w:rPr>
              <w:t>Useful life</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96"/>
        </w:trPr>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720" w:type="dxa"/>
            <w:vAlign w:val="bottom"/>
          </w:tcPr>
          <w:p>
            <w:pPr>
              <w:spacing w:after="0"/>
              <w:rPr>
                <w:sz w:val="8"/>
                <w:szCs w:val="8"/>
                <w:color w:val="auto"/>
              </w:rPr>
            </w:pPr>
          </w:p>
        </w:tc>
      </w:tr>
      <w:tr>
        <w:trPr>
          <w:trHeight w:val="212"/>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Datacenter and other computer equipment</w:t>
            </w:r>
          </w:p>
        </w:tc>
        <w:tc>
          <w:tcPr>
            <w:tcW w:w="5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1"/>
              </w:rPr>
              <w:t>3 to 5 years</w:t>
            </w:r>
          </w:p>
        </w:tc>
      </w:tr>
      <w:tr>
        <w:trPr>
          <w:trHeight w:val="208"/>
        </w:trPr>
        <w:tc>
          <w:tcPr>
            <w:tcW w:w="5700" w:type="dxa"/>
            <w:vAlign w:val="bottom"/>
            <w:gridSpan w:val="2"/>
          </w:tcPr>
          <w:p>
            <w:pPr>
              <w:ind w:left="20"/>
              <w:spacing w:after="0"/>
              <w:rPr>
                <w:sz w:val="20"/>
                <w:szCs w:val="20"/>
                <w:color w:val="auto"/>
              </w:rPr>
            </w:pPr>
            <w:r>
              <w:rPr>
                <w:rFonts w:ascii="Arial" w:cs="Arial" w:eastAsia="Arial" w:hAnsi="Arial"/>
                <w:sz w:val="15"/>
                <w:szCs w:val="15"/>
                <w:color w:val="auto"/>
              </w:rPr>
              <w:t>Office equipment and other</w:t>
            </w:r>
          </w:p>
        </w:tc>
        <w:tc>
          <w:tcPr>
            <w:tcW w:w="5720" w:type="dxa"/>
            <w:vAlign w:val="bottom"/>
          </w:tcPr>
          <w:p>
            <w:pPr>
              <w:jc w:val="center"/>
              <w:spacing w:after="0"/>
              <w:rPr>
                <w:sz w:val="20"/>
                <w:szCs w:val="20"/>
                <w:color w:val="auto"/>
              </w:rPr>
            </w:pPr>
            <w:r>
              <w:rPr>
                <w:rFonts w:ascii="Arial" w:cs="Arial" w:eastAsia="Arial" w:hAnsi="Arial"/>
                <w:sz w:val="15"/>
                <w:szCs w:val="15"/>
                <w:color w:val="auto"/>
                <w:w w:val="91"/>
              </w:rPr>
              <w:t>3 to 7 years</w:t>
            </w:r>
          </w:p>
        </w:tc>
      </w:tr>
      <w:tr>
        <w:trPr>
          <w:trHeight w:val="23"/>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20" w:type="dxa"/>
            <w:vAlign w:val="bottom"/>
          </w:tcPr>
          <w:p>
            <w:pPr>
              <w:spacing w:after="0"/>
              <w:rPr>
                <w:sz w:val="2"/>
                <w:szCs w:val="2"/>
                <w:color w:val="auto"/>
              </w:rPr>
            </w:pPr>
          </w:p>
        </w:tc>
      </w:tr>
      <w:tr>
        <w:trPr>
          <w:trHeight w:val="208"/>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5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Lesser of estimated useful life or remaining lease term</w:t>
            </w:r>
          </w:p>
        </w:tc>
      </w:tr>
      <w:tr>
        <w:trPr>
          <w:trHeight w:val="23"/>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Equity investments</w:t>
      </w:r>
    </w:p>
    <w:p>
      <w:pPr>
        <w:spacing w:after="0" w:line="105" w:lineRule="exact"/>
        <w:rPr>
          <w:sz w:val="20"/>
          <w:szCs w:val="20"/>
          <w:color w:val="auto"/>
        </w:rPr>
      </w:pPr>
    </w:p>
    <w:p>
      <w:pPr>
        <w:ind w:right="60" w:firstLine="371"/>
        <w:spacing w:after="0" w:line="293" w:lineRule="auto"/>
        <w:rPr>
          <w:sz w:val="20"/>
          <w:szCs w:val="20"/>
          <w:color w:val="auto"/>
        </w:rPr>
      </w:pPr>
      <w:r>
        <w:rPr>
          <w:rFonts w:ascii="Arial" w:cs="Arial" w:eastAsia="Arial" w:hAnsi="Arial"/>
          <w:sz w:val="14"/>
          <w:szCs w:val="14"/>
          <w:color w:val="auto"/>
        </w:rPr>
        <w:t>The Company holds an equity investment in a publicly traded company in which the Company does not have a controlling interest or significant influence. The investment is measured using quoted prices in its active market with changes recorded in other income (expense), net, in the condensed consolidated statement of operations. As of June 30, 2019, the Company's equity investment totaled $12.5 million included in other assets. The Company recognized net gains of $7.4 million related to changes in quoted prices in the investment’s active market during the three and six months ended June 30, 2019. The investment is classified as a level 1 investment within the fair value hierarchy.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Lease obligations</w:t>
      </w:r>
    </w:p>
    <w:p>
      <w:pPr>
        <w:spacing w:after="0" w:line="105" w:lineRule="exact"/>
        <w:rPr>
          <w:sz w:val="20"/>
          <w:szCs w:val="20"/>
          <w:color w:val="auto"/>
        </w:rPr>
      </w:pPr>
    </w:p>
    <w:p>
      <w:pPr>
        <w:ind w:right="460" w:firstLine="371"/>
        <w:spacing w:after="0" w:line="289" w:lineRule="auto"/>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 2033. The Company determines if an arrangement contains a lease at inception.</w:t>
      </w:r>
    </w:p>
    <w:p>
      <w:pPr>
        <w:spacing w:after="0" w:line="141" w:lineRule="exact"/>
        <w:rPr>
          <w:sz w:val="20"/>
          <w:szCs w:val="20"/>
          <w:color w:val="auto"/>
        </w:rPr>
      </w:pPr>
    </w:p>
    <w:p>
      <w:pPr>
        <w:ind w:right="100" w:firstLine="371"/>
        <w:spacing w:after="0" w:line="268" w:lineRule="auto"/>
        <w:rPr>
          <w:sz w:val="20"/>
          <w:szCs w:val="20"/>
          <w:color w:val="auto"/>
        </w:rPr>
      </w:pPr>
      <w:r>
        <w:rPr>
          <w:rFonts w:ascii="Arial" w:cs="Arial" w:eastAsia="Arial" w:hAnsi="Arial"/>
          <w:sz w:val="15"/>
          <w:szCs w:val="15"/>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0"/>
          </w:cols>
          <w:pgMar w:left="240" w:top="123"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right="20" w:firstLine="348"/>
        <w:spacing w:after="0" w:line="268" w:lineRule="auto"/>
        <w:rPr>
          <w:sz w:val="20"/>
          <w:szCs w:val="20"/>
          <w:color w:val="auto"/>
        </w:rPr>
      </w:pPr>
      <w:r>
        <w:rPr>
          <w:rFonts w:ascii="Arial" w:cs="Arial" w:eastAsia="Arial" w:hAnsi="Arial"/>
          <w:sz w:val="15"/>
          <w:szCs w:val="15"/>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56" w:lineRule="exact"/>
        <w:rPr>
          <w:sz w:val="20"/>
          <w:szCs w:val="20"/>
          <w:color w:val="auto"/>
        </w:rPr>
      </w:pPr>
    </w:p>
    <w:p>
      <w:pPr>
        <w:ind w:right="640" w:firstLine="348"/>
        <w:spacing w:after="0" w:line="289" w:lineRule="auto"/>
        <w:rPr>
          <w:sz w:val="20"/>
          <w:szCs w:val="20"/>
          <w:color w:val="auto"/>
        </w:rPr>
      </w:pPr>
      <w:r>
        <w:rPr>
          <w:rFonts w:ascii="Arial" w:cs="Arial" w:eastAsia="Arial" w:hAnsi="Arial"/>
          <w:sz w:val="15"/>
          <w:szCs w:val="15"/>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w:t>
      </w:r>
    </w:p>
    <w:p>
      <w:pPr>
        <w:spacing w:after="0" w:line="141" w:lineRule="exact"/>
        <w:rPr>
          <w:sz w:val="20"/>
          <w:szCs w:val="20"/>
          <w:color w:val="auto"/>
        </w:rPr>
      </w:pPr>
    </w:p>
    <w:p>
      <w:pPr>
        <w:ind w:right="60" w:firstLine="371"/>
        <w:spacing w:after="0" w:line="293" w:lineRule="auto"/>
        <w:rPr>
          <w:sz w:val="20"/>
          <w:szCs w:val="20"/>
          <w:color w:val="auto"/>
        </w:rPr>
      </w:pPr>
      <w:r>
        <w:rPr>
          <w:rFonts w:ascii="Arial" w:cs="Arial" w:eastAsia="Arial" w:hAnsi="Arial"/>
          <w:sz w:val="14"/>
          <w:szCs w:val="14"/>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40" w:lineRule="exact"/>
        <w:rPr>
          <w:sz w:val="20"/>
          <w:szCs w:val="20"/>
          <w:color w:val="auto"/>
        </w:rPr>
      </w:pPr>
    </w:p>
    <w:p>
      <w:pPr>
        <w:ind w:right="340" w:firstLine="371"/>
        <w:spacing w:after="0" w:line="273" w:lineRule="auto"/>
        <w:rPr>
          <w:sz w:val="20"/>
          <w:szCs w:val="20"/>
          <w:color w:val="auto"/>
        </w:rPr>
      </w:pPr>
      <w:r>
        <w:rPr>
          <w:rFonts w:ascii="Arial" w:cs="Arial" w:eastAsia="Arial" w:hAnsi="Arial"/>
          <w:sz w:val="15"/>
          <w:szCs w:val="15"/>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5" w:lineRule="exact"/>
        <w:rPr>
          <w:sz w:val="20"/>
          <w:szCs w:val="20"/>
          <w:color w:val="auto"/>
        </w:rPr>
      </w:pPr>
    </w:p>
    <w:p>
      <w:pPr>
        <w:ind w:right="180" w:firstLine="371"/>
        <w:spacing w:after="0" w:line="289" w:lineRule="auto"/>
        <w:rPr>
          <w:sz w:val="20"/>
          <w:szCs w:val="20"/>
          <w:color w:val="auto"/>
        </w:rPr>
      </w:pPr>
      <w:r>
        <w:rPr>
          <w:rFonts w:ascii="Arial" w:cs="Arial" w:eastAsia="Arial" w:hAnsi="Arial"/>
          <w:sz w:val="14"/>
          <w:szCs w:val="14"/>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Long-lived assets, including goodwill and other acquired intangible assets, net</w:t>
      </w:r>
    </w:p>
    <w:p>
      <w:pPr>
        <w:spacing w:after="0" w:line="105" w:lineRule="exact"/>
        <w:rPr>
          <w:sz w:val="20"/>
          <w:szCs w:val="20"/>
          <w:color w:val="auto"/>
        </w:rPr>
      </w:pPr>
    </w:p>
    <w:p>
      <w:pPr>
        <w:ind w:right="20" w:firstLine="371"/>
        <w:spacing w:after="0" w:line="265" w:lineRule="auto"/>
        <w:rPr>
          <w:sz w:val="20"/>
          <w:szCs w:val="20"/>
          <w:color w:val="auto"/>
        </w:rPr>
      </w:pPr>
      <w:r>
        <w:rPr>
          <w:rFonts w:ascii="Arial" w:cs="Arial" w:eastAsia="Arial" w:hAnsi="Arial"/>
          <w:sz w:val="15"/>
          <w:szCs w:val="15"/>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0" w:lineRule="exact"/>
        <w:rPr>
          <w:sz w:val="20"/>
          <w:szCs w:val="20"/>
          <w:color w:val="auto"/>
        </w:rPr>
      </w:pPr>
    </w:p>
    <w:p>
      <w:pPr>
        <w:ind w:right="60" w:firstLine="371"/>
        <w:spacing w:after="0" w:line="289" w:lineRule="auto"/>
        <w:rPr>
          <w:sz w:val="20"/>
          <w:szCs w:val="20"/>
          <w:color w:val="auto"/>
        </w:rPr>
      </w:pPr>
      <w:r>
        <w:rPr>
          <w:rFonts w:ascii="Arial" w:cs="Arial" w:eastAsia="Arial" w:hAnsi="Arial"/>
          <w:sz w:val="15"/>
          <w:szCs w:val="15"/>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41" w:lineRule="exact"/>
        <w:rPr>
          <w:sz w:val="20"/>
          <w:szCs w:val="20"/>
          <w:color w:val="auto"/>
        </w:rPr>
      </w:pPr>
    </w:p>
    <w:p>
      <w:pPr>
        <w:ind w:right="100" w:firstLine="371"/>
        <w:spacing w:after="0" w:line="289" w:lineRule="auto"/>
        <w:rPr>
          <w:sz w:val="20"/>
          <w:szCs w:val="20"/>
          <w:color w:val="auto"/>
        </w:rPr>
      </w:pPr>
      <w:r>
        <w:rPr>
          <w:rFonts w:ascii="Arial" w:cs="Arial" w:eastAsia="Arial" w:hAnsi="Arial"/>
          <w:sz w:val="15"/>
          <w:szCs w:val="15"/>
          <w:color w:val="auto"/>
        </w:rPr>
        <w:t>The Company has not recorded impairment charges on property and equipment, goodwill, or intangible assets for the periods presented in these condensed consolidated financial statements.</w:t>
      </w:r>
    </w:p>
    <w:p>
      <w:pPr>
        <w:spacing w:after="0" w:line="141" w:lineRule="exact"/>
        <w:rPr>
          <w:sz w:val="20"/>
          <w:szCs w:val="20"/>
          <w:color w:val="auto"/>
        </w:rPr>
      </w:pPr>
    </w:p>
    <w:p>
      <w:pPr>
        <w:ind w:firstLine="371"/>
        <w:spacing w:after="0" w:line="273" w:lineRule="auto"/>
        <w:rPr>
          <w:sz w:val="20"/>
          <w:szCs w:val="20"/>
          <w:color w:val="auto"/>
        </w:rPr>
      </w:pPr>
      <w:r>
        <w:rPr>
          <w:rFonts w:ascii="Arial" w:cs="Arial" w:eastAsia="Arial" w:hAnsi="Arial"/>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Income taxes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0"/>
          </w:cols>
          <w:pgMar w:left="240" w:top="123"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right="220" w:firstLine="371"/>
        <w:spacing w:after="0" w:line="327" w:lineRule="auto"/>
        <w:rPr>
          <w:sz w:val="20"/>
          <w:szCs w:val="20"/>
          <w:color w:val="auto"/>
        </w:rPr>
      </w:pPr>
      <w:r>
        <w:rPr>
          <w:rFonts w:ascii="Arial" w:cs="Arial" w:eastAsia="Arial" w:hAnsi="Arial"/>
          <w:sz w:val="14"/>
          <w:szCs w:val="14"/>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17" w:lineRule="exact"/>
        <w:rPr>
          <w:sz w:val="20"/>
          <w:szCs w:val="20"/>
          <w:color w:val="auto"/>
        </w:rPr>
      </w:pPr>
    </w:p>
    <w:p>
      <w:pPr>
        <w:jc w:val="both"/>
        <w:ind w:right="20" w:firstLine="371"/>
        <w:spacing w:after="0" w:line="273" w:lineRule="auto"/>
        <w:rPr>
          <w:sz w:val="20"/>
          <w:szCs w:val="20"/>
          <w:color w:val="auto"/>
        </w:rPr>
      </w:pPr>
      <w:r>
        <w:rPr>
          <w:rFonts w:ascii="Arial" w:cs="Arial" w:eastAsia="Arial" w:hAnsi="Arial"/>
          <w:sz w:val="15"/>
          <w:szCs w:val="15"/>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53" w:lineRule="exact"/>
        <w:rPr>
          <w:sz w:val="20"/>
          <w:szCs w:val="20"/>
          <w:color w:val="auto"/>
        </w:rPr>
      </w:pPr>
    </w:p>
    <w:p>
      <w:pPr>
        <w:jc w:val="both"/>
        <w:ind w:firstLine="371"/>
        <w:spacing w:after="0" w:line="302" w:lineRule="auto"/>
        <w:rPr>
          <w:sz w:val="20"/>
          <w:szCs w:val="20"/>
          <w:color w:val="auto"/>
        </w:rPr>
      </w:pPr>
      <w:r>
        <w:rPr>
          <w:rFonts w:ascii="Arial" w:cs="Arial" w:eastAsia="Arial" w:hAnsi="Arial"/>
          <w:sz w:val="14"/>
          <w:szCs w:val="14"/>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33" w:lineRule="exact"/>
        <w:rPr>
          <w:sz w:val="20"/>
          <w:szCs w:val="20"/>
          <w:color w:val="auto"/>
        </w:rPr>
      </w:pPr>
    </w:p>
    <w:p>
      <w:pPr>
        <w:ind w:right="240" w:firstLine="371"/>
        <w:spacing w:after="0" w:line="268" w:lineRule="auto"/>
        <w:rPr>
          <w:sz w:val="20"/>
          <w:szCs w:val="20"/>
          <w:color w:val="auto"/>
        </w:rPr>
      </w:pPr>
      <w:r>
        <w:rPr>
          <w:rFonts w:ascii="Arial" w:cs="Arial" w:eastAsia="Arial" w:hAnsi="Arial"/>
          <w:sz w:val="15"/>
          <w:szCs w:val="15"/>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56" w:lineRule="exact"/>
        <w:rPr>
          <w:sz w:val="20"/>
          <w:szCs w:val="20"/>
          <w:color w:val="auto"/>
        </w:rPr>
      </w:pPr>
    </w:p>
    <w:p>
      <w:pPr>
        <w:ind w:right="200" w:firstLine="371"/>
        <w:spacing w:after="0" w:line="289" w:lineRule="auto"/>
        <w:rPr>
          <w:sz w:val="20"/>
          <w:szCs w:val="20"/>
          <w:color w:val="auto"/>
        </w:rPr>
      </w:pPr>
      <w:r>
        <w:rPr>
          <w:rFonts w:ascii="Arial" w:cs="Arial" w:eastAsia="Arial" w:hAnsi="Arial"/>
          <w:sz w:val="15"/>
          <w:szCs w:val="15"/>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105" w:lineRule="exact"/>
        <w:rPr>
          <w:sz w:val="20"/>
          <w:szCs w:val="20"/>
          <w:color w:val="auto"/>
        </w:rPr>
      </w:pPr>
    </w:p>
    <w:p>
      <w:pPr>
        <w:ind w:right="100" w:firstLine="371"/>
        <w:spacing w:after="0" w:line="286" w:lineRule="auto"/>
        <w:rPr>
          <w:sz w:val="20"/>
          <w:szCs w:val="20"/>
          <w:color w:val="auto"/>
        </w:rPr>
      </w:pPr>
      <w:r>
        <w:rPr>
          <w:rFonts w:ascii="Arial" w:cs="Arial" w:eastAsia="Arial" w:hAnsi="Arial"/>
          <w:sz w:val="14"/>
          <w:szCs w:val="14"/>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in active markets for identical assets or liabilities.</w:t>
      </w:r>
    </w:p>
    <w:p>
      <w:pPr>
        <w:spacing w:after="0" w:line="152" w:lineRule="exact"/>
        <w:rPr>
          <w:sz w:val="20"/>
          <w:szCs w:val="20"/>
          <w:color w:val="auto"/>
        </w:rPr>
      </w:pPr>
    </w:p>
    <w:p>
      <w:pPr>
        <w:ind w:left="400" w:right="440"/>
        <w:spacing w:after="0" w:line="327" w:lineRule="auto"/>
        <w:rPr>
          <w:sz w:val="20"/>
          <w:szCs w:val="20"/>
          <w:color w:val="auto"/>
        </w:rPr>
      </w:pPr>
      <w:r>
        <w:rPr>
          <w:rFonts w:ascii="Arial" w:cs="Arial" w:eastAsia="Arial" w:hAnsi="Arial"/>
          <w:sz w:val="14"/>
          <w:szCs w:val="14"/>
          <w:i w:val="1"/>
          <w:iCs w:val="1"/>
          <w:color w:val="auto"/>
        </w:rPr>
        <w:t>Level 2</w:t>
      </w:r>
      <w:r>
        <w:rPr>
          <w:rFonts w:ascii="Arial" w:cs="Arial" w:eastAsia="Arial" w:hAnsi="Arial"/>
          <w:sz w:val="14"/>
          <w:szCs w:val="14"/>
          <w:color w:val="auto"/>
        </w:rPr>
        <w:t>—Observable inputs other than quoted prices in active markets for identical assets and liabilities, quoted prices for identical or similar assets or liabilities in inactive</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or other inputs that are observable or can be corroborated by observable market data for substantially the full term of the assets or liabilities.</w:t>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Level 3</w:t>
      </w:r>
      <w:r>
        <w:rPr>
          <w:rFonts w:ascii="Arial" w:cs="Arial" w:eastAsia="Arial" w:hAnsi="Arial"/>
          <w:sz w:val="14"/>
          <w:szCs w:val="14"/>
          <w:color w:val="auto"/>
        </w:rPr>
        <w:t>—Inputs that are generally unobservable and typically reflect management’s estimate of assumptions that market participants would use in pricing the asset or liability.</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Recently issued accounting pronouncements not yet adopted</w:t>
      </w:r>
    </w:p>
    <w:p>
      <w:pPr>
        <w:spacing w:after="0" w:line="291" w:lineRule="exact"/>
        <w:rPr>
          <w:sz w:val="20"/>
          <w:szCs w:val="20"/>
          <w:color w:val="auto"/>
        </w:rPr>
      </w:pPr>
    </w:p>
    <w:p>
      <w:pPr>
        <w:ind w:right="60" w:firstLine="371"/>
        <w:spacing w:after="0" w:line="264" w:lineRule="auto"/>
        <w:rPr>
          <w:sz w:val="20"/>
          <w:szCs w:val="20"/>
          <w:color w:val="auto"/>
        </w:rPr>
      </w:pPr>
      <w:r>
        <w:rPr>
          <w:rFonts w:ascii="Arial" w:cs="Arial" w:eastAsia="Arial" w:hAnsi="Arial"/>
          <w:sz w:val="15"/>
          <w:szCs w:val="15"/>
          <w:color w:val="auto"/>
        </w:rPr>
        <w:t xml:space="preserve">In June 2016, the Financial Accounting Standards Board (“FASB”) issued Accounting Standards Update (“ASU”) No. 2016-13, </w:t>
      </w:r>
      <w:r>
        <w:rPr>
          <w:rFonts w:ascii="Arial" w:cs="Arial" w:eastAsia="Arial" w:hAnsi="Arial"/>
          <w:sz w:val="15"/>
          <w:szCs w:val="15"/>
          <w:i w:val="1"/>
          <w:iCs w:val="1"/>
          <w:color w:val="auto"/>
        </w:rPr>
        <w:t>Financial Instruments-Credit Losses (Topic 326):</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which requires the measurement and recognition of expected credit losses for financial assets held at amortized cost. It also</w:t>
      </w:r>
      <w:r>
        <w:rPr>
          <w:rFonts w:ascii="Arial" w:cs="Arial" w:eastAsia="Arial" w:hAnsi="Arial"/>
          <w:sz w:val="15"/>
          <w:szCs w:val="15"/>
          <w:i w:val="1"/>
          <w:iCs w:val="1"/>
          <w:color w:val="auto"/>
        </w:rPr>
        <w:t xml:space="preserve"> </w:t>
      </w:r>
      <w:r>
        <w:rPr>
          <w:rFonts w:ascii="Arial" w:cs="Arial" w:eastAsia="Arial" w:hAnsi="Arial"/>
          <w:sz w:val="15"/>
          <w:szCs w:val="15"/>
          <w:color w:val="auto"/>
        </w:rPr>
        <w:t>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40" w:top="123" w:right="21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right="80" w:firstLine="371"/>
        <w:spacing w:after="0" w:line="268" w:lineRule="auto"/>
        <w:rPr>
          <w:sz w:val="20"/>
          <w:szCs w:val="20"/>
          <w:color w:val="auto"/>
        </w:rPr>
      </w:pPr>
      <w:r>
        <w:rPr>
          <w:rFonts w:ascii="Arial" w:cs="Arial" w:eastAsia="Arial" w:hAnsi="Arial"/>
          <w:sz w:val="15"/>
          <w:szCs w:val="15"/>
          <w:color w:val="auto"/>
        </w:rPr>
        <w:t xml:space="preserve">In August 2018, the FASB issued ASU No. 2018-13, </w:t>
      </w:r>
      <w:r>
        <w:rPr>
          <w:rFonts w:ascii="Arial" w:cs="Arial" w:eastAsia="Arial" w:hAnsi="Arial"/>
          <w:sz w:val="15"/>
          <w:szCs w:val="15"/>
          <w:i w:val="1"/>
          <w:iCs w:val="1"/>
          <w:color w:val="auto"/>
        </w:rPr>
        <w:t>Fair Value Measurement (Topic 820),</w:t>
      </w:r>
      <w:r>
        <w:rPr>
          <w:rFonts w:ascii="Arial" w:cs="Arial" w:eastAsia="Arial" w:hAnsi="Arial"/>
          <w:sz w:val="15"/>
          <w:szCs w:val="15"/>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56" w:lineRule="exact"/>
        <w:rPr>
          <w:sz w:val="20"/>
          <w:szCs w:val="20"/>
          <w:color w:val="auto"/>
        </w:rPr>
      </w:pPr>
    </w:p>
    <w:p>
      <w:pPr>
        <w:jc w:val="both"/>
        <w:ind w:right="260" w:firstLine="371"/>
        <w:spacing w:after="0" w:line="289"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 - Goodwill and Other - Internal-Use Software (Subtopic 350-40), Customer's Accounting for Implementation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Costs Incurred in a Cloud Computing Arrangement That Is a Service Contract. </w:t>
      </w:r>
      <w:r>
        <w:rPr>
          <w:rFonts w:ascii="Arial" w:cs="Arial" w:eastAsia="Arial" w:hAnsi="Arial"/>
          <w:sz w:val="14"/>
          <w:szCs w:val="14"/>
          <w:color w:val="auto"/>
        </w:rPr>
        <w:t>Under existing U.S. GAAP, there is diversity in practice in accounting for the costs of implementing</w:t>
      </w:r>
      <w:r>
        <w:rPr>
          <w:rFonts w:ascii="Arial" w:cs="Arial" w:eastAsia="Arial" w:hAnsi="Arial"/>
          <w:sz w:val="14"/>
          <w:szCs w:val="14"/>
          <w:i w:val="1"/>
          <w:iCs w:val="1"/>
          <w:color w:val="auto"/>
        </w:rPr>
        <w:t xml:space="preserve"> </w:t>
      </w:r>
      <w:r>
        <w:rPr>
          <w:rFonts w:ascii="Arial" w:cs="Arial" w:eastAsia="Arial" w:hAnsi="Arial"/>
          <w:sz w:val="14"/>
          <w:szCs w:val="14"/>
          <w:color w:val="auto"/>
        </w:rPr>
        <w:t>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fiscal years beginning after December 15, 2019 and interim periods within those fiscal years. The Company is currently evaluating the impact of adopting ASU No. 2018-15.</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05" w:lineRule="exact"/>
        <w:rPr>
          <w:sz w:val="20"/>
          <w:szCs w:val="20"/>
          <w:color w:val="auto"/>
        </w:rPr>
      </w:pPr>
    </w:p>
    <w:p>
      <w:pPr>
        <w:ind w:right="80" w:firstLine="417"/>
        <w:spacing w:after="0" w:line="273"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Most prominent among the changes in the standard is the recognition of right-of-use assets (“ROU assets”) and lease liabilities by lessees for certain leases classified as operating leases under current GAAP. The Company has made the policy election to not recognize a lease liability or right-of-use asset for short-term operating leases.</w:t>
      </w:r>
    </w:p>
    <w:p>
      <w:pPr>
        <w:spacing w:after="0" w:line="153" w:lineRule="exact"/>
        <w:rPr>
          <w:sz w:val="20"/>
          <w:szCs w:val="20"/>
          <w:color w:val="auto"/>
        </w:rPr>
      </w:pPr>
    </w:p>
    <w:p>
      <w:pPr>
        <w:ind w:right="100" w:firstLine="348"/>
        <w:spacing w:after="0" w:line="268" w:lineRule="auto"/>
        <w:rPr>
          <w:sz w:val="20"/>
          <w:szCs w:val="20"/>
          <w:color w:val="auto"/>
        </w:rPr>
      </w:pPr>
      <w:r>
        <w:rPr>
          <w:rFonts w:ascii="Arial" w:cs="Arial" w:eastAsia="Arial" w:hAnsi="Arial"/>
          <w:sz w:val="15"/>
          <w:szCs w:val="15"/>
          <w:color w:val="auto"/>
        </w:rPr>
        <w:t>The Company adopted the standard as of January 1, 2019, using the modified retrospective approach and has elected to use the optional transition method which allows the Company to apply the guidance of ASC 840, including disclosure requirements, in the comparative periods presented.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156" w:lineRule="exact"/>
        <w:rPr>
          <w:sz w:val="20"/>
          <w:szCs w:val="20"/>
          <w:color w:val="auto"/>
        </w:rPr>
      </w:pPr>
    </w:p>
    <w:p>
      <w:pPr>
        <w:ind w:right="200" w:firstLine="348"/>
        <w:spacing w:after="0" w:line="289" w:lineRule="auto"/>
        <w:rPr>
          <w:sz w:val="20"/>
          <w:szCs w:val="20"/>
          <w:color w:val="auto"/>
        </w:rPr>
      </w:pPr>
      <w:r>
        <w:rPr>
          <w:rFonts w:ascii="Arial" w:cs="Arial" w:eastAsia="Arial" w:hAnsi="Arial"/>
          <w:sz w:val="15"/>
          <w:szCs w:val="15"/>
          <w:color w:val="auto"/>
        </w:rPr>
        <w:t>The most significant impact was the recognition of ROU assets and lease liabilities for operating leases. The adoption of the new standard resulted in the recording of operating ROU assets and lease liabilities of approximately $431.7 million and $502.4 million, respectively, as of January 1, 2019.</w:t>
      </w:r>
    </w:p>
    <w:p>
      <w:pPr>
        <w:spacing w:after="0" w:line="141" w:lineRule="exact"/>
        <w:rPr>
          <w:sz w:val="20"/>
          <w:szCs w:val="20"/>
          <w:color w:val="auto"/>
        </w:rPr>
      </w:pPr>
    </w:p>
    <w:p>
      <w:pPr>
        <w:ind w:right="200" w:firstLine="348"/>
        <w:spacing w:after="0" w:line="289" w:lineRule="auto"/>
        <w:rPr>
          <w:sz w:val="20"/>
          <w:szCs w:val="20"/>
          <w:color w:val="auto"/>
        </w:rPr>
      </w:pPr>
      <w:r>
        <w:rPr>
          <w:rFonts w:ascii="Arial" w:cs="Arial" w:eastAsia="Arial" w:hAnsi="Arial"/>
          <w:sz w:val="15"/>
          <w:szCs w:val="15"/>
          <w:color w:val="auto"/>
        </w:rPr>
        <w:t>The accounting for finance leases remained unchanged, except for the accounting for certain non-lease components. Lease and non-lease components will be accounted for as a single lease component if the non-lease component is determined to be insignificant to the total agreement.</w:t>
      </w:r>
    </w:p>
    <w:p>
      <w:pPr>
        <w:spacing w:after="0" w:line="14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5"/>
          <w:szCs w:val="15"/>
          <w:color w:val="auto"/>
        </w:rPr>
        <w:t>The cumulative impact of transition to retained earnings, recorded as of the adoption date, was not material. The standard did not materially impact consolidated net earnings and had no impact on cash flows.</w:t>
      </w:r>
    </w:p>
    <w:p>
      <w:pPr>
        <w:spacing w:after="0" w:line="141" w:lineRule="exact"/>
        <w:rPr>
          <w:sz w:val="20"/>
          <w:szCs w:val="20"/>
          <w:color w:val="auto"/>
        </w:rPr>
      </w:pPr>
    </w:p>
    <w:p>
      <w:pPr>
        <w:ind w:firstLine="371"/>
        <w:spacing w:after="0" w:line="286" w:lineRule="auto"/>
        <w:rPr>
          <w:sz w:val="20"/>
          <w:szCs w:val="20"/>
          <w:color w:val="auto"/>
        </w:rPr>
      </w:pPr>
      <w:r>
        <w:rPr>
          <w:rFonts w:ascii="Arial" w:cs="Arial" w:eastAsia="Arial" w:hAnsi="Arial"/>
          <w:sz w:val="14"/>
          <w:szCs w:val="14"/>
          <w:color w:val="auto"/>
        </w:rPr>
        <w:t xml:space="preserve">In February 2018, the FASB issued ASU No.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Company adopted ASU No. 2018-02 on January 1, 2019. The adoption of the standard did not have a material impact on the Company's condensed consolidated financial statements.</w:t>
      </w:r>
    </w:p>
    <w:p>
      <w:pPr>
        <w:spacing w:after="0" w:line="146" w:lineRule="exact"/>
        <w:rPr>
          <w:sz w:val="20"/>
          <w:szCs w:val="20"/>
          <w:color w:val="auto"/>
        </w:rPr>
      </w:pPr>
    </w:p>
    <w:p>
      <w:pPr>
        <w:ind w:right="40" w:firstLine="371"/>
        <w:spacing w:after="0" w:line="268" w:lineRule="auto"/>
        <w:rPr>
          <w:sz w:val="20"/>
          <w:szCs w:val="20"/>
          <w:color w:val="auto"/>
        </w:rPr>
      </w:pPr>
      <w:r>
        <w:rPr>
          <w:rFonts w:ascii="Arial" w:cs="Arial" w:eastAsia="Arial" w:hAnsi="Arial"/>
          <w:sz w:val="15"/>
          <w:szCs w:val="15"/>
          <w:color w:val="auto"/>
        </w:rPr>
        <w:t xml:space="preserve">In June 2018, the FASB issued ASU No. 2018-07, </w:t>
      </w:r>
      <w:r>
        <w:rPr>
          <w:rFonts w:ascii="Arial" w:cs="Arial" w:eastAsia="Arial" w:hAnsi="Arial"/>
          <w:sz w:val="15"/>
          <w:szCs w:val="15"/>
          <w:i w:val="1"/>
          <w:iCs w:val="1"/>
          <w:color w:val="auto"/>
        </w:rPr>
        <w:t>Improvements to Nonemployee Share-Based Payment Accounting.</w:t>
      </w:r>
      <w:r>
        <w:rPr>
          <w:rFonts w:ascii="Arial" w:cs="Arial" w:eastAsia="Arial" w:hAnsi="Arial"/>
          <w:sz w:val="15"/>
          <w:szCs w:val="15"/>
          <w:color w:val="auto"/>
        </w:rPr>
        <w:t xml:space="preserve">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Company adopted ASU No. 2018-07 on January 1, 2019. The adoption of the standard did not have a material impact on the Company's condensed consolidated financial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00"/>
          </w:cols>
          <w:pgMar w:left="240" w:top="123" w:right="25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Cash, Cash Equivalents and Short-Term Investments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amortized cost, unrealized gains and losses and estimated fair value of the Company's cash, cash equivalents and short-term investments as of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2018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3"/>
          </w:tcPr>
          <w:p>
            <w:pPr>
              <w:jc w:val="right"/>
              <w:ind w:right="883"/>
              <w:spacing w:after="0"/>
              <w:rPr>
                <w:sz w:val="20"/>
                <w:szCs w:val="20"/>
                <w:color w:val="auto"/>
              </w:rPr>
            </w:pPr>
            <w:r>
              <w:rPr>
                <w:rFonts w:ascii="Arial" w:cs="Arial" w:eastAsia="Arial" w:hAnsi="Arial"/>
                <w:sz w:val="15"/>
                <w:szCs w:val="15"/>
                <w:b w:val="1"/>
                <w:bCs w:val="1"/>
                <w:color w:val="auto"/>
              </w:rPr>
              <w:t>As of June 30, 2019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0"/>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Amortized Cost</w:t>
            </w: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Unrealized Gain</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Unrealized Loss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183"/>
              <w:spacing w:after="0"/>
              <w:rPr>
                <w:sz w:val="20"/>
                <w:szCs w:val="20"/>
                <w:color w:val="auto"/>
              </w:rPr>
            </w:pPr>
            <w:r>
              <w:rPr>
                <w:rFonts w:ascii="Arial" w:cs="Arial" w:eastAsia="Arial" w:hAnsi="Arial"/>
                <w:sz w:val="15"/>
                <w:szCs w:val="15"/>
                <w:b w:val="1"/>
                <w:bCs w:val="1"/>
                <w:color w:val="auto"/>
                <w:w w:val="98"/>
              </w:rPr>
              <w:t>Estimated Fair Value</w:t>
            </w:r>
          </w:p>
        </w:tc>
      </w:tr>
      <w:tr>
        <w:trPr>
          <w:trHeight w:val="23"/>
        </w:trPr>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96"/>
        </w:trPr>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Cash</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110.2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shd w:val="clear" w:color="auto" w:fill="CCEEFF"/>
          </w:tcPr>
          <w:p>
            <w:pPr>
              <w:jc w:val="right"/>
              <w:ind w:right="128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110.2</w:t>
            </w:r>
          </w:p>
        </w:tc>
      </w:tr>
      <w:tr>
        <w:trPr>
          <w:trHeight w:val="208"/>
        </w:trPr>
        <w:tc>
          <w:tcPr>
            <w:tcW w:w="3440" w:type="dxa"/>
            <w:vAlign w:val="bottom"/>
          </w:tcPr>
          <w:p>
            <w:pPr>
              <w:ind w:left="20"/>
              <w:spacing w:after="0"/>
              <w:rPr>
                <w:sz w:val="20"/>
                <w:szCs w:val="20"/>
                <w:color w:val="auto"/>
              </w:rPr>
            </w:pPr>
            <w:r>
              <w:rPr>
                <w:rFonts w:ascii="Arial" w:cs="Arial" w:eastAsia="Arial" w:hAnsi="Arial"/>
                <w:sz w:val="15"/>
                <w:szCs w:val="15"/>
                <w:color w:val="auto"/>
              </w:rPr>
              <w:t>Cash equivalents: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shd w:val="clear" w:color="auto" w:fill="CCEEFF"/>
              </w:rPr>
              <w:t>Money market funds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211.1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211.1</w:t>
            </w: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Commercial paper</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21.2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21.2</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Corporate notes and obligations</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r>
      <w:tr>
        <w:trPr>
          <w:trHeight w:val="200"/>
        </w:trPr>
        <w:tc>
          <w:tcPr>
            <w:tcW w:w="3440" w:type="dxa"/>
            <w:vAlign w:val="bottom"/>
          </w:tcPr>
          <w:p>
            <w:pPr>
              <w:ind w:left="20"/>
              <w:spacing w:after="0"/>
              <w:rPr>
                <w:sz w:val="20"/>
                <w:szCs w:val="20"/>
                <w:color w:val="auto"/>
              </w:rPr>
            </w:pPr>
            <w:r>
              <w:rPr>
                <w:rFonts w:ascii="Arial" w:cs="Arial" w:eastAsia="Arial" w:hAnsi="Arial"/>
                <w:sz w:val="15"/>
                <w:szCs w:val="15"/>
                <w:color w:val="auto"/>
              </w:rPr>
              <w:t>Total cash and cash equivalents</w:t>
            </w: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343.6</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ind w:right="1283"/>
              <w:spacing w:after="0"/>
              <w:rPr>
                <w:sz w:val="20"/>
                <w:szCs w:val="20"/>
                <w:color w:val="auto"/>
              </w:rPr>
            </w:pPr>
            <w:r>
              <w:rPr>
                <w:rFonts w:ascii="Arial" w:cs="Arial" w:eastAsia="Arial" w:hAnsi="Arial"/>
                <w:sz w:val="15"/>
                <w:szCs w:val="15"/>
                <w:color w:val="auto"/>
                <w:w w:val="95"/>
              </w:rPr>
              <w:t>$</w:t>
            </w:r>
          </w:p>
        </w:tc>
        <w:tc>
          <w:tcPr>
            <w:tcW w:w="3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343.6</w:t>
            </w:r>
          </w:p>
        </w:tc>
      </w:tr>
      <w:tr>
        <w:trPr>
          <w:trHeight w:val="2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Investments</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Corporate notes and obligations</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288.6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43"/>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290.0</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shd w:val="clear" w:color="auto" w:fill="CCEEFF"/>
              </w:rPr>
              <w:t>U.S. Treasury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195.3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7"/>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195.4</w:t>
            </w: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Commercial Paper</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50.5</w:t>
            </w:r>
          </w:p>
        </w:tc>
      </w:tr>
      <w:tr>
        <w:trPr>
          <w:trHeight w:val="23"/>
        </w:trPr>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shd w:val="clear" w:color="auto" w:fill="CCEEFF"/>
              </w:rPr>
              <w:t>U.S. agency obligations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47.9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47.9</w:t>
            </w: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Certificates of deposit</w:t>
            </w:r>
          </w:p>
        </w:tc>
        <w:tc>
          <w:tcPr>
            <w:tcW w:w="280" w:type="dxa"/>
            <w:vAlign w:val="bottom"/>
          </w:tcPr>
          <w:p>
            <w:pPr>
              <w:spacing w:after="0"/>
              <w:rPr>
                <w:sz w:val="18"/>
                <w:szCs w:val="18"/>
                <w:color w:val="auto"/>
              </w:rPr>
            </w:pP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45.4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740" w:type="dxa"/>
            <w:vAlign w:val="bottom"/>
          </w:tcPr>
          <w:p>
            <w:pPr>
              <w:jc w:val="right"/>
              <w:ind w:right="23"/>
              <w:spacing w:after="0"/>
              <w:rPr>
                <w:sz w:val="20"/>
                <w:szCs w:val="20"/>
                <w:color w:val="auto"/>
              </w:rPr>
            </w:pPr>
            <w:r>
              <w:rPr>
                <w:rFonts w:ascii="Arial" w:cs="Arial" w:eastAsia="Arial" w:hAnsi="Arial"/>
                <w:sz w:val="15"/>
                <w:szCs w:val="15"/>
                <w:color w:val="auto"/>
              </w:rPr>
              <w:t>45.4</w:t>
            </w:r>
          </w:p>
        </w:tc>
      </w:tr>
      <w:tr>
        <w:trPr>
          <w:trHeight w:val="23"/>
        </w:trPr>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Total short-term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627.7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7"/>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629.2</w:t>
            </w:r>
          </w:p>
        </w:tc>
      </w:tr>
      <w:tr>
        <w:trPr>
          <w:trHeight w:val="217"/>
        </w:trPr>
        <w:tc>
          <w:tcPr>
            <w:tcW w:w="3440" w:type="dxa"/>
            <w:vAlign w:val="bottom"/>
          </w:tcPr>
          <w:p>
            <w:pPr>
              <w:ind w:left="20"/>
              <w:spacing w:after="0"/>
              <w:rPr>
                <w:sz w:val="20"/>
                <w:szCs w:val="20"/>
                <w:color w:val="auto"/>
              </w:rPr>
            </w:pPr>
            <w:r>
              <w:rPr>
                <w:rFonts w:ascii="Arial" w:cs="Arial" w:eastAsia="Arial" w:hAnsi="Arial"/>
                <w:sz w:val="15"/>
                <w:szCs w:val="15"/>
                <w:color w:val="auto"/>
              </w:rPr>
              <w:t>Total</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971.3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283"/>
              <w:spacing w:after="0"/>
              <w:rPr>
                <w:sz w:val="20"/>
                <w:szCs w:val="20"/>
                <w:color w:val="auto"/>
              </w:rPr>
            </w:pPr>
            <w:r>
              <w:rPr>
                <w:rFonts w:ascii="Arial" w:cs="Arial" w:eastAsia="Arial" w:hAnsi="Arial"/>
                <w:sz w:val="15"/>
                <w:szCs w:val="15"/>
                <w:color w:val="auto"/>
                <w:w w:val="9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7"/>
              </w:rPr>
              <w:t>(0.1)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972.8</w:t>
            </w: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gridSpan w:val="3"/>
          </w:tcPr>
          <w:p>
            <w:pPr>
              <w:jc w:val="right"/>
              <w:ind w:right="623"/>
              <w:spacing w:after="0"/>
              <w:rPr>
                <w:sz w:val="20"/>
                <w:szCs w:val="20"/>
                <w:color w:val="auto"/>
              </w:rPr>
            </w:pPr>
            <w:r>
              <w:rPr>
                <w:rFonts w:ascii="Arial" w:cs="Arial" w:eastAsia="Arial" w:hAnsi="Arial"/>
                <w:sz w:val="15"/>
                <w:szCs w:val="15"/>
                <w:b w:val="1"/>
                <w:bCs w:val="1"/>
                <w:color w:val="auto"/>
              </w:rPr>
              <w:t>As of December 31, 2018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0"/>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5"/>
                <w:szCs w:val="15"/>
                <w:b w:val="1"/>
                <w:bCs w:val="1"/>
                <w:color w:val="auto"/>
              </w:rPr>
              <w:t>Amortized cost</w:t>
            </w: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Unrealized gain</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Unrealized loss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203"/>
              <w:spacing w:after="0"/>
              <w:rPr>
                <w:sz w:val="20"/>
                <w:szCs w:val="20"/>
                <w:color w:val="auto"/>
              </w:rPr>
            </w:pPr>
            <w:r>
              <w:rPr>
                <w:rFonts w:ascii="Arial" w:cs="Arial" w:eastAsia="Arial" w:hAnsi="Arial"/>
                <w:sz w:val="15"/>
                <w:szCs w:val="15"/>
                <w:b w:val="1"/>
                <w:bCs w:val="1"/>
                <w:color w:val="auto"/>
              </w:rPr>
              <w:t>Estimated fair value</w:t>
            </w:r>
          </w:p>
        </w:tc>
      </w:tr>
      <w:tr>
        <w:trPr>
          <w:trHeight w:val="2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96"/>
        </w:trPr>
        <w:tc>
          <w:tcPr>
            <w:tcW w:w="3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212"/>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jc w:val="right"/>
              <w:ind w:right="126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103.0</w:t>
            </w:r>
          </w:p>
        </w:tc>
      </w:tr>
      <w:tr>
        <w:trPr>
          <w:trHeight w:val="208"/>
        </w:trPr>
        <w:tc>
          <w:tcPr>
            <w:tcW w:w="3540" w:type="dxa"/>
            <w:vAlign w:val="bottom"/>
          </w:tcPr>
          <w:p>
            <w:pPr>
              <w:ind w:left="40"/>
              <w:spacing w:after="0"/>
              <w:rPr>
                <w:sz w:val="20"/>
                <w:szCs w:val="20"/>
                <w:color w:val="auto"/>
              </w:rPr>
            </w:pPr>
            <w:r>
              <w:rPr>
                <w:rFonts w:ascii="Arial" w:cs="Arial" w:eastAsia="Arial" w:hAnsi="Arial"/>
                <w:sz w:val="15"/>
                <w:szCs w:val="15"/>
                <w:color w:val="auto"/>
              </w:rPr>
              <w:t>Cash equivalents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Money market funds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355.5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355.5</w:t>
            </w:r>
          </w:p>
        </w:tc>
      </w:tr>
      <w:tr>
        <w:trPr>
          <w:trHeight w:val="208"/>
        </w:trPr>
        <w:tc>
          <w:tcPr>
            <w:tcW w:w="3540" w:type="dxa"/>
            <w:vAlign w:val="bottom"/>
          </w:tcPr>
          <w:p>
            <w:pPr>
              <w:ind w:left="140"/>
              <w:spacing w:after="0"/>
              <w:rPr>
                <w:sz w:val="20"/>
                <w:szCs w:val="20"/>
                <w:color w:val="auto"/>
              </w:rPr>
            </w:pPr>
            <w:r>
              <w:rPr>
                <w:rFonts w:ascii="Arial" w:cs="Arial" w:eastAsia="Arial" w:hAnsi="Arial"/>
                <w:sz w:val="15"/>
                <w:szCs w:val="15"/>
                <w:color w:val="auto"/>
              </w:rPr>
              <w:t>U.S. Treasury securities</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33.4</w:t>
            </w: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2"/>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Commercial paper</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27.4</w:t>
            </w:r>
          </w:p>
        </w:tc>
      </w:tr>
      <w:tr>
        <w:trPr>
          <w:trHeight w:val="25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cash and cash equivalents</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519.3</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263"/>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519.3</w:t>
            </w:r>
          </w:p>
        </w:tc>
      </w:tr>
      <w:tr>
        <w:trPr>
          <w:trHeight w:val="192"/>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Short-term investments</w:t>
            </w: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r>
      <w:tr>
        <w:trPr>
          <w:trHeight w:val="208"/>
        </w:trPr>
        <w:tc>
          <w:tcPr>
            <w:tcW w:w="3540" w:type="dxa"/>
            <w:vAlign w:val="bottom"/>
          </w:tcPr>
          <w:p>
            <w:pPr>
              <w:ind w:left="140"/>
              <w:spacing w:after="0"/>
              <w:rPr>
                <w:sz w:val="20"/>
                <w:szCs w:val="20"/>
                <w:color w:val="auto"/>
              </w:rPr>
            </w:pPr>
            <w:r>
              <w:rPr>
                <w:rFonts w:ascii="Arial" w:cs="Arial" w:eastAsia="Arial" w:hAnsi="Arial"/>
                <w:sz w:val="15"/>
                <w:szCs w:val="15"/>
                <w:color w:val="auto"/>
              </w:rPr>
              <w:t>Corporate notes and obligations</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269.6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4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269.2</w:t>
            </w: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U.S. Treasury securities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176.0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175.9</w:t>
            </w:r>
          </w:p>
        </w:tc>
      </w:tr>
      <w:tr>
        <w:trPr>
          <w:trHeight w:val="208"/>
        </w:trPr>
        <w:tc>
          <w:tcPr>
            <w:tcW w:w="3540" w:type="dxa"/>
            <w:vAlign w:val="bottom"/>
          </w:tcPr>
          <w:p>
            <w:pPr>
              <w:ind w:left="140"/>
              <w:spacing w:after="0"/>
              <w:rPr>
                <w:sz w:val="20"/>
                <w:szCs w:val="20"/>
                <w:color w:val="auto"/>
              </w:rPr>
            </w:pPr>
            <w:r>
              <w:rPr>
                <w:rFonts w:ascii="Arial" w:cs="Arial" w:eastAsia="Arial" w:hAnsi="Arial"/>
                <w:sz w:val="15"/>
                <w:szCs w:val="15"/>
                <w:color w:val="auto"/>
              </w:rPr>
              <w:t>Certificates of deposit</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70.6</w:t>
            </w:r>
          </w:p>
        </w:tc>
      </w:tr>
      <w:tr>
        <w:trPr>
          <w:trHeight w:val="2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U.S. agency obligations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37.1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37.1</w:t>
            </w:r>
          </w:p>
        </w:tc>
      </w:tr>
      <w:tr>
        <w:trPr>
          <w:trHeight w:val="208"/>
        </w:trPr>
        <w:tc>
          <w:tcPr>
            <w:tcW w:w="3540" w:type="dxa"/>
            <w:vAlign w:val="bottom"/>
          </w:tcPr>
          <w:p>
            <w:pPr>
              <w:ind w:left="140"/>
              <w:spacing w:after="0"/>
              <w:rPr>
                <w:sz w:val="20"/>
                <w:szCs w:val="20"/>
                <w:color w:val="auto"/>
              </w:rPr>
            </w:pPr>
            <w:r>
              <w:rPr>
                <w:rFonts w:ascii="Arial" w:cs="Arial" w:eastAsia="Arial" w:hAnsi="Arial"/>
                <w:sz w:val="15"/>
                <w:szCs w:val="15"/>
                <w:color w:val="auto"/>
              </w:rPr>
              <w:t>Commercial paper</w:t>
            </w:r>
          </w:p>
        </w:tc>
        <w:tc>
          <w:tcPr>
            <w:tcW w:w="26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17.2</w:t>
            </w:r>
          </w:p>
        </w:tc>
      </w:tr>
      <w:tr>
        <w:trPr>
          <w:trHeight w:val="2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short-term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570.5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570.0</w:t>
            </w:r>
          </w:p>
        </w:tc>
      </w:tr>
      <w:tr>
        <w:trPr>
          <w:trHeight w:val="217"/>
        </w:trPr>
        <w:tc>
          <w:tcPr>
            <w:tcW w:w="3540" w:type="dxa"/>
            <w:vAlign w:val="bottom"/>
          </w:tcPr>
          <w:p>
            <w:pPr>
              <w:ind w:left="140"/>
              <w:spacing w:after="0"/>
              <w:rPr>
                <w:sz w:val="20"/>
                <w:szCs w:val="20"/>
                <w:color w:val="auto"/>
              </w:rPr>
            </w:pPr>
            <w:r>
              <w:rPr>
                <w:rFonts w:ascii="Arial" w:cs="Arial" w:eastAsia="Arial" w:hAnsi="Arial"/>
                <w:sz w:val="15"/>
                <w:szCs w:val="15"/>
                <w:color w:val="auto"/>
              </w:rPr>
              <w:t>Total</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1,089.8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263"/>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1,089.3</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160" w:firstLine="371"/>
        <w:spacing w:after="0" w:line="289" w:lineRule="auto"/>
        <w:rPr>
          <w:sz w:val="20"/>
          <w:szCs w:val="20"/>
          <w:color w:val="auto"/>
        </w:rPr>
      </w:pPr>
      <w:r>
        <w:rPr>
          <w:rFonts w:ascii="Arial" w:cs="Arial" w:eastAsia="Arial" w:hAnsi="Arial"/>
          <w:sz w:val="15"/>
          <w:szCs w:val="15"/>
          <w:color w:val="auto"/>
        </w:rPr>
        <w:t>Included in cash and cash equivalents is cash in transit from payment processors for credit and debit card transactions of $17.5 million and $11.9 million as of June 30, 2019 and December 31, 2018, respectively.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short-term investments were designated as available-for-sale securities as of June 30, 2019 and December 31, 2018.</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presents the contractual maturities of the Company’s short-term investments as of June 30,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40"/>
          </w:cols>
          <w:pgMar w:left="240" w:top="123"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60" w:type="dxa"/>
            <w:vAlign w:val="bottom"/>
            <w:gridSpan w:val="4"/>
          </w:tcPr>
          <w:p>
            <w:pPr>
              <w:jc w:val="right"/>
              <w:ind w:right="1503"/>
              <w:spacing w:after="0"/>
              <w:rPr>
                <w:sz w:val="20"/>
                <w:szCs w:val="20"/>
                <w:color w:val="auto"/>
              </w:rPr>
            </w:pPr>
            <w:r>
              <w:rPr>
                <w:rFonts w:ascii="Arial" w:cs="Arial" w:eastAsia="Arial" w:hAnsi="Arial"/>
                <w:sz w:val="15"/>
                <w:szCs w:val="15"/>
                <w:b w:val="1"/>
                <w:bCs w:val="1"/>
                <w:color w:val="auto"/>
                <w:w w:val="90"/>
              </w:rPr>
              <w:t>As of June 30, 2019</w:t>
            </w:r>
          </w:p>
        </w:tc>
      </w:tr>
      <w:tr>
        <w:trPr>
          <w:trHeight w:val="23"/>
        </w:trPr>
        <w:tc>
          <w:tcPr>
            <w:tcW w:w="69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Amortized cost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ind w:right="343"/>
              <w:spacing w:after="0"/>
              <w:rPr>
                <w:sz w:val="20"/>
                <w:szCs w:val="20"/>
                <w:color w:val="auto"/>
              </w:rPr>
            </w:pPr>
            <w:r>
              <w:rPr>
                <w:rFonts w:ascii="Arial" w:cs="Arial" w:eastAsia="Arial" w:hAnsi="Arial"/>
                <w:sz w:val="15"/>
                <w:szCs w:val="15"/>
                <w:b w:val="1"/>
                <w:bCs w:val="1"/>
                <w:color w:val="auto"/>
              </w:rPr>
              <w:t>Estimated fair value</w:t>
            </w:r>
          </w:p>
        </w:tc>
      </w:tr>
      <w:tr>
        <w:trPr>
          <w:trHeight w:val="23"/>
        </w:trPr>
        <w:tc>
          <w:tcPr>
            <w:tcW w:w="69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Due within one year</w:t>
            </w:r>
          </w:p>
        </w:tc>
        <w:tc>
          <w:tcPr>
            <w:tcW w:w="1600" w:type="dxa"/>
            <w:vAlign w:val="bottom"/>
            <w:tcBorders>
              <w:bottom w:val="single" w:sz="8" w:color="CCEEFF"/>
            </w:tcBorders>
            <w:shd w:val="clear" w:color="auto" w:fill="CCEEFF"/>
          </w:tcPr>
          <w:p>
            <w:pPr>
              <w:jc w:val="right"/>
              <w:ind w:right="142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348.8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349.2</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Due between one to three years</w:t>
            </w:r>
          </w:p>
        </w:tc>
        <w:tc>
          <w:tcPr>
            <w:tcW w:w="1600" w:type="dxa"/>
            <w:vAlign w:val="bottom"/>
          </w:tcPr>
          <w:p>
            <w:pPr>
              <w:spacing w:after="0"/>
              <w:rPr>
                <w:sz w:val="18"/>
                <w:szCs w:val="18"/>
                <w:color w:val="auto"/>
              </w:rPr>
            </w:pPr>
          </w:p>
        </w:tc>
        <w:tc>
          <w:tcPr>
            <w:tcW w:w="580" w:type="dxa"/>
            <w:vAlign w:val="bottom"/>
          </w:tcPr>
          <w:p>
            <w:pPr>
              <w:jc w:val="right"/>
              <w:ind w:right="43"/>
              <w:spacing w:after="0"/>
              <w:rPr>
                <w:sz w:val="20"/>
                <w:szCs w:val="20"/>
                <w:color w:val="auto"/>
              </w:rPr>
            </w:pPr>
            <w:r>
              <w:rPr>
                <w:rFonts w:ascii="Arial" w:cs="Arial" w:eastAsia="Arial" w:hAnsi="Arial"/>
                <w:sz w:val="15"/>
                <w:szCs w:val="15"/>
                <w:color w:val="auto"/>
              </w:rPr>
              <w:t>278.9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ind w:right="23"/>
              <w:spacing w:after="0"/>
              <w:rPr>
                <w:sz w:val="20"/>
                <w:szCs w:val="20"/>
                <w:color w:val="auto"/>
              </w:rPr>
            </w:pPr>
            <w:r>
              <w:rPr>
                <w:rFonts w:ascii="Arial" w:cs="Arial" w:eastAsia="Arial" w:hAnsi="Arial"/>
                <w:sz w:val="15"/>
                <w:szCs w:val="15"/>
                <w:color w:val="auto"/>
              </w:rPr>
              <w:t>280.0</w:t>
            </w:r>
          </w:p>
        </w:tc>
      </w:tr>
      <w:tr>
        <w:trPr>
          <w:trHeight w:val="23"/>
        </w:trPr>
        <w:tc>
          <w:tcPr>
            <w:tcW w:w="6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1600" w:type="dxa"/>
            <w:vAlign w:val="bottom"/>
            <w:tcBorders>
              <w:bottom w:val="single" w:sz="8" w:color="auto"/>
            </w:tcBorders>
            <w:shd w:val="clear" w:color="auto" w:fill="CCEEFF"/>
          </w:tcPr>
          <w:p>
            <w:pPr>
              <w:jc w:val="right"/>
              <w:ind w:right="142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629.2</w:t>
            </w:r>
          </w:p>
        </w:tc>
      </w:tr>
      <w:tr>
        <w:trPr>
          <w:trHeight w:val="20"/>
        </w:trPr>
        <w:tc>
          <w:tcPr>
            <w:tcW w:w="69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0" w:firstLine="371"/>
        <w:spacing w:after="0" w:line="273" w:lineRule="auto"/>
        <w:rPr>
          <w:sz w:val="20"/>
          <w:szCs w:val="20"/>
          <w:color w:val="auto"/>
        </w:rPr>
      </w:pPr>
      <w:r>
        <w:rPr>
          <w:rFonts w:ascii="Arial" w:cs="Arial" w:eastAsia="Arial" w:hAnsi="Arial"/>
          <w:sz w:val="15"/>
          <w:szCs w:val="15"/>
          <w:color w:val="auto"/>
        </w:rPr>
        <w:t>The Company had 25 short-term investments in unrealized loss positions as of June 30, 2019. There were no material unrealized losses from available-for-sale securities and no material realized gains or losses from available-for-sale securities that were reclassified out of accumulated other comprehensive income for the three and six months ended June 30, 2019 and 2018.</w:t>
      </w:r>
    </w:p>
    <w:p>
      <w:pPr>
        <w:spacing w:after="0" w:line="153" w:lineRule="exact"/>
        <w:rPr>
          <w:sz w:val="20"/>
          <w:szCs w:val="20"/>
          <w:color w:val="auto"/>
        </w:rPr>
      </w:pPr>
    </w:p>
    <w:p>
      <w:pPr>
        <w:ind w:right="200" w:firstLine="371"/>
        <w:spacing w:after="0" w:line="273" w:lineRule="auto"/>
        <w:rPr>
          <w:sz w:val="20"/>
          <w:szCs w:val="20"/>
          <w:color w:val="auto"/>
        </w:rPr>
      </w:pPr>
      <w:r>
        <w:rPr>
          <w:rFonts w:ascii="Arial" w:cs="Arial" w:eastAsia="Arial" w:hAnsi="Arial"/>
          <w:sz w:val="15"/>
          <w:szCs w:val="15"/>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June 30, 2019.</w:t>
      </w:r>
    </w:p>
    <w:p>
      <w:pPr>
        <w:spacing w:after="0" w:line="153" w:lineRule="exact"/>
        <w:rPr>
          <w:sz w:val="20"/>
          <w:szCs w:val="20"/>
          <w:color w:val="auto"/>
        </w:rPr>
      </w:pPr>
    </w:p>
    <w:p>
      <w:pPr>
        <w:ind w:right="140" w:firstLine="371"/>
        <w:spacing w:after="0" w:line="289" w:lineRule="auto"/>
        <w:rPr>
          <w:sz w:val="20"/>
          <w:szCs w:val="20"/>
          <w:color w:val="auto"/>
        </w:rPr>
      </w:pPr>
      <w:r>
        <w:rPr>
          <w:rFonts w:ascii="Arial" w:cs="Arial" w:eastAsia="Arial" w:hAnsi="Arial"/>
          <w:sz w:val="15"/>
          <w:szCs w:val="15"/>
          <w:color w:val="auto"/>
        </w:rPr>
        <w:t>The Company recorded interest income from its cash, cash equivalents, and short-term investments of $5.6 million and $11.8 million during the three and six months ended June 30, 2019, respectively, and $4.3 million and $5.8 during the three and six months ended June 30, 2018,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Fair Value Measurements</w:t>
      </w:r>
    </w:p>
    <w:p>
      <w:pPr>
        <w:spacing w:after="0" w:line="204" w:lineRule="exact"/>
        <w:rPr>
          <w:sz w:val="20"/>
          <w:szCs w:val="20"/>
          <w:color w:val="auto"/>
        </w:rPr>
      </w:pPr>
    </w:p>
    <w:p>
      <w:pPr>
        <w:jc w:val="both"/>
        <w:ind w:right="100" w:firstLine="371"/>
        <w:spacing w:after="0" w:line="273" w:lineRule="auto"/>
        <w:rPr>
          <w:sz w:val="20"/>
          <w:szCs w:val="20"/>
          <w:color w:val="auto"/>
        </w:rPr>
      </w:pPr>
      <w:r>
        <w:rPr>
          <w:rFonts w:ascii="Arial" w:cs="Arial" w:eastAsia="Arial" w:hAnsi="Arial"/>
          <w:sz w:val="15"/>
          <w:szCs w:val="15"/>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information about the Company’s financial instruments that are measured at fair value on a recurring basis using the input categories discussed in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Note 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gridSpan w:val="3"/>
          </w:tcPr>
          <w:p>
            <w:pPr>
              <w:jc w:val="right"/>
              <w:ind w:right="3"/>
              <w:spacing w:after="0"/>
              <w:rPr>
                <w:sz w:val="20"/>
                <w:szCs w:val="20"/>
                <w:color w:val="auto"/>
              </w:rPr>
            </w:pPr>
            <w:r>
              <w:rPr>
                <w:rFonts w:ascii="Arial" w:cs="Arial" w:eastAsia="Arial" w:hAnsi="Arial"/>
                <w:sz w:val="15"/>
                <w:szCs w:val="15"/>
                <w:b w:val="1"/>
                <w:bCs w:val="1"/>
                <w:color w:val="auto"/>
                <w:w w:val="93"/>
              </w:rPr>
              <w:t>As of June 30, 2019</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3440" w:type="dxa"/>
            <w:vAlign w:val="bottom"/>
          </w:tcPr>
          <w:p>
            <w:pPr>
              <w:spacing w:after="0"/>
              <w:rPr>
                <w:sz w:val="17"/>
                <w:szCs w:val="17"/>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b w:val="1"/>
                <w:bCs w:val="1"/>
                <w:color w:val="auto"/>
              </w:rPr>
              <w:t>Level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Level 2</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Arial" w:cs="Arial" w:eastAsia="Arial" w:hAnsi="Arial"/>
                <w:sz w:val="15"/>
                <w:szCs w:val="15"/>
                <w:b w:val="1"/>
                <w:bCs w:val="1"/>
                <w:color w:val="auto"/>
              </w:rPr>
              <w:t>Total</w:t>
            </w: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96"/>
        </w:trPr>
        <w:tc>
          <w:tcPr>
            <w:tcW w:w="3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Money market funds</w:t>
            </w:r>
          </w:p>
        </w:tc>
        <w:tc>
          <w:tcPr>
            <w:tcW w:w="1340" w:type="dxa"/>
            <w:vAlign w:val="bottom"/>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211.1</w:t>
            </w:r>
          </w:p>
        </w:tc>
        <w:tc>
          <w:tcPr>
            <w:tcW w:w="120" w:type="dxa"/>
            <w:vAlign w:val="bottom"/>
          </w:tcPr>
          <w:p>
            <w:pPr>
              <w:spacing w:after="0"/>
              <w:rPr>
                <w:sz w:val="18"/>
                <w:szCs w:val="18"/>
                <w:color w:val="auto"/>
              </w:rPr>
            </w:pPr>
          </w:p>
        </w:tc>
        <w:tc>
          <w:tcPr>
            <w:tcW w:w="1260" w:type="dxa"/>
            <w:vAlign w:val="bottom"/>
          </w:tcPr>
          <w:p>
            <w:pPr>
              <w:jc w:val="right"/>
              <w:ind w:right="1083"/>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211.1</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Commercial paper</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21.2</w:t>
            </w: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Corporate notes and obligations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1.1</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equivalents</w:t>
            </w:r>
          </w:p>
        </w:tc>
        <w:tc>
          <w:tcPr>
            <w:tcW w:w="1340" w:type="dxa"/>
            <w:vAlign w:val="bottom"/>
            <w:tcBorders>
              <w:bottom w:val="single" w:sz="8" w:color="CCEEFF"/>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211.1</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22.3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0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233.4</w:t>
            </w:r>
          </w:p>
        </w:tc>
      </w:tr>
      <w:tr>
        <w:trPr>
          <w:trHeight w:val="200"/>
        </w:trPr>
        <w:tc>
          <w:tcPr>
            <w:tcW w:w="344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Corporate notes and obligations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290.0</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290</w:t>
            </w: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U.S. Treasury securities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195.5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195.5</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Commercial paper</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50.4</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50.4</w:t>
            </w:r>
          </w:p>
        </w:tc>
      </w:tr>
      <w:tr>
        <w:trPr>
          <w:trHeight w:val="208"/>
        </w:trPr>
        <w:tc>
          <w:tcPr>
            <w:tcW w:w="3440" w:type="dxa"/>
            <w:vAlign w:val="bottom"/>
          </w:tcPr>
          <w:p>
            <w:pPr>
              <w:ind w:left="140"/>
              <w:spacing w:after="0"/>
              <w:rPr>
                <w:sz w:val="20"/>
                <w:szCs w:val="20"/>
                <w:color w:val="auto"/>
              </w:rPr>
            </w:pPr>
            <w:r>
              <w:rPr>
                <w:rFonts w:ascii="Arial" w:cs="Arial" w:eastAsia="Arial" w:hAnsi="Arial"/>
                <w:sz w:val="15"/>
                <w:szCs w:val="15"/>
                <w:color w:val="auto"/>
              </w:rPr>
              <w:t>U.S. agency obligations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47.9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47.9</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Certificates of deposit</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45.4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45.4</w:t>
            </w:r>
          </w:p>
        </w:tc>
      </w:tr>
      <w:tr>
        <w:trPr>
          <w:trHeight w:val="200"/>
        </w:trPr>
        <w:tc>
          <w:tcPr>
            <w:tcW w:w="3440" w:type="dxa"/>
            <w:vAlign w:val="bottom"/>
          </w:tcPr>
          <w:p>
            <w:pPr>
              <w:ind w:left="20"/>
              <w:spacing w:after="0"/>
              <w:rPr>
                <w:sz w:val="20"/>
                <w:szCs w:val="20"/>
                <w:color w:val="auto"/>
              </w:rPr>
            </w:pPr>
            <w:r>
              <w:rPr>
                <w:rFonts w:ascii="Arial" w:cs="Arial" w:eastAsia="Arial" w:hAnsi="Arial"/>
                <w:sz w:val="15"/>
                <w:szCs w:val="15"/>
                <w:color w:val="auto"/>
              </w:rPr>
              <w:t>Total 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629.2</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629.2</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 investments</w:t>
            </w:r>
          </w:p>
        </w:tc>
        <w:tc>
          <w:tcPr>
            <w:tcW w:w="13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12.5</w:t>
            </w:r>
          </w:p>
        </w:tc>
      </w:tr>
      <w:tr>
        <w:trPr>
          <w:trHeight w:val="217"/>
        </w:trPr>
        <w:tc>
          <w:tcPr>
            <w:tcW w:w="3440" w:type="dxa"/>
            <w:vAlign w:val="bottom"/>
          </w:tcPr>
          <w:p>
            <w:pPr>
              <w:ind w:left="20"/>
              <w:spacing w:after="0"/>
              <w:rPr>
                <w:sz w:val="20"/>
                <w:szCs w:val="20"/>
                <w:color w:val="auto"/>
              </w:rPr>
            </w:pPr>
            <w:r>
              <w:rPr>
                <w:rFonts w:ascii="Arial" w:cs="Arial" w:eastAsia="Arial" w:hAnsi="Arial"/>
                <w:sz w:val="15"/>
                <w:szCs w:val="15"/>
                <w:color w:val="auto"/>
              </w:rPr>
              <w:t>Total</w:t>
            </w:r>
          </w:p>
        </w:tc>
        <w:tc>
          <w:tcPr>
            <w:tcW w:w="1340" w:type="dxa"/>
            <w:vAlign w:val="bottom"/>
            <w:tcBorders>
              <w:top w:val="single" w:sz="8" w:color="auto"/>
              <w:bottom w:val="single" w:sz="8" w:color="auto"/>
            </w:tcBorders>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223.6</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08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651.5</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875.1</w:t>
            </w:r>
          </w:p>
        </w:tc>
      </w:tr>
      <w:tr>
        <w:trPr>
          <w:trHeight w:val="20"/>
        </w:trPr>
        <w:tc>
          <w:tcPr>
            <w:tcW w:w="3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59"/>
        </w:trPr>
        <w:tc>
          <w:tcPr>
            <w:tcW w:w="3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883"/>
              <w:spacing w:after="0"/>
              <w:rPr>
                <w:sz w:val="20"/>
                <w:szCs w:val="20"/>
                <w:color w:val="auto"/>
              </w:rPr>
            </w:pPr>
            <w:r>
              <w:rPr>
                <w:rFonts w:ascii="Arial" w:cs="Arial" w:eastAsia="Arial" w:hAnsi="Arial"/>
                <w:sz w:val="15"/>
                <w:szCs w:val="15"/>
                <w:color w:val="auto"/>
              </w:rPr>
              <w:t>20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4"/>
          </w:tcPr>
          <w:p>
            <w:pPr>
              <w:jc w:val="right"/>
              <w:ind w:right="603"/>
              <w:spacing w:after="0"/>
              <w:rPr>
                <w:sz w:val="20"/>
                <w:szCs w:val="20"/>
                <w:color w:val="auto"/>
              </w:rPr>
            </w:pPr>
            <w:r>
              <w:rPr>
                <w:rFonts w:ascii="Arial" w:cs="Arial" w:eastAsia="Arial" w:hAnsi="Arial"/>
                <w:sz w:val="15"/>
                <w:szCs w:val="15"/>
                <w:b w:val="1"/>
                <w:bCs w:val="1"/>
                <w:color w:val="auto"/>
              </w:rPr>
              <w:t>As of December 31, 2018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0"/>
        </w:trPr>
        <w:tc>
          <w:tcPr>
            <w:tcW w:w="3440" w:type="dxa"/>
            <w:vAlign w:val="bottom"/>
          </w:tcPr>
          <w:p>
            <w:pPr>
              <w:spacing w:after="0"/>
              <w:rPr>
                <w:sz w:val="17"/>
                <w:szCs w:val="17"/>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b w:val="1"/>
                <w:bCs w:val="1"/>
                <w:color w:val="auto"/>
              </w:rPr>
              <w:t>Level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Level 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b w:val="1"/>
                <w:bCs w:val="1"/>
                <w:color w:val="auto"/>
              </w:rPr>
              <w:t>Level 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Arial" w:cs="Arial" w:eastAsia="Arial" w:hAnsi="Arial"/>
                <w:sz w:val="15"/>
                <w:szCs w:val="15"/>
                <w:b w:val="1"/>
                <w:bCs w:val="1"/>
                <w:color w:val="auto"/>
              </w:rPr>
              <w:t>Total</w:t>
            </w:r>
          </w:p>
        </w:tc>
      </w:tr>
      <w:tr>
        <w:trPr>
          <w:trHeight w:val="23"/>
        </w:trPr>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2"/>
        </w:trPr>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3440" w:type="dxa"/>
            <w:vAlign w:val="bottom"/>
          </w:tcPr>
          <w:p>
            <w:pPr>
              <w:ind w:left="20"/>
              <w:spacing w:after="0"/>
              <w:rPr>
                <w:sz w:val="20"/>
                <w:szCs w:val="20"/>
                <w:color w:val="auto"/>
              </w:rPr>
            </w:pPr>
            <w:r>
              <w:rPr>
                <w:rFonts w:ascii="Arial" w:cs="Arial" w:eastAsia="Arial" w:hAnsi="Arial"/>
                <w:sz w:val="15"/>
                <w:szCs w:val="15"/>
                <w:color w:val="auto"/>
              </w:rPr>
              <w:t>Money market funds</w:t>
            </w:r>
          </w:p>
        </w:tc>
        <w:tc>
          <w:tcPr>
            <w:tcW w:w="1340" w:type="dxa"/>
            <w:vAlign w:val="bottom"/>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355.5</w:t>
            </w:r>
          </w:p>
        </w:tc>
        <w:tc>
          <w:tcPr>
            <w:tcW w:w="120" w:type="dxa"/>
            <w:vAlign w:val="bottom"/>
          </w:tcPr>
          <w:p>
            <w:pPr>
              <w:spacing w:after="0"/>
              <w:rPr>
                <w:sz w:val="18"/>
                <w:szCs w:val="18"/>
                <w:color w:val="auto"/>
              </w:rPr>
            </w:pPr>
          </w:p>
        </w:tc>
        <w:tc>
          <w:tcPr>
            <w:tcW w:w="1360" w:type="dxa"/>
            <w:vAlign w:val="bottom"/>
          </w:tcPr>
          <w:p>
            <w:pPr>
              <w:jc w:val="right"/>
              <w:ind w:right="1183"/>
              <w:spacing w:after="0"/>
              <w:rPr>
                <w:sz w:val="20"/>
                <w:szCs w:val="20"/>
                <w:color w:val="auto"/>
              </w:rPr>
            </w:pPr>
            <w:r>
              <w:rPr>
                <w:rFonts w:ascii="Arial" w:cs="Arial" w:eastAsia="Arial" w:hAnsi="Arial"/>
                <w:sz w:val="15"/>
                <w:szCs w:val="15"/>
                <w:color w:val="auto"/>
                <w:w w:val="95"/>
              </w:rPr>
              <w:t>$</w:t>
            </w: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1183"/>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355.5</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U.S. Treasury securities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33.4</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33.4</w:t>
            </w:r>
          </w:p>
        </w:tc>
      </w:tr>
      <w:tr>
        <w:trPr>
          <w:trHeight w:val="208"/>
        </w:trPr>
        <w:tc>
          <w:tcPr>
            <w:tcW w:w="3440" w:type="dxa"/>
            <w:vAlign w:val="bottom"/>
          </w:tcPr>
          <w:p>
            <w:pPr>
              <w:ind w:left="20"/>
              <w:spacing w:after="0"/>
              <w:rPr>
                <w:sz w:val="20"/>
                <w:szCs w:val="20"/>
                <w:color w:val="auto"/>
              </w:rPr>
            </w:pPr>
            <w:r>
              <w:rPr>
                <w:rFonts w:ascii="Arial" w:cs="Arial" w:eastAsia="Arial" w:hAnsi="Arial"/>
                <w:sz w:val="15"/>
                <w:szCs w:val="15"/>
                <w:color w:val="auto"/>
              </w:rPr>
              <w:t>Commercial paper</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27.4</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cash equivalents</w:t>
            </w:r>
          </w:p>
        </w:tc>
        <w:tc>
          <w:tcPr>
            <w:tcW w:w="1340" w:type="dxa"/>
            <w:vAlign w:val="bottom"/>
            <w:tcBorders>
              <w:bottom w:val="single" w:sz="8" w:color="CCEEFF"/>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355.5</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60.8</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416.3</w:t>
            </w:r>
          </w:p>
        </w:tc>
      </w:tr>
      <w:tr>
        <w:trPr>
          <w:trHeight w:val="200"/>
        </w:trPr>
        <w:tc>
          <w:tcPr>
            <w:tcW w:w="344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Corporate notes and obligations</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269.2</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269.2</w:t>
            </w:r>
          </w:p>
        </w:tc>
      </w:tr>
      <w:tr>
        <w:trPr>
          <w:trHeight w:val="208"/>
        </w:trPr>
        <w:tc>
          <w:tcPr>
            <w:tcW w:w="3440" w:type="dxa"/>
            <w:vAlign w:val="bottom"/>
          </w:tcPr>
          <w:p>
            <w:pPr>
              <w:ind w:left="20"/>
              <w:spacing w:after="0"/>
              <w:rPr>
                <w:sz w:val="20"/>
                <w:szCs w:val="20"/>
                <w:color w:val="auto"/>
              </w:rPr>
            </w:pPr>
            <w:r>
              <w:rPr>
                <w:rFonts w:ascii="Arial" w:cs="Arial" w:eastAsia="Arial" w:hAnsi="Arial"/>
                <w:sz w:val="15"/>
                <w:szCs w:val="15"/>
                <w:color w:val="auto"/>
              </w:rPr>
              <w:t>U.S. Treasury securities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175.9</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175.9</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Certificates of deposit</w:t>
            </w:r>
          </w:p>
        </w:tc>
        <w:tc>
          <w:tcPr>
            <w:tcW w:w="13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70.6</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70.6</w:t>
            </w:r>
          </w:p>
        </w:tc>
      </w:tr>
      <w:tr>
        <w:trPr>
          <w:trHeight w:val="208"/>
        </w:trPr>
        <w:tc>
          <w:tcPr>
            <w:tcW w:w="3440" w:type="dxa"/>
            <w:vAlign w:val="bottom"/>
          </w:tcPr>
          <w:p>
            <w:pPr>
              <w:ind w:left="20"/>
              <w:spacing w:after="0"/>
              <w:rPr>
                <w:sz w:val="20"/>
                <w:szCs w:val="20"/>
                <w:color w:val="auto"/>
              </w:rPr>
            </w:pPr>
            <w:r>
              <w:rPr>
                <w:rFonts w:ascii="Arial" w:cs="Arial" w:eastAsia="Arial" w:hAnsi="Arial"/>
                <w:sz w:val="15"/>
                <w:szCs w:val="15"/>
                <w:color w:val="auto"/>
              </w:rPr>
              <w:t>U.S agency obligations</w:t>
            </w:r>
          </w:p>
        </w:tc>
        <w:tc>
          <w:tcPr>
            <w:tcW w:w="13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Pr>
          <w:p>
            <w:pPr>
              <w:spacing w:after="0"/>
              <w:rPr>
                <w:sz w:val="18"/>
                <w:szCs w:val="18"/>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37.1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37.1</w:t>
            </w:r>
          </w:p>
        </w:tc>
      </w:tr>
      <w:tr>
        <w:trPr>
          <w:trHeight w:val="23"/>
        </w:trPr>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Commercial paper</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17.2</w:t>
            </w:r>
          </w:p>
        </w:tc>
      </w:tr>
      <w:tr>
        <w:trPr>
          <w:trHeight w:val="200"/>
        </w:trPr>
        <w:tc>
          <w:tcPr>
            <w:tcW w:w="3440" w:type="dxa"/>
            <w:vAlign w:val="bottom"/>
          </w:tcPr>
          <w:p>
            <w:pPr>
              <w:ind w:left="20"/>
              <w:spacing w:after="0"/>
              <w:rPr>
                <w:sz w:val="20"/>
                <w:szCs w:val="20"/>
                <w:color w:val="auto"/>
              </w:rPr>
            </w:pPr>
            <w:r>
              <w:rPr>
                <w:rFonts w:ascii="Arial" w:cs="Arial" w:eastAsia="Arial" w:hAnsi="Arial"/>
                <w:sz w:val="15"/>
                <w:szCs w:val="15"/>
                <w:color w:val="auto"/>
              </w:rPr>
              <w:t>Total short-term investments</w:t>
            </w:r>
          </w:p>
        </w:tc>
        <w:tc>
          <w:tcPr>
            <w:tcW w:w="1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570.0</w:t>
            </w: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570.0</w:t>
            </w:r>
          </w:p>
        </w:tc>
      </w:tr>
      <w:tr>
        <w:trPr>
          <w:trHeight w:val="23"/>
        </w:trPr>
        <w:tc>
          <w:tcPr>
            <w:tcW w:w="3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355.5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630.8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3"/>
              <w:spacing w:after="0"/>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986.3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had no transfers between levels of the fair value hierarchy.</w:t>
      </w:r>
    </w:p>
    <w:p>
      <w:pPr>
        <w:spacing w:after="0" w:line="198" w:lineRule="exact"/>
        <w:rPr>
          <w:sz w:val="20"/>
          <w:szCs w:val="20"/>
          <w:color w:val="auto"/>
        </w:rPr>
      </w:pPr>
    </w:p>
    <w:p>
      <w:pPr>
        <w:ind w:right="420" w:firstLine="371"/>
        <w:spacing w:after="0" w:line="289" w:lineRule="auto"/>
        <w:rPr>
          <w:sz w:val="20"/>
          <w:szCs w:val="20"/>
          <w:color w:val="auto"/>
        </w:rPr>
      </w:pPr>
      <w:r>
        <w:rPr>
          <w:rFonts w:ascii="Arial" w:cs="Arial" w:eastAsia="Arial" w:hAnsi="Arial"/>
          <w:sz w:val="15"/>
          <w:szCs w:val="15"/>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Property and Equipment,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ind w:left="360"/>
              <w:spacing w:after="0"/>
              <w:rPr>
                <w:sz w:val="20"/>
                <w:szCs w:val="20"/>
                <w:color w:val="auto"/>
              </w:rPr>
            </w:pPr>
            <w:r>
              <w:rPr>
                <w:rFonts w:ascii="Arial" w:cs="Arial" w:eastAsia="Arial" w:hAnsi="Arial"/>
                <w:sz w:val="15"/>
                <w:szCs w:val="15"/>
                <w:color w:val="auto"/>
              </w:rPr>
              <w:t>Property and equipment, net consisted of the following:</w:t>
            </w: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44"/>
        </w:trPr>
        <w:tc>
          <w:tcPr>
            <w:tcW w:w="6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w w:val="85"/>
              </w:rPr>
              <w:t>As of</w:t>
            </w:r>
          </w:p>
        </w:tc>
        <w:tc>
          <w:tcPr>
            <w:tcW w:w="188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June 30, 2019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383"/>
              <w:spacing w:after="0"/>
              <w:rPr>
                <w:sz w:val="20"/>
                <w:szCs w:val="20"/>
                <w:color w:val="auto"/>
              </w:rPr>
            </w:pPr>
            <w:r>
              <w:rPr>
                <w:rFonts w:ascii="Arial" w:cs="Arial" w:eastAsia="Arial" w:hAnsi="Arial"/>
                <w:sz w:val="15"/>
                <w:szCs w:val="15"/>
                <w:b w:val="1"/>
                <w:bCs w:val="1"/>
                <w:color w:val="auto"/>
              </w:rPr>
              <w:t>December 31, 2018</w:t>
            </w:r>
          </w:p>
        </w:tc>
      </w:tr>
      <w:tr>
        <w:trPr>
          <w:trHeight w:val="23"/>
        </w:trPr>
        <w:tc>
          <w:tcPr>
            <w:tcW w:w="69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Datacenter and other computer equipment</w:t>
            </w:r>
          </w:p>
        </w:tc>
        <w:tc>
          <w:tcPr>
            <w:tcW w:w="1600" w:type="dxa"/>
            <w:vAlign w:val="bottom"/>
            <w:tcBorders>
              <w:bottom w:val="single" w:sz="8" w:color="CCEEFF"/>
            </w:tcBorders>
            <w:shd w:val="clear" w:color="auto" w:fill="CCEEFF"/>
          </w:tcPr>
          <w:p>
            <w:pPr>
              <w:jc w:val="right"/>
              <w:ind w:right="142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698.8</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667.4</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Furniture and fixtures</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23.8</w:t>
            </w:r>
          </w:p>
        </w:tc>
      </w:tr>
      <w:tr>
        <w:trPr>
          <w:trHeight w:val="23"/>
        </w:trPr>
        <w:tc>
          <w:tcPr>
            <w:tcW w:w="6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1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150.5</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Construction in process</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32.8</w:t>
            </w:r>
          </w:p>
        </w:tc>
      </w:tr>
      <w:tr>
        <w:trPr>
          <w:trHeight w:val="23"/>
        </w:trPr>
        <w:tc>
          <w:tcPr>
            <w:tcW w:w="6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3"/>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property and equipment</w:t>
            </w:r>
          </w:p>
        </w:tc>
        <w:tc>
          <w:tcPr>
            <w:tcW w:w="16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977.2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874.5</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Accumulated depreciation and amortization</w:t>
            </w:r>
          </w:p>
        </w:tc>
        <w:tc>
          <w:tcPr>
            <w:tcW w:w="1600" w:type="dxa"/>
            <w:vAlign w:val="bottom"/>
          </w:tcPr>
          <w:p>
            <w:pPr>
              <w:spacing w:after="0"/>
              <w:rPr>
                <w:sz w:val="18"/>
                <w:szCs w:val="18"/>
                <w:color w:val="auto"/>
              </w:rPr>
            </w:pPr>
          </w:p>
        </w:tc>
        <w:tc>
          <w:tcPr>
            <w:tcW w:w="580" w:type="dxa"/>
            <w:vAlign w:val="bottom"/>
            <w:gridSpan w:val="2"/>
          </w:tcPr>
          <w:p>
            <w:pPr>
              <w:jc w:val="right"/>
              <w:ind w:right="3"/>
              <w:spacing w:after="0"/>
              <w:rPr>
                <w:sz w:val="20"/>
                <w:szCs w:val="20"/>
                <w:color w:val="auto"/>
              </w:rPr>
            </w:pPr>
            <w:r>
              <w:rPr>
                <w:rFonts w:ascii="Arial" w:cs="Arial" w:eastAsia="Arial" w:hAnsi="Arial"/>
                <w:sz w:val="15"/>
                <w:szCs w:val="15"/>
                <w:color w:val="auto"/>
              </w:rPr>
              <w:t>(607.9)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(563.9)</w:t>
            </w:r>
          </w:p>
        </w:tc>
      </w:tr>
      <w:tr>
        <w:trPr>
          <w:trHeight w:val="23"/>
        </w:trPr>
        <w:tc>
          <w:tcPr>
            <w:tcW w:w="6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1600" w:type="dxa"/>
            <w:vAlign w:val="bottom"/>
            <w:tcBorders>
              <w:bottom w:val="single" w:sz="8" w:color="CCEEFF"/>
            </w:tcBorders>
            <w:shd w:val="clear" w:color="auto" w:fill="CCEEFF"/>
          </w:tcPr>
          <w:p>
            <w:pPr>
              <w:jc w:val="right"/>
              <w:ind w:right="142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369.3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310.6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371"/>
        <w:spacing w:after="0" w:line="268" w:lineRule="auto"/>
        <w:rPr>
          <w:sz w:val="20"/>
          <w:szCs w:val="20"/>
          <w:color w:val="auto"/>
        </w:rPr>
      </w:pPr>
      <w:r>
        <w:rPr>
          <w:rFonts w:ascii="Arial" w:cs="Arial" w:eastAsia="Arial" w:hAnsi="Arial"/>
          <w:sz w:val="15"/>
          <w:szCs w:val="15"/>
          <w:color w:val="auto"/>
        </w:rPr>
        <w:t>The Company leases certain infrastructure from various third parties, through equipment finance leases. Infrastructure assets as of June 30, 2019 and December 31, 2018, respectively included a total of $312.5 million and $362.8 million acquired under finance lease agreements. These leases are capitalized in property and equipment, and the related amortization of assets under finance leases is included in depreciation and amortization expense. The accumulated depreciation of the infrastructure under finance leases totaled $142.6 million and $211.7 million as of June 30, 2019 and December 31, 2018, respectively.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Construction in process includes costs primarily related to construction of leasehold improvements for office buildings and datacenters.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40"/>
          </w:cols>
          <w:pgMar w:left="240" w:top="123" w:right="21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firstLine="371"/>
        <w:spacing w:after="0" w:line="289" w:lineRule="auto"/>
        <w:rPr>
          <w:sz w:val="20"/>
          <w:szCs w:val="20"/>
          <w:color w:val="auto"/>
        </w:rPr>
      </w:pPr>
      <w:r>
        <w:rPr>
          <w:rFonts w:ascii="Arial" w:cs="Arial" w:eastAsia="Arial" w:hAnsi="Arial"/>
          <w:sz w:val="15"/>
          <w:szCs w:val="15"/>
          <w:color w:val="auto"/>
        </w:rPr>
        <w:t>Depreciation expense related to property and equipment was $42.3 million and $85.4 million for the three and six months ended June 30, 2019, respectively, and $38.0 million and $72.1 million for the three and six months ended June 30, 2018,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Business Combinations</w:t>
      </w:r>
    </w:p>
    <w:p>
      <w:pPr>
        <w:spacing w:after="0" w:line="204" w:lineRule="exact"/>
        <w:rPr>
          <w:sz w:val="20"/>
          <w:szCs w:val="20"/>
          <w:color w:val="auto"/>
        </w:rPr>
      </w:pPr>
    </w:p>
    <w:p>
      <w:pPr>
        <w:ind w:right="120" w:firstLine="371"/>
        <w:spacing w:after="0" w:line="273" w:lineRule="auto"/>
        <w:rPr>
          <w:sz w:val="20"/>
          <w:szCs w:val="20"/>
          <w:color w:val="auto"/>
        </w:rPr>
      </w:pPr>
      <w:r>
        <w:rPr>
          <w:rFonts w:ascii="Arial" w:cs="Arial" w:eastAsia="Arial" w:hAnsi="Arial"/>
          <w:sz w:val="15"/>
          <w:szCs w:val="15"/>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96"/>
        </w:trPr>
        <w:tc>
          <w:tcPr>
            <w:tcW w:w="7840" w:type="dxa"/>
            <w:vAlign w:val="bottom"/>
          </w:tcPr>
          <w:p>
            <w:pPr>
              <w:ind w:left="80"/>
              <w:spacing w:after="0"/>
              <w:rPr>
                <w:sz w:val="20"/>
                <w:szCs w:val="20"/>
                <w:color w:val="auto"/>
              </w:rPr>
            </w:pPr>
            <w:r>
              <w:rPr>
                <w:rFonts w:ascii="Arial" w:cs="Arial" w:eastAsia="Arial" w:hAnsi="Arial"/>
                <w:sz w:val="15"/>
                <w:szCs w:val="15"/>
                <w:color w:val="auto"/>
              </w:rPr>
              <w:t>The purchase consideration transferred consisted of the following:</w:t>
            </w:r>
          </w:p>
        </w:tc>
        <w:tc>
          <w:tcPr>
            <w:tcW w:w="4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324"/>
        </w:trPr>
        <w:tc>
          <w:tcPr>
            <w:tcW w:w="7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tcPr>
          <w:p>
            <w:pPr>
              <w:jc w:val="right"/>
              <w:ind w:right="683"/>
              <w:spacing w:after="0"/>
              <w:rPr>
                <w:sz w:val="20"/>
                <w:szCs w:val="20"/>
                <w:color w:val="auto"/>
              </w:rPr>
            </w:pPr>
            <w:r>
              <w:rPr>
                <w:rFonts w:ascii="Arial" w:cs="Arial" w:eastAsia="Arial" w:hAnsi="Arial"/>
                <w:sz w:val="15"/>
                <w:szCs w:val="15"/>
                <w:b w:val="1"/>
                <w:bCs w:val="1"/>
                <w:color w:val="auto"/>
              </w:rPr>
              <w:t>Purchase consideration</w:t>
            </w:r>
          </w:p>
        </w:tc>
      </w:tr>
      <w:tr>
        <w:trPr>
          <w:trHeight w:val="23"/>
        </w:trPr>
        <w:tc>
          <w:tcPr>
            <w:tcW w:w="7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paid to common and preferred stockholders and vested option holders</w:t>
            </w: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26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175.2</w:t>
            </w:r>
          </w:p>
        </w:tc>
      </w:tr>
      <w:tr>
        <w:trPr>
          <w:trHeight w:val="208"/>
        </w:trPr>
        <w:tc>
          <w:tcPr>
            <w:tcW w:w="7840" w:type="dxa"/>
            <w:vAlign w:val="bottom"/>
          </w:tcPr>
          <w:p>
            <w:pPr>
              <w:spacing w:after="0"/>
              <w:rPr>
                <w:sz w:val="20"/>
                <w:szCs w:val="20"/>
                <w:color w:val="auto"/>
              </w:rPr>
            </w:pPr>
            <w:r>
              <w:rPr>
                <w:rFonts w:ascii="Arial" w:cs="Arial" w:eastAsia="Arial" w:hAnsi="Arial"/>
                <w:sz w:val="15"/>
                <w:szCs w:val="15"/>
                <w:color w:val="auto"/>
              </w:rPr>
              <w:t>Transaction costs paid by Dropbox on behalf of HelloSign</w:t>
            </w:r>
          </w:p>
        </w:tc>
        <w:tc>
          <w:tcPr>
            <w:tcW w:w="420" w:type="dxa"/>
            <w:vAlign w:val="bottom"/>
          </w:tcPr>
          <w:p>
            <w:pPr>
              <w:spacing w:after="0"/>
              <w:rPr>
                <w:sz w:val="18"/>
                <w:szCs w:val="18"/>
                <w:color w:val="auto"/>
              </w:rPr>
            </w:pPr>
          </w:p>
        </w:tc>
        <w:tc>
          <w:tcPr>
            <w:tcW w:w="2620" w:type="dxa"/>
            <w:vAlign w:val="bottom"/>
          </w:tcPr>
          <w:p>
            <w:pPr>
              <w:jc w:val="right"/>
              <w:ind w:right="23"/>
              <w:spacing w:after="0"/>
              <w:rPr>
                <w:sz w:val="20"/>
                <w:szCs w:val="20"/>
                <w:color w:val="auto"/>
              </w:rPr>
            </w:pPr>
            <w:r>
              <w:rPr>
                <w:rFonts w:ascii="Arial" w:cs="Arial" w:eastAsia="Arial" w:hAnsi="Arial"/>
                <w:sz w:val="15"/>
                <w:szCs w:val="15"/>
                <w:color w:val="auto"/>
              </w:rPr>
              <w:t>2.4</w:t>
            </w:r>
          </w:p>
        </w:tc>
      </w:tr>
      <w:tr>
        <w:trPr>
          <w:trHeight w:val="23"/>
        </w:trPr>
        <w:tc>
          <w:tcPr>
            <w:tcW w:w="7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2"/>
        </w:trPr>
        <w:tc>
          <w:tcPr>
            <w:tcW w:w="7840" w:type="dxa"/>
            <w:vAlign w:val="bottom"/>
            <w:shd w:val="clear" w:color="auto" w:fill="CCEEFF"/>
          </w:tcPr>
          <w:p>
            <w:pPr>
              <w:spacing w:after="0" w:line="232" w:lineRule="exact"/>
              <w:rPr>
                <w:sz w:val="20"/>
                <w:szCs w:val="20"/>
                <w:color w:val="auto"/>
              </w:rPr>
            </w:pPr>
            <w:r>
              <w:rPr>
                <w:rFonts w:ascii="Arial" w:cs="Arial" w:eastAsia="Arial" w:hAnsi="Arial"/>
                <w:sz w:val="15"/>
                <w:szCs w:val="15"/>
                <w:color w:val="auto"/>
              </w:rPr>
              <w:t xml:space="preserve">Fair value of assumed HelloSign options attributable to pre-combination services </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0"/>
                <w:szCs w:val="20"/>
                <w:color w:val="auto"/>
              </w:rPr>
            </w:pPr>
          </w:p>
        </w:tc>
        <w:tc>
          <w:tcPr>
            <w:tcW w:w="2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w:t>
            </w:r>
          </w:p>
        </w:tc>
      </w:tr>
      <w:tr>
        <w:trPr>
          <w:trHeight w:val="208"/>
        </w:trPr>
        <w:tc>
          <w:tcPr>
            <w:tcW w:w="7840" w:type="dxa"/>
            <w:vAlign w:val="bottom"/>
          </w:tcPr>
          <w:p>
            <w:pPr>
              <w:spacing w:after="0"/>
              <w:rPr>
                <w:sz w:val="20"/>
                <w:szCs w:val="20"/>
                <w:color w:val="auto"/>
              </w:rPr>
            </w:pPr>
            <w:r>
              <w:rPr>
                <w:rFonts w:ascii="Arial" w:cs="Arial" w:eastAsia="Arial" w:hAnsi="Arial"/>
                <w:sz w:val="15"/>
                <w:szCs w:val="15"/>
                <w:color w:val="auto"/>
              </w:rPr>
              <w:t>Purchase price adjustments</w:t>
            </w:r>
          </w:p>
        </w:tc>
        <w:tc>
          <w:tcPr>
            <w:tcW w:w="4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3"/>
        </w:trPr>
        <w:tc>
          <w:tcPr>
            <w:tcW w:w="7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0"/>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2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177.9</w:t>
            </w:r>
          </w:p>
        </w:tc>
      </w:tr>
      <w:tr>
        <w:trPr>
          <w:trHeight w:val="23"/>
        </w:trPr>
        <w:tc>
          <w:tcPr>
            <w:tcW w:w="7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74" w:lineRule="exact"/>
        <w:rPr>
          <w:sz w:val="20"/>
          <w:szCs w:val="20"/>
          <w:color w:val="auto"/>
        </w:rPr>
      </w:pPr>
    </w:p>
    <w:p>
      <w:pPr>
        <w:ind w:left="3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2"/>
          <w:szCs w:val="12"/>
          <w:color w:val="auto"/>
        </w:rPr>
        <w:t xml:space="preserve"> The fair value of options assumed were based upon the Black-Scholes option-pricing model.</w:t>
      </w:r>
    </w:p>
    <w:p>
      <w:pPr>
        <w:spacing w:after="0" w:line="130" w:lineRule="exact"/>
        <w:rPr>
          <w:sz w:val="20"/>
          <w:szCs w:val="20"/>
          <w:color w:val="auto"/>
        </w:rPr>
      </w:pPr>
    </w:p>
    <w:p>
      <w:pPr>
        <w:ind w:right="140" w:firstLine="371"/>
        <w:spacing w:after="0" w:line="273" w:lineRule="auto"/>
        <w:rPr>
          <w:sz w:val="20"/>
          <w:szCs w:val="20"/>
          <w:color w:val="auto"/>
        </w:rPr>
      </w:pPr>
      <w:r>
        <w:rPr>
          <w:rFonts w:ascii="Arial" w:cs="Arial" w:eastAsia="Arial" w:hAnsi="Arial"/>
          <w:sz w:val="15"/>
          <w:szCs w:val="15"/>
          <w:color w:val="auto"/>
        </w:rPr>
        <w:t>In addition to the total purchase consideration above, the Company has compensation agreements with key HelloSign personnel consisting of $48.5 million in future cash payments subject to on-going employee service. The related expense will be recognized within research and development expenses over the required service period of three years, and the payments will begin in the first quarter of 2020 if the requisite service is provided.</w:t>
      </w:r>
    </w:p>
    <w:p>
      <w:pPr>
        <w:spacing w:after="0" w:line="153" w:lineRule="exact"/>
        <w:rPr>
          <w:sz w:val="20"/>
          <w:szCs w:val="20"/>
          <w:color w:val="auto"/>
        </w:rPr>
      </w:pPr>
    </w:p>
    <w:p>
      <w:pPr>
        <w:jc w:val="both"/>
        <w:ind w:right="40" w:firstLine="371"/>
        <w:spacing w:after="0" w:line="273" w:lineRule="auto"/>
        <w:rPr>
          <w:sz w:val="20"/>
          <w:szCs w:val="20"/>
          <w:color w:val="auto"/>
        </w:rPr>
      </w:pPr>
      <w:r>
        <w:rPr>
          <w:rFonts w:ascii="Arial" w:cs="Arial" w:eastAsia="Arial" w:hAnsi="Arial"/>
          <w:sz w:val="15"/>
          <w:szCs w:val="15"/>
          <w:color w:val="auto"/>
        </w:rPr>
        <w:t>The purchase consideration was preliminarily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94"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7840" w:type="dxa"/>
            <w:vAlign w:val="bottom"/>
            <w:shd w:val="clear" w:color="auto" w:fill="CCEEFF"/>
          </w:tcPr>
          <w:p>
            <w:pPr>
              <w:spacing w:after="0"/>
              <w:rPr>
                <w:sz w:val="20"/>
                <w:szCs w:val="20"/>
                <w:color w:val="auto"/>
              </w:rPr>
            </w:pPr>
            <w:r>
              <w:rPr>
                <w:rFonts w:ascii="Arial" w:cs="Arial" w:eastAsia="Arial" w:hAnsi="Arial"/>
                <w:sz w:val="15"/>
                <w:szCs w:val="15"/>
                <w:color w:val="auto"/>
              </w:rPr>
              <w:t>Assets acquired:</w:t>
            </w:r>
          </w:p>
        </w:tc>
        <w:tc>
          <w:tcPr>
            <w:tcW w:w="1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8"/>
        </w:trPr>
        <w:tc>
          <w:tcPr>
            <w:tcW w:w="78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1340" w:type="dxa"/>
            <w:vAlign w:val="bottom"/>
          </w:tcPr>
          <w:p>
            <w:pPr>
              <w:jc w:val="right"/>
              <w:ind w:right="116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23"/>
              <w:spacing w:after="0"/>
              <w:rPr>
                <w:sz w:val="20"/>
                <w:szCs w:val="20"/>
                <w:color w:val="auto"/>
              </w:rPr>
            </w:pPr>
            <w:r>
              <w:rPr>
                <w:rFonts w:ascii="Arial" w:cs="Arial" w:eastAsia="Arial" w:hAnsi="Arial"/>
                <w:sz w:val="15"/>
                <w:szCs w:val="15"/>
                <w:color w:val="auto"/>
              </w:rPr>
              <w:t>5.5</w:t>
            </w:r>
          </w:p>
        </w:tc>
      </w:tr>
      <w:tr>
        <w:trPr>
          <w:trHeight w:val="23"/>
        </w:trPr>
        <w:tc>
          <w:tcPr>
            <w:tcW w:w="7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2"/>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Short-term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7.8</w:t>
            </w:r>
          </w:p>
        </w:tc>
      </w:tr>
      <w:tr>
        <w:trPr>
          <w:trHeight w:val="208"/>
        </w:trPr>
        <w:tc>
          <w:tcPr>
            <w:tcW w:w="7840" w:type="dxa"/>
            <w:vAlign w:val="bottom"/>
          </w:tcPr>
          <w:p>
            <w:pPr>
              <w:ind w:left="220"/>
              <w:spacing w:after="0"/>
              <w:rPr>
                <w:sz w:val="20"/>
                <w:szCs w:val="20"/>
                <w:color w:val="auto"/>
              </w:rPr>
            </w:pPr>
            <w:r>
              <w:rPr>
                <w:rFonts w:ascii="Arial" w:cs="Arial" w:eastAsia="Arial" w:hAnsi="Arial"/>
                <w:sz w:val="15"/>
                <w:szCs w:val="15"/>
                <w:color w:val="auto"/>
              </w:rPr>
              <w:t>Acquisition-related intangible assets</w:t>
            </w:r>
          </w:p>
        </w:tc>
        <w:tc>
          <w:tcPr>
            <w:tcW w:w="1340" w:type="dxa"/>
            <w:vAlign w:val="bottom"/>
          </w:tcPr>
          <w:p>
            <w:pPr>
              <w:spacing w:after="0"/>
              <w:rPr>
                <w:sz w:val="18"/>
                <w:szCs w:val="18"/>
                <w:color w:val="auto"/>
              </w:rPr>
            </w:pPr>
          </w:p>
        </w:tc>
        <w:tc>
          <w:tcPr>
            <w:tcW w:w="1700" w:type="dxa"/>
            <w:vAlign w:val="bottom"/>
          </w:tcPr>
          <w:p>
            <w:pPr>
              <w:jc w:val="right"/>
              <w:ind w:right="23"/>
              <w:spacing w:after="0"/>
              <w:rPr>
                <w:sz w:val="20"/>
                <w:szCs w:val="20"/>
                <w:color w:val="auto"/>
              </w:rPr>
            </w:pPr>
            <w:r>
              <w:rPr>
                <w:rFonts w:ascii="Arial" w:cs="Arial" w:eastAsia="Arial" w:hAnsi="Arial"/>
                <w:sz w:val="15"/>
                <w:szCs w:val="15"/>
                <w:color w:val="auto"/>
              </w:rPr>
              <w:t>44.6</w:t>
            </w:r>
          </w:p>
        </w:tc>
      </w:tr>
      <w:tr>
        <w:trPr>
          <w:trHeight w:val="23"/>
        </w:trPr>
        <w:tc>
          <w:tcPr>
            <w:tcW w:w="7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2"/>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Accounts receivable, prepaid and other assets</w:t>
            </w:r>
          </w:p>
        </w:tc>
        <w:tc>
          <w:tcPr>
            <w:tcW w:w="1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5.0</w:t>
            </w:r>
          </w:p>
        </w:tc>
      </w:tr>
      <w:tr>
        <w:trPr>
          <w:trHeight w:val="257"/>
        </w:trPr>
        <w:tc>
          <w:tcPr>
            <w:tcW w:w="7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assets acquired</w:t>
            </w:r>
          </w:p>
        </w:tc>
        <w:tc>
          <w:tcPr>
            <w:tcW w:w="1340" w:type="dxa"/>
            <w:vAlign w:val="bottom"/>
            <w:tcBorders>
              <w:top w:val="single" w:sz="8" w:color="auto"/>
              <w:bottom w:val="single" w:sz="8" w:color="auto"/>
            </w:tcBorders>
          </w:tcPr>
          <w:p>
            <w:pPr>
              <w:jc w:val="right"/>
              <w:ind w:right="1163"/>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62.9</w:t>
            </w:r>
          </w:p>
        </w:tc>
      </w:tr>
      <w:tr>
        <w:trPr>
          <w:trHeight w:val="235"/>
        </w:trPr>
        <w:tc>
          <w:tcPr>
            <w:tcW w:w="7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5"/>
                <w:szCs w:val="15"/>
                <w:color w:val="auto"/>
              </w:rPr>
              <w:t>Liabilities assumed:</w:t>
            </w: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
        </w:trPr>
        <w:tc>
          <w:tcPr>
            <w:tcW w:w="7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2"/>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Accounts payable, accrued and other liabilities</w:t>
            </w:r>
          </w:p>
        </w:tc>
        <w:tc>
          <w:tcPr>
            <w:tcW w:w="1340" w:type="dxa"/>
            <w:vAlign w:val="bottom"/>
            <w:tcBorders>
              <w:bottom w:val="single" w:sz="8" w:color="CCEEFF"/>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6.3</w:t>
            </w:r>
          </w:p>
        </w:tc>
      </w:tr>
      <w:tr>
        <w:trPr>
          <w:trHeight w:val="208"/>
        </w:trPr>
        <w:tc>
          <w:tcPr>
            <w:tcW w:w="784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1340" w:type="dxa"/>
            <w:vAlign w:val="bottom"/>
          </w:tcPr>
          <w:p>
            <w:pPr>
              <w:spacing w:after="0"/>
              <w:rPr>
                <w:sz w:val="18"/>
                <w:szCs w:val="18"/>
                <w:color w:val="auto"/>
              </w:rPr>
            </w:pPr>
          </w:p>
        </w:tc>
        <w:tc>
          <w:tcPr>
            <w:tcW w:w="1700" w:type="dxa"/>
            <w:vAlign w:val="bottom"/>
          </w:tcPr>
          <w:p>
            <w:pPr>
              <w:jc w:val="right"/>
              <w:ind w:right="23"/>
              <w:spacing w:after="0"/>
              <w:rPr>
                <w:sz w:val="20"/>
                <w:szCs w:val="20"/>
                <w:color w:val="auto"/>
              </w:rPr>
            </w:pPr>
            <w:r>
              <w:rPr>
                <w:rFonts w:ascii="Arial" w:cs="Arial" w:eastAsia="Arial" w:hAnsi="Arial"/>
                <w:sz w:val="15"/>
                <w:szCs w:val="15"/>
                <w:color w:val="auto"/>
              </w:rPr>
              <w:t>4.8</w:t>
            </w:r>
          </w:p>
        </w:tc>
      </w:tr>
      <w:tr>
        <w:trPr>
          <w:trHeight w:val="23"/>
        </w:trPr>
        <w:tc>
          <w:tcPr>
            <w:tcW w:w="7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2"/>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Deferred tax liability</w:t>
            </w:r>
          </w:p>
        </w:tc>
        <w:tc>
          <w:tcPr>
            <w:tcW w:w="1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6.9</w:t>
            </w:r>
          </w:p>
        </w:tc>
      </w:tr>
      <w:tr>
        <w:trPr>
          <w:trHeight w:val="200"/>
        </w:trPr>
        <w:tc>
          <w:tcPr>
            <w:tcW w:w="7840" w:type="dxa"/>
            <w:vAlign w:val="bottom"/>
          </w:tcPr>
          <w:p>
            <w:pPr>
              <w:spacing w:after="0"/>
              <w:rPr>
                <w:sz w:val="20"/>
                <w:szCs w:val="20"/>
                <w:color w:val="auto"/>
              </w:rPr>
            </w:pPr>
            <w:r>
              <w:rPr>
                <w:rFonts w:ascii="Arial" w:cs="Arial" w:eastAsia="Arial" w:hAnsi="Arial"/>
                <w:sz w:val="15"/>
                <w:szCs w:val="15"/>
                <w:color w:val="auto"/>
              </w:rPr>
              <w:t>Total liabilities assumed</w:t>
            </w:r>
          </w:p>
        </w:tc>
        <w:tc>
          <w:tcPr>
            <w:tcW w:w="13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18.0</w:t>
            </w:r>
          </w:p>
        </w:tc>
      </w:tr>
      <w:tr>
        <w:trPr>
          <w:trHeight w:val="23"/>
        </w:trPr>
        <w:tc>
          <w:tcPr>
            <w:tcW w:w="78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assets acquired, excluding goodwill</w:t>
            </w:r>
          </w:p>
        </w:tc>
        <w:tc>
          <w:tcPr>
            <w:tcW w:w="13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44.9</w:t>
            </w:r>
          </w:p>
        </w:tc>
      </w:tr>
      <w:tr>
        <w:trPr>
          <w:trHeight w:val="200"/>
        </w:trPr>
        <w:tc>
          <w:tcPr>
            <w:tcW w:w="7840" w:type="dxa"/>
            <w:vAlign w:val="bottom"/>
          </w:tcPr>
          <w:p>
            <w:pPr>
              <w:spacing w:after="0"/>
              <w:rPr>
                <w:sz w:val="20"/>
                <w:szCs w:val="20"/>
                <w:color w:val="auto"/>
              </w:rPr>
            </w:pPr>
            <w:r>
              <w:rPr>
                <w:rFonts w:ascii="Arial" w:cs="Arial" w:eastAsia="Arial" w:hAnsi="Arial"/>
                <w:sz w:val="15"/>
                <w:szCs w:val="15"/>
                <w:color w:val="auto"/>
              </w:rPr>
              <w:t>Total purchase consideration</w:t>
            </w:r>
          </w:p>
        </w:tc>
        <w:tc>
          <w:tcPr>
            <w:tcW w:w="13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177.9</w:t>
            </w:r>
          </w:p>
        </w:tc>
      </w:tr>
      <w:tr>
        <w:trPr>
          <w:trHeight w:val="23"/>
        </w:trPr>
        <w:tc>
          <w:tcPr>
            <w:tcW w:w="78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15"/>
                <w:szCs w:val="15"/>
                <w:color w:val="auto"/>
              </w:rPr>
              <w:t xml:space="preserve">Estimated goodwill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133.0</w:t>
            </w:r>
          </w:p>
        </w:tc>
      </w:tr>
      <w:tr>
        <w:trPr>
          <w:trHeight w:val="20"/>
        </w:trPr>
        <w:tc>
          <w:tcPr>
            <w:tcW w:w="7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520" w:hanging="157"/>
        <w:spacing w:after="0"/>
        <w:tabs>
          <w:tab w:leader="none" w:pos="520" w:val="left"/>
        </w:tabs>
        <w:numPr>
          <w:ilvl w:val="0"/>
          <w:numId w:val="8"/>
        </w:numPr>
        <w:rPr>
          <w:rFonts w:ascii="Arial" w:cs="Arial" w:eastAsia="Arial" w:hAnsi="Arial"/>
          <w:sz w:val="19"/>
          <w:szCs w:val="19"/>
          <w:color w:val="auto"/>
          <w:vertAlign w:val="superscript"/>
        </w:rPr>
      </w:pPr>
      <w:r>
        <w:rPr>
          <w:rFonts w:ascii="Arial" w:cs="Arial" w:eastAsia="Arial" w:hAnsi="Arial"/>
          <w:sz w:val="11"/>
          <w:szCs w:val="11"/>
          <w:color w:val="auto"/>
        </w:rPr>
        <w:t>The goodwill recognized was primarily attributable to the opportunity to expand the user base of the Company's platform. The goodwill is not deductible for U.S. federal income tax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40" w:top="123"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the separately identifiable finite-lived intangible assets acquired and estimated weighted average useful lives are as follows:</w:t>
      </w:r>
    </w:p>
    <w:p>
      <w:pPr>
        <w:spacing w:after="0" w:line="337"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1"/>
              </w:rPr>
              <w:t>Estimated weighted average</w:t>
            </w:r>
          </w:p>
        </w:tc>
      </w:tr>
      <w:tr>
        <w:trPr>
          <w:trHeight w:val="185"/>
        </w:trPr>
        <w:tc>
          <w:tcPr>
            <w:tcW w:w="6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4"/>
              </w:rPr>
              <w:t>useful lives</w:t>
            </w:r>
          </w:p>
        </w:tc>
      </w:tr>
      <w:tr>
        <w:trPr>
          <w:trHeight w:val="196"/>
        </w:trPr>
        <w:tc>
          <w:tcPr>
            <w:tcW w:w="64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Estimated fair values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ind w:left="800"/>
              <w:spacing w:after="0"/>
              <w:rPr>
                <w:sz w:val="20"/>
                <w:szCs w:val="20"/>
                <w:color w:val="auto"/>
              </w:rPr>
            </w:pPr>
            <w:r>
              <w:rPr>
                <w:rFonts w:ascii="Arial" w:cs="Arial" w:eastAsia="Arial" w:hAnsi="Arial"/>
                <w:sz w:val="15"/>
                <w:szCs w:val="15"/>
                <w:color w:val="auto"/>
              </w:rPr>
              <w:t>(In years)</w:t>
            </w:r>
          </w:p>
        </w:tc>
      </w:tr>
      <w:tr>
        <w:trPr>
          <w:trHeight w:val="23"/>
        </w:trPr>
        <w:tc>
          <w:tcPr>
            <w:tcW w:w="64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1760" w:type="dxa"/>
            <w:vAlign w:val="bottom"/>
            <w:tcBorders>
              <w:bottom w:val="single" w:sz="8" w:color="CCEEFF"/>
            </w:tcBorders>
            <w:shd w:val="clear" w:color="auto" w:fill="CCEEFF"/>
          </w:tcPr>
          <w:p>
            <w:pPr>
              <w:jc w:val="right"/>
              <w:ind w:right="1603"/>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20.5</w:t>
            </w:r>
          </w:p>
        </w:tc>
        <w:tc>
          <w:tcPr>
            <w:tcW w:w="2280" w:type="dxa"/>
            <w:vAlign w:val="bottom"/>
            <w:tcBorders>
              <w:bottom w:val="single" w:sz="8" w:color="CCEEFF"/>
            </w:tcBorders>
            <w:gridSpan w:val="2"/>
            <w:shd w:val="clear" w:color="auto" w:fill="CCEEFF"/>
          </w:tcPr>
          <w:p>
            <w:pPr>
              <w:jc w:val="center"/>
              <w:ind w:left="43"/>
              <w:spacing w:after="0"/>
              <w:rPr>
                <w:sz w:val="20"/>
                <w:szCs w:val="20"/>
                <w:color w:val="auto"/>
              </w:rPr>
            </w:pPr>
            <w:r>
              <w:rPr>
                <w:rFonts w:ascii="Arial" w:cs="Arial" w:eastAsia="Arial" w:hAnsi="Arial"/>
                <w:sz w:val="15"/>
                <w:szCs w:val="15"/>
                <w:color w:val="auto"/>
                <w:w w:val="95"/>
              </w:rPr>
              <w:t>4.9</w:t>
            </w:r>
          </w:p>
        </w:tc>
      </w:tr>
      <w:tr>
        <w:trPr>
          <w:trHeight w:val="208"/>
        </w:trPr>
        <w:tc>
          <w:tcPr>
            <w:tcW w:w="6440" w:type="dxa"/>
            <w:vAlign w:val="bottom"/>
          </w:tcPr>
          <w:p>
            <w:pPr>
              <w:spacing w:after="0"/>
              <w:rPr>
                <w:sz w:val="20"/>
                <w:szCs w:val="20"/>
                <w:color w:val="auto"/>
              </w:rPr>
            </w:pPr>
            <w:r>
              <w:rPr>
                <w:rFonts w:ascii="Arial" w:cs="Arial" w:eastAsia="Arial" w:hAnsi="Arial"/>
                <w:sz w:val="15"/>
                <w:szCs w:val="15"/>
                <w:color w:val="auto"/>
              </w:rPr>
              <w:t>Developed technology</w:t>
            </w:r>
          </w:p>
        </w:tc>
        <w:tc>
          <w:tcPr>
            <w:tcW w:w="1760" w:type="dxa"/>
            <w:vAlign w:val="bottom"/>
          </w:tcPr>
          <w:p>
            <w:pPr>
              <w:spacing w:after="0"/>
              <w:rPr>
                <w:sz w:val="18"/>
                <w:szCs w:val="18"/>
                <w:color w:val="auto"/>
              </w:rPr>
            </w:pPr>
          </w:p>
        </w:tc>
        <w:tc>
          <w:tcPr>
            <w:tcW w:w="400" w:type="dxa"/>
            <w:vAlign w:val="bottom"/>
          </w:tcPr>
          <w:p>
            <w:pPr>
              <w:jc w:val="right"/>
              <w:ind w:right="23"/>
              <w:spacing w:after="0"/>
              <w:rPr>
                <w:sz w:val="20"/>
                <w:szCs w:val="20"/>
                <w:color w:val="auto"/>
              </w:rPr>
            </w:pPr>
            <w:r>
              <w:rPr>
                <w:rFonts w:ascii="Arial" w:cs="Arial" w:eastAsia="Arial" w:hAnsi="Arial"/>
                <w:sz w:val="15"/>
                <w:szCs w:val="15"/>
                <w:color w:val="auto"/>
                <w:w w:val="95"/>
              </w:rPr>
              <w:t>19.6</w:t>
            </w:r>
          </w:p>
        </w:tc>
        <w:tc>
          <w:tcPr>
            <w:tcW w:w="2280" w:type="dxa"/>
            <w:vAlign w:val="bottom"/>
            <w:gridSpan w:val="2"/>
          </w:tcPr>
          <w:p>
            <w:pPr>
              <w:jc w:val="center"/>
              <w:ind w:left="43"/>
              <w:spacing w:after="0"/>
              <w:rPr>
                <w:sz w:val="20"/>
                <w:szCs w:val="20"/>
                <w:color w:val="auto"/>
              </w:rPr>
            </w:pPr>
            <w:r>
              <w:rPr>
                <w:rFonts w:ascii="Arial" w:cs="Arial" w:eastAsia="Arial" w:hAnsi="Arial"/>
                <w:sz w:val="15"/>
                <w:szCs w:val="15"/>
                <w:color w:val="auto"/>
                <w:w w:val="95"/>
              </w:rPr>
              <w:t>5.0</w:t>
            </w:r>
          </w:p>
        </w:tc>
      </w:tr>
      <w:tr>
        <w:trPr>
          <w:trHeight w:val="23"/>
        </w:trPr>
        <w:tc>
          <w:tcPr>
            <w:tcW w:w="6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2"/>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Trade name</w:t>
            </w:r>
          </w:p>
        </w:tc>
        <w:tc>
          <w:tcPr>
            <w:tcW w:w="1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4.5</w:t>
            </w:r>
          </w:p>
        </w:tc>
        <w:tc>
          <w:tcPr>
            <w:tcW w:w="2280" w:type="dxa"/>
            <w:vAlign w:val="bottom"/>
            <w:tcBorders>
              <w:bottom w:val="single" w:sz="8" w:color="CCEEFF"/>
            </w:tcBorders>
            <w:gridSpan w:val="2"/>
            <w:shd w:val="clear" w:color="auto" w:fill="CCEEFF"/>
          </w:tcPr>
          <w:p>
            <w:pPr>
              <w:jc w:val="center"/>
              <w:ind w:left="43"/>
              <w:spacing w:after="0"/>
              <w:rPr>
                <w:sz w:val="20"/>
                <w:szCs w:val="20"/>
                <w:color w:val="auto"/>
              </w:rPr>
            </w:pPr>
            <w:r>
              <w:rPr>
                <w:rFonts w:ascii="Arial" w:cs="Arial" w:eastAsia="Arial" w:hAnsi="Arial"/>
                <w:sz w:val="15"/>
                <w:szCs w:val="15"/>
                <w:color w:val="auto"/>
                <w:w w:val="95"/>
              </w:rPr>
              <w:t>5.0</w:t>
            </w:r>
          </w:p>
        </w:tc>
      </w:tr>
      <w:tr>
        <w:trPr>
          <w:trHeight w:val="217"/>
        </w:trPr>
        <w:tc>
          <w:tcPr>
            <w:tcW w:w="6440" w:type="dxa"/>
            <w:vAlign w:val="bottom"/>
          </w:tcPr>
          <w:p>
            <w:pPr>
              <w:spacing w:after="0"/>
              <w:rPr>
                <w:sz w:val="20"/>
                <w:szCs w:val="20"/>
                <w:color w:val="auto"/>
              </w:rPr>
            </w:pPr>
            <w:r>
              <w:rPr>
                <w:rFonts w:ascii="Arial" w:cs="Arial" w:eastAsia="Arial" w:hAnsi="Arial"/>
                <w:sz w:val="15"/>
                <w:szCs w:val="15"/>
                <w:color w:val="auto"/>
              </w:rPr>
              <w:t>Total acquisition-related intangible assets</w:t>
            </w:r>
          </w:p>
        </w:tc>
        <w:tc>
          <w:tcPr>
            <w:tcW w:w="1760" w:type="dxa"/>
            <w:vAlign w:val="bottom"/>
            <w:tcBorders>
              <w:top w:val="single" w:sz="8" w:color="auto"/>
              <w:bottom w:val="single" w:sz="8" w:color="auto"/>
            </w:tcBorders>
          </w:tcPr>
          <w:p>
            <w:pPr>
              <w:jc w:val="right"/>
              <w:ind w:right="160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44.6</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371"/>
        <w:spacing w:after="0" w:line="273" w:lineRule="auto"/>
        <w:rPr>
          <w:sz w:val="20"/>
          <w:szCs w:val="20"/>
          <w:color w:val="auto"/>
        </w:rPr>
      </w:pPr>
      <w:r>
        <w:rPr>
          <w:rFonts w:ascii="Arial" w:cs="Arial" w:eastAsia="Arial" w:hAnsi="Arial"/>
          <w:sz w:val="15"/>
          <w:szCs w:val="15"/>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The acquired intangible assets have a total weighted average amortization period of 4.9 years.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One-time acquisition-related diligence costs of $1.0 million were expensed within general and administrative expenses as incurred during the six months ended June 30, 2019.</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40" w:type="dxa"/>
            <w:vAlign w:val="bottom"/>
            <w:gridSpan w:val="4"/>
          </w:tcPr>
          <w:p>
            <w:pPr>
              <w:jc w:val="center"/>
              <w:ind w:right="4260"/>
              <w:spacing w:after="0"/>
              <w:rPr>
                <w:sz w:val="20"/>
                <w:szCs w:val="20"/>
                <w:color w:val="auto"/>
              </w:rPr>
            </w:pPr>
            <w:r>
              <w:rPr>
                <w:rFonts w:ascii="Arial" w:cs="Arial" w:eastAsia="Arial" w:hAnsi="Arial"/>
                <w:sz w:val="15"/>
                <w:szCs w:val="15"/>
                <w:b w:val="1"/>
                <w:bCs w:val="1"/>
                <w:color w:val="auto"/>
                <w:w w:val="94"/>
              </w:rPr>
              <w:t>Note 6. Intangible Assets</w:t>
            </w: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20" w:type="dxa"/>
            <w:vAlign w:val="bottom"/>
          </w:tcPr>
          <w:p>
            <w:pPr>
              <w:spacing w:after="0"/>
              <w:rPr>
                <w:sz w:val="24"/>
                <w:szCs w:val="24"/>
                <w:color w:val="auto"/>
              </w:rPr>
            </w:pPr>
          </w:p>
        </w:tc>
        <w:tc>
          <w:tcPr>
            <w:tcW w:w="5620" w:type="dxa"/>
            <w:vAlign w:val="bottom"/>
            <w:gridSpan w:val="3"/>
          </w:tcPr>
          <w:p>
            <w:pPr>
              <w:ind w:left="40"/>
              <w:spacing w:after="0"/>
              <w:rPr>
                <w:sz w:val="20"/>
                <w:szCs w:val="20"/>
                <w:color w:val="auto"/>
              </w:rPr>
            </w:pPr>
            <w:r>
              <w:rPr>
                <w:rFonts w:ascii="Arial" w:cs="Arial" w:eastAsia="Arial" w:hAnsi="Arial"/>
                <w:sz w:val="15"/>
                <w:szCs w:val="15"/>
                <w:color w:val="auto"/>
              </w:rPr>
              <w:t>Intangible assets consisted of the following:</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center"/>
              <w:ind w:left="23"/>
              <w:spacing w:after="0"/>
              <w:rPr>
                <w:sz w:val="20"/>
                <w:szCs w:val="20"/>
                <w:color w:val="auto"/>
              </w:rPr>
            </w:pPr>
            <w:r>
              <w:rPr>
                <w:rFonts w:ascii="Arial" w:cs="Arial" w:eastAsia="Arial" w:hAnsi="Arial"/>
                <w:sz w:val="15"/>
                <w:szCs w:val="15"/>
                <w:b w:val="1"/>
                <w:bCs w:val="1"/>
                <w:color w:val="auto"/>
                <w:w w:val="90"/>
              </w:rPr>
              <w:t>Weighted-</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As of June 30,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right"/>
              <w:ind w:right="263"/>
              <w:spacing w:after="0"/>
              <w:rPr>
                <w:sz w:val="20"/>
                <w:szCs w:val="20"/>
                <w:color w:val="auto"/>
              </w:rPr>
            </w:pPr>
            <w:r>
              <w:rPr>
                <w:rFonts w:ascii="Arial" w:cs="Arial" w:eastAsia="Arial" w:hAnsi="Arial"/>
                <w:sz w:val="15"/>
                <w:szCs w:val="15"/>
                <w:b w:val="1"/>
                <w:bCs w:val="1"/>
                <w:color w:val="auto"/>
              </w:rPr>
              <w:t>As of December 31,</w:t>
            </w:r>
          </w:p>
        </w:tc>
        <w:tc>
          <w:tcPr>
            <w:tcW w:w="1480" w:type="dxa"/>
            <w:vAlign w:val="bottom"/>
          </w:tcPr>
          <w:p>
            <w:pPr>
              <w:jc w:val="center"/>
              <w:ind w:left="23"/>
              <w:spacing w:after="0"/>
              <w:rPr>
                <w:sz w:val="20"/>
                <w:szCs w:val="20"/>
                <w:color w:val="auto"/>
              </w:rPr>
            </w:pPr>
            <w:r>
              <w:rPr>
                <w:rFonts w:ascii="Arial" w:cs="Arial" w:eastAsia="Arial" w:hAnsi="Arial"/>
                <w:sz w:val="15"/>
                <w:szCs w:val="15"/>
                <w:b w:val="1"/>
                <w:bCs w:val="1"/>
                <w:color w:val="auto"/>
                <w:w w:val="88"/>
              </w:rPr>
              <w:t>average</w:t>
            </w:r>
          </w:p>
        </w:tc>
        <w:tc>
          <w:tcPr>
            <w:tcW w:w="0" w:type="dxa"/>
            <w:vAlign w:val="bottom"/>
          </w:tcPr>
          <w:p>
            <w:pPr>
              <w:spacing w:after="0"/>
              <w:rPr>
                <w:sz w:val="1"/>
                <w:szCs w:val="1"/>
                <w:color w:val="auto"/>
              </w:rPr>
            </w:pPr>
          </w:p>
        </w:tc>
      </w:tr>
      <w:tr>
        <w:trPr>
          <w:trHeight w:val="69"/>
        </w:trPr>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80" w:type="dxa"/>
            <w:vAlign w:val="bottom"/>
            <w:vMerge w:val="restart"/>
          </w:tcPr>
          <w:p>
            <w:pPr>
              <w:jc w:val="center"/>
              <w:ind w:left="23"/>
              <w:spacing w:after="0" w:line="169" w:lineRule="exact"/>
              <w:rPr>
                <w:sz w:val="20"/>
                <w:szCs w:val="20"/>
                <w:color w:val="auto"/>
              </w:rPr>
            </w:pPr>
            <w:r>
              <w:rPr>
                <w:rFonts w:ascii="Arial" w:cs="Arial" w:eastAsia="Arial" w:hAnsi="Arial"/>
                <w:sz w:val="15"/>
                <w:szCs w:val="15"/>
                <w:b w:val="1"/>
                <w:bCs w:val="1"/>
                <w:color w:val="auto"/>
                <w:w w:val="91"/>
              </w:rPr>
              <w:t>remaining</w:t>
            </w: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60" w:type="dxa"/>
            <w:vAlign w:val="bottom"/>
            <w:vMerge w:val="restart"/>
          </w:tcPr>
          <w:p>
            <w:pPr>
              <w:jc w:val="right"/>
              <w:ind w:right="263"/>
              <w:spacing w:after="0"/>
              <w:rPr>
                <w:sz w:val="20"/>
                <w:szCs w:val="20"/>
                <w:color w:val="auto"/>
              </w:rPr>
            </w:pPr>
            <w:r>
              <w:rPr>
                <w:rFonts w:ascii="Arial" w:cs="Arial" w:eastAsia="Arial" w:hAnsi="Arial"/>
                <w:sz w:val="15"/>
                <w:szCs w:val="15"/>
                <w:b w:val="1"/>
                <w:bCs w:val="1"/>
                <w:color w:val="auto"/>
              </w:rPr>
              <w:t>2019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640" w:type="dxa"/>
            <w:vAlign w:val="bottom"/>
          </w:tcPr>
          <w:p>
            <w:pPr>
              <w:spacing w:after="0"/>
              <w:rPr>
                <w:sz w:val="16"/>
                <w:szCs w:val="16"/>
                <w:color w:val="auto"/>
              </w:rPr>
            </w:pPr>
          </w:p>
        </w:tc>
        <w:tc>
          <w:tcPr>
            <w:tcW w:w="1480" w:type="dxa"/>
            <w:vAlign w:val="bottom"/>
          </w:tcPr>
          <w:p>
            <w:pPr>
              <w:jc w:val="center"/>
              <w:ind w:left="3"/>
              <w:spacing w:after="0"/>
              <w:rPr>
                <w:sz w:val="20"/>
                <w:szCs w:val="20"/>
                <w:color w:val="auto"/>
              </w:rPr>
            </w:pPr>
            <w:r>
              <w:rPr>
                <w:rFonts w:ascii="Arial" w:cs="Arial" w:eastAsia="Arial" w:hAnsi="Arial"/>
                <w:sz w:val="15"/>
                <w:szCs w:val="15"/>
                <w:b w:val="1"/>
                <w:bCs w:val="1"/>
                <w:color w:val="auto"/>
                <w:w w:val="91"/>
              </w:rPr>
              <w:t>useful life</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tcPr>
          <w:p>
            <w:pPr>
              <w:jc w:val="center"/>
              <w:ind w:left="23"/>
              <w:spacing w:after="0"/>
              <w:rPr>
                <w:sz w:val="20"/>
                <w:szCs w:val="20"/>
                <w:color w:val="auto"/>
              </w:rPr>
            </w:pPr>
            <w:r>
              <w:rPr>
                <w:rFonts w:ascii="Arial" w:cs="Arial" w:eastAsia="Arial" w:hAnsi="Arial"/>
                <w:sz w:val="15"/>
                <w:szCs w:val="15"/>
                <w:color w:val="auto"/>
                <w:w w:val="91"/>
              </w:rPr>
              <w:t>(In years)</w:t>
            </w:r>
          </w:p>
        </w:tc>
        <w:tc>
          <w:tcPr>
            <w:tcW w:w="0" w:type="dxa"/>
            <w:vAlign w:val="bottom"/>
          </w:tcPr>
          <w:p>
            <w:pPr>
              <w:spacing w:after="0"/>
              <w:rPr>
                <w:sz w:val="1"/>
                <w:szCs w:val="1"/>
                <w:color w:val="auto"/>
              </w:rPr>
            </w:pPr>
          </w:p>
        </w:tc>
      </w:tr>
      <w:tr>
        <w:trPr>
          <w:trHeight w:val="23"/>
        </w:trPr>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Developed technology</w:t>
            </w:r>
          </w:p>
        </w:tc>
        <w:tc>
          <w:tcPr>
            <w:tcW w:w="1460" w:type="dxa"/>
            <w:vAlign w:val="bottom"/>
            <w:tcBorders>
              <w:bottom w:val="single" w:sz="8" w:color="CCEEFF"/>
            </w:tcBorders>
            <w:shd w:val="clear" w:color="auto" w:fill="CCEEFF"/>
          </w:tcPr>
          <w:p>
            <w:pPr>
              <w:jc w:val="right"/>
              <w:ind w:right="128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25.0</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11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47.0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8"/>
        </w:trPr>
        <w:tc>
          <w:tcPr>
            <w:tcW w:w="5940" w:type="dxa"/>
            <w:vAlign w:val="bottom"/>
            <w:gridSpan w:val="4"/>
          </w:tcPr>
          <w:p>
            <w:pPr>
              <w:ind w:left="20"/>
              <w:spacing w:after="0"/>
              <w:rPr>
                <w:sz w:val="20"/>
                <w:szCs w:val="20"/>
                <w:color w:val="auto"/>
              </w:rPr>
            </w:pPr>
            <w:r>
              <w:rPr>
                <w:rFonts w:ascii="Arial" w:cs="Arial" w:eastAsia="Arial" w:hAnsi="Arial"/>
                <w:sz w:val="15"/>
                <w:szCs w:val="15"/>
                <w:color w:val="auto"/>
              </w:rPr>
              <w:t>Customer relationships</w:t>
            </w:r>
          </w:p>
        </w:tc>
        <w:tc>
          <w:tcPr>
            <w:tcW w:w="146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20.5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Software</w:t>
            </w:r>
          </w:p>
        </w:tc>
        <w:tc>
          <w:tcPr>
            <w:tcW w:w="4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19.2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8"/>
        </w:trPr>
        <w:tc>
          <w:tcPr>
            <w:tcW w:w="5940" w:type="dxa"/>
            <w:vAlign w:val="bottom"/>
            <w:gridSpan w:val="4"/>
          </w:tcPr>
          <w:p>
            <w:pPr>
              <w:ind w:left="20"/>
              <w:spacing w:after="0"/>
              <w:rPr>
                <w:sz w:val="20"/>
                <w:szCs w:val="20"/>
                <w:color w:val="auto"/>
              </w:rPr>
            </w:pPr>
            <w:r>
              <w:rPr>
                <w:rFonts w:ascii="Arial" w:cs="Arial" w:eastAsia="Arial" w:hAnsi="Arial"/>
                <w:sz w:val="15"/>
                <w:szCs w:val="15"/>
                <w:color w:val="auto"/>
              </w:rPr>
              <w:t>Patents</w:t>
            </w:r>
          </w:p>
        </w:tc>
        <w:tc>
          <w:tcPr>
            <w:tcW w:w="146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13.0</w:t>
            </w:r>
          </w:p>
        </w:tc>
        <w:tc>
          <w:tcPr>
            <w:tcW w:w="148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Assembled workforce in asset acquisitions</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8"/>
        </w:trPr>
        <w:tc>
          <w:tcPr>
            <w:tcW w:w="5940" w:type="dxa"/>
            <w:vAlign w:val="bottom"/>
            <w:gridSpan w:val="4"/>
          </w:tcPr>
          <w:p>
            <w:pPr>
              <w:ind w:left="20"/>
              <w:spacing w:after="0"/>
              <w:rPr>
                <w:sz w:val="20"/>
                <w:szCs w:val="20"/>
                <w:color w:val="auto"/>
              </w:rPr>
            </w:pPr>
            <w:r>
              <w:rPr>
                <w:rFonts w:ascii="Arial" w:cs="Arial" w:eastAsia="Arial" w:hAnsi="Arial"/>
                <w:sz w:val="15"/>
                <w:szCs w:val="15"/>
                <w:color w:val="auto"/>
              </w:rPr>
              <w:t>Licenses</w:t>
            </w:r>
          </w:p>
        </w:tc>
        <w:tc>
          <w:tcPr>
            <w:tcW w:w="146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4.6</w:t>
            </w:r>
          </w:p>
        </w:tc>
        <w:tc>
          <w:tcPr>
            <w:tcW w:w="148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Trademarks and trade names</w:t>
            </w: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8"/>
        </w:trPr>
        <w:tc>
          <w:tcPr>
            <w:tcW w:w="5940" w:type="dxa"/>
            <w:vAlign w:val="bottom"/>
            <w:gridSpan w:val="4"/>
          </w:tcPr>
          <w:p>
            <w:pPr>
              <w:ind w:left="20"/>
              <w:spacing w:after="0"/>
              <w:rPr>
                <w:sz w:val="20"/>
                <w:szCs w:val="20"/>
                <w:color w:val="auto"/>
              </w:rPr>
            </w:pPr>
            <w:r>
              <w:rPr>
                <w:rFonts w:ascii="Arial" w:cs="Arial" w:eastAsia="Arial" w:hAnsi="Arial"/>
                <w:sz w:val="15"/>
                <w:szCs w:val="15"/>
                <w:color w:val="auto"/>
              </w:rPr>
              <w:t>Other</w:t>
            </w:r>
          </w:p>
        </w:tc>
        <w:tc>
          <w:tcPr>
            <w:tcW w:w="1460" w:type="dxa"/>
            <w:vAlign w:val="bottom"/>
          </w:tcPr>
          <w:p>
            <w:pPr>
              <w:spacing w:after="0"/>
              <w:rPr>
                <w:sz w:val="18"/>
                <w:szCs w:val="18"/>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3.3</w:t>
            </w:r>
          </w:p>
        </w:tc>
        <w:tc>
          <w:tcPr>
            <w:tcW w:w="148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3"/>
        </w:trPr>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3"/>
                <w:shd w:val="clear" w:color="auto" w:fill="CCEEFF"/>
              </w:rPr>
              <w:t>Total intangibles</w:t>
            </w:r>
          </w:p>
        </w:tc>
        <w:tc>
          <w:tcPr>
            <w:tcW w:w="46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0"/>
              </w:rPr>
              <w:t>104.2</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100.4</w:t>
            </w: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40" w:type="dxa"/>
            <w:vAlign w:val="bottom"/>
            <w:gridSpan w:val="4"/>
          </w:tcPr>
          <w:p>
            <w:pPr>
              <w:ind w:left="20"/>
              <w:spacing w:after="0"/>
              <w:rPr>
                <w:sz w:val="20"/>
                <w:szCs w:val="20"/>
                <w:color w:val="auto"/>
              </w:rPr>
            </w:pPr>
            <w:r>
              <w:rPr>
                <w:rFonts w:ascii="Arial" w:cs="Arial" w:eastAsia="Arial" w:hAnsi="Arial"/>
                <w:sz w:val="15"/>
                <w:szCs w:val="15"/>
                <w:color w:val="auto"/>
              </w:rPr>
              <w:t>Accumulated amortization</w:t>
            </w:r>
          </w:p>
        </w:tc>
        <w:tc>
          <w:tcPr>
            <w:tcW w:w="1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88"/>
                <w:shd w:val="clear" w:color="auto" w:fill="CCEEFF"/>
              </w:rPr>
              <w:t>Intangible assets, net</w:t>
            </w:r>
          </w:p>
        </w:tc>
        <w:tc>
          <w:tcPr>
            <w:tcW w:w="4640" w:type="dxa"/>
            <w:vAlign w:val="bottom"/>
            <w:tcBorders>
              <w:bottom w:val="single" w:sz="8" w:color="CCEEFF"/>
            </w:tcBorders>
            <w:gridSpan w:val="2"/>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283"/>
              <w:spacing w:after="0"/>
              <w:rPr>
                <w:sz w:val="20"/>
                <w:szCs w:val="20"/>
                <w:color w:val="auto"/>
              </w:rPr>
            </w:pPr>
            <w:r>
              <w:rPr>
                <w:rFonts w:ascii="Arial" w:cs="Arial" w:eastAsia="Arial" w:hAnsi="Arial"/>
                <w:sz w:val="15"/>
                <w:szCs w:val="15"/>
                <w:color w:val="auto"/>
                <w:w w:val="95"/>
              </w:rPr>
              <w:t>$</w:t>
            </w:r>
          </w:p>
        </w:tc>
        <w:tc>
          <w:tcPr>
            <w:tcW w:w="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53.7</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12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14.7</w:t>
            </w: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first quarter of 2019 the Company retired $41.7 million in fully amortized developed technology assets.</w:t>
      </w:r>
    </w:p>
    <w:p>
      <w:pPr>
        <w:spacing w:after="0" w:line="198" w:lineRule="exact"/>
        <w:rPr>
          <w:sz w:val="20"/>
          <w:szCs w:val="20"/>
          <w:color w:val="auto"/>
        </w:rPr>
      </w:pPr>
    </w:p>
    <w:p>
      <w:pPr>
        <w:ind w:right="260" w:firstLine="371"/>
        <w:spacing w:after="0" w:line="289" w:lineRule="auto"/>
        <w:rPr>
          <w:sz w:val="20"/>
          <w:szCs w:val="20"/>
          <w:color w:val="auto"/>
        </w:rPr>
      </w:pPr>
      <w:r>
        <w:rPr>
          <w:rFonts w:ascii="Arial" w:cs="Arial" w:eastAsia="Arial" w:hAnsi="Arial"/>
          <w:sz w:val="15"/>
          <w:szCs w:val="15"/>
          <w:color w:val="auto"/>
        </w:rPr>
        <w:t>Amortization expense was $3.7 million and $6.5 million for the three and six months ended June 30, 2019, respectively, and $2.0 million and $3.8 million for the three and six months ended June 30, 2018,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20"/>
          </w:cols>
          <w:pgMar w:left="240" w:top="123"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60" w:type="dxa"/>
            <w:vAlign w:val="bottom"/>
          </w:tcPr>
          <w:p>
            <w:pPr>
              <w:jc w:val="center"/>
              <w:ind w:left="1983"/>
              <w:spacing w:after="0"/>
              <w:rPr>
                <w:sz w:val="20"/>
                <w:szCs w:val="20"/>
                <w:color w:val="auto"/>
              </w:rPr>
            </w:pPr>
            <w:r>
              <w:rPr>
                <w:rFonts w:ascii="Arial" w:cs="Arial" w:eastAsia="Arial" w:hAnsi="Arial"/>
                <w:sz w:val="15"/>
                <w:szCs w:val="15"/>
                <w:b w:val="1"/>
                <w:bCs w:val="1"/>
                <w:color w:val="auto"/>
              </w:rPr>
              <w:t>DROPBOX, INC.</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2"/>
        </w:trPr>
        <w:tc>
          <w:tcPr>
            <w:tcW w:w="9360" w:type="dxa"/>
            <w:vAlign w:val="bottom"/>
          </w:tcPr>
          <w:p>
            <w:pPr>
              <w:jc w:val="center"/>
              <w:ind w:left="1983"/>
              <w:spacing w:after="0"/>
              <w:rPr>
                <w:sz w:val="20"/>
                <w:szCs w:val="20"/>
                <w:color w:val="auto"/>
              </w:rPr>
            </w:pPr>
            <w:r>
              <w:rPr>
                <w:rFonts w:ascii="Arial" w:cs="Arial" w:eastAsia="Arial" w:hAnsi="Arial"/>
                <w:sz w:val="15"/>
                <w:szCs w:val="15"/>
                <w:b w:val="1"/>
                <w:bCs w:val="1"/>
                <w:color w:val="auto"/>
              </w:rPr>
              <w:t>NOTES TO UNAUDITED CONDENSED CONSOLIDATED FINANCIAL STATEMENTS</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8"/>
        </w:trPr>
        <w:tc>
          <w:tcPr>
            <w:tcW w:w="9360" w:type="dxa"/>
            <w:vAlign w:val="bottom"/>
          </w:tcPr>
          <w:p>
            <w:pPr>
              <w:jc w:val="center"/>
              <w:ind w:left="2003"/>
              <w:spacing w:after="0"/>
              <w:rPr>
                <w:sz w:val="20"/>
                <w:szCs w:val="20"/>
                <w:color w:val="auto"/>
              </w:rPr>
            </w:pPr>
            <w:r>
              <w:rPr>
                <w:rFonts w:ascii="Arial" w:cs="Arial" w:eastAsia="Arial" w:hAnsi="Arial"/>
                <w:sz w:val="15"/>
                <w:szCs w:val="15"/>
                <w:i w:val="1"/>
                <w:iCs w:val="1"/>
                <w:color w:val="auto"/>
                <w:w w:val="93"/>
              </w:rPr>
              <w:t>(Amounts in tables are in millions except per share data, or as otherwise noted)</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79"/>
        </w:trPr>
        <w:tc>
          <w:tcPr>
            <w:tcW w:w="9360" w:type="dxa"/>
            <w:vAlign w:val="bottom"/>
          </w:tcPr>
          <w:p>
            <w:pPr>
              <w:ind w:left="360"/>
              <w:spacing w:after="0"/>
              <w:rPr>
                <w:sz w:val="20"/>
                <w:szCs w:val="20"/>
                <w:color w:val="auto"/>
              </w:rPr>
            </w:pPr>
            <w:r>
              <w:rPr>
                <w:rFonts w:ascii="Arial" w:cs="Arial" w:eastAsia="Arial" w:hAnsi="Arial"/>
                <w:sz w:val="15"/>
                <w:szCs w:val="15"/>
                <w:color w:val="auto"/>
              </w:rPr>
              <w:t>Expected future amortization expense for intangible assets as of June 30, 2019, is as follows:</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4"/>
        </w:trPr>
        <w:tc>
          <w:tcPr>
            <w:tcW w:w="9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2"/>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Remaining six months of Fiscal 2019</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7.1</w:t>
            </w:r>
          </w:p>
        </w:tc>
      </w:tr>
      <w:tr>
        <w:trPr>
          <w:trHeight w:val="208"/>
        </w:trPr>
        <w:tc>
          <w:tcPr>
            <w:tcW w:w="9360" w:type="dxa"/>
            <w:vAlign w:val="bottom"/>
          </w:tcPr>
          <w:p>
            <w:pPr>
              <w:ind w:left="20"/>
              <w:spacing w:after="0"/>
              <w:rPr>
                <w:sz w:val="20"/>
                <w:szCs w:val="20"/>
                <w:color w:val="auto"/>
              </w:rPr>
            </w:pPr>
            <w:r>
              <w:rPr>
                <w:rFonts w:ascii="Arial" w:cs="Arial" w:eastAsia="Arial" w:hAnsi="Arial"/>
                <w:sz w:val="15"/>
                <w:szCs w:val="15"/>
                <w:color w:val="auto"/>
              </w:rPr>
              <w:t>2020</w:t>
            </w:r>
          </w:p>
        </w:tc>
        <w:tc>
          <w:tcPr>
            <w:tcW w:w="9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13.6</w:t>
            </w:r>
          </w:p>
        </w:tc>
      </w:tr>
      <w:tr>
        <w:trPr>
          <w:trHeight w:val="23"/>
        </w:trPr>
        <w:tc>
          <w:tcPr>
            <w:tcW w:w="9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9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11.3</w:t>
            </w:r>
          </w:p>
        </w:tc>
      </w:tr>
      <w:tr>
        <w:trPr>
          <w:trHeight w:val="208"/>
        </w:trPr>
        <w:tc>
          <w:tcPr>
            <w:tcW w:w="9360" w:type="dxa"/>
            <w:vAlign w:val="bottom"/>
          </w:tcPr>
          <w:p>
            <w:pPr>
              <w:ind w:left="20"/>
              <w:spacing w:after="0"/>
              <w:rPr>
                <w:sz w:val="20"/>
                <w:szCs w:val="20"/>
                <w:color w:val="auto"/>
              </w:rPr>
            </w:pPr>
            <w:r>
              <w:rPr>
                <w:rFonts w:ascii="Arial" w:cs="Arial" w:eastAsia="Arial" w:hAnsi="Arial"/>
                <w:sz w:val="15"/>
                <w:szCs w:val="15"/>
                <w:color w:val="auto"/>
              </w:rPr>
              <w:t>2022</w:t>
            </w:r>
          </w:p>
        </w:tc>
        <w:tc>
          <w:tcPr>
            <w:tcW w:w="9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8.0</w:t>
            </w:r>
          </w:p>
        </w:tc>
      </w:tr>
      <w:tr>
        <w:trPr>
          <w:trHeight w:val="23"/>
        </w:trPr>
        <w:tc>
          <w:tcPr>
            <w:tcW w:w="9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9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7.7</w:t>
            </w:r>
          </w:p>
        </w:tc>
      </w:tr>
      <w:tr>
        <w:trPr>
          <w:trHeight w:val="208"/>
        </w:trPr>
        <w:tc>
          <w:tcPr>
            <w:tcW w:w="936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9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6.0</w:t>
            </w:r>
          </w:p>
        </w:tc>
      </w:tr>
      <w:tr>
        <w:trPr>
          <w:trHeight w:val="23"/>
        </w:trPr>
        <w:tc>
          <w:tcPr>
            <w:tcW w:w="9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8"/>
        </w:trPr>
        <w:tc>
          <w:tcPr>
            <w:tcW w:w="9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53.7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Goodwill</w:t>
      </w:r>
    </w:p>
    <w:p>
      <w:pPr>
        <w:spacing w:after="0" w:line="204" w:lineRule="exact"/>
        <w:rPr>
          <w:sz w:val="20"/>
          <w:szCs w:val="20"/>
          <w:color w:val="auto"/>
        </w:rPr>
      </w:pPr>
    </w:p>
    <w:p>
      <w:pPr>
        <w:ind w:right="420" w:firstLine="371"/>
        <w:spacing w:after="0" w:line="289" w:lineRule="auto"/>
        <w:rPr>
          <w:sz w:val="20"/>
          <w:szCs w:val="20"/>
          <w:color w:val="auto"/>
        </w:rPr>
      </w:pPr>
      <w:r>
        <w:rPr>
          <w:rFonts w:ascii="Arial" w:cs="Arial" w:eastAsia="Arial" w:hAnsi="Arial"/>
          <w:sz w:val="15"/>
          <w:szCs w:val="15"/>
          <w:color w:val="auto"/>
        </w:rPr>
        <w:t>Goodwill represents the excess of the purchase price in a business combination over the fair value of net tangible and intangible assets acquired. The changes in the carrying amounts of goodwill were as follows:</w:t>
      </w:r>
    </w:p>
    <w:p>
      <w:pPr>
        <w:spacing w:after="0" w:line="82"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shd w:val="clear" w:color="auto" w:fill="CCEEFF"/>
              </w:rPr>
              <w:t>Balance at December 31, 2018</w:t>
            </w:r>
          </w:p>
        </w:tc>
        <w:tc>
          <w:tcPr>
            <w:tcW w:w="90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96.5</w:t>
            </w:r>
          </w:p>
        </w:tc>
      </w:tr>
      <w:tr>
        <w:trPr>
          <w:trHeight w:val="208"/>
        </w:trPr>
        <w:tc>
          <w:tcPr>
            <w:tcW w:w="8720" w:type="dxa"/>
            <w:vAlign w:val="bottom"/>
          </w:tcPr>
          <w:p>
            <w:pPr>
              <w:ind w:left="220"/>
              <w:spacing w:after="0"/>
              <w:rPr>
                <w:sz w:val="20"/>
                <w:szCs w:val="20"/>
                <w:color w:val="auto"/>
              </w:rPr>
            </w:pPr>
            <w:r>
              <w:rPr>
                <w:rFonts w:ascii="Arial" w:cs="Arial" w:eastAsia="Arial" w:hAnsi="Arial"/>
                <w:sz w:val="15"/>
                <w:szCs w:val="15"/>
                <w:color w:val="auto"/>
              </w:rPr>
              <w:t>HelloSign acquisition</w:t>
            </w:r>
          </w:p>
        </w:tc>
        <w:tc>
          <w:tcPr>
            <w:tcW w:w="90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133.0</w:t>
            </w:r>
          </w:p>
        </w:tc>
      </w:tr>
      <w:tr>
        <w:trPr>
          <w:trHeight w:val="23"/>
        </w:trPr>
        <w:tc>
          <w:tcPr>
            <w:tcW w:w="8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2"/>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shd w:val="clear" w:color="auto" w:fill="CCEEFF"/>
              </w:rPr>
              <w:t>Effect of foreign currency translation</w:t>
            </w:r>
          </w:p>
        </w:tc>
        <w:tc>
          <w:tcPr>
            <w:tcW w:w="9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shd w:val="clear" w:color="auto" w:fill="CCEEFF"/>
              </w:rPr>
              <w:t>1.4</w:t>
            </w:r>
          </w:p>
        </w:tc>
      </w:tr>
      <w:tr>
        <w:trPr>
          <w:trHeight w:val="217"/>
        </w:trPr>
        <w:tc>
          <w:tcPr>
            <w:tcW w:w="8720" w:type="dxa"/>
            <w:vAlign w:val="bottom"/>
          </w:tcPr>
          <w:p>
            <w:pPr>
              <w:spacing w:after="0"/>
              <w:rPr>
                <w:sz w:val="20"/>
                <w:szCs w:val="20"/>
                <w:color w:val="auto"/>
              </w:rPr>
            </w:pPr>
            <w:r>
              <w:rPr>
                <w:rFonts w:ascii="Arial" w:cs="Arial" w:eastAsia="Arial" w:hAnsi="Arial"/>
                <w:sz w:val="15"/>
                <w:szCs w:val="15"/>
                <w:color w:val="auto"/>
              </w:rPr>
              <w:t>Balance at June 30, 2019</w:t>
            </w:r>
          </w:p>
        </w:tc>
        <w:tc>
          <w:tcPr>
            <w:tcW w:w="90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230.9</w:t>
            </w:r>
          </w:p>
        </w:tc>
      </w:tr>
      <w:tr>
        <w:trPr>
          <w:trHeight w:val="20"/>
        </w:trPr>
        <w:tc>
          <w:tcPr>
            <w:tcW w:w="8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goodwill acquired from HelloSign is carried in U.S. dollars, while goodwill from previous acquisitions is denominated in other foreign currencies.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Goodwill amounts are not amortized, but tested for impairment on an annual basis. There was no impairment of goodwill as of June 30, 2019 and December 31, 2018.</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Revolving Credit Facility</w:t>
      </w:r>
    </w:p>
    <w:p>
      <w:pPr>
        <w:spacing w:after="0" w:line="204" w:lineRule="exact"/>
        <w:rPr>
          <w:sz w:val="20"/>
          <w:szCs w:val="20"/>
          <w:color w:val="auto"/>
        </w:rPr>
      </w:pPr>
    </w:p>
    <w:p>
      <w:pPr>
        <w:ind w:right="40" w:firstLine="371"/>
        <w:spacing w:after="0" w:line="327" w:lineRule="auto"/>
        <w:rPr>
          <w:sz w:val="20"/>
          <w:szCs w:val="20"/>
          <w:color w:val="auto"/>
        </w:rPr>
      </w:pPr>
      <w:r>
        <w:rPr>
          <w:rFonts w:ascii="Arial" w:cs="Arial" w:eastAsia="Arial" w:hAnsi="Arial"/>
          <w:sz w:val="14"/>
          <w:szCs w:val="14"/>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17" w:lineRule="exact"/>
        <w:rPr>
          <w:sz w:val="20"/>
          <w:szCs w:val="20"/>
          <w:color w:val="auto"/>
        </w:rPr>
      </w:pPr>
    </w:p>
    <w:p>
      <w:pPr>
        <w:ind w:right="80" w:firstLine="371"/>
        <w:spacing w:after="0" w:line="265" w:lineRule="auto"/>
        <w:rPr>
          <w:sz w:val="20"/>
          <w:szCs w:val="20"/>
          <w:color w:val="auto"/>
        </w:rPr>
      </w:pPr>
      <w:r>
        <w:rPr>
          <w:rFonts w:ascii="Arial" w:cs="Arial" w:eastAsia="Arial" w:hAnsi="Arial"/>
          <w:sz w:val="15"/>
          <w:szCs w:val="15"/>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60" w:lineRule="exact"/>
        <w:rPr>
          <w:sz w:val="20"/>
          <w:szCs w:val="20"/>
          <w:color w:val="auto"/>
        </w:rPr>
      </w:pPr>
    </w:p>
    <w:p>
      <w:pPr>
        <w:ind w:firstLine="371"/>
        <w:spacing w:after="0" w:line="264" w:lineRule="auto"/>
        <w:rPr>
          <w:sz w:val="20"/>
          <w:szCs w:val="20"/>
          <w:color w:val="auto"/>
        </w:rPr>
      </w:pPr>
      <w:r>
        <w:rPr>
          <w:rFonts w:ascii="Arial" w:cs="Arial" w:eastAsia="Arial" w:hAnsi="Arial"/>
          <w:sz w:val="15"/>
          <w:szCs w:val="15"/>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40"/>
          </w:cols>
          <w:pgMar w:left="240" w:top="123" w:right="219" w:bottom="1440" w:gutter="0" w:footer="0" w:header="0"/>
        </w:sectPr>
      </w:pPr>
    </w:p>
    <w:bookmarkStart w:id="24" w:name="page25"/>
    <w:bookmarkEnd w:id="24"/>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13"/>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13"/>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13"/>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left="7" w:right="200" w:firstLine="371"/>
        <w:spacing w:after="0" w:line="293" w:lineRule="auto"/>
        <w:rPr>
          <w:sz w:val="20"/>
          <w:szCs w:val="20"/>
          <w:color w:val="auto"/>
        </w:rPr>
      </w:pPr>
      <w:r>
        <w:rPr>
          <w:rFonts w:ascii="Arial" w:cs="Arial" w:eastAsia="Arial" w:hAnsi="Arial"/>
          <w:sz w:val="14"/>
          <w:szCs w:val="14"/>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June 30, 2019 and December 31, 2018, respectively.</w:t>
      </w:r>
    </w:p>
    <w:p>
      <w:pPr>
        <w:spacing w:after="0" w:line="140" w:lineRule="exact"/>
        <w:rPr>
          <w:sz w:val="20"/>
          <w:szCs w:val="20"/>
          <w:color w:val="auto"/>
        </w:rPr>
      </w:pPr>
    </w:p>
    <w:p>
      <w:pPr>
        <w:jc w:val="both"/>
        <w:ind w:left="7" w:right="660" w:firstLine="371"/>
        <w:spacing w:after="0" w:line="327" w:lineRule="auto"/>
        <w:rPr>
          <w:sz w:val="20"/>
          <w:szCs w:val="20"/>
          <w:color w:val="auto"/>
        </w:rPr>
      </w:pPr>
      <w:r>
        <w:rPr>
          <w:rFonts w:ascii="Arial" w:cs="Arial" w:eastAsia="Arial" w:hAnsi="Arial"/>
          <w:sz w:val="14"/>
          <w:szCs w:val="14"/>
          <w:color w:val="auto"/>
        </w:rPr>
        <w:t>The Company had an aggregate of $67.8 million of letters of credit outstanding under the revolving credit facility as of June 30, 2019, and the Company’s total available borrowing capacity under the revolving credit facility was $657.2 million as of June 30, 2019. The Company’s letters of credit expire between July of 2019 and April of 2022.</w:t>
      </w:r>
    </w:p>
    <w:p>
      <w:pPr>
        <w:spacing w:after="0" w:line="2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Note 9. Leases</w:t>
      </w:r>
    </w:p>
    <w:p>
      <w:pPr>
        <w:spacing w:after="0" w:line="204" w:lineRule="exact"/>
        <w:rPr>
          <w:sz w:val="20"/>
          <w:szCs w:val="20"/>
          <w:color w:val="auto"/>
        </w:rPr>
      </w:pPr>
    </w:p>
    <w:p>
      <w:pPr>
        <w:ind w:left="7" w:right="280" w:firstLine="278"/>
        <w:spacing w:after="0" w:line="289" w:lineRule="auto"/>
        <w:rPr>
          <w:sz w:val="20"/>
          <w:szCs w:val="20"/>
          <w:color w:val="auto"/>
        </w:rPr>
      </w:pPr>
      <w:r>
        <w:rPr>
          <w:rFonts w:ascii="Arial" w:cs="Arial" w:eastAsia="Arial" w:hAnsi="Arial"/>
          <w:sz w:val="15"/>
          <w:szCs w:val="15"/>
          <w:color w:val="auto"/>
        </w:rPr>
        <w:t>The Company has operating leases for corporate offices and datacenters, and finance leases for infrastructure equipment. The Company’s leases have remaining lease terms of 1 year to 14 years, some of which include options to extend the leases for up to 5 years.</w:t>
      </w:r>
    </w:p>
    <w:p>
      <w:pPr>
        <w:spacing w:after="0" w:line="141" w:lineRule="exact"/>
        <w:rPr>
          <w:sz w:val="20"/>
          <w:szCs w:val="20"/>
          <w:color w:val="auto"/>
        </w:rPr>
      </w:pPr>
    </w:p>
    <w:p>
      <w:pPr>
        <w:ind w:left="7" w:right="20" w:firstLine="278"/>
        <w:spacing w:after="0" w:line="273" w:lineRule="auto"/>
        <w:rPr>
          <w:sz w:val="20"/>
          <w:szCs w:val="20"/>
          <w:color w:val="auto"/>
        </w:rPr>
      </w:pPr>
      <w:r>
        <w:rPr>
          <w:rFonts w:ascii="Arial" w:cs="Arial" w:eastAsia="Arial" w:hAnsi="Arial"/>
          <w:sz w:val="15"/>
          <w:szCs w:val="15"/>
          <w:color w:val="auto"/>
        </w:rPr>
        <w:t>The Company also has subleases of former corporate offices. Subleases have remaining lease terms of 4 years. Sublease income, which is recorded as a reduction of rental expense, was $1.6 million and $3.5 million three and six months ended June 30, 2019, respectively, and $3.1 million and $6.6 million for the three and six months ended June 30, 2018, respectively.</w:t>
      </w:r>
    </w:p>
    <w:p>
      <w:pPr>
        <w:spacing w:after="0" w:line="153" w:lineRule="exact"/>
        <w:rPr>
          <w:sz w:val="20"/>
          <w:szCs w:val="20"/>
          <w:color w:val="auto"/>
        </w:rPr>
      </w:pPr>
    </w:p>
    <w:p>
      <w:pPr>
        <w:ind w:left="287"/>
        <w:spacing w:after="0"/>
        <w:rPr>
          <w:sz w:val="20"/>
          <w:szCs w:val="20"/>
          <w:color w:val="auto"/>
        </w:rPr>
      </w:pPr>
      <w:r>
        <w:rPr>
          <w:rFonts w:ascii="Arial" w:cs="Arial" w:eastAsia="Arial" w:hAnsi="Arial"/>
          <w:sz w:val="15"/>
          <w:szCs w:val="15"/>
          <w:color w:val="auto"/>
        </w:rPr>
        <w:t>The components of single lease cost were as follows:</w:t>
      </w:r>
    </w:p>
    <w:p>
      <w:pPr>
        <w:sectPr>
          <w:pgSz w:w="11900" w:h="16838" w:orient="portrait"/>
          <w:cols w:equalWidth="0" w:num="1">
            <w:col w:w="11447"/>
          </w:cols>
          <w:pgMar w:left="233" w:top="123" w:right="219" w:bottom="1440" w:gutter="0" w:footer="0" w:header="0"/>
        </w:sectPr>
      </w:pPr>
    </w:p>
    <w:p>
      <w:pPr>
        <w:spacing w:after="0" w:line="331" w:lineRule="exact"/>
        <w:rPr>
          <w:sz w:val="20"/>
          <w:szCs w:val="20"/>
          <w:color w:val="auto"/>
        </w:rPr>
      </w:pPr>
    </w:p>
    <w:p>
      <w:pPr>
        <w:ind w:left="6787"/>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48260</wp:posOffset>
            </wp:positionV>
            <wp:extent cx="1544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74" w:lineRule="exact"/>
        <w:rPr>
          <w:sz w:val="20"/>
          <w:szCs w:val="20"/>
          <w:color w:val="auto"/>
        </w:rPr>
      </w:pPr>
    </w:p>
    <w:p>
      <w:pPr>
        <w:ind w:left="6947"/>
        <w:spacing w:after="0"/>
        <w:tabs>
          <w:tab w:leader="none" w:pos="8207"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48260</wp:posOffset>
            </wp:positionV>
            <wp:extent cx="1500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7620"/>
                    </a:xfrm>
                    <a:prstGeom prst="rect">
                      <a:avLst/>
                    </a:prstGeom>
                    <a:noFill/>
                  </pic:spPr>
                </pic:pic>
              </a:graphicData>
            </a:graphic>
          </wp:anchor>
        </w:drawing>
      </w:r>
    </w:p>
    <w:p>
      <w:pPr>
        <w:spacing w:after="0" w:line="74"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33" w:lineRule="exact"/>
        <w:rPr>
          <w:sz w:val="20"/>
          <w:szCs w:val="20"/>
          <w:color w:val="auto"/>
        </w:rPr>
      </w:pPr>
    </w:p>
    <w:p>
      <w:pPr>
        <w:sectPr>
          <w:pgSz w:w="11900" w:h="16838" w:orient="portrait"/>
          <w:cols w:equalWidth="0" w:num="2">
            <w:col w:w="8727" w:space="660"/>
            <w:col w:w="2060"/>
          </w:cols>
          <w:pgMar w:left="233" w:top="123" w:right="219" w:bottom="1440" w:gutter="0" w:footer="0" w:header="0"/>
          <w:type w:val="continuous"/>
        </w:sectPr>
      </w:pPr>
    </w:p>
    <w:tbl>
      <w:tblPr>
        <w:tblLayout w:type="fixed"/>
        <w:tblInd w:w="7" w:type="dxa"/>
        <w:tblCellMar>
          <w:top w:w="0" w:type="dxa"/>
          <w:left w:w="0" w:type="dxa"/>
          <w:bottom w:w="0" w:type="dxa"/>
          <w:right w:w="0" w:type="dxa"/>
        </w:tblCellMar>
      </w:tblPr>
      <w:tr>
        <w:trPr>
          <w:trHeight w:val="24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 xml:space="preserve">Operating lease cost </w:t>
            </w:r>
            <w:r>
              <w:rPr>
                <w:rFonts w:ascii="Arial" w:cs="Arial" w:eastAsia="Arial" w:hAnsi="Arial"/>
                <w:sz w:val="21"/>
                <w:szCs w:val="21"/>
                <w:color w:val="auto"/>
                <w:vertAlign w:val="superscript"/>
              </w:rPr>
              <w:t>(1)</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26.4</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21.1</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48.5</w:t>
            </w:r>
          </w:p>
        </w:tc>
        <w:tc>
          <w:tcPr>
            <w:tcW w:w="52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43.0</w:t>
            </w:r>
          </w:p>
        </w:tc>
      </w:tr>
      <w:tr>
        <w:trPr>
          <w:trHeight w:val="208"/>
        </w:trPr>
        <w:tc>
          <w:tcPr>
            <w:tcW w:w="6520" w:type="dxa"/>
            <w:vAlign w:val="bottom"/>
          </w:tcPr>
          <w:p>
            <w:pPr>
              <w:ind w:left="20"/>
              <w:spacing w:after="0"/>
              <w:rPr>
                <w:sz w:val="20"/>
                <w:szCs w:val="20"/>
                <w:color w:val="auto"/>
              </w:rPr>
            </w:pPr>
            <w:r>
              <w:rPr>
                <w:rFonts w:ascii="Arial" w:cs="Arial" w:eastAsia="Arial" w:hAnsi="Arial"/>
                <w:sz w:val="15"/>
                <w:szCs w:val="15"/>
                <w:color w:val="auto"/>
              </w:rPr>
              <w:t>Finance lease cost:</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2"/>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Amortization of assets under finance lease</w:t>
            </w: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20.5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22.4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42.2</w:t>
            </w:r>
          </w:p>
        </w:tc>
        <w:tc>
          <w:tcPr>
            <w:tcW w:w="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44.1</w:t>
            </w:r>
          </w:p>
        </w:tc>
      </w:tr>
      <w:tr>
        <w:trPr>
          <w:trHeight w:val="208"/>
        </w:trPr>
        <w:tc>
          <w:tcPr>
            <w:tcW w:w="6520" w:type="dxa"/>
            <w:vAlign w:val="bottom"/>
          </w:tcPr>
          <w:p>
            <w:pPr>
              <w:ind w:left="200"/>
              <w:spacing w:after="0"/>
              <w:rPr>
                <w:sz w:val="20"/>
                <w:szCs w:val="20"/>
                <w:color w:val="auto"/>
              </w:rPr>
            </w:pPr>
            <w:r>
              <w:rPr>
                <w:rFonts w:ascii="Arial" w:cs="Arial" w:eastAsia="Arial" w:hAnsi="Arial"/>
                <w:sz w:val="15"/>
                <w:szCs w:val="15"/>
                <w:color w:val="auto"/>
              </w:rPr>
              <w:t>Interest</w:t>
            </w:r>
          </w:p>
        </w:tc>
        <w:tc>
          <w:tcPr>
            <w:tcW w:w="44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4.5</w:t>
            </w:r>
          </w:p>
        </w:tc>
        <w:tc>
          <w:tcPr>
            <w:tcW w:w="520" w:type="dxa"/>
            <w:vAlign w:val="bottom"/>
          </w:tcPr>
          <w:p>
            <w:pPr>
              <w:spacing w:after="0"/>
              <w:rPr>
                <w:sz w:val="18"/>
                <w:szCs w:val="18"/>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3.8</w:t>
            </w:r>
          </w:p>
        </w:tc>
      </w:tr>
      <w:tr>
        <w:trPr>
          <w:trHeight w:val="23"/>
        </w:trPr>
        <w:tc>
          <w:tcPr>
            <w:tcW w:w="6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finance lease cost</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46.7</w:t>
            </w:r>
          </w:p>
        </w:tc>
        <w:tc>
          <w:tcPr>
            <w:tcW w:w="5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47.9</w:t>
            </w:r>
          </w:p>
        </w:tc>
      </w:tr>
      <w:tr>
        <w:trPr>
          <w:trHeight w:val="23"/>
        </w:trPr>
        <w:tc>
          <w:tcPr>
            <w:tcW w:w="6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6" w:lineRule="exact"/>
        <w:rPr>
          <w:sz w:val="20"/>
          <w:szCs w:val="20"/>
          <w:color w:val="auto"/>
        </w:rPr>
      </w:pPr>
    </w:p>
    <w:p>
      <w:pPr>
        <w:ind w:left="167" w:hanging="167"/>
        <w:spacing w:after="0"/>
        <w:tabs>
          <w:tab w:leader="none" w:pos="167"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Is presented gross of sublease income and includes short-term leases, which are immaterial</w:t>
      </w:r>
    </w:p>
    <w:p>
      <w:pPr>
        <w:spacing w:after="0" w:line="181" w:lineRule="exact"/>
        <w:rPr>
          <w:rFonts w:ascii="Arial" w:cs="Arial" w:eastAsia="Arial" w:hAnsi="Arial"/>
          <w:sz w:val="19"/>
          <w:szCs w:val="19"/>
          <w:color w:val="auto"/>
          <w:vertAlign w:val="superscript"/>
        </w:rPr>
      </w:pPr>
    </w:p>
    <w:p>
      <w:pPr>
        <w:ind w:left="287"/>
        <w:spacing w:after="0"/>
        <w:rPr>
          <w:rFonts w:ascii="Arial" w:cs="Arial" w:eastAsia="Arial" w:hAnsi="Arial"/>
          <w:sz w:val="19"/>
          <w:szCs w:val="19"/>
          <w:color w:val="auto"/>
          <w:vertAlign w:val="superscript"/>
        </w:rPr>
      </w:pPr>
      <w:r>
        <w:rPr>
          <w:rFonts w:ascii="Arial" w:cs="Arial" w:eastAsia="Arial" w:hAnsi="Arial"/>
          <w:sz w:val="15"/>
          <w:szCs w:val="15"/>
          <w:color w:val="auto"/>
        </w:rPr>
        <w:t>Other information related to leases was as follows:</w:t>
      </w:r>
    </w:p>
    <w:p>
      <w:pPr>
        <w:spacing w:after="0" w:line="146"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9260" w:type="dxa"/>
            <w:vAlign w:val="bottom"/>
          </w:tcPr>
          <w:p>
            <w:pPr>
              <w:spacing w:after="0"/>
              <w:rPr>
                <w:sz w:val="17"/>
                <w:szCs w:val="17"/>
                <w:color w:val="auto"/>
              </w:rPr>
            </w:pPr>
          </w:p>
        </w:tc>
        <w:tc>
          <w:tcPr>
            <w:tcW w:w="2180" w:type="dxa"/>
            <w:vAlign w:val="bottom"/>
            <w:gridSpan w:val="2"/>
          </w:tcPr>
          <w:p>
            <w:pPr>
              <w:ind w:left="40"/>
              <w:spacing w:after="0"/>
              <w:rPr>
                <w:sz w:val="20"/>
                <w:szCs w:val="20"/>
                <w:color w:val="auto"/>
              </w:rPr>
            </w:pPr>
            <w:r>
              <w:rPr>
                <w:rFonts w:ascii="Arial" w:cs="Arial" w:eastAsia="Arial" w:hAnsi="Arial"/>
                <w:sz w:val="15"/>
                <w:szCs w:val="15"/>
                <w:b w:val="1"/>
                <w:bCs w:val="1"/>
                <w:color w:val="auto"/>
                <w:w w:val="91"/>
              </w:rPr>
              <w:t>Six months ended June 30, 2019</w:t>
            </w:r>
          </w:p>
        </w:tc>
        <w:tc>
          <w:tcPr>
            <w:tcW w:w="0" w:type="dxa"/>
            <w:vAlign w:val="bottom"/>
          </w:tcPr>
          <w:p>
            <w:pPr>
              <w:spacing w:after="0"/>
              <w:rPr>
                <w:sz w:val="1"/>
                <w:szCs w:val="1"/>
                <w:color w:val="auto"/>
              </w:rPr>
            </w:pPr>
          </w:p>
        </w:tc>
      </w:tr>
      <w:tr>
        <w:trPr>
          <w:trHeight w:val="23"/>
        </w:trPr>
        <w:tc>
          <w:tcPr>
            <w:tcW w:w="92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2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60" w:type="dxa"/>
            <w:vAlign w:val="bottom"/>
          </w:tcPr>
          <w:p>
            <w:pPr>
              <w:ind w:left="200"/>
              <w:spacing w:after="0"/>
              <w:rPr>
                <w:sz w:val="20"/>
                <w:szCs w:val="20"/>
                <w:color w:val="auto"/>
              </w:rPr>
            </w:pPr>
            <w:r>
              <w:rPr>
                <w:rFonts w:ascii="Arial" w:cs="Arial" w:eastAsia="Arial" w:hAnsi="Arial"/>
                <w:sz w:val="15"/>
                <w:szCs w:val="15"/>
                <w:color w:val="auto"/>
              </w:rPr>
              <w:t>Payments for operating leases included in cash from operating activities</w:t>
            </w:r>
          </w:p>
        </w:tc>
        <w:tc>
          <w:tcPr>
            <w:tcW w:w="920" w:type="dxa"/>
            <w:vAlign w:val="bottom"/>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Payments for finance leases included in cash from operating activities</w:t>
            </w:r>
          </w:p>
        </w:tc>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8"/>
        </w:trPr>
        <w:tc>
          <w:tcPr>
            <w:tcW w:w="9260" w:type="dxa"/>
            <w:vAlign w:val="bottom"/>
          </w:tcPr>
          <w:p>
            <w:pPr>
              <w:ind w:left="200"/>
              <w:spacing w:after="0"/>
              <w:rPr>
                <w:sz w:val="20"/>
                <w:szCs w:val="20"/>
                <w:color w:val="auto"/>
              </w:rPr>
            </w:pPr>
            <w:r>
              <w:rPr>
                <w:rFonts w:ascii="Arial" w:cs="Arial" w:eastAsia="Arial" w:hAnsi="Arial"/>
                <w:sz w:val="15"/>
                <w:szCs w:val="15"/>
                <w:color w:val="auto"/>
              </w:rPr>
              <w:t>Payments for finance leases included in cash from financing activities</w:t>
            </w:r>
          </w:p>
        </w:tc>
        <w:tc>
          <w:tcPr>
            <w:tcW w:w="920" w:type="dxa"/>
            <w:vAlign w:val="bottom"/>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3"/>
        </w:trPr>
        <w:tc>
          <w:tcPr>
            <w:tcW w:w="9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Assets obtained in exchange for lease obligations:</w:t>
            </w:r>
          </w:p>
        </w:tc>
        <w:tc>
          <w:tcPr>
            <w:tcW w:w="9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60" w:type="dxa"/>
            <w:vAlign w:val="bottom"/>
          </w:tcPr>
          <w:p>
            <w:pPr>
              <w:ind w:left="200"/>
              <w:spacing w:after="0" w:line="232" w:lineRule="exact"/>
              <w:rPr>
                <w:sz w:val="20"/>
                <w:szCs w:val="20"/>
                <w:color w:val="auto"/>
              </w:rPr>
            </w:pPr>
            <w:r>
              <w:rPr>
                <w:rFonts w:ascii="Arial" w:cs="Arial" w:eastAsia="Arial" w:hAnsi="Arial"/>
                <w:sz w:val="15"/>
                <w:szCs w:val="15"/>
                <w:color w:val="auto"/>
              </w:rPr>
              <w:t>Operating leases</w:t>
            </w:r>
            <w:r>
              <w:rPr>
                <w:rFonts w:ascii="Arial" w:cs="Arial" w:eastAsia="Arial" w:hAnsi="Arial"/>
                <w:sz w:val="21"/>
                <w:szCs w:val="21"/>
                <w:color w:val="auto"/>
                <w:vertAlign w:val="superscript"/>
              </w:rPr>
              <w:t>(2)</w:t>
            </w:r>
          </w:p>
        </w:tc>
        <w:tc>
          <w:tcPr>
            <w:tcW w:w="920" w:type="dxa"/>
            <w:vAlign w:val="bottom"/>
          </w:tcPr>
          <w:p>
            <w:pPr>
              <w:ind w:left="4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208"/>
        </w:trPr>
        <w:tc>
          <w:tcPr>
            <w:tcW w:w="9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Finance leases</w:t>
            </w:r>
          </w:p>
        </w:tc>
        <w:tc>
          <w:tcPr>
            <w:tcW w:w="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75.4</w:t>
            </w:r>
          </w:p>
        </w:tc>
        <w:tc>
          <w:tcPr>
            <w:tcW w:w="0" w:type="dxa"/>
            <w:vAlign w:val="bottom"/>
          </w:tcPr>
          <w:p>
            <w:pPr>
              <w:spacing w:after="0"/>
              <w:rPr>
                <w:sz w:val="1"/>
                <w:szCs w:val="1"/>
                <w:color w:val="auto"/>
              </w:rPr>
            </w:pPr>
          </w:p>
        </w:tc>
      </w:tr>
      <w:tr>
        <w:trPr>
          <w:trHeight w:val="23"/>
        </w:trPr>
        <w:tc>
          <w:tcPr>
            <w:tcW w:w="9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447" w:hanging="169"/>
        <w:spacing w:after="0"/>
        <w:tabs>
          <w:tab w:leader="none" w:pos="447" w:val="left"/>
        </w:tabs>
        <w:numPr>
          <w:ilvl w:val="0"/>
          <w:numId w:val="10"/>
        </w:numPr>
        <w:rPr>
          <w:rFonts w:ascii="Arial" w:cs="Arial" w:eastAsia="Arial" w:hAnsi="Arial"/>
          <w:sz w:val="19"/>
          <w:szCs w:val="19"/>
          <w:color w:val="auto"/>
          <w:vertAlign w:val="superscript"/>
        </w:rPr>
      </w:pPr>
      <w:r>
        <w:rPr>
          <w:rFonts w:ascii="Arial" w:cs="Arial" w:eastAsia="Arial" w:hAnsi="Arial"/>
          <w:sz w:val="13"/>
          <w:szCs w:val="13"/>
          <w:color w:val="auto"/>
        </w:rPr>
        <w:t>Includes the impact of the Company taking initial possession of the second phase of it's new corporate headquarters in April of 2019 of $159.3 million.</w:t>
      </w:r>
    </w:p>
    <w:p>
      <w:pPr>
        <w:spacing w:after="0" w:line="204" w:lineRule="exact"/>
        <w:rPr>
          <w:rFonts w:ascii="Arial" w:cs="Arial" w:eastAsia="Arial" w:hAnsi="Arial"/>
          <w:sz w:val="19"/>
          <w:szCs w:val="19"/>
          <w:color w:val="auto"/>
          <w:vertAlign w:val="superscript"/>
        </w:rPr>
      </w:pPr>
    </w:p>
    <w:p>
      <w:pPr>
        <w:ind w:left="5647"/>
        <w:spacing w:after="0"/>
        <w:rPr>
          <w:rFonts w:ascii="Arial" w:cs="Arial" w:eastAsia="Arial" w:hAnsi="Arial"/>
          <w:sz w:val="19"/>
          <w:szCs w:val="19"/>
          <w:color w:val="auto"/>
          <w:vertAlign w:val="superscript"/>
        </w:rPr>
      </w:pPr>
      <w:r>
        <w:rPr>
          <w:rFonts w:ascii="Arial" w:cs="Arial" w:eastAsia="Arial" w:hAnsi="Arial"/>
          <w:sz w:val="15"/>
          <w:szCs w:val="15"/>
          <w:color w:val="auto"/>
        </w:rPr>
        <w:t>25</w:t>
      </w:r>
    </w:p>
    <w:p>
      <w:pPr>
        <w:sectPr>
          <w:pgSz w:w="11900" w:h="16838" w:orient="portrait"/>
          <w:cols w:equalWidth="0" w:num="1">
            <w:col w:w="11447"/>
          </w:cols>
          <w:pgMar w:left="233" w:top="123" w:right="219" w:bottom="1440" w:gutter="0" w:footer="0" w:header="0"/>
          <w:type w:val="continuous"/>
        </w:sectPr>
      </w:pPr>
    </w:p>
    <w:bookmarkStart w:id="25" w:name="page26"/>
    <w:bookmarkEnd w:id="25"/>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6980" w:type="dxa"/>
            <w:vAlign w:val="bottom"/>
          </w:tcPr>
          <w:p>
            <w:pPr>
              <w:jc w:val="center"/>
              <w:ind w:left="4363"/>
              <w:spacing w:after="0"/>
              <w:rPr>
                <w:sz w:val="20"/>
                <w:szCs w:val="20"/>
                <w:color w:val="auto"/>
              </w:rPr>
            </w:pPr>
            <w:r>
              <w:rPr>
                <w:rFonts w:ascii="Arial" w:cs="Arial" w:eastAsia="Arial" w:hAnsi="Arial"/>
                <w:sz w:val="15"/>
                <w:szCs w:val="15"/>
                <w:b w:val="1"/>
                <w:bCs w:val="1"/>
                <w:color w:val="auto"/>
              </w:rPr>
              <w:t>DROPBOX, INC.</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02"/>
        </w:trPr>
        <w:tc>
          <w:tcPr>
            <w:tcW w:w="9220" w:type="dxa"/>
            <w:vAlign w:val="bottom"/>
            <w:gridSpan w:val="4"/>
          </w:tcPr>
          <w:p>
            <w:pPr>
              <w:jc w:val="center"/>
              <w:ind w:left="2123"/>
              <w:spacing w:after="0"/>
              <w:rPr>
                <w:sz w:val="20"/>
                <w:szCs w:val="20"/>
                <w:color w:val="auto"/>
              </w:rPr>
            </w:pPr>
            <w:r>
              <w:rPr>
                <w:rFonts w:ascii="Arial" w:cs="Arial" w:eastAsia="Arial" w:hAnsi="Arial"/>
                <w:sz w:val="15"/>
                <w:szCs w:val="15"/>
                <w:b w:val="1"/>
                <w:bCs w:val="1"/>
                <w:color w:val="auto"/>
              </w:rPr>
              <w:t>NOTES TO UNAUDITED CONDENSED CONSOLIDATED FINANCIAL STATEMENTS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78"/>
        </w:trPr>
        <w:tc>
          <w:tcPr>
            <w:tcW w:w="9220" w:type="dxa"/>
            <w:vAlign w:val="bottom"/>
            <w:gridSpan w:val="4"/>
          </w:tcPr>
          <w:p>
            <w:pPr>
              <w:jc w:val="center"/>
              <w:ind w:left="2143"/>
              <w:spacing w:after="0"/>
              <w:rPr>
                <w:sz w:val="20"/>
                <w:szCs w:val="20"/>
                <w:color w:val="auto"/>
              </w:rPr>
            </w:pPr>
            <w:r>
              <w:rPr>
                <w:rFonts w:ascii="Arial" w:cs="Arial" w:eastAsia="Arial" w:hAnsi="Arial"/>
                <w:sz w:val="15"/>
                <w:szCs w:val="15"/>
                <w:i w:val="1"/>
                <w:iCs w:val="1"/>
                <w:color w:val="auto"/>
                <w:w w:val="93"/>
              </w:rPr>
              <w:t>(Amounts in tables are in millions except per share data, or as otherwise noted)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718"/>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right"/>
              <w:ind w:right="403"/>
              <w:spacing w:after="0"/>
              <w:rPr>
                <w:sz w:val="20"/>
                <w:szCs w:val="20"/>
                <w:color w:val="auto"/>
              </w:rPr>
            </w:pPr>
            <w:r>
              <w:rPr>
                <w:rFonts w:ascii="Arial" w:cs="Arial" w:eastAsia="Arial" w:hAnsi="Arial"/>
                <w:sz w:val="15"/>
                <w:szCs w:val="15"/>
                <w:b w:val="1"/>
                <w:bCs w:val="1"/>
                <w:color w:val="auto"/>
              </w:rPr>
              <w:t>As of June 30, 2019</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70"/>
        </w:trPr>
        <w:tc>
          <w:tcPr>
            <w:tcW w:w="6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Weighted Average Remaining Lease Term (in years)</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r>
      <w:tr>
        <w:trPr>
          <w:trHeight w:val="208"/>
        </w:trPr>
        <w:tc>
          <w:tcPr>
            <w:tcW w:w="6980" w:type="dxa"/>
            <w:vAlign w:val="bottom"/>
          </w:tcPr>
          <w:p>
            <w:pPr>
              <w:ind w:left="200"/>
              <w:spacing w:after="0"/>
              <w:rPr>
                <w:sz w:val="20"/>
                <w:szCs w:val="20"/>
                <w:color w:val="auto"/>
              </w:rPr>
            </w:pPr>
            <w:r>
              <w:rPr>
                <w:rFonts w:ascii="Arial" w:cs="Arial" w:eastAsia="Arial" w:hAnsi="Arial"/>
                <w:sz w:val="15"/>
                <w:szCs w:val="15"/>
                <w:color w:val="auto"/>
              </w:rPr>
              <w:t>Operating leases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83"/>
              <w:spacing w:after="0"/>
              <w:rPr>
                <w:sz w:val="20"/>
                <w:szCs w:val="20"/>
                <w:color w:val="auto"/>
              </w:rPr>
            </w:pPr>
            <w:r>
              <w:rPr>
                <w:rFonts w:ascii="Arial" w:cs="Arial" w:eastAsia="Arial" w:hAnsi="Arial"/>
                <w:sz w:val="15"/>
                <w:szCs w:val="15"/>
                <w:color w:val="auto"/>
              </w:rPr>
              <w:t>10.9</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Finance leases</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3.0</w:t>
            </w:r>
          </w:p>
        </w:tc>
      </w:tr>
      <w:tr>
        <w:trPr>
          <w:trHeight w:val="278"/>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Weighted Average Discount Rate</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r>
      <w:tr>
        <w:trPr>
          <w:trHeight w:val="208"/>
        </w:trPr>
        <w:tc>
          <w:tcPr>
            <w:tcW w:w="6980" w:type="dxa"/>
            <w:vAlign w:val="bottom"/>
          </w:tcPr>
          <w:p>
            <w:pPr>
              <w:ind w:left="200"/>
              <w:spacing w:after="0"/>
              <w:rPr>
                <w:sz w:val="20"/>
                <w:szCs w:val="20"/>
                <w:color w:val="auto"/>
              </w:rPr>
            </w:pPr>
            <w:r>
              <w:rPr>
                <w:rFonts w:ascii="Arial" w:cs="Arial" w:eastAsia="Arial" w:hAnsi="Arial"/>
                <w:sz w:val="15"/>
                <w:szCs w:val="15"/>
                <w:color w:val="auto"/>
              </w:rPr>
              <w:t>Operating leases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Finance leases</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648"/>
        </w:trPr>
        <w:tc>
          <w:tcPr>
            <w:tcW w:w="6980" w:type="dxa"/>
            <w:vAlign w:val="bottom"/>
          </w:tcPr>
          <w:p>
            <w:pPr>
              <w:ind w:left="280"/>
              <w:spacing w:after="0"/>
              <w:rPr>
                <w:sz w:val="20"/>
                <w:szCs w:val="20"/>
                <w:color w:val="auto"/>
              </w:rPr>
            </w:pPr>
            <w:r>
              <w:rPr>
                <w:rFonts w:ascii="Arial" w:cs="Arial" w:eastAsia="Arial" w:hAnsi="Arial"/>
                <w:sz w:val="15"/>
                <w:szCs w:val="15"/>
                <w:color w:val="auto"/>
              </w:rPr>
              <w:t>Future minimum lease payments under non-cancellable leases as of June 30, 2019 were as follows:</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Year ending December 31,</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Operating leases</w:t>
            </w:r>
            <w:r>
              <w:rPr>
                <w:rFonts w:ascii="Arial" w:cs="Arial" w:eastAsia="Arial" w:hAnsi="Arial"/>
                <w:sz w:val="21"/>
                <w:szCs w:val="21"/>
                <w:color w:val="auto"/>
                <w:vertAlign w:val="superscript"/>
              </w:rPr>
              <w:t>(1)</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Finance leases</w:t>
            </w: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 (excluding the six months ended June 30, 2019)</w:t>
            </w: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52.0</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43.2</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2020</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Arial" w:cs="Arial" w:eastAsia="Arial" w:hAnsi="Arial"/>
                <w:sz w:val="15"/>
                <w:szCs w:val="15"/>
                <w:color w:val="auto"/>
              </w:rPr>
              <w:t>103.2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23"/>
              <w:spacing w:after="0"/>
              <w:rPr>
                <w:sz w:val="20"/>
                <w:szCs w:val="20"/>
                <w:color w:val="auto"/>
              </w:rPr>
            </w:pPr>
            <w:r>
              <w:rPr>
                <w:rFonts w:ascii="Arial" w:cs="Arial" w:eastAsia="Arial" w:hAnsi="Arial"/>
                <w:sz w:val="15"/>
                <w:szCs w:val="15"/>
                <w:color w:val="auto"/>
              </w:rPr>
              <w:t>65.9</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93.4</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50.7</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2022</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Arial" w:cs="Arial" w:eastAsia="Arial" w:hAnsi="Arial"/>
                <w:sz w:val="15"/>
                <w:szCs w:val="15"/>
                <w:color w:val="auto"/>
              </w:rPr>
              <w:t>85.7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23"/>
              <w:spacing w:after="0"/>
              <w:rPr>
                <w:sz w:val="20"/>
                <w:szCs w:val="20"/>
                <w:color w:val="auto"/>
              </w:rPr>
            </w:pPr>
            <w:r>
              <w:rPr>
                <w:rFonts w:ascii="Arial" w:cs="Arial" w:eastAsia="Arial" w:hAnsi="Arial"/>
                <w:sz w:val="15"/>
                <w:szCs w:val="15"/>
                <w:color w:val="auto"/>
              </w:rPr>
              <w:t>36.7</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69.2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6.1</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280" w:type="dxa"/>
            <w:vAlign w:val="bottom"/>
          </w:tcPr>
          <w:p>
            <w:pPr>
              <w:spacing w:after="0"/>
              <w:rPr>
                <w:sz w:val="18"/>
                <w:szCs w:val="18"/>
                <w:color w:val="auto"/>
              </w:rPr>
            </w:pPr>
          </w:p>
        </w:tc>
        <w:tc>
          <w:tcPr>
            <w:tcW w:w="1900" w:type="dxa"/>
            <w:vAlign w:val="bottom"/>
          </w:tcPr>
          <w:p>
            <w:pPr>
              <w:jc w:val="right"/>
              <w:ind w:right="43"/>
              <w:spacing w:after="0"/>
              <w:rPr>
                <w:sz w:val="20"/>
                <w:szCs w:val="20"/>
                <w:color w:val="auto"/>
              </w:rPr>
            </w:pPr>
            <w:r>
              <w:rPr>
                <w:rFonts w:ascii="Arial" w:cs="Arial" w:eastAsia="Arial" w:hAnsi="Arial"/>
                <w:sz w:val="15"/>
                <w:szCs w:val="15"/>
                <w:color w:val="auto"/>
              </w:rPr>
              <w:t>540.3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3"/>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future minimum lease payments</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shd w:val="clear" w:color="auto" w:fill="CCEEFF"/>
              </w:rPr>
              <w:t>943.8</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shd w:val="clear" w:color="auto" w:fill="CCEEFF"/>
              </w:rPr>
              <w:t>202.6</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Less imputed interest</w:t>
            </w:r>
          </w:p>
        </w:tc>
        <w:tc>
          <w:tcPr>
            <w:tcW w:w="280" w:type="dxa"/>
            <w:vAlign w:val="bottom"/>
          </w:tcPr>
          <w:p>
            <w:pPr>
              <w:spacing w:after="0"/>
              <w:rPr>
                <w:sz w:val="18"/>
                <w:szCs w:val="18"/>
                <w:color w:val="auto"/>
              </w:rPr>
            </w:pPr>
          </w:p>
        </w:tc>
        <w:tc>
          <w:tcPr>
            <w:tcW w:w="1900" w:type="dxa"/>
            <w:vAlign w:val="bottom"/>
          </w:tcPr>
          <w:p>
            <w:pPr>
              <w:jc w:val="right"/>
              <w:ind w:right="3"/>
              <w:spacing w:after="0"/>
              <w:rPr>
                <w:sz w:val="20"/>
                <w:szCs w:val="20"/>
                <w:color w:val="auto"/>
              </w:rPr>
            </w:pPr>
            <w:r>
              <w:rPr>
                <w:rFonts w:ascii="Arial" w:cs="Arial" w:eastAsia="Arial" w:hAnsi="Arial"/>
                <w:sz w:val="15"/>
                <w:szCs w:val="15"/>
                <w:color w:val="auto"/>
              </w:rPr>
              <w:t>(229.7)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tenant improvement receivables</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(34.4)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00"/>
        </w:trPr>
        <w:tc>
          <w:tcPr>
            <w:tcW w:w="6980" w:type="dxa"/>
            <w:vAlign w:val="bottom"/>
          </w:tcPr>
          <w:p>
            <w:pPr>
              <w:ind w:left="20"/>
              <w:spacing w:after="0"/>
              <w:rPr>
                <w:sz w:val="20"/>
                <w:szCs w:val="20"/>
                <w:color w:val="auto"/>
              </w:rPr>
            </w:pPr>
            <w:r>
              <w:rPr>
                <w:rFonts w:ascii="Arial" w:cs="Arial" w:eastAsia="Arial" w:hAnsi="Arial"/>
                <w:sz w:val="15"/>
                <w:szCs w:val="15"/>
                <w:color w:val="auto"/>
              </w:rPr>
              <w:t>Total liability</w:t>
            </w: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9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679.7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9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188.5</w:t>
            </w:r>
          </w:p>
        </w:tc>
      </w:tr>
      <w:tr>
        <w:trPr>
          <w:trHeight w:val="23"/>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left="7" w:right="280" w:hanging="7"/>
        <w:spacing w:after="0"/>
        <w:tabs>
          <w:tab w:leader="none" w:pos="172"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datacenters where the Company has possession, excluding rent payments from the Company’s sub-tenants and variable operating expenses. As of June 30, 2019, the Company is entitled to non-cancelable rent payments from its sub-tenants of $38.1 million, which will be collected over the next 4 years</w:t>
      </w:r>
      <w:r>
        <w:rPr>
          <w:rFonts w:ascii="Arial" w:cs="Arial" w:eastAsia="Arial" w:hAnsi="Arial"/>
          <w:sz w:val="14"/>
          <w:szCs w:val="14"/>
          <w:color w:val="auto"/>
        </w:rPr>
        <w:t>.</w:t>
      </w:r>
    </w:p>
    <w:p>
      <w:pPr>
        <w:spacing w:after="0" w:line="176" w:lineRule="exact"/>
        <w:rPr>
          <w:sz w:val="20"/>
          <w:szCs w:val="20"/>
          <w:color w:val="auto"/>
        </w:rPr>
      </w:pPr>
    </w:p>
    <w:p>
      <w:pPr>
        <w:ind w:left="7" w:right="100" w:firstLine="278"/>
        <w:spacing w:after="0" w:line="261" w:lineRule="auto"/>
        <w:rPr>
          <w:sz w:val="20"/>
          <w:szCs w:val="20"/>
          <w:color w:val="auto"/>
        </w:rPr>
      </w:pPr>
      <w:r>
        <w:rPr>
          <w:rFonts w:ascii="Arial" w:cs="Arial" w:eastAsia="Arial" w:hAnsi="Arial"/>
          <w:sz w:val="15"/>
          <w:szCs w:val="15"/>
          <w:color w:val="auto"/>
        </w:rPr>
        <w:t>In 2017, the Company entered into a lease agreement for office space in San Francisco, California, to serve as its new corporate headquarters. The Company took initial possession of the first phase of its new corporate headquarters in June 2018, and began to recognize single lease cost related to the first phase. In that same period, the Company recorded a lease incentive obligation related to tenant improvement reimbursements associated with the first phase. In April 2019, the Company took possession of the second phase, and began to recognize additional lease costs and recorded an additional lease obligation, net of tenant improvement reimbursements related to the second phase. The Company expects to start making recurring rental payments under the lease in the third quarter of 2019. The Company's total expected minimum obligations for all three phases of the lease are $841.9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In the six months ended June 30, 2019, the Company collected tenant improvement reimbursements from the landlord totaling $28.5 million. The Company plans to relocate from its current corporate headquarters to its new corporate headquarters in the third quarter of 2019.</w:t>
      </w:r>
    </w:p>
    <w:p>
      <w:pPr>
        <w:spacing w:after="0" w:line="165" w:lineRule="exact"/>
        <w:rPr>
          <w:sz w:val="20"/>
          <w:szCs w:val="20"/>
          <w:color w:val="auto"/>
        </w:rPr>
      </w:pPr>
    </w:p>
    <w:p>
      <w:pPr>
        <w:ind w:left="7" w:right="80" w:firstLine="278"/>
        <w:spacing w:after="0" w:line="289" w:lineRule="auto"/>
        <w:rPr>
          <w:sz w:val="20"/>
          <w:szCs w:val="20"/>
          <w:color w:val="auto"/>
        </w:rPr>
      </w:pPr>
      <w:r>
        <w:rPr>
          <w:rFonts w:ascii="Arial" w:cs="Arial" w:eastAsia="Arial" w:hAnsi="Arial"/>
          <w:sz w:val="15"/>
          <w:szCs w:val="15"/>
          <w:color w:val="auto"/>
        </w:rPr>
        <w:t>As of June 30, 2019, the Company had commitments of $250.1 million for operating leases that have not yet commenced, and therefore are not included in the right-of-use asset or operating lease liability. These operating leases will commence between 2019 and 2021 with lease terms of 4 years to 15 years.</w:t>
      </w: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47"/>
          </w:cols>
          <w:pgMar w:left="233" w:top="123"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10.Commitments and Contingencies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Legal matters</w:t>
      </w:r>
    </w:p>
    <w:p>
      <w:pPr>
        <w:spacing w:after="0" w:line="105" w:lineRule="exact"/>
        <w:rPr>
          <w:sz w:val="20"/>
          <w:szCs w:val="20"/>
          <w:color w:val="auto"/>
        </w:rPr>
      </w:pPr>
    </w:p>
    <w:p>
      <w:pPr>
        <w:ind w:right="40" w:firstLine="417"/>
        <w:spacing w:after="0" w:line="265" w:lineRule="auto"/>
        <w:rPr>
          <w:sz w:val="20"/>
          <w:szCs w:val="20"/>
          <w:color w:val="auto"/>
        </w:rPr>
      </w:pPr>
      <w:r>
        <w:rPr>
          <w:rFonts w:ascii="Arial" w:cs="Arial" w:eastAsia="Arial" w:hAnsi="Arial"/>
          <w:sz w:val="15"/>
          <w:szCs w:val="15"/>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Indemnification</w:t>
      </w:r>
    </w:p>
    <w:p>
      <w:pPr>
        <w:spacing w:after="0" w:line="105" w:lineRule="exact"/>
        <w:rPr>
          <w:sz w:val="20"/>
          <w:szCs w:val="20"/>
          <w:color w:val="auto"/>
        </w:rPr>
      </w:pPr>
    </w:p>
    <w:p>
      <w:pPr>
        <w:ind w:right="400" w:firstLine="371"/>
        <w:spacing w:after="0" w:line="327" w:lineRule="auto"/>
        <w:rPr>
          <w:sz w:val="20"/>
          <w:szCs w:val="20"/>
          <w:color w:val="auto"/>
        </w:rPr>
      </w:pPr>
      <w:r>
        <w:rPr>
          <w:rFonts w:ascii="Arial" w:cs="Arial" w:eastAsia="Arial" w:hAnsi="Arial"/>
          <w:sz w:val="14"/>
          <w:szCs w:val="14"/>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Other commitments</w:t>
      </w:r>
    </w:p>
    <w:p>
      <w:pPr>
        <w:spacing w:after="0" w:line="105" w:lineRule="exact"/>
        <w:rPr>
          <w:sz w:val="20"/>
          <w:szCs w:val="20"/>
          <w:color w:val="auto"/>
        </w:rPr>
      </w:pPr>
    </w:p>
    <w:p>
      <w:pPr>
        <w:ind w:right="720" w:firstLine="371"/>
        <w:spacing w:after="0" w:line="327" w:lineRule="auto"/>
        <w:rPr>
          <w:sz w:val="20"/>
          <w:szCs w:val="20"/>
          <w:color w:val="auto"/>
        </w:rPr>
      </w:pPr>
      <w:r>
        <w:rPr>
          <w:rFonts w:ascii="Arial" w:cs="Arial" w:eastAsia="Arial" w:hAnsi="Arial"/>
          <w:sz w:val="14"/>
          <w:szCs w:val="14"/>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Accrued and Other Current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ind w:left="340"/>
              <w:spacing w:after="0"/>
              <w:rPr>
                <w:sz w:val="20"/>
                <w:szCs w:val="20"/>
                <w:color w:val="auto"/>
              </w:rPr>
            </w:pPr>
            <w:r>
              <w:rPr>
                <w:rFonts w:ascii="Arial" w:cs="Arial" w:eastAsia="Arial" w:hAnsi="Arial"/>
                <w:sz w:val="15"/>
                <w:szCs w:val="15"/>
                <w:color w:val="auto"/>
              </w:rPr>
              <w:t>Accrued and other current liabilities consisted of the following:</w:t>
            </w: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10"/>
        </w:trPr>
        <w:tc>
          <w:tcPr>
            <w:tcW w:w="6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w w:val="85"/>
              </w:rPr>
              <w:t>As of</w:t>
            </w:r>
          </w:p>
        </w:tc>
        <w:tc>
          <w:tcPr>
            <w:tcW w:w="1880" w:type="dxa"/>
            <w:vAlign w:val="bottom"/>
          </w:tcPr>
          <w:p>
            <w:pPr>
              <w:spacing w:after="0"/>
              <w:rPr>
                <w:sz w:val="24"/>
                <w:szCs w:val="24"/>
                <w:color w:val="auto"/>
              </w:rPr>
            </w:pPr>
          </w:p>
        </w:tc>
      </w:tr>
      <w:tr>
        <w:trPr>
          <w:trHeight w:val="23"/>
        </w:trPr>
        <w:tc>
          <w:tcPr>
            <w:tcW w:w="69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0"/>
        </w:trPr>
        <w:tc>
          <w:tcPr>
            <w:tcW w:w="6980" w:type="dxa"/>
            <w:vAlign w:val="bottom"/>
          </w:tcPr>
          <w:p>
            <w:pPr>
              <w:spacing w:after="0"/>
              <w:rPr>
                <w:sz w:val="17"/>
                <w:szCs w:val="17"/>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b w:val="1"/>
                <w:bCs w:val="1"/>
                <w:color w:val="auto"/>
              </w:rPr>
              <w:t>June 30, 2019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jc w:val="right"/>
              <w:ind w:right="383"/>
              <w:spacing w:after="0"/>
              <w:rPr>
                <w:sz w:val="20"/>
                <w:szCs w:val="20"/>
                <w:color w:val="auto"/>
              </w:rPr>
            </w:pPr>
            <w:r>
              <w:rPr>
                <w:rFonts w:ascii="Arial" w:cs="Arial" w:eastAsia="Arial" w:hAnsi="Arial"/>
                <w:sz w:val="15"/>
                <w:szCs w:val="15"/>
                <w:b w:val="1"/>
                <w:bCs w:val="1"/>
                <w:color w:val="auto"/>
              </w:rPr>
              <w:t>December 31, 2018</w:t>
            </w:r>
          </w:p>
        </w:tc>
      </w:tr>
      <w:tr>
        <w:trPr>
          <w:trHeight w:val="23"/>
        </w:trPr>
        <w:tc>
          <w:tcPr>
            <w:tcW w:w="69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96"/>
        </w:trPr>
        <w:tc>
          <w:tcPr>
            <w:tcW w:w="69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Non-income taxes payable</w:t>
            </w:r>
          </w:p>
        </w:tc>
        <w:tc>
          <w:tcPr>
            <w:tcW w:w="1620" w:type="dxa"/>
            <w:vAlign w:val="bottom"/>
            <w:tcBorders>
              <w:bottom w:val="single" w:sz="8" w:color="CCEEFF"/>
            </w:tcBorders>
            <w:shd w:val="clear" w:color="auto" w:fill="CCEEFF"/>
          </w:tcPr>
          <w:p>
            <w:pPr>
              <w:jc w:val="right"/>
              <w:ind w:right="1443"/>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87.9</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75.7</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Accrued legal and other external fees</w:t>
            </w:r>
          </w:p>
        </w:tc>
        <w:tc>
          <w:tcPr>
            <w:tcW w:w="1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28.1</w:t>
            </w:r>
          </w:p>
        </w:tc>
      </w:tr>
      <w:tr>
        <w:trPr>
          <w:trHeight w:val="23"/>
        </w:trPr>
        <w:tc>
          <w:tcPr>
            <w:tcW w:w="6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rent</w:t>
            </w:r>
          </w:p>
        </w:tc>
        <w:tc>
          <w:tcPr>
            <w:tcW w:w="16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41.0</w:t>
            </w:r>
          </w:p>
        </w:tc>
      </w:tr>
      <w:tr>
        <w:trPr>
          <w:trHeight w:val="208"/>
        </w:trPr>
        <w:tc>
          <w:tcPr>
            <w:tcW w:w="6980" w:type="dxa"/>
            <w:vAlign w:val="bottom"/>
          </w:tcPr>
          <w:p>
            <w:pPr>
              <w:ind w:left="20"/>
              <w:spacing w:after="0"/>
              <w:rPr>
                <w:sz w:val="20"/>
                <w:szCs w:val="20"/>
                <w:color w:val="auto"/>
              </w:rPr>
            </w:pPr>
            <w:r>
              <w:rPr>
                <w:rFonts w:ascii="Arial" w:cs="Arial" w:eastAsia="Arial" w:hAnsi="Arial"/>
                <w:sz w:val="15"/>
                <w:szCs w:val="15"/>
                <w:color w:val="auto"/>
              </w:rPr>
              <w:t>Other accrued and current liabilities</w:t>
            </w:r>
          </w:p>
        </w:tc>
        <w:tc>
          <w:tcPr>
            <w:tcW w:w="1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ind w:right="23"/>
              <w:spacing w:after="0"/>
              <w:rPr>
                <w:sz w:val="20"/>
                <w:szCs w:val="20"/>
                <w:color w:val="auto"/>
              </w:rPr>
            </w:pPr>
            <w:r>
              <w:rPr>
                <w:rFonts w:ascii="Arial" w:cs="Arial" w:eastAsia="Arial" w:hAnsi="Arial"/>
                <w:sz w:val="15"/>
                <w:szCs w:val="15"/>
                <w:color w:val="auto"/>
              </w:rPr>
              <w:t>19.7</w:t>
            </w:r>
          </w:p>
        </w:tc>
      </w:tr>
      <w:tr>
        <w:trPr>
          <w:trHeight w:val="23"/>
        </w:trPr>
        <w:tc>
          <w:tcPr>
            <w:tcW w:w="6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accrued and other current liabilities</w:t>
            </w:r>
          </w:p>
        </w:tc>
        <w:tc>
          <w:tcPr>
            <w:tcW w:w="1620" w:type="dxa"/>
            <w:vAlign w:val="bottom"/>
            <w:tcBorders>
              <w:bottom w:val="single" w:sz="8" w:color="CCEEFF"/>
            </w:tcBorders>
            <w:shd w:val="clear" w:color="auto" w:fill="CCEEFF"/>
          </w:tcPr>
          <w:p>
            <w:pPr>
              <w:jc w:val="right"/>
              <w:ind w:right="1443"/>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149.4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164.5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348"/>
        <w:spacing w:after="0" w:line="289" w:lineRule="auto"/>
        <w:rPr>
          <w:sz w:val="20"/>
          <w:szCs w:val="20"/>
          <w:color w:val="auto"/>
        </w:rPr>
      </w:pPr>
      <w:r>
        <w:rPr>
          <w:rFonts w:ascii="Arial" w:cs="Arial" w:eastAsia="Arial" w:hAnsi="Arial"/>
          <w:sz w:val="15"/>
          <w:szCs w:val="15"/>
          <w:color w:val="auto"/>
        </w:rPr>
        <w:t>The decrease in deferred rent from December 31, 2018 is due to the Company's adoption of ASC 842 on January 1, 2019 using the modified retrospective approach. As of June 30, 2019, deferred rent reduces the Company's operating right-of-use asset. See Note 9 "Leases" for additional discussion.</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12.Stockholders’ Equity</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firstLine="371"/>
        <w:spacing w:after="0" w:line="289" w:lineRule="auto"/>
        <w:rPr>
          <w:sz w:val="20"/>
          <w:szCs w:val="20"/>
          <w:color w:val="auto"/>
        </w:rPr>
      </w:pPr>
      <w:r>
        <w:rPr>
          <w:rFonts w:ascii="Arial" w:cs="Arial" w:eastAsia="Arial" w:hAnsi="Arial"/>
          <w:sz w:val="14"/>
          <w:szCs w:val="14"/>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During the three and six months ended June 30, 2019, holders of 25.9 million and 37.7 million shares of Class B common stock voluntarily converted into an equivalent number of shares of Class A common stock, respectively.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40"/>
          </w:cols>
          <w:pgMar w:left="240" w:top="123"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firstLine="371"/>
        <w:spacing w:after="0" w:line="289" w:lineRule="auto"/>
        <w:rPr>
          <w:sz w:val="20"/>
          <w:szCs w:val="20"/>
          <w:color w:val="auto"/>
        </w:rPr>
      </w:pPr>
      <w:r>
        <w:rPr>
          <w:rFonts w:ascii="Arial" w:cs="Arial" w:eastAsia="Arial" w:hAnsi="Arial"/>
          <w:sz w:val="14"/>
          <w:szCs w:val="14"/>
          <w:color w:val="auto"/>
        </w:rPr>
        <w:t>As of June 30, 2019, the Company had authorized 2,400.0 million shares of Class A common stock, 475.0 million shares of Class B common stock, and 800.0 million shares of Class C common stock, each at par value of $0.00001. As of June 30, 2019, 251.6 million shares of Class A common stock, 161.8 million shares of Class B common stock, and no shares of Class C common stock were issued and outstanding. As of December 31, 2018, 211.0 million shares of Class A common stock, 198.6 million shares of Class B common stock, and no shares of Class C common stock were issued and outstanding. Class A shares issued and outstanding as of June 30, 2019 and December 31, 2018 exclude 14.7 million unvested restricted stock awards granted to the Company’s co-founders. See "Co-Founder Grants" section below for further details.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Convertible preferred stock</w:t>
      </w:r>
    </w:p>
    <w:p>
      <w:pPr>
        <w:spacing w:after="0" w:line="105" w:lineRule="exact"/>
        <w:rPr>
          <w:sz w:val="20"/>
          <w:szCs w:val="20"/>
          <w:color w:val="auto"/>
        </w:rPr>
      </w:pPr>
    </w:p>
    <w:p>
      <w:pPr>
        <w:jc w:val="both"/>
        <w:ind w:right="280" w:firstLine="371"/>
        <w:spacing w:after="0" w:line="273" w:lineRule="auto"/>
        <w:rPr>
          <w:sz w:val="20"/>
          <w:szCs w:val="20"/>
          <w:color w:val="auto"/>
        </w:rPr>
      </w:pPr>
      <w:r>
        <w:rPr>
          <w:rFonts w:ascii="Arial" w:cs="Arial" w:eastAsia="Arial" w:hAnsi="Arial"/>
          <w:sz w:val="15"/>
          <w:szCs w:val="15"/>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Preferred stock</w:t>
      </w:r>
    </w:p>
    <w:p>
      <w:pPr>
        <w:spacing w:after="0" w:line="198" w:lineRule="exact"/>
        <w:rPr>
          <w:sz w:val="20"/>
          <w:szCs w:val="20"/>
          <w:color w:val="auto"/>
        </w:rPr>
      </w:pPr>
    </w:p>
    <w:p>
      <w:pPr>
        <w:jc w:val="both"/>
        <w:ind w:right="260" w:firstLine="371"/>
        <w:spacing w:after="0" w:line="289" w:lineRule="auto"/>
        <w:rPr>
          <w:sz w:val="20"/>
          <w:szCs w:val="20"/>
          <w:color w:val="auto"/>
        </w:rPr>
      </w:pPr>
      <w:r>
        <w:rPr>
          <w:rFonts w:ascii="Arial" w:cs="Arial" w:eastAsia="Arial" w:hAnsi="Arial"/>
          <w:sz w:val="15"/>
          <w:szCs w:val="15"/>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Equity incentive plans</w:t>
      </w:r>
    </w:p>
    <w:p>
      <w:pPr>
        <w:spacing w:after="0" w:line="105" w:lineRule="exact"/>
        <w:rPr>
          <w:sz w:val="20"/>
          <w:szCs w:val="20"/>
          <w:color w:val="auto"/>
        </w:rPr>
      </w:pPr>
    </w:p>
    <w:p>
      <w:pPr>
        <w:ind w:firstLine="371"/>
        <w:spacing w:after="0" w:line="265" w:lineRule="auto"/>
        <w:rPr>
          <w:sz w:val="20"/>
          <w:szCs w:val="20"/>
          <w:color w:val="auto"/>
        </w:rPr>
      </w:pPr>
      <w:r>
        <w:rPr>
          <w:rFonts w:ascii="Arial" w:cs="Arial" w:eastAsia="Arial" w:hAnsi="Arial"/>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the acquisition of HelloSign, the Company assumed unvested stock options that had been granted under HelloSign's 2011 Equity Incentive Plan.</w:t>
      </w:r>
    </w:p>
    <w:p>
      <w:pPr>
        <w:spacing w:after="0" w:line="198" w:lineRule="exact"/>
        <w:rPr>
          <w:sz w:val="20"/>
          <w:szCs w:val="20"/>
          <w:color w:val="auto"/>
        </w:rPr>
      </w:pPr>
    </w:p>
    <w:p>
      <w:pPr>
        <w:ind w:right="120" w:firstLine="371"/>
        <w:spacing w:after="0" w:line="289" w:lineRule="auto"/>
        <w:rPr>
          <w:sz w:val="20"/>
          <w:szCs w:val="20"/>
          <w:color w:val="auto"/>
        </w:rPr>
      </w:pPr>
      <w:r>
        <w:rPr>
          <w:rFonts w:ascii="Arial" w:cs="Arial" w:eastAsia="Arial" w:hAnsi="Arial"/>
          <w:sz w:val="15"/>
          <w:szCs w:val="15"/>
          <w:color w:val="auto"/>
        </w:rPr>
        <w:t>As of June 30, 2019, there were 32.3 million stock-based awards issued and outstanding and 70.3 million shares available for issuance under the Dropbox Equity Incentive Plans and HelloSign's 2011 Equity Incentive Plan (collectively, the "Plans").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123" w:right="2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Stock option and restricted stock activity for the Plans was as follows for the six months ended June 30,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63"/>
              <w:spacing w:after="0"/>
              <w:rPr>
                <w:sz w:val="20"/>
                <w:szCs w:val="20"/>
                <w:color w:val="auto"/>
              </w:rPr>
            </w:pPr>
            <w:r>
              <w:rPr>
                <w:rFonts w:ascii="Arial" w:cs="Arial" w:eastAsia="Arial" w:hAnsi="Arial"/>
                <w:sz w:val="15"/>
                <w:szCs w:val="15"/>
                <w:b w:val="1"/>
                <w:bCs w:val="1"/>
                <w:color w:val="auto"/>
              </w:rPr>
              <w:t>Restricted stock</w:t>
            </w: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3"/>
          </w:tcPr>
          <w:p>
            <w:pPr>
              <w:ind w:left="380"/>
              <w:spacing w:after="0"/>
              <w:rPr>
                <w:sz w:val="20"/>
                <w:szCs w:val="20"/>
                <w:color w:val="auto"/>
              </w:rPr>
            </w:pPr>
            <w:r>
              <w:rPr>
                <w:rFonts w:ascii="Arial" w:cs="Arial" w:eastAsia="Arial" w:hAnsi="Arial"/>
                <w:sz w:val="15"/>
                <w:szCs w:val="15"/>
                <w:b w:val="1"/>
                <w:bCs w:val="1"/>
                <w:color w:val="auto"/>
              </w:rPr>
              <w:t>Options outstanding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703"/>
              <w:spacing w:after="0"/>
              <w:rPr>
                <w:sz w:val="20"/>
                <w:szCs w:val="20"/>
                <w:color w:val="auto"/>
              </w:rPr>
            </w:pPr>
            <w:r>
              <w:rPr>
                <w:rFonts w:ascii="Arial" w:cs="Arial" w:eastAsia="Arial" w:hAnsi="Arial"/>
                <w:sz w:val="15"/>
                <w:szCs w:val="15"/>
                <w:b w:val="1"/>
                <w:bCs w:val="1"/>
                <w:color w:val="auto"/>
              </w:rPr>
              <w:t>outstanding</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Number of</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143"/>
              <w:spacing w:after="0"/>
              <w:rPr>
                <w:sz w:val="20"/>
                <w:szCs w:val="20"/>
                <w:color w:val="auto"/>
              </w:rPr>
            </w:pPr>
            <w:r>
              <w:rPr>
                <w:rFonts w:ascii="Arial" w:cs="Arial" w:eastAsia="Arial" w:hAnsi="Arial"/>
                <w:sz w:val="15"/>
                <w:szCs w:val="15"/>
                <w:color w:val="auto"/>
                <w:w w:val="93"/>
              </w:rPr>
              <w:t>Weighted-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color w:val="auto"/>
                <w:w w:val="88"/>
              </w:rPr>
              <w:t>shares</w:t>
            </w:r>
          </w:p>
        </w:tc>
        <w:tc>
          <w:tcPr>
            <w:tcW w:w="1140" w:type="dxa"/>
            <w:vAlign w:val="bottom"/>
          </w:tcPr>
          <w:p>
            <w:pPr>
              <w:jc w:val="center"/>
              <w:spacing w:after="0"/>
              <w:rPr>
                <w:sz w:val="20"/>
                <w:szCs w:val="20"/>
                <w:color w:val="auto"/>
              </w:rPr>
            </w:pPr>
            <w:r>
              <w:rPr>
                <w:rFonts w:ascii="Arial" w:cs="Arial" w:eastAsia="Arial" w:hAnsi="Arial"/>
                <w:sz w:val="15"/>
                <w:szCs w:val="15"/>
                <w:color w:val="auto"/>
                <w:w w:val="97"/>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color w:val="auto"/>
                <w:w w:val="93"/>
              </w:rPr>
              <w:t>Weighted-</w:t>
            </w:r>
          </w:p>
        </w:tc>
        <w:tc>
          <w:tcPr>
            <w:tcW w:w="940" w:type="dxa"/>
            <w:vAlign w:val="bottom"/>
          </w:tcPr>
          <w:p>
            <w:pPr>
              <w:jc w:val="center"/>
              <w:ind w:left="143"/>
              <w:spacing w:after="0"/>
              <w:rPr>
                <w:sz w:val="20"/>
                <w:szCs w:val="20"/>
                <w:color w:val="auto"/>
              </w:rPr>
            </w:pPr>
            <w:r>
              <w:rPr>
                <w:rFonts w:ascii="Arial" w:cs="Arial" w:eastAsia="Arial" w:hAnsi="Arial"/>
                <w:sz w:val="15"/>
                <w:szCs w:val="15"/>
                <w:color w:val="auto"/>
                <w:w w:val="88"/>
              </w:rPr>
              <w:t>average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3"/>
              <w:spacing w:after="0"/>
              <w:rPr>
                <w:sz w:val="20"/>
                <w:szCs w:val="20"/>
                <w:color w:val="auto"/>
              </w:rPr>
            </w:pPr>
            <w:r>
              <w:rPr>
                <w:rFonts w:ascii="Arial" w:cs="Arial" w:eastAsia="Arial" w:hAnsi="Arial"/>
                <w:sz w:val="15"/>
                <w:szCs w:val="15"/>
                <w:color w:val="auto"/>
                <w:w w:val="93"/>
              </w:rPr>
              <w:t>Weighted-</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color w:val="auto"/>
                <w:w w:val="96"/>
              </w:rPr>
              <w:t>available for</w:t>
            </w:r>
          </w:p>
        </w:tc>
        <w:tc>
          <w:tcPr>
            <w:tcW w:w="1140" w:type="dxa"/>
            <w:vAlign w:val="bottom"/>
          </w:tcPr>
          <w:p>
            <w:pPr>
              <w:jc w:val="center"/>
              <w:spacing w:after="0"/>
              <w:rPr>
                <w:sz w:val="20"/>
                <w:szCs w:val="20"/>
                <w:color w:val="auto"/>
              </w:rPr>
            </w:pPr>
            <w:r>
              <w:rPr>
                <w:rFonts w:ascii="Arial" w:cs="Arial" w:eastAsia="Arial" w:hAnsi="Arial"/>
                <w:sz w:val="15"/>
                <w:szCs w:val="15"/>
                <w:color w:val="auto"/>
                <w:w w:val="84"/>
              </w:rPr>
              <w:t>shares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color w:val="auto"/>
                <w:w w:val="88"/>
              </w:rPr>
              <w:t>average</w:t>
            </w:r>
          </w:p>
        </w:tc>
        <w:tc>
          <w:tcPr>
            <w:tcW w:w="940" w:type="dxa"/>
            <w:vAlign w:val="bottom"/>
          </w:tcPr>
          <w:p>
            <w:pPr>
              <w:jc w:val="center"/>
              <w:ind w:left="143"/>
              <w:spacing w:after="0"/>
              <w:rPr>
                <w:sz w:val="20"/>
                <w:szCs w:val="20"/>
                <w:color w:val="auto"/>
              </w:rPr>
            </w:pPr>
            <w:r>
              <w:rPr>
                <w:rFonts w:ascii="Arial" w:cs="Arial" w:eastAsia="Arial" w:hAnsi="Arial"/>
                <w:sz w:val="15"/>
                <w:szCs w:val="15"/>
                <w:color w:val="auto"/>
                <w:w w:val="97"/>
              </w:rPr>
              <w:t>remaining</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7"/>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3"/>
              <w:spacing w:after="0"/>
              <w:rPr>
                <w:sz w:val="20"/>
                <w:szCs w:val="20"/>
                <w:color w:val="auto"/>
              </w:rPr>
            </w:pPr>
            <w:r>
              <w:rPr>
                <w:rFonts w:ascii="Arial" w:cs="Arial" w:eastAsia="Arial" w:hAnsi="Arial"/>
                <w:sz w:val="15"/>
                <w:szCs w:val="15"/>
                <w:color w:val="auto"/>
                <w:w w:val="88"/>
              </w:rPr>
              <w:t>average</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color w:val="auto"/>
                <w:w w:val="87"/>
              </w:rPr>
              <w:t>issuance</w:t>
            </w: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outstanding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exercise</w:t>
            </w:r>
          </w:p>
        </w:tc>
        <w:tc>
          <w:tcPr>
            <w:tcW w:w="940" w:type="dxa"/>
            <w:vAlign w:val="bottom"/>
          </w:tcPr>
          <w:p>
            <w:pPr>
              <w:jc w:val="center"/>
              <w:ind w:left="143"/>
              <w:spacing w:after="0"/>
              <w:rPr>
                <w:sz w:val="20"/>
                <w:szCs w:val="20"/>
                <w:color w:val="auto"/>
              </w:rPr>
            </w:pPr>
            <w:r>
              <w:rPr>
                <w:rFonts w:ascii="Arial" w:cs="Arial" w:eastAsia="Arial" w:hAnsi="Arial"/>
                <w:sz w:val="15"/>
                <w:szCs w:val="15"/>
                <w:color w:val="auto"/>
                <w:w w:val="92"/>
              </w:rPr>
              <w:t>contractual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84"/>
              </w:rPr>
              <w:t>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03"/>
              <w:spacing w:after="0"/>
              <w:rPr>
                <w:sz w:val="20"/>
                <w:szCs w:val="20"/>
                <w:color w:val="auto"/>
              </w:rPr>
            </w:pPr>
            <w:r>
              <w:rPr>
                <w:rFonts w:ascii="Arial" w:cs="Arial" w:eastAsia="Arial" w:hAnsi="Arial"/>
                <w:sz w:val="15"/>
                <w:szCs w:val="15"/>
                <w:color w:val="auto"/>
                <w:w w:val="91"/>
              </w:rPr>
              <w:t>grant date</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under the</w:t>
            </w:r>
          </w:p>
        </w:tc>
        <w:tc>
          <w:tcPr>
            <w:tcW w:w="1140" w:type="dxa"/>
            <w:vAlign w:val="bottom"/>
          </w:tcPr>
          <w:p>
            <w:pPr>
              <w:jc w:val="center"/>
              <w:spacing w:after="0"/>
              <w:rPr>
                <w:sz w:val="20"/>
                <w:szCs w:val="20"/>
                <w:color w:val="auto"/>
              </w:rPr>
            </w:pPr>
            <w:r>
              <w:rPr>
                <w:rFonts w:ascii="Arial" w:cs="Arial" w:eastAsia="Arial" w:hAnsi="Arial"/>
                <w:sz w:val="15"/>
                <w:szCs w:val="15"/>
                <w:color w:val="auto"/>
                <w:w w:val="91"/>
              </w:rPr>
              <w:t>under the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color w:val="auto"/>
                <w:w w:val="92"/>
              </w:rPr>
              <w:t>price</w:t>
            </w:r>
          </w:p>
        </w:tc>
        <w:tc>
          <w:tcPr>
            <w:tcW w:w="940" w:type="dxa"/>
            <w:vAlign w:val="bottom"/>
          </w:tcPr>
          <w:p>
            <w:pPr>
              <w:jc w:val="center"/>
              <w:ind w:left="143"/>
              <w:spacing w:after="0"/>
              <w:rPr>
                <w:sz w:val="20"/>
                <w:szCs w:val="20"/>
                <w:color w:val="auto"/>
              </w:rPr>
            </w:pPr>
            <w:r>
              <w:rPr>
                <w:rFonts w:ascii="Arial" w:cs="Arial" w:eastAsia="Arial" w:hAnsi="Arial"/>
                <w:sz w:val="15"/>
                <w:szCs w:val="15"/>
                <w:color w:val="auto"/>
                <w:w w:val="93"/>
              </w:rPr>
              <w:t>term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color w:val="auto"/>
                <w:w w:val="95"/>
              </w:rPr>
              <w:t>Aggregate</w:t>
            </w:r>
          </w:p>
        </w:tc>
        <w:tc>
          <w:tcPr>
            <w:tcW w:w="1120" w:type="dxa"/>
            <w:vAlign w:val="bottom"/>
          </w:tcPr>
          <w:p>
            <w:pPr>
              <w:jc w:val="center"/>
              <w:spacing w:after="0"/>
              <w:rPr>
                <w:sz w:val="20"/>
                <w:szCs w:val="20"/>
                <w:color w:val="auto"/>
              </w:rPr>
            </w:pPr>
            <w:r>
              <w:rPr>
                <w:rFonts w:ascii="Arial" w:cs="Arial" w:eastAsia="Arial" w:hAnsi="Arial"/>
                <w:sz w:val="15"/>
                <w:szCs w:val="15"/>
                <w:color w:val="auto"/>
                <w:w w:val="92"/>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03"/>
              <w:spacing w:after="0"/>
              <w:rPr>
                <w:sz w:val="20"/>
                <w:szCs w:val="20"/>
                <w:color w:val="auto"/>
              </w:rPr>
            </w:pPr>
            <w:r>
              <w:rPr>
                <w:rFonts w:ascii="Arial" w:cs="Arial" w:eastAsia="Arial" w:hAnsi="Arial"/>
                <w:sz w:val="15"/>
                <w:szCs w:val="15"/>
                <w:color w:val="auto"/>
                <w:w w:val="95"/>
              </w:rPr>
              <w:t>fair value</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color w:val="auto"/>
                <w:w w:val="85"/>
              </w:rPr>
              <w:t>Plans</w:t>
            </w:r>
          </w:p>
        </w:tc>
        <w:tc>
          <w:tcPr>
            <w:tcW w:w="1140" w:type="dxa"/>
            <w:vAlign w:val="bottom"/>
          </w:tcPr>
          <w:p>
            <w:pPr>
              <w:jc w:val="center"/>
              <w:spacing w:after="0"/>
              <w:rPr>
                <w:sz w:val="20"/>
                <w:szCs w:val="20"/>
                <w:color w:val="auto"/>
              </w:rPr>
            </w:pPr>
            <w:r>
              <w:rPr>
                <w:rFonts w:ascii="Arial" w:cs="Arial" w:eastAsia="Arial" w:hAnsi="Arial"/>
                <w:sz w:val="15"/>
                <w:szCs w:val="15"/>
                <w:color w:val="auto"/>
                <w:w w:val="90"/>
              </w:rPr>
              <w:t>Plans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color w:val="auto"/>
                <w:w w:val="88"/>
              </w:rPr>
              <w:t>per share</w:t>
            </w:r>
          </w:p>
        </w:tc>
        <w:tc>
          <w:tcPr>
            <w:tcW w:w="940" w:type="dxa"/>
            <w:vAlign w:val="bottom"/>
          </w:tcPr>
          <w:p>
            <w:pPr>
              <w:jc w:val="center"/>
              <w:ind w:left="143"/>
              <w:spacing w:after="0"/>
              <w:rPr>
                <w:sz w:val="20"/>
                <w:szCs w:val="20"/>
                <w:color w:val="auto"/>
              </w:rPr>
            </w:pPr>
            <w:r>
              <w:rPr>
                <w:rFonts w:ascii="Arial" w:cs="Arial" w:eastAsia="Arial" w:hAnsi="Arial"/>
                <w:sz w:val="15"/>
                <w:szCs w:val="15"/>
                <w:color w:val="auto"/>
                <w:w w:val="94"/>
              </w:rPr>
              <w:t>(In years)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intrinsic value</w:t>
            </w:r>
          </w:p>
        </w:tc>
        <w:tc>
          <w:tcPr>
            <w:tcW w:w="1120" w:type="dxa"/>
            <w:vAlign w:val="bottom"/>
          </w:tcPr>
          <w:p>
            <w:pPr>
              <w:jc w:val="center"/>
              <w:spacing w:after="0"/>
              <w:rPr>
                <w:sz w:val="20"/>
                <w:szCs w:val="20"/>
                <w:color w:val="auto"/>
              </w:rPr>
            </w:pPr>
            <w:r>
              <w:rPr>
                <w:rFonts w:ascii="Arial" w:cs="Arial" w:eastAsia="Arial" w:hAnsi="Arial"/>
                <w:sz w:val="15"/>
                <w:szCs w:val="15"/>
                <w:color w:val="auto"/>
                <w:w w:val="89"/>
              </w:rPr>
              <w:t>under the Plans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83"/>
              <w:spacing w:after="0"/>
              <w:rPr>
                <w:sz w:val="20"/>
                <w:szCs w:val="20"/>
                <w:color w:val="auto"/>
              </w:rPr>
            </w:pPr>
            <w:r>
              <w:rPr>
                <w:rFonts w:ascii="Arial" w:cs="Arial" w:eastAsia="Arial" w:hAnsi="Arial"/>
                <w:sz w:val="15"/>
                <w:szCs w:val="15"/>
                <w:color w:val="auto"/>
                <w:w w:val="88"/>
              </w:rPr>
              <w:t>per share</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2018</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57.1</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14.68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5.0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18.68</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5"/>
                <w:szCs w:val="15"/>
                <w:color w:val="auto"/>
              </w:rPr>
              <w:t>Additional shares authorized</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21.2</w:t>
            </w:r>
          </w:p>
        </w:tc>
        <w:tc>
          <w:tcPr>
            <w:tcW w:w="12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assumed</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6.02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5"/>
                <w:szCs w:val="15"/>
                <w:color w:val="auto"/>
              </w:rPr>
              <w:t>Options exercised and RSUs released</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7.21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18.43</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Options and RSUs canceled</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20.07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18.16</w:t>
            </w: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5"/>
                <w:szCs w:val="15"/>
                <w:color w:val="auto"/>
                <w:w w:val="93"/>
              </w:rPr>
              <w:t>Shares repurchased for tax withholdings 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5"/>
                <w:szCs w:val="15"/>
                <w:color w:val="auto"/>
              </w:rPr>
              <w:t>release of restricted stock</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18.38</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Restricted stock and options granted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22.34</w:t>
            </w: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Balance at June 30, 2019</w:t>
            </w:r>
          </w:p>
        </w:tc>
        <w:tc>
          <w:tcPr>
            <w:tcW w:w="1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70.3</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2.0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tcPr>
          <w:p>
            <w:pPr>
              <w:jc w:val="right"/>
              <w:ind w:right="43"/>
              <w:spacing w:after="0"/>
              <w:rPr>
                <w:sz w:val="20"/>
                <w:szCs w:val="20"/>
                <w:color w:val="auto"/>
              </w:rPr>
            </w:pPr>
            <w:r>
              <w:rPr>
                <w:rFonts w:ascii="Arial" w:cs="Arial" w:eastAsia="Arial" w:hAnsi="Arial"/>
                <w:sz w:val="15"/>
                <w:szCs w:val="15"/>
                <w:color w:val="auto"/>
              </w:rPr>
              <w:t>12.41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86"/>
              </w:rPr>
              <w:t>5.8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25.1</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30.3</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20.51</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Vested at June 30, 2019</w:t>
            </w: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16.72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5.8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9.8</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0"/>
              <w:spacing w:after="0"/>
              <w:rPr>
                <w:sz w:val="20"/>
                <w:szCs w:val="20"/>
                <w:color w:val="auto"/>
              </w:rPr>
            </w:pPr>
            <w:r>
              <w:rPr>
                <w:rFonts w:ascii="Arial" w:cs="Arial" w:eastAsia="Arial" w:hAnsi="Arial"/>
                <w:sz w:val="15"/>
                <w:szCs w:val="15"/>
                <w:color w:val="auto"/>
              </w:rPr>
              <w:t>Unvested at June 30, 2019</w:t>
            </w: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7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0.8</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6.16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30.3</w:t>
            </w: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20.51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information about the pre-tax intrinsic value of options exercised during the three and six months ended June 30, 2019 and 2018:</w:t>
      </w:r>
    </w:p>
    <w:p>
      <w:pPr>
        <w:sectPr>
          <w:pgSz w:w="11900" w:h="16838" w:orient="portrait"/>
          <w:cols w:equalWidth="0" w:num="1">
            <w:col w:w="11440"/>
          </w:cols>
          <w:pgMar w:left="240" w:top="123" w:right="219" w:bottom="1440" w:gutter="0" w:footer="0" w:header="0"/>
        </w:sectPr>
      </w:pPr>
    </w:p>
    <w:p>
      <w:pPr>
        <w:spacing w:after="0" w:line="366" w:lineRule="exact"/>
        <w:rPr>
          <w:sz w:val="20"/>
          <w:szCs w:val="20"/>
          <w:color w:val="auto"/>
        </w:rPr>
      </w:pPr>
    </w:p>
    <w:p>
      <w:pPr>
        <w:jc w:val="center"/>
        <w:ind w:left="71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48260</wp:posOffset>
            </wp:positionV>
            <wp:extent cx="13976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7620"/>
                    </a:xfrm>
                    <a:prstGeom prst="rect">
                      <a:avLst/>
                    </a:prstGeom>
                    <a:noFill/>
                  </pic:spPr>
                </pic:pic>
              </a:graphicData>
            </a:graphic>
          </wp:anchor>
        </w:drawing>
      </w:r>
    </w:p>
    <w:p>
      <w:pPr>
        <w:spacing w:after="0" w:line="74" w:lineRule="exact"/>
        <w:rPr>
          <w:sz w:val="20"/>
          <w:szCs w:val="20"/>
          <w:color w:val="auto"/>
        </w:rPr>
      </w:pPr>
    </w:p>
    <w:p>
      <w:pPr>
        <w:ind w:left="7340"/>
        <w:spacing w:after="0"/>
        <w:tabs>
          <w:tab w:leader="none" w:pos="848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6305" cy="147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14732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33655</wp:posOffset>
            </wp:positionV>
            <wp:extent cx="13976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6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48260</wp:posOffset>
            </wp:positionV>
            <wp:extent cx="13608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74"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33655</wp:posOffset>
            </wp:positionV>
            <wp:extent cx="13608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0805" cy="762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9060" w:space="440"/>
            <w:col w:w="1940"/>
          </w:cols>
          <w:pgMar w:left="240" w:top="123" w:right="219" w:bottom="1440" w:gutter="0" w:footer="0" w:header="0"/>
          <w:type w:val="continuous"/>
        </w:sectPr>
      </w:pPr>
    </w:p>
    <w:p>
      <w:pPr>
        <w:ind w:left="20"/>
        <w:spacing w:after="0"/>
        <w:tabs>
          <w:tab w:leader="none" w:pos="6980" w:val="left"/>
          <w:tab w:leader="none" w:pos="7700" w:val="left"/>
          <w:tab w:leader="none" w:pos="8140" w:val="left"/>
          <w:tab w:leader="none" w:pos="8840" w:val="left"/>
          <w:tab w:leader="none" w:pos="9300" w:val="left"/>
          <w:tab w:leader="none" w:pos="10000" w:val="left"/>
          <w:tab w:leader="none" w:pos="10440" w:val="left"/>
          <w:tab w:leader="none" w:pos="11120" w:val="left"/>
        </w:tabs>
        <w:rPr>
          <w:sz w:val="20"/>
          <w:szCs w:val="20"/>
          <w:color w:val="auto"/>
        </w:rPr>
      </w:pPr>
      <w:r>
        <w:rPr>
          <w:rFonts w:ascii="Arial" w:cs="Arial" w:eastAsia="Arial" w:hAnsi="Arial"/>
          <w:sz w:val="15"/>
          <w:szCs w:val="15"/>
          <w:color w:val="auto"/>
        </w:rPr>
        <w:t>Intrinsic value of options exercised</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0.3</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4.5</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2.0</w:t>
      </w:r>
    </w:p>
    <w:p>
      <w:pPr>
        <w:spacing w:after="0" w:line="221" w:lineRule="exact"/>
        <w:rPr>
          <w:sz w:val="20"/>
          <w:szCs w:val="20"/>
          <w:color w:val="auto"/>
        </w:rPr>
      </w:pPr>
    </w:p>
    <w:p>
      <w:pPr>
        <w:ind w:right="120" w:firstLine="371"/>
        <w:spacing w:after="0" w:line="371" w:lineRule="auto"/>
        <w:rPr>
          <w:sz w:val="20"/>
          <w:szCs w:val="20"/>
          <w:color w:val="auto"/>
        </w:rPr>
      </w:pPr>
      <w:r>
        <w:rPr>
          <w:rFonts w:ascii="Arial" w:cs="Arial" w:eastAsia="Arial" w:hAnsi="Arial"/>
          <w:sz w:val="13"/>
          <w:szCs w:val="13"/>
          <w:color w:val="auto"/>
        </w:rPr>
        <w:t>As of June 30, 2019, unamortized stock-based compensation related to unvested stock options, restricted stock awards (excluding the Co-Founder Grants), and RSUs was $599.2 million. The weighted-average period over which such compensation expense will be recognized if the requisite service is provided is approximately 3.0 years as of June 30, 2019.</w:t>
      </w:r>
    </w:p>
    <w:p>
      <w:pPr>
        <w:spacing w:after="0" w:line="94" w:lineRule="exact"/>
        <w:rPr>
          <w:sz w:val="20"/>
          <w:szCs w:val="20"/>
          <w:color w:val="auto"/>
        </w:rPr>
      </w:pPr>
    </w:p>
    <w:p>
      <w:pPr>
        <w:ind w:right="800" w:firstLine="371"/>
        <w:spacing w:after="0" w:line="289" w:lineRule="auto"/>
        <w:rPr>
          <w:sz w:val="20"/>
          <w:szCs w:val="20"/>
          <w:color w:val="auto"/>
        </w:rPr>
      </w:pPr>
      <w:r>
        <w:rPr>
          <w:rFonts w:ascii="Arial" w:cs="Arial" w:eastAsia="Arial" w:hAnsi="Arial"/>
          <w:sz w:val="15"/>
          <w:szCs w:val="15"/>
          <w:color w:val="auto"/>
        </w:rPr>
        <w:t>The total fair value of released RSUs, as of their respective vesting dates, were $63.5 million and $131.4 million during the three and six months ended June 30, 2019, respectively, and $92.0 million and $735.3 million during the three and six months ended June 30, 2018, respectively.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Assumed stock options</w:t>
      </w:r>
    </w:p>
    <w:p>
      <w:pPr>
        <w:spacing w:after="0" w:line="105" w:lineRule="exact"/>
        <w:rPr>
          <w:sz w:val="20"/>
          <w:szCs w:val="20"/>
          <w:color w:val="auto"/>
        </w:rPr>
      </w:pPr>
    </w:p>
    <w:p>
      <w:pPr>
        <w:ind w:right="140" w:firstLine="371"/>
        <w:spacing w:after="0" w:line="289" w:lineRule="auto"/>
        <w:rPr>
          <w:sz w:val="20"/>
          <w:szCs w:val="20"/>
          <w:color w:val="auto"/>
        </w:rPr>
      </w:pPr>
      <w:r>
        <w:rPr>
          <w:rFonts w:ascii="Arial" w:cs="Arial" w:eastAsia="Arial" w:hAnsi="Arial"/>
          <w:sz w:val="15"/>
          <w:szCs w:val="15"/>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0"/>
          </w:cols>
          <w:pgMar w:left="240" w:top="123" w:right="219" w:bottom="1440" w:gutter="0" w:footer="0" w:header="0"/>
          <w:type w:val="continuous"/>
        </w:sectPr>
      </w:pPr>
    </w:p>
    <w:bookmarkStart w:id="29" w:name="page30"/>
    <w:bookmarkEnd w:id="2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8940" w:type="dxa"/>
            <w:vAlign w:val="bottom"/>
          </w:tcPr>
          <w:p>
            <w:pPr>
              <w:jc w:val="center"/>
              <w:ind w:right="1923"/>
              <w:spacing w:after="0"/>
              <w:rPr>
                <w:sz w:val="20"/>
                <w:szCs w:val="20"/>
                <w:color w:val="auto"/>
              </w:rPr>
            </w:pPr>
            <w:r>
              <w:rPr>
                <w:rFonts w:ascii="Arial" w:cs="Arial" w:eastAsia="Arial" w:hAnsi="Arial"/>
                <w:sz w:val="15"/>
                <w:szCs w:val="15"/>
                <w:b w:val="1"/>
                <w:bCs w:val="1"/>
                <w:color w:val="auto"/>
              </w:rPr>
              <w:t>DROPBOX, INC.</w:t>
            </w:r>
          </w:p>
        </w:tc>
      </w:tr>
      <w:tr>
        <w:trPr>
          <w:trHeight w:val="202"/>
        </w:trPr>
        <w:tc>
          <w:tcPr>
            <w:tcW w:w="1980" w:type="dxa"/>
            <w:vAlign w:val="bottom"/>
          </w:tcPr>
          <w:p>
            <w:pPr>
              <w:spacing w:after="0"/>
              <w:rPr>
                <w:sz w:val="17"/>
                <w:szCs w:val="17"/>
                <w:color w:val="auto"/>
              </w:rPr>
            </w:pPr>
          </w:p>
        </w:tc>
        <w:tc>
          <w:tcPr>
            <w:tcW w:w="8940" w:type="dxa"/>
            <w:vAlign w:val="bottom"/>
          </w:tcPr>
          <w:p>
            <w:pPr>
              <w:jc w:val="center"/>
              <w:ind w:right="1923"/>
              <w:spacing w:after="0"/>
              <w:rPr>
                <w:sz w:val="20"/>
                <w:szCs w:val="20"/>
                <w:color w:val="auto"/>
              </w:rPr>
            </w:pPr>
            <w:r>
              <w:rPr>
                <w:rFonts w:ascii="Arial" w:cs="Arial" w:eastAsia="Arial" w:hAnsi="Arial"/>
                <w:sz w:val="15"/>
                <w:szCs w:val="15"/>
                <w:b w:val="1"/>
                <w:bCs w:val="1"/>
                <w:color w:val="auto"/>
              </w:rPr>
              <w:t>NOTES TO UNAUDITED CONDENSED CONSOLIDATED FINANCIAL STATEMENTS</w:t>
            </w:r>
          </w:p>
        </w:tc>
      </w:tr>
      <w:tr>
        <w:trPr>
          <w:trHeight w:val="278"/>
        </w:trPr>
        <w:tc>
          <w:tcPr>
            <w:tcW w:w="1980" w:type="dxa"/>
            <w:vAlign w:val="bottom"/>
          </w:tcPr>
          <w:p>
            <w:pPr>
              <w:spacing w:after="0"/>
              <w:rPr>
                <w:sz w:val="24"/>
                <w:szCs w:val="24"/>
                <w:color w:val="auto"/>
              </w:rPr>
            </w:pPr>
          </w:p>
        </w:tc>
        <w:tc>
          <w:tcPr>
            <w:tcW w:w="8940" w:type="dxa"/>
            <w:vAlign w:val="bottom"/>
          </w:tcPr>
          <w:p>
            <w:pPr>
              <w:jc w:val="center"/>
              <w:ind w:right="1903"/>
              <w:spacing w:after="0"/>
              <w:rPr>
                <w:sz w:val="20"/>
                <w:szCs w:val="20"/>
                <w:color w:val="auto"/>
              </w:rPr>
            </w:pPr>
            <w:r>
              <w:rPr>
                <w:rFonts w:ascii="Arial" w:cs="Arial" w:eastAsia="Arial" w:hAnsi="Arial"/>
                <w:sz w:val="15"/>
                <w:szCs w:val="15"/>
                <w:i w:val="1"/>
                <w:iCs w:val="1"/>
                <w:color w:val="auto"/>
                <w:w w:val="93"/>
              </w:rPr>
              <w:t>(Amounts in tables are in millions except per share data, or as otherwise noted)</w:t>
            </w:r>
          </w:p>
        </w:tc>
      </w:tr>
      <w:tr>
        <w:trPr>
          <w:trHeight w:val="510"/>
        </w:trPr>
        <w:tc>
          <w:tcPr>
            <w:tcW w:w="1980" w:type="dxa"/>
            <w:vAlign w:val="bottom"/>
          </w:tcPr>
          <w:p>
            <w:pPr>
              <w:spacing w:after="0"/>
              <w:rPr>
                <w:sz w:val="24"/>
                <w:szCs w:val="24"/>
                <w:color w:val="auto"/>
              </w:rPr>
            </w:pPr>
          </w:p>
        </w:tc>
        <w:tc>
          <w:tcPr>
            <w:tcW w:w="8940" w:type="dxa"/>
            <w:vAlign w:val="bottom"/>
          </w:tcPr>
          <w:p>
            <w:pPr>
              <w:spacing w:after="0"/>
              <w:rPr>
                <w:sz w:val="24"/>
                <w:szCs w:val="24"/>
                <w:color w:val="auto"/>
              </w:rPr>
            </w:pPr>
          </w:p>
        </w:tc>
      </w:tr>
      <w:tr>
        <w:trPr>
          <w:trHeight w:val="21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Expected volatility</w:t>
            </w:r>
          </w:p>
        </w:tc>
        <w:tc>
          <w:tcPr>
            <w:tcW w:w="8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51.6%</w:t>
            </w:r>
          </w:p>
        </w:tc>
      </w:tr>
      <w:tr>
        <w:trPr>
          <w:trHeight w:val="208"/>
        </w:trPr>
        <w:tc>
          <w:tcPr>
            <w:tcW w:w="1980" w:type="dxa"/>
            <w:vAlign w:val="bottom"/>
          </w:tcPr>
          <w:p>
            <w:pPr>
              <w:ind w:left="20"/>
              <w:spacing w:after="0"/>
              <w:rPr>
                <w:sz w:val="20"/>
                <w:szCs w:val="20"/>
                <w:color w:val="auto"/>
              </w:rPr>
            </w:pPr>
            <w:r>
              <w:rPr>
                <w:rFonts w:ascii="Arial" w:cs="Arial" w:eastAsia="Arial" w:hAnsi="Arial"/>
                <w:sz w:val="15"/>
                <w:szCs w:val="15"/>
                <w:color w:val="auto"/>
              </w:rPr>
              <w:t>Expected term (in years)</w:t>
            </w:r>
          </w:p>
        </w:tc>
        <w:tc>
          <w:tcPr>
            <w:tcW w:w="8940" w:type="dxa"/>
            <w:vAlign w:val="bottom"/>
          </w:tcPr>
          <w:p>
            <w:pPr>
              <w:jc w:val="right"/>
              <w:ind w:right="83"/>
              <w:spacing w:after="0"/>
              <w:rPr>
                <w:sz w:val="20"/>
                <w:szCs w:val="20"/>
                <w:color w:val="auto"/>
              </w:rPr>
            </w:pPr>
            <w:r>
              <w:rPr>
                <w:rFonts w:ascii="Arial" w:cs="Arial" w:eastAsia="Arial" w:hAnsi="Arial"/>
                <w:sz w:val="15"/>
                <w:szCs w:val="15"/>
                <w:color w:val="auto"/>
              </w:rPr>
              <w:t>3.4 - 7.0</w:t>
            </w:r>
          </w:p>
        </w:tc>
      </w:tr>
      <w:tr>
        <w:trPr>
          <w:trHeight w:val="23"/>
        </w:trPr>
        <w:tc>
          <w:tcPr>
            <w:tcW w:w="19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21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89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2.42% - 2.51%</w:t>
            </w:r>
          </w:p>
        </w:tc>
      </w:tr>
      <w:tr>
        <w:trPr>
          <w:trHeight w:val="208"/>
        </w:trPr>
        <w:tc>
          <w:tcPr>
            <w:tcW w:w="198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89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98" w:lineRule="exact"/>
        <w:rPr>
          <w:sz w:val="20"/>
          <w:szCs w:val="20"/>
          <w:color w:val="auto"/>
        </w:rPr>
      </w:pPr>
    </w:p>
    <w:p>
      <w:pPr>
        <w:ind w:right="520" w:firstLine="371"/>
        <w:spacing w:after="0" w:line="264" w:lineRule="auto"/>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The expected volatility is based on the Company's historical volatility. Management believes this is the best estimate of the expected volatility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life of its stock options.</w:t>
      </w:r>
    </w:p>
    <w:p>
      <w:pPr>
        <w:spacing w:after="0" w:line="1" w:lineRule="exact"/>
        <w:rPr>
          <w:sz w:val="20"/>
          <w:szCs w:val="20"/>
          <w:color w:val="auto"/>
        </w:rPr>
      </w:pPr>
    </w:p>
    <w:p>
      <w:pPr>
        <w:jc w:val="both"/>
        <w:ind w:right="20" w:firstLine="371"/>
        <w:spacing w:after="0" w:line="26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The Company determines the expected term based on the average period the stock options are expected to remain outstanding, generally calculated as the midpoint</w:t>
      </w:r>
      <w:r>
        <w:rPr>
          <w:rFonts w:ascii="Arial" w:cs="Arial" w:eastAsia="Arial" w:hAnsi="Arial"/>
          <w:sz w:val="15"/>
          <w:szCs w:val="15"/>
          <w:i w:val="1"/>
          <w:iCs w:val="1"/>
          <w:color w:val="auto"/>
        </w:rPr>
        <w:t xml:space="preserve"> </w:t>
      </w:r>
      <w:r>
        <w:rPr>
          <w:rFonts w:ascii="Arial" w:cs="Arial" w:eastAsia="Arial" w:hAnsi="Arial"/>
          <w:sz w:val="15"/>
          <w:szCs w:val="15"/>
          <w:color w:val="auto"/>
        </w:rPr>
        <w:t>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57" w:lineRule="exact"/>
        <w:rPr>
          <w:sz w:val="20"/>
          <w:szCs w:val="20"/>
          <w:color w:val="auto"/>
        </w:rPr>
      </w:pPr>
    </w:p>
    <w:p>
      <w:pPr>
        <w:ind w:right="500" w:firstLine="371"/>
        <w:spacing w:after="0" w:line="289" w:lineRule="auto"/>
        <w:rPr>
          <w:sz w:val="20"/>
          <w:szCs w:val="20"/>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 The risk-free interest rate is based on the U.S. Treasury security in effect at the time the options were assumed for maturities corresponding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term of the option.</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 zero.</w:t>
      </w:r>
    </w:p>
    <w:p>
      <w:pPr>
        <w:spacing w:after="0" w:line="198" w:lineRule="exact"/>
        <w:rPr>
          <w:sz w:val="20"/>
          <w:szCs w:val="20"/>
          <w:color w:val="auto"/>
        </w:rPr>
      </w:pPr>
    </w:p>
    <w:p>
      <w:pPr>
        <w:ind w:right="560" w:firstLine="371"/>
        <w:spacing w:after="0" w:line="289" w:lineRule="auto"/>
        <w:rPr>
          <w:sz w:val="20"/>
          <w:szCs w:val="20"/>
          <w:color w:val="auto"/>
        </w:rPr>
      </w:pPr>
      <w:r>
        <w:rPr>
          <w:rFonts w:ascii="Arial" w:cs="Arial" w:eastAsia="Arial" w:hAnsi="Arial"/>
          <w:sz w:val="15"/>
          <w:szCs w:val="15"/>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Co-Founder Grants</w:t>
      </w:r>
    </w:p>
    <w:p>
      <w:pPr>
        <w:spacing w:after="0" w:line="105" w:lineRule="exact"/>
        <w:rPr>
          <w:sz w:val="20"/>
          <w:szCs w:val="20"/>
          <w:color w:val="auto"/>
        </w:rPr>
      </w:pPr>
    </w:p>
    <w:p>
      <w:pPr>
        <w:ind w:firstLine="371"/>
        <w:spacing w:after="0" w:line="284" w:lineRule="auto"/>
        <w:rPr>
          <w:sz w:val="20"/>
          <w:szCs w:val="20"/>
          <w:color w:val="auto"/>
        </w:rPr>
      </w:pPr>
      <w:r>
        <w:rPr>
          <w:rFonts w:ascii="Arial" w:cs="Arial" w:eastAsia="Arial" w:hAnsi="Arial"/>
          <w:sz w:val="14"/>
          <w:szCs w:val="14"/>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149" w:lineRule="exact"/>
        <w:rPr>
          <w:sz w:val="20"/>
          <w:szCs w:val="20"/>
          <w:color w:val="auto"/>
        </w:rPr>
      </w:pPr>
    </w:p>
    <w:p>
      <w:pPr>
        <w:ind w:right="60" w:firstLine="371"/>
        <w:spacing w:after="0" w:line="334" w:lineRule="auto"/>
        <w:rPr>
          <w:sz w:val="20"/>
          <w:szCs w:val="20"/>
          <w:color w:val="auto"/>
        </w:rPr>
      </w:pPr>
      <w:r>
        <w:rPr>
          <w:rFonts w:ascii="Arial" w:cs="Arial" w:eastAsia="Arial" w:hAnsi="Arial"/>
          <w:sz w:val="13"/>
          <w:szCs w:val="13"/>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17" w:lineRule="exact"/>
        <w:rPr>
          <w:sz w:val="20"/>
          <w:szCs w:val="20"/>
          <w:color w:val="auto"/>
        </w:rPr>
      </w:pPr>
    </w:p>
    <w:p>
      <w:pPr>
        <w:ind w:right="160" w:firstLine="371"/>
        <w:spacing w:after="0" w:line="289" w:lineRule="auto"/>
        <w:rPr>
          <w:sz w:val="20"/>
          <w:szCs w:val="20"/>
          <w:color w:val="auto"/>
        </w:rPr>
      </w:pPr>
      <w:r>
        <w:rPr>
          <w:rFonts w:ascii="Arial" w:cs="Arial" w:eastAsia="Arial" w:hAnsi="Arial"/>
          <w:sz w:val="15"/>
          <w:szCs w:val="15"/>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41" w:lineRule="exact"/>
        <w:rPr>
          <w:sz w:val="20"/>
          <w:szCs w:val="20"/>
          <w:color w:val="auto"/>
        </w:rPr>
      </w:pPr>
    </w:p>
    <w:p>
      <w:pPr>
        <w:ind w:right="80" w:firstLine="371"/>
        <w:spacing w:after="0" w:line="262" w:lineRule="auto"/>
        <w:rPr>
          <w:sz w:val="20"/>
          <w:szCs w:val="20"/>
          <w:color w:val="auto"/>
        </w:rPr>
      </w:pPr>
      <w:r>
        <w:rPr>
          <w:rFonts w:ascii="Arial" w:cs="Arial" w:eastAsia="Arial" w:hAnsi="Arial"/>
          <w:sz w:val="15"/>
          <w:szCs w:val="15"/>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20"/>
          </w:cols>
          <w:pgMar w:left="240" w:top="123"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with the vested awards. The Company will recognize expense if the requisite service is provided, regardless of whether the market conditions are achieved.</w:t>
      </w:r>
    </w:p>
    <w:p>
      <w:pPr>
        <w:spacing w:after="0" w:line="198" w:lineRule="exact"/>
        <w:rPr>
          <w:sz w:val="20"/>
          <w:szCs w:val="20"/>
          <w:color w:val="auto"/>
        </w:rPr>
      </w:pPr>
    </w:p>
    <w:p>
      <w:pPr>
        <w:ind w:right="220" w:firstLine="371"/>
        <w:spacing w:after="0" w:line="293" w:lineRule="auto"/>
        <w:rPr>
          <w:sz w:val="20"/>
          <w:szCs w:val="20"/>
          <w:color w:val="auto"/>
        </w:rPr>
      </w:pPr>
      <w:r>
        <w:rPr>
          <w:rFonts w:ascii="Arial" w:cs="Arial" w:eastAsia="Arial" w:hAnsi="Arial"/>
          <w:sz w:val="14"/>
          <w:szCs w:val="14"/>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stock-based compensation expense related to the Co-Founder Grants of $8.7 million and $17.3 million during the three and six months ended June 30, 2019, respectively, and $8.7 million and $19.3 million during the three and six months ended June 30, 2018, respectively. As of June 30, 2019, unamortized stock-based compensation expense related to the Co-Founder Grants was $101.9 million.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Award modifications</w:t>
      </w:r>
    </w:p>
    <w:p>
      <w:pPr>
        <w:spacing w:after="0" w:line="105" w:lineRule="exact"/>
        <w:rPr>
          <w:sz w:val="20"/>
          <w:szCs w:val="20"/>
          <w:color w:val="auto"/>
        </w:rPr>
      </w:pPr>
    </w:p>
    <w:p>
      <w:pPr>
        <w:ind w:right="240" w:firstLine="371"/>
        <w:spacing w:after="0" w:line="268" w:lineRule="auto"/>
        <w:rPr>
          <w:sz w:val="20"/>
          <w:szCs w:val="20"/>
          <w:color w:val="auto"/>
        </w:rPr>
      </w:pPr>
      <w:r>
        <w:rPr>
          <w:rFonts w:ascii="Arial" w:cs="Arial" w:eastAsia="Arial" w:hAnsi="Arial"/>
          <w:sz w:val="15"/>
          <w:szCs w:val="15"/>
          <w:color w:val="auto"/>
        </w:rPr>
        <w:t>During the year ended December 31, 2017, the Company's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the Company recognized an incremental $10.0 million in stock-based compensation during the first quarter of 2018 related to these modified one-tier and two-tier RSUs.</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3"/>
          <w:szCs w:val="13"/>
          <w:b w:val="1"/>
          <w:bCs w:val="1"/>
          <w:color w:val="auto"/>
        </w:rPr>
        <w:t>Net Loss Per Share</w:t>
      </w:r>
    </w:p>
    <w:p>
      <w:pPr>
        <w:spacing w:after="0" w:line="204" w:lineRule="exact"/>
        <w:rPr>
          <w:sz w:val="20"/>
          <w:szCs w:val="20"/>
          <w:color w:val="auto"/>
        </w:rPr>
      </w:pPr>
    </w:p>
    <w:p>
      <w:pPr>
        <w:ind w:right="220" w:firstLine="371"/>
        <w:spacing w:after="0" w:line="293" w:lineRule="auto"/>
        <w:rPr>
          <w:sz w:val="20"/>
          <w:szCs w:val="20"/>
          <w:color w:val="auto"/>
        </w:rPr>
      </w:pPr>
      <w:r>
        <w:rPr>
          <w:rFonts w:ascii="Arial" w:cs="Arial" w:eastAsia="Arial" w:hAnsi="Arial"/>
          <w:sz w:val="14"/>
          <w:szCs w:val="14"/>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outstanding securities also included convertible preferred stock. The holders of convertible preferred stock did not have a contractual obligation to share in the Company’s losses, and as a result, net losses were not allocated to these securities.</w:t>
      </w:r>
    </w:p>
    <w:p>
      <w:pPr>
        <w:spacing w:after="0" w:line="140" w:lineRule="exact"/>
        <w:rPr>
          <w:sz w:val="20"/>
          <w:szCs w:val="20"/>
          <w:color w:val="auto"/>
        </w:rPr>
      </w:pPr>
    </w:p>
    <w:p>
      <w:pPr>
        <w:ind w:right="20" w:firstLine="371"/>
        <w:spacing w:after="0" w:line="268"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 The shares issued in the IPO and the shares of Class A and Class B common stock issued upon conversion of the outstanding shares of convertible preferred stock in the IPO are included in the table below weighted for the period outstanding in the three and six months ended June 30, 2018. Additionally, the voluntary conversions of Class B common stock into Class A common stock are included in the table below weighted for the period outstanding in the three and six months ended June 30,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5"/>
          </w:tcPr>
          <w:p>
            <w:pPr>
              <w:ind w:left="34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right"/>
              <w:ind w:right="163"/>
              <w:spacing w:after="0"/>
              <w:rPr>
                <w:sz w:val="20"/>
                <w:szCs w:val="20"/>
                <w:color w:val="auto"/>
              </w:rPr>
            </w:pPr>
            <w:r>
              <w:rPr>
                <w:rFonts w:ascii="Arial" w:cs="Arial" w:eastAsia="Arial" w:hAnsi="Arial"/>
                <w:sz w:val="15"/>
                <w:szCs w:val="15"/>
                <w:b w:val="1"/>
                <w:bCs w:val="1"/>
                <w:color w:val="auto"/>
              </w:rPr>
              <w:t>2019</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143"/>
              <w:spacing w:after="0"/>
              <w:rPr>
                <w:sz w:val="20"/>
                <w:szCs w:val="20"/>
                <w:color w:val="auto"/>
              </w:rPr>
            </w:pPr>
            <w:r>
              <w:rPr>
                <w:rFonts w:ascii="Arial" w:cs="Arial" w:eastAsia="Arial" w:hAnsi="Arial"/>
                <w:sz w:val="15"/>
                <w:szCs w:val="15"/>
                <w:b w:val="1"/>
                <w:bCs w:val="1"/>
                <w:color w:val="auto"/>
              </w:rPr>
              <w:t>2018</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5"/>
                <w:szCs w:val="15"/>
                <w:color w:val="auto"/>
              </w:rPr>
              <w:t>Class A</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5"/>
                <w:szCs w:val="15"/>
                <w:color w:val="auto"/>
              </w:rPr>
              <w:t>Class B</w:t>
            </w:r>
          </w:p>
        </w:tc>
        <w:tc>
          <w:tcPr>
            <w:tcW w:w="34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color w:val="auto"/>
              </w:rPr>
              <w:t>Class A</w:t>
            </w:r>
          </w:p>
        </w:tc>
        <w:tc>
          <w:tcPr>
            <w:tcW w:w="320" w:type="dxa"/>
            <w:vAlign w:val="bottom"/>
          </w:tcPr>
          <w:p>
            <w:pPr>
              <w:spacing w:after="0"/>
              <w:rPr>
                <w:sz w:val="17"/>
                <w:szCs w:val="17"/>
                <w:color w:val="auto"/>
              </w:rPr>
            </w:pPr>
          </w:p>
        </w:tc>
        <w:tc>
          <w:tcPr>
            <w:tcW w:w="1260" w:type="dxa"/>
            <w:vAlign w:val="bottom"/>
          </w:tcPr>
          <w:p>
            <w:pPr>
              <w:jc w:val="right"/>
              <w:ind w:right="483"/>
              <w:spacing w:after="0"/>
              <w:rPr>
                <w:sz w:val="20"/>
                <w:szCs w:val="20"/>
                <w:color w:val="auto"/>
              </w:rPr>
            </w:pPr>
            <w:r>
              <w:rPr>
                <w:rFonts w:ascii="Arial" w:cs="Arial" w:eastAsia="Arial" w:hAnsi="Arial"/>
                <w:sz w:val="15"/>
                <w:szCs w:val="15"/>
                <w:color w:val="auto"/>
              </w:rPr>
              <w:t>Class B</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4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Numerator:</w:t>
            </w: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Arial" w:cs="Arial" w:eastAsia="Arial" w:hAnsi="Arial"/>
                <w:sz w:val="15"/>
                <w:szCs w:val="15"/>
                <w:color w:val="auto"/>
              </w:rPr>
              <w:t>Net loss attributable to common stockholders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63"/>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5"/>
                <w:szCs w:val="15"/>
                <w:color w:val="auto"/>
              </w:rPr>
              <w:t>Denominator:</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0"/>
              <w:spacing w:after="0"/>
              <w:rPr>
                <w:sz w:val="20"/>
                <w:szCs w:val="20"/>
                <w:color w:val="auto"/>
              </w:rPr>
            </w:pPr>
            <w:r>
              <w:rPr>
                <w:rFonts w:ascii="Arial" w:cs="Arial" w:eastAsia="Arial" w:hAnsi="Arial"/>
                <w:sz w:val="15"/>
                <w:szCs w:val="15"/>
                <w:color w:val="auto"/>
              </w:rPr>
              <w:t>Weighted-average number of common shares outstanding used in</w:t>
            </w:r>
          </w:p>
        </w:tc>
        <w:tc>
          <w:tcPr>
            <w:tcW w:w="320" w:type="dxa"/>
            <w:vAlign w:val="bottom"/>
          </w:tcPr>
          <w:p>
            <w:pPr>
              <w:spacing w:after="0"/>
              <w:rPr>
                <w:sz w:val="17"/>
                <w:szCs w:val="17"/>
                <w:color w:val="auto"/>
              </w:rPr>
            </w:pPr>
          </w:p>
        </w:tc>
        <w:tc>
          <w:tcPr>
            <w:tcW w:w="1280" w:type="dxa"/>
            <w:vAlign w:val="bottom"/>
            <w:vMerge w:val="restart"/>
          </w:tcPr>
          <w:p>
            <w:pPr>
              <w:jc w:val="right"/>
              <w:ind w:right="43"/>
              <w:spacing w:after="0"/>
              <w:rPr>
                <w:sz w:val="20"/>
                <w:szCs w:val="20"/>
                <w:color w:val="auto"/>
              </w:rPr>
            </w:pPr>
            <w:r>
              <w:rPr>
                <w:rFonts w:ascii="Arial" w:cs="Arial" w:eastAsia="Arial" w:hAnsi="Arial"/>
                <w:sz w:val="15"/>
                <w:szCs w:val="15"/>
                <w:color w:val="auto"/>
              </w:rPr>
              <w:t>231.1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vMerge w:val="restart"/>
          </w:tcPr>
          <w:p>
            <w:pPr>
              <w:jc w:val="right"/>
              <w:ind w:right="43"/>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vMerge w:val="restart"/>
          </w:tcPr>
          <w:p>
            <w:pPr>
              <w:jc w:val="right"/>
              <w:ind w:right="43"/>
              <w:spacing w:after="0"/>
              <w:rPr>
                <w:sz w:val="20"/>
                <w:szCs w:val="20"/>
                <w:color w:val="auto"/>
              </w:rPr>
            </w:pPr>
            <w:r>
              <w:rPr>
                <w:rFonts w:ascii="Arial" w:cs="Arial" w:eastAsia="Arial" w:hAnsi="Arial"/>
                <w:sz w:val="15"/>
                <w:szCs w:val="15"/>
                <w:color w:val="auto"/>
              </w:rPr>
              <w:t>78.6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vMerge w:val="restart"/>
          </w:tcPr>
          <w:p>
            <w:pPr>
              <w:jc w:val="right"/>
              <w:ind w:right="23"/>
              <w:spacing w:after="0"/>
              <w:rPr>
                <w:sz w:val="20"/>
                <w:szCs w:val="20"/>
                <w:color w:val="auto"/>
              </w:rPr>
            </w:pPr>
            <w:r>
              <w:rPr>
                <w:rFonts w:ascii="Arial" w:cs="Arial" w:eastAsia="Arial" w:hAnsi="Arial"/>
                <w:sz w:val="15"/>
                <w:szCs w:val="15"/>
                <w:color w:val="auto"/>
              </w:rPr>
              <w:t>322.7</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computing basic and diluted net loss per common share</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Net loss per common share, basic and diluted</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42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00" w:type="dxa"/>
            <w:vAlign w:val="bottom"/>
            <w:gridSpan w:val="5"/>
          </w:tcPr>
          <w:p>
            <w:pPr>
              <w:ind w:left="440"/>
              <w:spacing w:after="0"/>
              <w:rPr>
                <w:sz w:val="20"/>
                <w:szCs w:val="20"/>
                <w:color w:val="auto"/>
              </w:rPr>
            </w:pPr>
            <w:r>
              <w:rPr>
                <w:rFonts w:ascii="Arial" w:cs="Arial" w:eastAsia="Arial" w:hAnsi="Arial"/>
                <w:sz w:val="15"/>
                <w:szCs w:val="15"/>
                <w:b w:val="1"/>
                <w:bCs w:val="1"/>
                <w:color w:val="auto"/>
              </w:rPr>
              <w:t>Six months ended June 30,</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143"/>
              <w:spacing w:after="0"/>
              <w:rPr>
                <w:sz w:val="20"/>
                <w:szCs w:val="20"/>
                <w:color w:val="auto"/>
              </w:rPr>
            </w:pPr>
            <w:r>
              <w:rPr>
                <w:rFonts w:ascii="Arial" w:cs="Arial" w:eastAsia="Arial" w:hAnsi="Arial"/>
                <w:sz w:val="15"/>
                <w:szCs w:val="15"/>
                <w:b w:val="1"/>
                <w:bCs w:val="1"/>
                <w:color w:val="auto"/>
              </w:rPr>
              <w:t>2019</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163"/>
              <w:spacing w:after="0"/>
              <w:rPr>
                <w:sz w:val="20"/>
                <w:szCs w:val="20"/>
                <w:color w:val="auto"/>
              </w:rPr>
            </w:pPr>
            <w:r>
              <w:rPr>
                <w:rFonts w:ascii="Arial" w:cs="Arial" w:eastAsia="Arial" w:hAnsi="Arial"/>
                <w:sz w:val="15"/>
                <w:szCs w:val="15"/>
                <w:b w:val="1"/>
                <w:bCs w:val="1"/>
                <w:color w:val="auto"/>
              </w:rPr>
              <w:t>2018</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color w:val="auto"/>
              </w:rPr>
              <w:t>Class A</w:t>
            </w:r>
          </w:p>
        </w:tc>
        <w:tc>
          <w:tcPr>
            <w:tcW w:w="34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Arial" w:cs="Arial" w:eastAsia="Arial" w:hAnsi="Arial"/>
                <w:sz w:val="15"/>
                <w:szCs w:val="15"/>
                <w:color w:val="auto"/>
              </w:rPr>
              <w:t>Class B</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5"/>
                <w:szCs w:val="15"/>
                <w:color w:val="auto"/>
              </w:rPr>
              <w:t>Class A</w:t>
            </w:r>
          </w:p>
        </w:tc>
        <w:tc>
          <w:tcPr>
            <w:tcW w:w="320" w:type="dxa"/>
            <w:vAlign w:val="bottom"/>
          </w:tcPr>
          <w:p>
            <w:pPr>
              <w:spacing w:after="0"/>
              <w:rPr>
                <w:sz w:val="17"/>
                <w:szCs w:val="17"/>
                <w:color w:val="auto"/>
              </w:rPr>
            </w:pPr>
          </w:p>
        </w:tc>
        <w:tc>
          <w:tcPr>
            <w:tcW w:w="1240" w:type="dxa"/>
            <w:vAlign w:val="bottom"/>
          </w:tcPr>
          <w:p>
            <w:pPr>
              <w:jc w:val="right"/>
              <w:ind w:right="463"/>
              <w:spacing w:after="0"/>
              <w:rPr>
                <w:sz w:val="20"/>
                <w:szCs w:val="20"/>
                <w:color w:val="auto"/>
              </w:rPr>
            </w:pPr>
            <w:r>
              <w:rPr>
                <w:rFonts w:ascii="Arial" w:cs="Arial" w:eastAsia="Arial" w:hAnsi="Arial"/>
                <w:sz w:val="15"/>
                <w:szCs w:val="15"/>
                <w:color w:val="auto"/>
              </w:rPr>
              <w:t>Class B</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4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Numerator:</w:t>
            </w: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Pr>
          <w:p>
            <w:pPr>
              <w:ind w:left="40"/>
              <w:spacing w:after="0"/>
              <w:rPr>
                <w:sz w:val="20"/>
                <w:szCs w:val="20"/>
                <w:color w:val="auto"/>
              </w:rPr>
            </w:pPr>
            <w:r>
              <w:rPr>
                <w:rFonts w:ascii="Arial" w:cs="Arial" w:eastAsia="Arial" w:hAnsi="Arial"/>
                <w:sz w:val="15"/>
                <w:szCs w:val="15"/>
                <w:color w:val="auto"/>
              </w:rPr>
              <w:t>Net loss attributable to common stockholders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(13.3)</w:t>
            </w:r>
          </w:p>
        </w:tc>
        <w:tc>
          <w:tcPr>
            <w:tcW w:w="12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(70.6)</w:t>
            </w:r>
          </w:p>
        </w:tc>
        <w:tc>
          <w:tcPr>
            <w:tcW w:w="12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(399.0)</w:t>
            </w:r>
          </w:p>
        </w:tc>
        <w:tc>
          <w:tcPr>
            <w:tcW w:w="0" w:type="dxa"/>
            <w:vAlign w:val="bottom"/>
          </w:tcPr>
          <w:p>
            <w:pPr>
              <w:spacing w:after="0"/>
              <w:rPr>
                <w:sz w:val="1"/>
                <w:szCs w:val="1"/>
                <w:color w:val="auto"/>
              </w:rPr>
            </w:pPr>
          </w:p>
        </w:tc>
      </w:tr>
      <w:tr>
        <w:trPr>
          <w:trHeight w:val="63"/>
        </w:trPr>
        <w:tc>
          <w:tcPr>
            <w:tcW w:w="4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680" w:type="dxa"/>
            <w:vAlign w:val="bottom"/>
            <w:tcBorders>
              <w:bottom w:val="single" w:sz="8" w:color="CCEEFF"/>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Denominator:</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80" w:type="dxa"/>
            <w:vAlign w:val="bottom"/>
          </w:tcPr>
          <w:p>
            <w:pPr>
              <w:ind w:left="40"/>
              <w:spacing w:after="0"/>
              <w:rPr>
                <w:sz w:val="20"/>
                <w:szCs w:val="20"/>
                <w:color w:val="auto"/>
              </w:rPr>
            </w:pPr>
            <w:r>
              <w:rPr>
                <w:rFonts w:ascii="Arial" w:cs="Arial" w:eastAsia="Arial" w:hAnsi="Arial"/>
                <w:sz w:val="15"/>
                <w:szCs w:val="15"/>
                <w:color w:val="auto"/>
              </w:rPr>
              <w:t>Weighted-average number of common shares outstanding used in</w:t>
            </w:r>
          </w:p>
        </w:tc>
        <w:tc>
          <w:tcPr>
            <w:tcW w:w="320" w:type="dxa"/>
            <w:vAlign w:val="bottom"/>
          </w:tcPr>
          <w:p>
            <w:pPr>
              <w:spacing w:after="0"/>
              <w:rPr>
                <w:sz w:val="17"/>
                <w:szCs w:val="17"/>
                <w:color w:val="auto"/>
              </w:rPr>
            </w:pPr>
          </w:p>
        </w:tc>
        <w:tc>
          <w:tcPr>
            <w:tcW w:w="1280" w:type="dxa"/>
            <w:vAlign w:val="bottom"/>
            <w:vMerge w:val="restart"/>
          </w:tcPr>
          <w:p>
            <w:pPr>
              <w:jc w:val="right"/>
              <w:ind w:right="43"/>
              <w:spacing w:after="0"/>
              <w:rPr>
                <w:sz w:val="20"/>
                <w:szCs w:val="20"/>
                <w:color w:val="auto"/>
              </w:rPr>
            </w:pPr>
            <w:r>
              <w:rPr>
                <w:rFonts w:ascii="Arial" w:cs="Arial" w:eastAsia="Arial" w:hAnsi="Arial"/>
                <w:sz w:val="15"/>
                <w:szCs w:val="15"/>
                <w:color w:val="auto"/>
              </w:rPr>
              <w:t>223.2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vMerge w:val="restart"/>
          </w:tcPr>
          <w:p>
            <w:pPr>
              <w:jc w:val="right"/>
              <w:ind w:right="23"/>
              <w:spacing w:after="0"/>
              <w:rPr>
                <w:sz w:val="20"/>
                <w:szCs w:val="20"/>
                <w:color w:val="auto"/>
              </w:rPr>
            </w:pPr>
            <w:r>
              <w:rPr>
                <w:rFonts w:ascii="Arial" w:cs="Arial" w:eastAsia="Arial" w:hAnsi="Arial"/>
                <w:sz w:val="15"/>
                <w:szCs w:val="15"/>
                <w:color w:val="auto"/>
              </w:rPr>
              <w:t>188.3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vMerge w:val="restart"/>
          </w:tcPr>
          <w:p>
            <w:pPr>
              <w:jc w:val="right"/>
              <w:ind w:right="43"/>
              <w:spacing w:after="0"/>
              <w:rPr>
                <w:sz w:val="20"/>
                <w:szCs w:val="20"/>
                <w:color w:val="auto"/>
              </w:rPr>
            </w:pPr>
            <w:r>
              <w:rPr>
                <w:rFonts w:ascii="Arial" w:cs="Arial" w:eastAsia="Arial" w:hAnsi="Arial"/>
                <w:sz w:val="15"/>
                <w:szCs w:val="15"/>
                <w:color w:val="auto"/>
              </w:rPr>
              <w:t>46.7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23"/>
              <w:spacing w:after="0"/>
              <w:rPr>
                <w:sz w:val="20"/>
                <w:szCs w:val="20"/>
                <w:color w:val="auto"/>
              </w:rPr>
            </w:pPr>
            <w:r>
              <w:rPr>
                <w:rFonts w:ascii="Arial" w:cs="Arial" w:eastAsia="Arial" w:hAnsi="Arial"/>
                <w:sz w:val="15"/>
                <w:szCs w:val="15"/>
                <w:color w:val="auto"/>
              </w:rPr>
              <w:t>263.8</w:t>
            </w:r>
          </w:p>
        </w:tc>
        <w:tc>
          <w:tcPr>
            <w:tcW w:w="0" w:type="dxa"/>
            <w:vAlign w:val="bottom"/>
          </w:tcPr>
          <w:p>
            <w:pPr>
              <w:spacing w:after="0"/>
              <w:rPr>
                <w:sz w:val="1"/>
                <w:szCs w:val="1"/>
                <w:color w:val="auto"/>
              </w:rPr>
            </w:pPr>
          </w:p>
        </w:tc>
      </w:tr>
      <w:tr>
        <w:trPr>
          <w:trHeight w:val="242"/>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computing basic and diluted net loss per common share</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80" w:type="dxa"/>
            <w:vAlign w:val="bottom"/>
            <w:tcBorders>
              <w:bottom w:val="single" w:sz="8" w:color="CCEEFF"/>
            </w:tcBorders>
            <w:shd w:val="clear" w:color="auto" w:fill="CCEEFF"/>
          </w:tcPr>
          <w:p>
            <w:pPr>
              <w:ind w:left="40"/>
              <w:spacing w:after="0" w:line="166" w:lineRule="exact"/>
              <w:rPr>
                <w:sz w:val="20"/>
                <w:szCs w:val="20"/>
                <w:color w:val="auto"/>
              </w:rPr>
            </w:pPr>
            <w:r>
              <w:rPr>
                <w:rFonts w:ascii="Arial" w:cs="Arial" w:eastAsia="Arial" w:hAnsi="Arial"/>
                <w:sz w:val="15"/>
                <w:szCs w:val="15"/>
                <w:color w:val="auto"/>
              </w:rPr>
              <w:t>Net loss per common share, basic and diluted</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371"/>
        <w:spacing w:after="0" w:line="273" w:lineRule="auto"/>
        <w:rPr>
          <w:sz w:val="20"/>
          <w:szCs w:val="20"/>
          <w:color w:val="auto"/>
        </w:rPr>
      </w:pPr>
      <w:r>
        <w:rPr>
          <w:rFonts w:ascii="Arial" w:cs="Arial" w:eastAsia="Arial" w:hAnsi="Arial"/>
          <w:sz w:val="15"/>
          <w:szCs w:val="15"/>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020" w:type="dxa"/>
            <w:vAlign w:val="bottom"/>
            <w:gridSpan w:val="4"/>
          </w:tcPr>
          <w:p>
            <w:pPr>
              <w:jc w:val="center"/>
              <w:ind w:left="343"/>
              <w:spacing w:after="0"/>
              <w:rPr>
                <w:sz w:val="20"/>
                <w:szCs w:val="20"/>
                <w:color w:val="auto"/>
              </w:rPr>
            </w:pPr>
            <w:r>
              <w:rPr>
                <w:rFonts w:ascii="Arial" w:cs="Arial" w:eastAsia="Arial" w:hAnsi="Arial"/>
                <w:sz w:val="15"/>
                <w:szCs w:val="15"/>
                <w:b w:val="1"/>
                <w:bCs w:val="1"/>
                <w:color w:val="auto"/>
                <w:w w:val="92"/>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2"/>
        </w:trPr>
        <w:tc>
          <w:tcPr>
            <w:tcW w:w="6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3"/>
              </w:rPr>
              <w:t>June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3"/>
          </w:tcPr>
          <w:p>
            <w:pPr>
              <w:jc w:val="right"/>
              <w:ind w:right="223"/>
              <w:spacing w:after="0"/>
              <w:rPr>
                <w:sz w:val="20"/>
                <w:szCs w:val="20"/>
                <w:color w:val="auto"/>
              </w:rPr>
            </w:pPr>
            <w:r>
              <w:rPr>
                <w:rFonts w:ascii="Arial" w:cs="Arial" w:eastAsia="Arial" w:hAnsi="Arial"/>
                <w:sz w:val="15"/>
                <w:szCs w:val="15"/>
                <w:b w:val="1"/>
                <w:bCs w:val="1"/>
                <w:color w:val="auto"/>
              </w:rPr>
              <w:t>Six months ended June 30,</w:t>
            </w:r>
          </w:p>
        </w:tc>
      </w:tr>
      <w:tr>
        <w:trPr>
          <w:trHeight w:val="2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7260" w:type="dxa"/>
            <w:vAlign w:val="bottom"/>
            <w:gridSpan w:val="2"/>
          </w:tcPr>
          <w:p>
            <w:pPr>
              <w:ind w:left="6940"/>
              <w:spacing w:after="0"/>
              <w:rPr>
                <w:sz w:val="20"/>
                <w:szCs w:val="20"/>
                <w:color w:val="auto"/>
              </w:rPr>
            </w:pPr>
            <w:r>
              <w:rPr>
                <w:rFonts w:ascii="Arial" w:cs="Arial" w:eastAsia="Arial" w:hAnsi="Arial"/>
                <w:sz w:val="15"/>
                <w:szCs w:val="15"/>
                <w:b w:val="1"/>
                <w:bCs w:val="1"/>
                <w:color w:val="auto"/>
                <w:w w:val="89"/>
              </w:rPr>
              <w:t>2019</w:t>
            </w:r>
          </w:p>
        </w:tc>
        <w:tc>
          <w:tcPr>
            <w:tcW w:w="128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2018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120" w:type="dxa"/>
            <w:vAlign w:val="bottom"/>
          </w:tcPr>
          <w:p>
            <w:pPr>
              <w:jc w:val="right"/>
              <w:ind w:right="343"/>
              <w:spacing w:after="0"/>
              <w:rPr>
                <w:sz w:val="20"/>
                <w:szCs w:val="20"/>
                <w:color w:val="auto"/>
              </w:rPr>
            </w:pPr>
            <w:r>
              <w:rPr>
                <w:rFonts w:ascii="Arial" w:cs="Arial" w:eastAsia="Arial" w:hAnsi="Arial"/>
                <w:sz w:val="15"/>
                <w:szCs w:val="15"/>
                <w:b w:val="1"/>
                <w:bCs w:val="1"/>
                <w:color w:val="auto"/>
              </w:rPr>
              <w:t>2018</w:t>
            </w:r>
          </w:p>
        </w:tc>
      </w:tr>
      <w:tr>
        <w:trPr>
          <w:trHeight w:val="2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96"/>
        </w:trPr>
        <w:tc>
          <w:tcPr>
            <w:tcW w:w="6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2"/>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31.3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88"/>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28.0</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42.8</w:t>
            </w:r>
          </w:p>
        </w:tc>
      </w:tr>
      <w:tr>
        <w:trPr>
          <w:trHeight w:val="20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Options to purchase shares of common stock</w:t>
            </w:r>
          </w:p>
        </w:tc>
        <w:tc>
          <w:tcPr>
            <w:tcW w:w="420" w:type="dxa"/>
            <w:vAlign w:val="bottom"/>
          </w:tcPr>
          <w:p>
            <w:pPr>
              <w:jc w:val="right"/>
              <w:ind w:right="43"/>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8"/>
                <w:szCs w:val="18"/>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4.9</w:t>
            </w:r>
          </w:p>
        </w:tc>
      </w:tr>
      <w:tr>
        <w:trPr>
          <w:trHeight w:val="2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Co-Founder Grants</w:t>
            </w:r>
          </w:p>
        </w:tc>
        <w:tc>
          <w:tcPr>
            <w:tcW w:w="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88"/>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14.7</w:t>
            </w:r>
          </w:p>
        </w:tc>
      </w:tr>
      <w:tr>
        <w:trPr>
          <w:trHeight w:val="200"/>
        </w:trPr>
        <w:tc>
          <w:tcPr>
            <w:tcW w:w="6520" w:type="dxa"/>
            <w:vAlign w:val="bottom"/>
          </w:tcPr>
          <w:p>
            <w:pPr>
              <w:ind w:left="20"/>
              <w:spacing w:after="0"/>
              <w:rPr>
                <w:sz w:val="20"/>
                <w:szCs w:val="20"/>
                <w:color w:val="auto"/>
              </w:rPr>
            </w:pPr>
            <w:r>
              <w:rPr>
                <w:rFonts w:ascii="Arial" w:cs="Arial" w:eastAsia="Arial" w:hAnsi="Arial"/>
                <w:sz w:val="15"/>
                <w:szCs w:val="15"/>
                <w:color w:val="auto"/>
              </w:rPr>
              <w:t>Total</w:t>
            </w: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48.1</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88"/>
              </w:rPr>
              <w:t>51.6</w:t>
            </w:r>
          </w:p>
        </w:tc>
        <w:tc>
          <w:tcPr>
            <w:tcW w:w="100" w:type="dxa"/>
            <w:vAlign w:val="bottom"/>
          </w:tcPr>
          <w:p>
            <w:pPr>
              <w:spacing w:after="0"/>
              <w:rPr>
                <w:sz w:val="17"/>
                <w:szCs w:val="17"/>
                <w:color w:val="auto"/>
              </w:rPr>
            </w:pPr>
          </w:p>
        </w:tc>
        <w:tc>
          <w:tcPr>
            <w:tcW w:w="11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62.4</w:t>
            </w:r>
          </w:p>
        </w:tc>
      </w:tr>
      <w:tr>
        <w:trPr>
          <w:trHeight w:val="2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3"/>
          <w:szCs w:val="13"/>
          <w:b w:val="1"/>
          <w:bCs w:val="1"/>
          <w:color w:val="auto"/>
        </w:rPr>
        <w:t>Income Taxes</w:t>
      </w:r>
    </w:p>
    <w:p>
      <w:pPr>
        <w:spacing w:after="0" w:line="204" w:lineRule="exact"/>
        <w:rPr>
          <w:sz w:val="20"/>
          <w:szCs w:val="20"/>
          <w:color w:val="auto"/>
        </w:rPr>
      </w:pPr>
    </w:p>
    <w:p>
      <w:pPr>
        <w:ind w:right="200" w:firstLine="371"/>
        <w:spacing w:after="0" w:line="273" w:lineRule="auto"/>
        <w:rPr>
          <w:sz w:val="20"/>
          <w:szCs w:val="20"/>
          <w:color w:val="auto"/>
        </w:rPr>
      </w:pPr>
      <w:r>
        <w:rPr>
          <w:rFonts w:ascii="Arial" w:cs="Arial" w:eastAsia="Arial" w:hAnsi="Arial"/>
          <w:sz w:val="15"/>
          <w:szCs w:val="15"/>
          <w:color w:val="auto"/>
        </w:rPr>
        <w:t>The Company computed the year-to-date income tax provision by applying the estimated annual effective tax rate to the year-to-date pre-tax loss and adjusted for discrete tax items in the period. The Company's income tax was an expense of $0.6 million and a benefit of $5.1 million for the three and six months ended June 30, 2019, and an expense of $1.1 million and $2.9 million for the three and six months ended June 30, 2018.</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income tax benefit for the six months ended June 30, 2019 was primarily attributable to the tax benefit from the acquisition of HelloSign.</w:t>
      </w:r>
    </w:p>
    <w:p>
      <w:pPr>
        <w:spacing w:after="0" w:line="198" w:lineRule="exact"/>
        <w:rPr>
          <w:sz w:val="20"/>
          <w:szCs w:val="20"/>
          <w:color w:val="auto"/>
        </w:rPr>
      </w:pPr>
    </w:p>
    <w:p>
      <w:pPr>
        <w:ind w:right="80" w:firstLine="278"/>
        <w:spacing w:after="0" w:line="268" w:lineRule="auto"/>
        <w:rPr>
          <w:sz w:val="20"/>
          <w:szCs w:val="20"/>
          <w:color w:val="auto"/>
        </w:rPr>
      </w:pPr>
      <w:r>
        <w:rPr>
          <w:rFonts w:ascii="Arial" w:cs="Arial" w:eastAsia="Arial" w:hAnsi="Arial"/>
          <w:sz w:val="15"/>
          <w:szCs w:val="15"/>
          <w:color w:val="auto"/>
        </w:rPr>
        <w:t>During the six months ended June 30, 2019, the Company recorded a deferred tax liability of $6.9 million to reflect the tax effect of the assets and liabilities recorded in the acquisition of HelloSign. As a result of the acquisition of HelloSign, the Company recorded a one-time benefit of $6.9 million to recognize previously unrecognized deferred tax assets, which are now more-likely-than-not to be realized as a result of the net deferred tax liability recorded in the transaction. For further discussion of the HelloSign acquisition, see Note 5 "Business Combinations".</w:t>
      </w:r>
    </w:p>
    <w:p>
      <w:pPr>
        <w:spacing w:after="0" w:line="156" w:lineRule="exact"/>
        <w:rPr>
          <w:sz w:val="20"/>
          <w:szCs w:val="20"/>
          <w:color w:val="auto"/>
        </w:rPr>
      </w:pPr>
    </w:p>
    <w:p>
      <w:pPr>
        <w:ind w:right="140" w:firstLine="371"/>
        <w:spacing w:after="0" w:line="327" w:lineRule="auto"/>
        <w:rPr>
          <w:sz w:val="20"/>
          <w:szCs w:val="20"/>
          <w:color w:val="auto"/>
        </w:rPr>
      </w:pPr>
      <w:r>
        <w:rPr>
          <w:rFonts w:ascii="Arial" w:cs="Arial" w:eastAsia="Arial" w:hAnsi="Arial"/>
          <w:sz w:val="14"/>
          <w:szCs w:val="14"/>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17" w:lineRule="exact"/>
        <w:rPr>
          <w:sz w:val="20"/>
          <w:szCs w:val="20"/>
          <w:color w:val="auto"/>
        </w:rPr>
      </w:pPr>
    </w:p>
    <w:p>
      <w:pPr>
        <w:ind w:right="200" w:firstLine="371"/>
        <w:spacing w:after="0" w:line="293" w:lineRule="auto"/>
        <w:rPr>
          <w:sz w:val="20"/>
          <w:szCs w:val="20"/>
          <w:color w:val="auto"/>
        </w:rPr>
      </w:pPr>
      <w:r>
        <w:rPr>
          <w:rFonts w:ascii="Arial" w:cs="Arial" w:eastAsia="Arial" w:hAnsi="Arial"/>
          <w:sz w:val="14"/>
          <w:szCs w:val="14"/>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June 30, 2019,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40"/>
          </w:cols>
          <w:pgMar w:left="240" w:top="123" w:right="219" w:bottom="1440" w:gutter="0" w:footer="0" w:header="0"/>
        </w:sectPr>
      </w:pPr>
    </w:p>
    <w:bookmarkStart w:id="32" w:name="page33"/>
    <w:bookmarkEnd w:id="32"/>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DROPBOX, INC.</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95" w:lineRule="exact"/>
        <w:rPr>
          <w:sz w:val="20"/>
          <w:szCs w:val="20"/>
          <w:color w:val="auto"/>
        </w:rPr>
      </w:pPr>
    </w:p>
    <w:p>
      <w:pPr>
        <w:jc w:val="center"/>
        <w:ind w:right="-6"/>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left="7" w:right="360" w:firstLine="371"/>
        <w:spacing w:after="0" w:line="273" w:lineRule="auto"/>
        <w:rPr>
          <w:sz w:val="20"/>
          <w:szCs w:val="20"/>
          <w:color w:val="auto"/>
        </w:rPr>
      </w:pPr>
      <w:r>
        <w:rPr>
          <w:rFonts w:ascii="Arial" w:cs="Arial" w:eastAsia="Arial" w:hAnsi="Arial"/>
          <w:sz w:val="15"/>
          <w:szCs w:val="15"/>
          <w:color w:val="auto"/>
        </w:rPr>
        <w:t>The Company is subject to income tax audits in the U.S. and foreign jurisdictions. The Company records liabilities related to uncertain tax positions and believes that it has provided adequate reserves for income tax uncertainties in all open tax years. Unrecognized tax benefits increased by approximately $7.3 million for the six months ended June 30, 2019, of which $1.0 million, if recognized, would affect the Company's effective tax rate.</w:t>
      </w:r>
    </w:p>
    <w:p>
      <w:pPr>
        <w:spacing w:after="0" w:line="332"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3"/>
          <w:szCs w:val="13"/>
          <w:b w:val="1"/>
          <w:bCs w:val="1"/>
          <w:color w:val="auto"/>
        </w:rPr>
        <w:t>Related Party Transactions</w:t>
      </w:r>
    </w:p>
    <w:p>
      <w:pPr>
        <w:spacing w:after="0" w:line="204" w:lineRule="exact"/>
        <w:rPr>
          <w:sz w:val="20"/>
          <w:szCs w:val="20"/>
          <w:color w:val="auto"/>
        </w:rPr>
      </w:pPr>
    </w:p>
    <w:p>
      <w:pPr>
        <w:ind w:left="367"/>
        <w:spacing w:after="0"/>
        <w:rPr>
          <w:sz w:val="20"/>
          <w:szCs w:val="20"/>
          <w:color w:val="auto"/>
        </w:rPr>
      </w:pPr>
      <w:r>
        <w:rPr>
          <w:rFonts w:ascii="Arial" w:cs="Arial" w:eastAsia="Arial" w:hAnsi="Arial"/>
          <w:sz w:val="15"/>
          <w:szCs w:val="15"/>
          <w:b w:val="1"/>
          <w:bCs w:val="1"/>
          <w:i w:val="1"/>
          <w:iCs w:val="1"/>
          <w:color w:val="auto"/>
        </w:rPr>
        <w:t>Dropbox Charitable Foundation</w:t>
      </w:r>
    </w:p>
    <w:p>
      <w:pPr>
        <w:spacing w:after="0" w:line="105" w:lineRule="exact"/>
        <w:rPr>
          <w:sz w:val="20"/>
          <w:szCs w:val="20"/>
          <w:color w:val="auto"/>
        </w:rPr>
      </w:pPr>
    </w:p>
    <w:p>
      <w:pPr>
        <w:ind w:left="7" w:right="160" w:firstLine="371"/>
        <w:spacing w:after="0" w:line="265" w:lineRule="auto"/>
        <w:rPr>
          <w:sz w:val="20"/>
          <w:szCs w:val="20"/>
          <w:color w:val="auto"/>
        </w:rPr>
      </w:pPr>
      <w:r>
        <w:rPr>
          <w:rFonts w:ascii="Arial" w:cs="Arial" w:eastAsia="Arial" w:hAnsi="Arial"/>
          <w:sz w:val="15"/>
          <w:szCs w:val="15"/>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condensed consolidated financial statements, as the Company does not have control of the entity.</w:t>
      </w:r>
    </w:p>
    <w:p>
      <w:pPr>
        <w:spacing w:after="0" w:line="160" w:lineRule="exact"/>
        <w:rPr>
          <w:sz w:val="20"/>
          <w:szCs w:val="20"/>
          <w:color w:val="auto"/>
        </w:rPr>
      </w:pPr>
    </w:p>
    <w:p>
      <w:pPr>
        <w:ind w:left="367"/>
        <w:spacing w:after="0"/>
        <w:rPr>
          <w:sz w:val="20"/>
          <w:szCs w:val="20"/>
          <w:color w:val="auto"/>
        </w:rPr>
      </w:pPr>
      <w:r>
        <w:rPr>
          <w:rFonts w:ascii="Arial" w:cs="Arial" w:eastAsia="Arial" w:hAnsi="Arial"/>
          <w:sz w:val="15"/>
          <w:szCs w:val="15"/>
          <w:color w:val="auto"/>
        </w:rPr>
        <w:t>There were no contributions to the Foundation during the three and six months ended June 30, 2019 and 2018, respectively.</w:t>
      </w:r>
    </w:p>
    <w:p>
      <w:pPr>
        <w:spacing w:after="0" w:line="377"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3"/>
          <w:szCs w:val="13"/>
          <w:b w:val="1"/>
          <w:bCs w:val="1"/>
          <w:color w:val="auto"/>
        </w:rPr>
        <w:t>Geographic Areas</w:t>
      </w:r>
    </w:p>
    <w:p>
      <w:pPr>
        <w:spacing w:after="0" w:line="204" w:lineRule="exact"/>
        <w:rPr>
          <w:sz w:val="20"/>
          <w:szCs w:val="20"/>
          <w:color w:val="auto"/>
        </w:rPr>
      </w:pPr>
    </w:p>
    <w:p>
      <w:pPr>
        <w:ind w:left="367"/>
        <w:spacing w:after="0"/>
        <w:rPr>
          <w:sz w:val="20"/>
          <w:szCs w:val="20"/>
          <w:color w:val="auto"/>
        </w:rPr>
      </w:pPr>
      <w:r>
        <w:rPr>
          <w:rFonts w:ascii="Arial" w:cs="Arial" w:eastAsia="Arial" w:hAnsi="Arial"/>
          <w:sz w:val="15"/>
          <w:szCs w:val="15"/>
          <w:b w:val="1"/>
          <w:bCs w:val="1"/>
          <w:i w:val="1"/>
          <w:iCs w:val="1"/>
          <w:color w:val="auto"/>
        </w:rPr>
        <w:t>Long-lived assets</w:t>
      </w:r>
    </w:p>
    <w:p>
      <w:pPr>
        <w:spacing w:after="0" w:line="105" w:lineRule="exact"/>
        <w:rPr>
          <w:sz w:val="20"/>
          <w:szCs w:val="20"/>
          <w:color w:val="auto"/>
        </w:rPr>
      </w:pPr>
    </w:p>
    <w:p>
      <w:pPr>
        <w:ind w:left="367"/>
        <w:spacing w:after="0"/>
        <w:rPr>
          <w:sz w:val="20"/>
          <w:szCs w:val="20"/>
          <w:color w:val="auto"/>
        </w:rPr>
      </w:pPr>
      <w:r>
        <w:rPr>
          <w:rFonts w:ascii="Arial" w:cs="Arial" w:eastAsia="Arial" w:hAnsi="Arial"/>
          <w:sz w:val="15"/>
          <w:szCs w:val="15"/>
          <w:color w:val="auto"/>
        </w:rPr>
        <w:t>The following table sets forth long-lived assets by geographic area:</w:t>
      </w:r>
    </w:p>
    <w:p>
      <w:pPr>
        <w:spacing w:after="0" w:line="366"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w w:val="85"/>
              </w:rPr>
              <w:t>As of</w:t>
            </w:r>
          </w:p>
        </w:tc>
        <w:tc>
          <w:tcPr>
            <w:tcW w:w="1700" w:type="dxa"/>
            <w:vAlign w:val="bottom"/>
          </w:tcPr>
          <w:p>
            <w:pPr>
              <w:spacing w:after="0"/>
              <w:rPr>
                <w:sz w:val="17"/>
                <w:szCs w:val="17"/>
                <w:color w:val="auto"/>
              </w:rPr>
            </w:pPr>
          </w:p>
        </w:tc>
      </w:tr>
      <w:tr>
        <w:trPr>
          <w:trHeight w:val="23"/>
        </w:trPr>
        <w:tc>
          <w:tcPr>
            <w:tcW w:w="74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0"/>
        </w:trPr>
        <w:tc>
          <w:tcPr>
            <w:tcW w:w="7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June 30, 2019</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63"/>
              <w:spacing w:after="0"/>
              <w:rPr>
                <w:sz w:val="20"/>
                <w:szCs w:val="20"/>
                <w:color w:val="auto"/>
              </w:rPr>
            </w:pPr>
            <w:r>
              <w:rPr>
                <w:rFonts w:ascii="Arial" w:cs="Arial" w:eastAsia="Arial" w:hAnsi="Arial"/>
                <w:sz w:val="15"/>
                <w:szCs w:val="15"/>
                <w:b w:val="1"/>
                <w:bCs w:val="1"/>
                <w:color w:val="auto"/>
                <w:w w:val="99"/>
              </w:rPr>
              <w:t>December 31, 2018</w:t>
            </w:r>
          </w:p>
        </w:tc>
      </w:tr>
      <w:tr>
        <w:trPr>
          <w:trHeight w:val="23"/>
        </w:trPr>
        <w:tc>
          <w:tcPr>
            <w:tcW w:w="74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96"/>
        </w:trPr>
        <w:tc>
          <w:tcPr>
            <w:tcW w:w="7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1460" w:type="dxa"/>
            <w:vAlign w:val="bottom"/>
            <w:tcBorders>
              <w:bottom w:val="single" w:sz="8" w:color="CCEEFF"/>
            </w:tcBorders>
            <w:shd w:val="clear" w:color="auto" w:fill="CCEEFF"/>
          </w:tcPr>
          <w:p>
            <w:pPr>
              <w:jc w:val="right"/>
              <w:ind w:right="1283"/>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354.3</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293.6</w:t>
            </w:r>
          </w:p>
        </w:tc>
      </w:tr>
      <w:tr>
        <w:trPr>
          <w:trHeight w:val="232"/>
        </w:trPr>
        <w:tc>
          <w:tcPr>
            <w:tcW w:w="7440" w:type="dxa"/>
            <w:vAlign w:val="bottom"/>
            <w:tcBorders>
              <w:bottom w:val="single" w:sz="8" w:color="CCEEFF"/>
            </w:tcBorders>
          </w:tcPr>
          <w:p>
            <w:pPr>
              <w:ind w:left="20"/>
              <w:spacing w:after="0" w:line="232" w:lineRule="exact"/>
              <w:rPr>
                <w:sz w:val="20"/>
                <w:szCs w:val="20"/>
                <w:color w:val="auto"/>
              </w:rPr>
            </w:pPr>
            <w:r>
              <w:rPr>
                <w:rFonts w:ascii="Arial" w:cs="Arial" w:eastAsia="Arial" w:hAnsi="Arial"/>
                <w:sz w:val="15"/>
                <w:szCs w:val="15"/>
                <w:color w:val="auto"/>
              </w:rPr>
              <w:t>International</w:t>
            </w:r>
            <w:r>
              <w:rPr>
                <w:rFonts w:ascii="Arial" w:cs="Arial" w:eastAsia="Arial" w:hAnsi="Arial"/>
                <w:sz w:val="21"/>
                <w:szCs w:val="21"/>
                <w:color w:val="auto"/>
                <w:vertAlign w:val="superscript"/>
              </w:rPr>
              <w:t>(1)</w:t>
            </w:r>
          </w:p>
        </w:tc>
        <w:tc>
          <w:tcPr>
            <w:tcW w:w="1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17.0</w:t>
            </w:r>
          </w:p>
        </w:tc>
      </w:tr>
      <w:tr>
        <w:trPr>
          <w:trHeight w:val="22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property and equipment, net</w:t>
            </w:r>
          </w:p>
        </w:tc>
        <w:tc>
          <w:tcPr>
            <w:tcW w:w="1460" w:type="dxa"/>
            <w:vAlign w:val="bottom"/>
            <w:tcBorders>
              <w:bottom w:val="single" w:sz="8" w:color="CCEEFF"/>
            </w:tcBorders>
            <w:shd w:val="clear" w:color="auto" w:fill="CCEEFF"/>
          </w:tcPr>
          <w:p>
            <w:pPr>
              <w:jc w:val="right"/>
              <w:ind w:right="1283"/>
              <w:spacing w:after="0"/>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369.3</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310.6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287" w:right="120" w:hanging="287"/>
        <w:spacing w:after="0" w:line="233" w:lineRule="auto"/>
        <w:tabs>
          <w:tab w:leader="none" w:pos="287"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No single country other than the United States had a property and equipment balance greater than 10% of total property and equipment, net, as of June 30, 2019 and December 31, 2018.</w:t>
      </w:r>
    </w:p>
    <w:p>
      <w:pPr>
        <w:spacing w:after="0" w:line="269" w:lineRule="exact"/>
        <w:rPr>
          <w:sz w:val="20"/>
          <w:szCs w:val="20"/>
          <w:color w:val="auto"/>
        </w:rPr>
      </w:pPr>
    </w:p>
    <w:p>
      <w:pPr>
        <w:ind w:left="367"/>
        <w:spacing w:after="0"/>
        <w:rPr>
          <w:sz w:val="20"/>
          <w:szCs w:val="20"/>
          <w:color w:val="auto"/>
        </w:rPr>
      </w:pPr>
      <w:r>
        <w:rPr>
          <w:rFonts w:ascii="Arial" w:cs="Arial" w:eastAsia="Arial" w:hAnsi="Arial"/>
          <w:sz w:val="15"/>
          <w:szCs w:val="15"/>
          <w:b w:val="1"/>
          <w:bCs w:val="1"/>
          <w:i w:val="1"/>
          <w:iCs w:val="1"/>
          <w:color w:val="auto"/>
        </w:rPr>
        <w:t>Revenue</w:t>
      </w:r>
    </w:p>
    <w:p>
      <w:pPr>
        <w:spacing w:after="0" w:line="105" w:lineRule="exact"/>
        <w:rPr>
          <w:sz w:val="20"/>
          <w:szCs w:val="20"/>
          <w:color w:val="auto"/>
        </w:rPr>
      </w:pPr>
    </w:p>
    <w:p>
      <w:pPr>
        <w:ind w:left="7" w:right="700" w:firstLine="371"/>
        <w:spacing w:after="0" w:line="289" w:lineRule="auto"/>
        <w:rPr>
          <w:sz w:val="20"/>
          <w:szCs w:val="20"/>
          <w:color w:val="auto"/>
        </w:rPr>
      </w:pPr>
      <w:r>
        <w:rPr>
          <w:rFonts w:ascii="Arial" w:cs="Arial" w:eastAsia="Arial" w:hAnsi="Arial"/>
          <w:sz w:val="15"/>
          <w:szCs w:val="15"/>
          <w:color w:val="auto"/>
        </w:rPr>
        <w:t>Revenue by geography is generally based on the address of the customer as defined in the Company’s subscription agreement. The following table sets forth revenue by geographic area for the three and six months ended June 30, 2019 and 2018.</w:t>
      </w:r>
    </w:p>
    <w:p>
      <w:pPr>
        <w:spacing w:after="0" w:line="30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523"/>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June 30,</w:t>
            </w:r>
          </w:p>
        </w:tc>
        <w:tc>
          <w:tcPr>
            <w:tcW w:w="240" w:type="dxa"/>
            <w:vAlign w:val="bottom"/>
          </w:tcPr>
          <w:p>
            <w:pPr>
              <w:spacing w:after="0"/>
              <w:rPr>
                <w:sz w:val="17"/>
                <w:szCs w:val="17"/>
                <w:color w:val="auto"/>
              </w:rPr>
            </w:pPr>
          </w:p>
        </w:tc>
        <w:tc>
          <w:tcPr>
            <w:tcW w:w="1300" w:type="dxa"/>
            <w:vAlign w:val="bottom"/>
            <w:gridSpan w:val="3"/>
          </w:tcPr>
          <w:p>
            <w:pPr>
              <w:jc w:val="right"/>
              <w:ind w:right="3"/>
              <w:spacing w:after="0"/>
              <w:rPr>
                <w:sz w:val="20"/>
                <w:szCs w:val="20"/>
                <w:color w:val="auto"/>
              </w:rPr>
            </w:pPr>
            <w:r>
              <w:rPr>
                <w:rFonts w:ascii="Arial" w:cs="Arial" w:eastAsia="Arial" w:hAnsi="Arial"/>
                <w:sz w:val="15"/>
                <w:szCs w:val="15"/>
                <w:b w:val="1"/>
                <w:bCs w:val="1"/>
                <w:color w:val="auto"/>
              </w:rPr>
              <w:t>June 30,</w:t>
            </w:r>
          </w:p>
        </w:tc>
        <w:tc>
          <w:tcPr>
            <w:tcW w:w="820" w:type="dxa"/>
            <w:vAlign w:val="bottom"/>
          </w:tcPr>
          <w:p>
            <w:pPr>
              <w:spacing w:after="0"/>
              <w:rPr>
                <w:sz w:val="17"/>
                <w:szCs w:val="17"/>
                <w:color w:val="auto"/>
              </w:rPr>
            </w:pPr>
          </w:p>
        </w:tc>
      </w:tr>
      <w:tr>
        <w:trPr>
          <w:trHeight w:val="2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5"/>
                <w:szCs w:val="15"/>
                <w:b w:val="1"/>
                <w:bCs w:val="1"/>
                <w:color w:val="auto"/>
              </w:rPr>
              <w:t>2018</w:t>
            </w:r>
          </w:p>
        </w:tc>
      </w:tr>
      <w:tr>
        <w:trPr>
          <w:trHeight w:val="23"/>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96"/>
        </w:trPr>
        <w:tc>
          <w:tcPr>
            <w:tcW w:w="6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205.5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172.4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402.6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334.0</w:t>
            </w:r>
          </w:p>
        </w:tc>
      </w:tr>
      <w:tr>
        <w:trPr>
          <w:trHeight w:val="232"/>
        </w:trPr>
        <w:tc>
          <w:tcPr>
            <w:tcW w:w="6520" w:type="dxa"/>
            <w:vAlign w:val="bottom"/>
            <w:tcBorders>
              <w:bottom w:val="single" w:sz="8" w:color="CCEEFF"/>
            </w:tcBorders>
          </w:tcPr>
          <w:p>
            <w:pPr>
              <w:ind w:left="20"/>
              <w:spacing w:after="0" w:line="232" w:lineRule="exact"/>
              <w:rPr>
                <w:sz w:val="20"/>
                <w:szCs w:val="20"/>
                <w:color w:val="auto"/>
              </w:rPr>
            </w:pPr>
            <w:r>
              <w:rPr>
                <w:rFonts w:ascii="Arial" w:cs="Arial" w:eastAsia="Arial" w:hAnsi="Arial"/>
                <w:sz w:val="15"/>
                <w:szCs w:val="15"/>
                <w:color w:val="auto"/>
              </w:rPr>
              <w:t>International</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196.0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384.5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321.5</w:t>
            </w: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401.5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339.2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787.1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655.5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5647" w:right="1500" w:hanging="5647"/>
        <w:spacing w:after="0" w:line="516" w:lineRule="auto"/>
        <w:tabs>
          <w:tab w:leader="none" w:pos="28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No single country outside of the United States accounted for more than 10% of total revenue during the three and six months ended June 30, 2019 and 2018. 33</w:t>
      </w:r>
    </w:p>
    <w:p>
      <w:pPr>
        <w:sectPr>
          <w:pgSz w:w="11900" w:h="16838" w:orient="portrait"/>
          <w:cols w:equalWidth="0" w:num="1">
            <w:col w:w="11447"/>
          </w:cols>
          <w:pgMar w:left="233" w:top="123" w:right="21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04" w:lineRule="exact"/>
        <w:rPr>
          <w:sz w:val="20"/>
          <w:szCs w:val="20"/>
          <w:color w:val="auto"/>
        </w:rPr>
      </w:pPr>
    </w:p>
    <w:p>
      <w:pPr>
        <w:ind w:right="20" w:firstLine="371"/>
        <w:spacing w:after="0" w:line="26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11" w:lineRule="exact"/>
        <w:rPr>
          <w:sz w:val="20"/>
          <w:szCs w:val="20"/>
          <w:color w:val="auto"/>
        </w:rPr>
      </w:pPr>
    </w:p>
    <w:p>
      <w:pPr>
        <w:ind w:right="300" w:firstLine="371"/>
        <w:spacing w:after="0" w:line="289"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41" w:lineRule="exact"/>
        <w:rPr>
          <w:sz w:val="20"/>
          <w:szCs w:val="20"/>
          <w:color w:val="auto"/>
        </w:rPr>
      </w:pPr>
    </w:p>
    <w:p>
      <w:pPr>
        <w:jc w:val="both"/>
        <w:ind w:right="120" w:firstLine="371"/>
        <w:spacing w:after="0" w:line="273" w:lineRule="auto"/>
        <w:rPr>
          <w:sz w:val="20"/>
          <w:szCs w:val="20"/>
          <w:color w:val="auto"/>
        </w:rPr>
      </w:pPr>
      <w:r>
        <w:rPr>
          <w:rFonts w:ascii="Arial" w:cs="Arial" w:eastAsia="Arial" w:hAnsi="Arial"/>
          <w:sz w:val="15"/>
          <w:szCs w:val="15"/>
          <w:color w:val="auto"/>
        </w:rPr>
        <w:t>Since our founding in 2007, our market opportunity has grown as we’ve expanded from keeping files in sync to keeping teams in sync.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3" w:lineRule="exact"/>
        <w:rPr>
          <w:sz w:val="20"/>
          <w:szCs w:val="20"/>
          <w:color w:val="auto"/>
        </w:rPr>
      </w:pPr>
    </w:p>
    <w:p>
      <w:pPr>
        <w:ind w:right="560" w:firstLine="371"/>
        <w:spacing w:after="0" w:line="289"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13.6 million paying users.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Subscription Plans</w:t>
      </w:r>
    </w:p>
    <w:p>
      <w:pPr>
        <w:spacing w:after="0" w:line="111" w:lineRule="exact"/>
        <w:rPr>
          <w:sz w:val="20"/>
          <w:szCs w:val="20"/>
          <w:color w:val="auto"/>
        </w:rPr>
      </w:pPr>
    </w:p>
    <w:p>
      <w:pPr>
        <w:ind w:right="40" w:firstLine="371"/>
        <w:spacing w:after="0" w:line="264" w:lineRule="auto"/>
        <w:rPr>
          <w:sz w:val="20"/>
          <w:szCs w:val="20"/>
          <w:color w:val="auto"/>
        </w:rPr>
      </w:pPr>
      <w:r>
        <w:rPr>
          <w:rFonts w:ascii="Arial" w:cs="Arial" w:eastAsia="Arial" w:hAnsi="Arial"/>
          <w:sz w:val="15"/>
          <w:szCs w:val="15"/>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59" w:lineRule="exact"/>
        <w:rPr>
          <w:sz w:val="20"/>
          <w:szCs w:val="20"/>
          <w:color w:val="auto"/>
        </w:rPr>
      </w:pPr>
    </w:p>
    <w:p>
      <w:pPr>
        <w:ind w:firstLine="371"/>
        <w:spacing w:after="0" w:line="302" w:lineRule="auto"/>
        <w:rPr>
          <w:sz w:val="20"/>
          <w:szCs w:val="20"/>
          <w:color w:val="auto"/>
        </w:rPr>
      </w:pPr>
      <w:r>
        <w:rPr>
          <w:rFonts w:ascii="Arial" w:cs="Arial" w:eastAsia="Arial" w:hAnsi="Arial"/>
          <w:sz w:val="14"/>
          <w:szCs w:val="14"/>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33" w:lineRule="exact"/>
        <w:rPr>
          <w:sz w:val="20"/>
          <w:szCs w:val="20"/>
          <w:color w:val="auto"/>
        </w:rPr>
      </w:pPr>
    </w:p>
    <w:p>
      <w:pPr>
        <w:ind w:right="40" w:firstLine="278"/>
        <w:spacing w:after="0" w:line="264" w:lineRule="auto"/>
        <w:rPr>
          <w:sz w:val="20"/>
          <w:szCs w:val="20"/>
          <w:color w:val="auto"/>
        </w:rPr>
      </w:pPr>
      <w:r>
        <w:rPr>
          <w:rFonts w:ascii="Arial" w:cs="Arial" w:eastAsia="Arial" w:hAnsi="Arial"/>
          <w:sz w:val="15"/>
          <w:szCs w:val="15"/>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HelloSign also typically bills customers at the beginning of their respective terms and recognizes revenue ratably over the subscription period. HelloSign primarily sells within the United States and sells only in U.S. dollars</w:t>
      </w:r>
      <w:r>
        <w:rPr>
          <w:rFonts w:ascii="Arial" w:cs="Arial" w:eastAsia="Arial" w:hAnsi="Arial"/>
          <w:sz w:val="15"/>
          <w:szCs w:val="15"/>
          <w:i w:val="1"/>
          <w:i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Customers</w:t>
      </w:r>
    </w:p>
    <w:p>
      <w:pPr>
        <w:spacing w:after="0" w:line="111" w:lineRule="exact"/>
        <w:rPr>
          <w:sz w:val="20"/>
          <w:szCs w:val="20"/>
          <w:color w:val="auto"/>
        </w:rPr>
      </w:pPr>
    </w:p>
    <w:p>
      <w:pPr>
        <w:ind w:right="240" w:firstLine="371"/>
        <w:spacing w:after="0" w:line="273" w:lineRule="auto"/>
        <w:rPr>
          <w:sz w:val="20"/>
          <w:szCs w:val="20"/>
          <w:color w:val="auto"/>
        </w:rPr>
      </w:pPr>
      <w:r>
        <w:rPr>
          <w:rFonts w:ascii="Arial" w:cs="Arial" w:eastAsia="Arial" w:hAnsi="Arial"/>
          <w:sz w:val="15"/>
          <w:szCs w:val="15"/>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123" w:right="23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education, industrials, consumer and retail, and financial services. Within companies, our platform is used by all types of teams and functions, including sales, marketing, product, design, engineering, finance, legal, and human resources.</w:t>
      </w:r>
    </w:p>
    <w:p>
      <w:pPr>
        <w:spacing w:after="0" w:line="349"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020"/>
          </w:cols>
          <w:pgMar w:left="240" w:top="123" w:right="6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Business Model</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Drive new signups</w:t>
      </w:r>
    </w:p>
    <w:p>
      <w:pPr>
        <w:spacing w:after="0" w:line="198" w:lineRule="exact"/>
        <w:rPr>
          <w:sz w:val="20"/>
          <w:szCs w:val="20"/>
          <w:color w:val="auto"/>
        </w:rPr>
      </w:pPr>
    </w:p>
    <w:p>
      <w:pPr>
        <w:jc w:val="both"/>
        <w:ind w:right="60" w:firstLine="371"/>
        <w:spacing w:after="0" w:line="371" w:lineRule="auto"/>
        <w:rPr>
          <w:sz w:val="20"/>
          <w:szCs w:val="20"/>
          <w:color w:val="auto"/>
        </w:rPr>
      </w:pPr>
      <w:r>
        <w:rPr>
          <w:rFonts w:ascii="Arial" w:cs="Arial" w:eastAsia="Arial" w:hAnsi="Arial"/>
          <w:sz w:val="13"/>
          <w:szCs w:val="13"/>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Increase conversion of registered users to our paid subscription plans</w:t>
      </w:r>
    </w:p>
    <w:p>
      <w:pPr>
        <w:spacing w:after="0" w:line="198" w:lineRule="exact"/>
        <w:rPr>
          <w:sz w:val="20"/>
          <w:szCs w:val="20"/>
          <w:color w:val="auto"/>
        </w:rPr>
      </w:pPr>
    </w:p>
    <w:p>
      <w:pPr>
        <w:ind w:right="300" w:firstLine="371"/>
        <w:spacing w:after="0" w:line="327" w:lineRule="auto"/>
        <w:rPr>
          <w:sz w:val="20"/>
          <w:szCs w:val="20"/>
          <w:color w:val="auto"/>
        </w:rPr>
      </w:pPr>
      <w:r>
        <w:rPr>
          <w:rFonts w:ascii="Arial" w:cs="Arial" w:eastAsia="Arial" w:hAnsi="Arial"/>
          <w:sz w:val="14"/>
          <w:szCs w:val="14"/>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Upgrade and expand existing customers</w:t>
      </w:r>
    </w:p>
    <w:p>
      <w:pPr>
        <w:spacing w:after="0" w:line="198" w:lineRule="exact"/>
        <w:rPr>
          <w:sz w:val="20"/>
          <w:szCs w:val="20"/>
          <w:color w:val="auto"/>
        </w:rPr>
      </w:pPr>
    </w:p>
    <w:p>
      <w:pPr>
        <w:ind w:firstLine="371"/>
        <w:spacing w:after="0" w:line="268"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00"/>
          </w:cols>
          <w:pgMar w:left="240" w:top="123" w:right="25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Business Metrics</w:t>
      </w:r>
    </w:p>
    <w:p>
      <w:pPr>
        <w:spacing w:after="0" w:line="204" w:lineRule="exact"/>
        <w:rPr>
          <w:sz w:val="20"/>
          <w:szCs w:val="20"/>
          <w:color w:val="auto"/>
        </w:rPr>
      </w:pPr>
    </w:p>
    <w:p>
      <w:pPr>
        <w:ind w:right="420" w:firstLine="371"/>
        <w:spacing w:after="0" w:line="289"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Paying users</w:t>
      </w:r>
    </w:p>
    <w:p>
      <w:pPr>
        <w:spacing w:after="0" w:line="105" w:lineRule="exact"/>
        <w:rPr>
          <w:sz w:val="20"/>
          <w:szCs w:val="20"/>
          <w:color w:val="auto"/>
        </w:rPr>
      </w:pPr>
    </w:p>
    <w:p>
      <w:pPr>
        <w:jc w:val="both"/>
        <w:ind w:right="300" w:firstLine="371"/>
        <w:spacing w:after="0" w:line="334" w:lineRule="auto"/>
        <w:rPr>
          <w:sz w:val="20"/>
          <w:szCs w:val="20"/>
          <w:color w:val="auto"/>
        </w:rPr>
      </w:pPr>
      <w:r>
        <w:rPr>
          <w:rFonts w:ascii="Arial" w:cs="Arial" w:eastAsia="Arial" w:hAnsi="Arial"/>
          <w:sz w:val="13"/>
          <w:szCs w:val="13"/>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experienced growth in the number of paying users across our products, with the majority of paying users for the periods presented coming from our self-serve channels.</w:t>
      </w:r>
    </w:p>
    <w:p>
      <w:pPr>
        <w:spacing w:after="0" w:line="210" w:lineRule="exact"/>
        <w:rPr>
          <w:sz w:val="20"/>
          <w:szCs w:val="20"/>
          <w:color w:val="auto"/>
        </w:rPr>
      </w:pPr>
    </w:p>
    <w:p>
      <w:pPr>
        <w:ind w:right="40" w:firstLine="371"/>
        <w:spacing w:after="0" w:line="265" w:lineRule="auto"/>
        <w:rPr>
          <w:sz w:val="20"/>
          <w:szCs w:val="20"/>
          <w:color w:val="auto"/>
        </w:rPr>
      </w:pPr>
      <w:r>
        <w:rPr>
          <w:rFonts w:ascii="Arial" w:cs="Arial" w:eastAsia="Arial" w:hAnsi="Arial"/>
          <w:sz w:val="15"/>
          <w:szCs w:val="15"/>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below table sets forth the number of paying users as of June 30, 2019, December 31, 2018, and June 30, 2018.</w:t>
      </w:r>
    </w:p>
    <w:p>
      <w:pPr>
        <w:spacing w:after="0" w:line="366" w:lineRule="exact"/>
        <w:rPr>
          <w:sz w:val="20"/>
          <w:szCs w:val="20"/>
          <w:color w:val="auto"/>
        </w:rPr>
      </w:pPr>
    </w:p>
    <w:p>
      <w:pPr>
        <w:ind w:left="808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33655</wp:posOffset>
            </wp:positionV>
            <wp:extent cx="406717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7175" cy="762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1560" w:type="dxa"/>
            <w:vAlign w:val="bottom"/>
          </w:tcPr>
          <w:p>
            <w:pPr>
              <w:ind w:left="580"/>
              <w:spacing w:after="0"/>
              <w:rPr>
                <w:sz w:val="20"/>
                <w:szCs w:val="20"/>
                <w:color w:val="auto"/>
              </w:rPr>
            </w:pPr>
            <w:r>
              <w:rPr>
                <w:rFonts w:ascii="Arial" w:cs="Arial" w:eastAsia="Arial" w:hAnsi="Arial"/>
                <w:sz w:val="15"/>
                <w:szCs w:val="15"/>
                <w:b w:val="1"/>
                <w:bCs w:val="1"/>
                <w:color w:val="auto"/>
                <w:w w:val="98"/>
              </w:rPr>
              <w:t>June 30, 2019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December 31, 2018</w:t>
            </w:r>
          </w:p>
        </w:tc>
        <w:tc>
          <w:tcPr>
            <w:tcW w:w="2060" w:type="dxa"/>
            <w:vAlign w:val="bottom"/>
          </w:tcPr>
          <w:p>
            <w:pPr>
              <w:jc w:val="right"/>
              <w:ind w:right="503"/>
              <w:spacing w:after="0"/>
              <w:rPr>
                <w:sz w:val="20"/>
                <w:szCs w:val="20"/>
                <w:color w:val="auto"/>
              </w:rPr>
            </w:pPr>
            <w:r>
              <w:rPr>
                <w:rFonts w:ascii="Arial" w:cs="Arial" w:eastAsia="Arial" w:hAnsi="Arial"/>
                <w:sz w:val="15"/>
                <w:szCs w:val="15"/>
                <w:b w:val="1"/>
                <w:bCs w:val="1"/>
                <w:color w:val="auto"/>
              </w:rPr>
              <w:t>June 30, 2018</w:t>
            </w:r>
          </w:p>
        </w:tc>
      </w:tr>
      <w:tr>
        <w:trPr>
          <w:trHeight w:val="23"/>
        </w:trPr>
        <w:tc>
          <w:tcPr>
            <w:tcW w:w="50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04"/>
        </w:trPr>
        <w:tc>
          <w:tcPr>
            <w:tcW w:w="5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5"/>
                <w:szCs w:val="15"/>
                <w:i w:val="1"/>
                <w:iCs w:val="1"/>
                <w:color w:val="auto"/>
                <w:w w:val="99"/>
              </w:rPr>
              <w:t>(In millions)</w:t>
            </w:r>
          </w:p>
        </w:tc>
        <w:tc>
          <w:tcPr>
            <w:tcW w:w="206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8"/>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Paying users</w:t>
            </w:r>
          </w:p>
        </w:tc>
        <w:tc>
          <w:tcPr>
            <w:tcW w:w="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13.6</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w:t>
            </w:r>
          </w:p>
        </w:tc>
      </w:tr>
      <w:tr>
        <w:trPr>
          <w:trHeight w:val="23"/>
        </w:trPr>
        <w:tc>
          <w:tcPr>
            <w:tcW w:w="50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105" w:lineRule="exact"/>
        <w:rPr>
          <w:sz w:val="20"/>
          <w:szCs w:val="20"/>
          <w:color w:val="auto"/>
        </w:rPr>
      </w:pPr>
    </w:p>
    <w:p>
      <w:pPr>
        <w:ind w:right="40" w:firstLine="371"/>
        <w:spacing w:after="0" w:line="268" w:lineRule="auto"/>
        <w:rPr>
          <w:sz w:val="20"/>
          <w:szCs w:val="20"/>
          <w:color w:val="auto"/>
        </w:rPr>
      </w:pPr>
      <w:r>
        <w:rPr>
          <w:rFonts w:ascii="Arial" w:cs="Arial" w:eastAsia="Arial" w:hAnsi="Arial"/>
          <w:sz w:val="15"/>
          <w:szCs w:val="15"/>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56" w:lineRule="exact"/>
        <w:rPr>
          <w:sz w:val="20"/>
          <w:szCs w:val="20"/>
          <w:color w:val="auto"/>
        </w:rPr>
      </w:pPr>
    </w:p>
    <w:p>
      <w:pPr>
        <w:jc w:val="both"/>
        <w:ind w:right="60" w:firstLine="371"/>
        <w:spacing w:after="0" w:line="268" w:lineRule="auto"/>
        <w:rPr>
          <w:sz w:val="20"/>
          <w:szCs w:val="20"/>
          <w:color w:val="auto"/>
        </w:rPr>
      </w:pPr>
      <w:r>
        <w:rPr>
          <w:rFonts w:ascii="Arial" w:cs="Arial" w:eastAsia="Arial" w:hAnsi="Arial"/>
          <w:sz w:val="15"/>
          <w:szCs w:val="15"/>
          <w:color w:val="auto"/>
        </w:rPr>
        <w:t>In 2017, we launched our Dropbox Business Advanced plan. At the time of launch, we grandfathered existing Dropbox Business teams into the Dropbox Business Advanced plan at their legacy price. During 2018 and early 2019, almost all of those grandfathered teams renewed at a higher price. As a result of these renewals, and combined with an increased mix of sales towards our higher-priced subscription plans, we experienced an increase in our average revenue per paying user for the three and six months ended June 30, 2019, compared to the three and six months ended June 30, 2018.</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below table sets forth our ARPU for the three and six months ended June 30, 2019 and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460"/>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30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ind w:left="120"/>
              <w:spacing w:after="0"/>
              <w:rPr>
                <w:sz w:val="20"/>
                <w:szCs w:val="20"/>
                <w:color w:val="auto"/>
              </w:rPr>
            </w:pPr>
            <w:r>
              <w:rPr>
                <w:rFonts w:ascii="Arial" w:cs="Arial" w:eastAsia="Arial" w:hAnsi="Arial"/>
                <w:sz w:val="15"/>
                <w:szCs w:val="15"/>
                <w:b w:val="1"/>
                <w:bCs w:val="1"/>
                <w:color w:val="auto"/>
              </w:rPr>
              <w:t>Three months ended June 30,</w:t>
            </w:r>
          </w:p>
        </w:tc>
        <w:tc>
          <w:tcPr>
            <w:tcW w:w="280" w:type="dxa"/>
            <w:vAlign w:val="bottom"/>
          </w:tcPr>
          <w:p>
            <w:pPr>
              <w:spacing w:after="0"/>
              <w:rPr>
                <w:sz w:val="17"/>
                <w:szCs w:val="17"/>
                <w:color w:val="auto"/>
              </w:rPr>
            </w:pPr>
          </w:p>
        </w:tc>
        <w:tc>
          <w:tcPr>
            <w:tcW w:w="1440" w:type="dxa"/>
            <w:vAlign w:val="bottom"/>
            <w:gridSpan w:val="3"/>
          </w:tcPr>
          <w:p>
            <w:pPr>
              <w:ind w:left="760"/>
              <w:spacing w:after="0"/>
              <w:rPr>
                <w:sz w:val="20"/>
                <w:szCs w:val="20"/>
                <w:color w:val="auto"/>
              </w:rPr>
            </w:pPr>
            <w:r>
              <w:rPr>
                <w:rFonts w:ascii="Arial" w:cs="Arial" w:eastAsia="Arial" w:hAnsi="Arial"/>
                <w:sz w:val="15"/>
                <w:szCs w:val="15"/>
                <w:b w:val="1"/>
                <w:bCs w:val="1"/>
                <w:color w:val="auto"/>
              </w:rPr>
              <w:t>June 30,</w:t>
            </w:r>
          </w:p>
        </w:tc>
        <w:tc>
          <w:tcPr>
            <w:tcW w:w="900" w:type="dxa"/>
            <w:vAlign w:val="bottom"/>
          </w:tcPr>
          <w:p>
            <w:pPr>
              <w:spacing w:after="0"/>
              <w:rPr>
                <w:sz w:val="17"/>
                <w:szCs w:val="17"/>
                <w:color w:val="auto"/>
              </w:rPr>
            </w:pPr>
          </w:p>
        </w:tc>
      </w:tr>
      <w:tr>
        <w:trPr>
          <w:trHeight w:val="23"/>
        </w:trPr>
        <w:tc>
          <w:tcPr>
            <w:tcW w:w="3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30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r>
      <w:tr>
        <w:trPr>
          <w:trHeight w:val="23"/>
        </w:trPr>
        <w:tc>
          <w:tcPr>
            <w:tcW w:w="3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96"/>
        </w:trPr>
        <w:tc>
          <w:tcPr>
            <w:tcW w:w="30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2"/>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ARPU</w:t>
            </w:r>
          </w:p>
        </w:tc>
        <w:tc>
          <w:tcPr>
            <w:tcW w:w="3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120.48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116.66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120.83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115.80</w:t>
            </w:r>
          </w:p>
        </w:tc>
      </w:tr>
      <w:tr>
        <w:trPr>
          <w:trHeight w:val="393"/>
        </w:trPr>
        <w:tc>
          <w:tcPr>
            <w:tcW w:w="3040" w:type="dxa"/>
            <w:vAlign w:val="bottom"/>
          </w:tcPr>
          <w:p>
            <w:pPr>
              <w:spacing w:after="0"/>
              <w:rPr>
                <w:sz w:val="24"/>
                <w:szCs w:val="24"/>
                <w:color w:val="auto"/>
              </w:rPr>
            </w:pPr>
          </w:p>
        </w:tc>
        <w:tc>
          <w:tcPr>
            <w:tcW w:w="3020" w:type="dxa"/>
            <w:vAlign w:val="bottom"/>
          </w:tcPr>
          <w:p>
            <w:pPr>
              <w:jc w:val="right"/>
              <w:ind w:right="183"/>
              <w:spacing w:after="0"/>
              <w:rPr>
                <w:sz w:val="20"/>
                <w:szCs w:val="20"/>
                <w:color w:val="auto"/>
              </w:rPr>
            </w:pPr>
            <w:r>
              <w:rPr>
                <w:rFonts w:ascii="Arial" w:cs="Arial" w:eastAsia="Arial" w:hAnsi="Arial"/>
                <w:sz w:val="15"/>
                <w:szCs w:val="15"/>
                <w:color w:val="auto"/>
              </w:rPr>
              <w:t>37</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w:t>
      </w:r>
    </w:p>
    <w:p>
      <w:pPr>
        <w:spacing w:after="0" w:line="204" w:lineRule="exact"/>
        <w:rPr>
          <w:sz w:val="20"/>
          <w:szCs w:val="20"/>
          <w:color w:val="auto"/>
        </w:rPr>
      </w:pPr>
    </w:p>
    <w:p>
      <w:pPr>
        <w:ind w:right="220" w:firstLine="371"/>
        <w:spacing w:after="0" w:line="289" w:lineRule="auto"/>
        <w:rPr>
          <w:sz w:val="20"/>
          <w:szCs w:val="20"/>
          <w:color w:val="auto"/>
        </w:rPr>
      </w:pPr>
      <w:r>
        <w:rPr>
          <w:rFonts w:ascii="Arial" w:cs="Arial" w:eastAsia="Arial" w:hAnsi="Arial"/>
          <w:sz w:val="15"/>
          <w:szCs w:val="15"/>
          <w:color w:val="auto"/>
        </w:rPr>
        <w:t>In addition to our results determined in accordance with U.S. generally accepted accounting principles, or GAAP, we believe that free cash flow, or FCF, a non-GAAP financial measure, is useful in evaluating our liquidity.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Free cash flow</w:t>
      </w:r>
    </w:p>
    <w:p>
      <w:pPr>
        <w:spacing w:after="0" w:line="105" w:lineRule="exact"/>
        <w:rPr>
          <w:sz w:val="20"/>
          <w:szCs w:val="20"/>
          <w:color w:val="auto"/>
        </w:rPr>
      </w:pPr>
    </w:p>
    <w:p>
      <w:pPr>
        <w:ind w:right="60" w:firstLine="371"/>
        <w:spacing w:after="0" w:line="264" w:lineRule="auto"/>
        <w:rPr>
          <w:sz w:val="20"/>
          <w:szCs w:val="20"/>
          <w:color w:val="auto"/>
        </w:rPr>
      </w:pPr>
      <w:r>
        <w:rPr>
          <w:rFonts w:ascii="Arial" w:cs="Arial" w:eastAsia="Arial" w:hAnsi="Arial"/>
          <w:sz w:val="15"/>
          <w:szCs w:val="15"/>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159" w:lineRule="exact"/>
        <w:rPr>
          <w:sz w:val="20"/>
          <w:szCs w:val="20"/>
          <w:color w:val="auto"/>
        </w:rPr>
      </w:pPr>
    </w:p>
    <w:p>
      <w:pPr>
        <w:ind w:right="20" w:firstLine="371"/>
        <w:spacing w:after="0" w:line="273" w:lineRule="auto"/>
        <w:rPr>
          <w:sz w:val="20"/>
          <w:szCs w:val="20"/>
          <w:color w:val="auto"/>
        </w:rPr>
      </w:pPr>
      <w:r>
        <w:rPr>
          <w:rFonts w:ascii="Arial" w:cs="Arial" w:eastAsia="Arial" w:hAnsi="Arial"/>
          <w:sz w:val="15"/>
          <w:szCs w:val="15"/>
          <w:color w:val="auto"/>
        </w:rPr>
        <w:t>Our FCF decreased for the six months ended June 30, 2019, compared to the six months ended June 30, 2018, primarily due to higher capital expenditures related to our office and datacenter build-outs and an increase in our annual bonus payout. The decrease was partially offset by an increase in cash provided by operating activities, which was driven by increased subscription sales, as a majority of our paying users are invoiced in advance.</w:t>
      </w:r>
    </w:p>
    <w:p>
      <w:pPr>
        <w:spacing w:after="0" w:line="153" w:lineRule="exact"/>
        <w:rPr>
          <w:sz w:val="20"/>
          <w:szCs w:val="20"/>
          <w:color w:val="auto"/>
        </w:rPr>
      </w:pPr>
    </w:p>
    <w:p>
      <w:pPr>
        <w:jc w:val="both"/>
        <w:ind w:right="140" w:firstLine="371"/>
        <w:spacing w:after="0" w:line="273" w:lineRule="auto"/>
        <w:rPr>
          <w:sz w:val="20"/>
          <w:szCs w:val="20"/>
          <w:color w:val="auto"/>
        </w:rPr>
      </w:pPr>
      <w:r>
        <w:rPr>
          <w:rFonts w:ascii="Arial" w:cs="Arial" w:eastAsia="Arial" w:hAnsi="Arial"/>
          <w:sz w:val="15"/>
          <w:szCs w:val="15"/>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960" w:type="dxa"/>
            <w:vAlign w:val="bottom"/>
            <w:gridSpan w:val="4"/>
          </w:tcPr>
          <w:p>
            <w:pPr>
              <w:jc w:val="right"/>
              <w:ind w:right="223"/>
              <w:spacing w:after="0"/>
              <w:rPr>
                <w:sz w:val="20"/>
                <w:szCs w:val="20"/>
                <w:color w:val="auto"/>
              </w:rPr>
            </w:pPr>
            <w:r>
              <w:rPr>
                <w:rFonts w:ascii="Arial" w:cs="Arial" w:eastAsia="Arial" w:hAnsi="Arial"/>
                <w:sz w:val="15"/>
                <w:szCs w:val="15"/>
                <w:b w:val="1"/>
                <w:bCs w:val="1"/>
                <w:color w:val="auto"/>
              </w:rPr>
              <w:t>Six months ended June 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4940" w:type="dxa"/>
            <w:vAlign w:val="bottom"/>
            <w:gridSpan w:val="2"/>
          </w:tcPr>
          <w:p>
            <w:pPr>
              <w:jc w:val="right"/>
              <w:ind w:right="63"/>
              <w:spacing w:after="0"/>
              <w:rPr>
                <w:sz w:val="20"/>
                <w:szCs w:val="20"/>
                <w:color w:val="auto"/>
              </w:rPr>
            </w:pPr>
            <w:r>
              <w:rPr>
                <w:rFonts w:ascii="Arial" w:cs="Arial" w:eastAsia="Arial" w:hAnsi="Arial"/>
                <w:sz w:val="15"/>
                <w:szCs w:val="15"/>
                <w:b w:val="1"/>
                <w:bCs w:val="1"/>
                <w:color w:val="auto"/>
              </w:rPr>
              <w:t>2019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b w:val="1"/>
                <w:bCs w:val="1"/>
                <w:color w:val="auto"/>
              </w:rPr>
              <w:t>2018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3"/>
          </w:tcPr>
          <w:p>
            <w:pPr>
              <w:jc w:val="right"/>
              <w:ind w:right="723"/>
              <w:spacing w:after="0"/>
              <w:rPr>
                <w:sz w:val="20"/>
                <w:szCs w:val="20"/>
                <w:color w:val="auto"/>
              </w:rPr>
            </w:pPr>
            <w:r>
              <w:rPr>
                <w:rFonts w:ascii="Arial" w:cs="Arial" w:eastAsia="Arial" w:hAnsi="Arial"/>
                <w:sz w:val="15"/>
                <w:szCs w:val="15"/>
                <w:i w:val="1"/>
                <w:iCs w:val="1"/>
                <w:color w:val="auto"/>
              </w:rPr>
              <w:t>(In millions)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940" w:type="dxa"/>
            <w:vAlign w:val="bottom"/>
            <w:tcBorders>
              <w:bottom w:val="single" w:sz="8" w:color="CCEEFF"/>
            </w:tcBorders>
            <w:gridSpan w:val="2"/>
            <w:shd w:val="clear" w:color="auto" w:fill="CCEEFF"/>
          </w:tcPr>
          <w:p>
            <w:pPr>
              <w:jc w:val="right"/>
              <w:ind w:right="96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192.0</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173.7</w:t>
            </w:r>
          </w:p>
        </w:tc>
        <w:tc>
          <w:tcPr>
            <w:tcW w:w="0" w:type="dxa"/>
            <w:vAlign w:val="bottom"/>
          </w:tcPr>
          <w:p>
            <w:pPr>
              <w:spacing w:after="0"/>
              <w:rPr>
                <w:sz w:val="1"/>
                <w:szCs w:val="1"/>
                <w:color w:val="auto"/>
              </w:rPr>
            </w:pPr>
          </w:p>
        </w:tc>
      </w:tr>
      <w:tr>
        <w:trPr>
          <w:trHeight w:val="208"/>
        </w:trPr>
        <w:tc>
          <w:tcPr>
            <w:tcW w:w="4100" w:type="dxa"/>
            <w:vAlign w:val="bottom"/>
          </w:tcPr>
          <w:p>
            <w:pPr>
              <w:ind w:left="20"/>
              <w:spacing w:after="0"/>
              <w:rPr>
                <w:sz w:val="20"/>
                <w:szCs w:val="20"/>
                <w:color w:val="auto"/>
              </w:rPr>
            </w:pPr>
            <w:r>
              <w:rPr>
                <w:rFonts w:ascii="Arial" w:cs="Arial" w:eastAsia="Arial" w:hAnsi="Arial"/>
                <w:sz w:val="15"/>
                <w:szCs w:val="15"/>
                <w:color w:val="auto"/>
              </w:rPr>
              <w:t>Capital expenditures</w:t>
            </w:r>
          </w:p>
        </w:tc>
        <w:tc>
          <w:tcPr>
            <w:tcW w:w="3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(63.4)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Free cash flow</w:t>
            </w:r>
          </w:p>
        </w:tc>
        <w:tc>
          <w:tcPr>
            <w:tcW w:w="4940" w:type="dxa"/>
            <w:vAlign w:val="bottom"/>
            <w:tcBorders>
              <w:bottom w:val="single" w:sz="8" w:color="CCEEFF"/>
            </w:tcBorders>
            <w:gridSpan w:val="2"/>
            <w:shd w:val="clear" w:color="auto" w:fill="CCEEFF"/>
          </w:tcPr>
          <w:p>
            <w:pPr>
              <w:jc w:val="right"/>
              <w:ind w:right="96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128.6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154.1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023"/>
              <w:spacing w:after="0"/>
              <w:rPr>
                <w:sz w:val="20"/>
                <w:szCs w:val="20"/>
                <w:color w:val="auto"/>
              </w:rPr>
            </w:pPr>
            <w:r>
              <w:rPr>
                <w:rFonts w:ascii="Arial" w:cs="Arial" w:eastAsia="Arial" w:hAnsi="Arial"/>
                <w:sz w:val="15"/>
                <w:szCs w:val="15"/>
                <w:color w:val="auto"/>
              </w:rPr>
              <w:t>38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10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Our Results of Operations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Revenue</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generate revenue from sales of subscriptions to our platform.</w:t>
      </w:r>
    </w:p>
    <w:p>
      <w:pPr>
        <w:spacing w:after="0" w:line="198" w:lineRule="exact"/>
        <w:rPr>
          <w:sz w:val="20"/>
          <w:szCs w:val="20"/>
          <w:color w:val="auto"/>
        </w:rPr>
      </w:pPr>
    </w:p>
    <w:p>
      <w:pPr>
        <w:ind w:right="100" w:firstLine="371"/>
        <w:spacing w:after="0" w:line="268" w:lineRule="auto"/>
        <w:rPr>
          <w:sz w:val="20"/>
          <w:szCs w:val="20"/>
          <w:color w:val="auto"/>
        </w:rPr>
      </w:pPr>
      <w:r>
        <w:rPr>
          <w:rFonts w:ascii="Arial" w:cs="Arial" w:eastAsia="Arial" w:hAnsi="Arial"/>
          <w:sz w:val="15"/>
          <w:szCs w:val="15"/>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56" w:lineRule="exact"/>
        <w:rPr>
          <w:sz w:val="20"/>
          <w:szCs w:val="20"/>
          <w:color w:val="auto"/>
        </w:rPr>
      </w:pPr>
    </w:p>
    <w:p>
      <w:pPr>
        <w:ind w:right="340" w:firstLine="371"/>
        <w:spacing w:after="0" w:line="327" w:lineRule="auto"/>
        <w:rPr>
          <w:sz w:val="20"/>
          <w:szCs w:val="20"/>
          <w:color w:val="auto"/>
        </w:rPr>
      </w:pPr>
      <w:r>
        <w:rPr>
          <w:rFonts w:ascii="Arial" w:cs="Arial" w:eastAsia="Arial" w:hAnsi="Arial"/>
          <w:sz w:val="14"/>
          <w:szCs w:val="14"/>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Cost of revenue and gross margin</w:t>
      </w:r>
    </w:p>
    <w:p>
      <w:pPr>
        <w:spacing w:after="0" w:line="105" w:lineRule="exact"/>
        <w:rPr>
          <w:sz w:val="20"/>
          <w:szCs w:val="20"/>
          <w:color w:val="auto"/>
        </w:rPr>
      </w:pPr>
    </w:p>
    <w:p>
      <w:pPr>
        <w:ind w:firstLine="371"/>
        <w:spacing w:after="0" w:line="283"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Our cost of revenue consists primarily of expenses associated with the storage, delivery, and distribution of our platform for both paying users and free users, also</w:t>
      </w:r>
      <w:r>
        <w:rPr>
          <w:rFonts w:ascii="Arial" w:cs="Arial" w:eastAsia="Arial" w:hAnsi="Arial"/>
          <w:sz w:val="14"/>
          <w:szCs w:val="14"/>
          <w:i w:val="1"/>
          <w:iCs w:val="1"/>
          <w:color w:val="auto"/>
        </w:rPr>
        <w:t xml:space="preserve"> </w:t>
      </w:r>
      <w:r>
        <w:rPr>
          <w:rFonts w:ascii="Arial" w:cs="Arial" w:eastAsia="Arial" w:hAnsi="Arial"/>
          <w:sz w:val="14"/>
          <w:szCs w:val="14"/>
          <w:color w:val="auto"/>
        </w:rPr>
        <w:t>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49" w:lineRule="exact"/>
        <w:rPr>
          <w:sz w:val="20"/>
          <w:szCs w:val="20"/>
          <w:color w:val="auto"/>
        </w:rPr>
      </w:pPr>
    </w:p>
    <w:p>
      <w:pPr>
        <w:ind w:right="120" w:firstLine="371"/>
        <w:spacing w:after="0" w:line="289" w:lineRule="auto"/>
        <w:rPr>
          <w:sz w:val="20"/>
          <w:szCs w:val="20"/>
          <w:color w:val="auto"/>
        </w:rPr>
      </w:pPr>
      <w:r>
        <w:rPr>
          <w:rFonts w:ascii="Arial" w:cs="Arial" w:eastAsia="Arial" w:hAnsi="Arial"/>
          <w:sz w:val="15"/>
          <w:szCs w:val="15"/>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41" w:lineRule="exact"/>
        <w:rPr>
          <w:sz w:val="20"/>
          <w:szCs w:val="20"/>
          <w:color w:val="auto"/>
        </w:rPr>
      </w:pPr>
    </w:p>
    <w:p>
      <w:pPr>
        <w:ind w:right="40" w:firstLine="371"/>
        <w:spacing w:after="0" w:line="302" w:lineRule="auto"/>
        <w:rPr>
          <w:sz w:val="20"/>
          <w:szCs w:val="20"/>
          <w:color w:val="auto"/>
        </w:rPr>
      </w:pPr>
      <w:r>
        <w:rPr>
          <w:rFonts w:ascii="Arial" w:cs="Arial" w:eastAsia="Arial" w:hAnsi="Arial"/>
          <w:sz w:val="14"/>
          <w:szCs w:val="14"/>
          <w:i w:val="1"/>
          <w:iCs w:val="1"/>
          <w:color w:val="auto"/>
        </w:rPr>
        <w:t xml:space="preserve">Gross margin. </w:t>
      </w:r>
      <w:r>
        <w:rPr>
          <w:rFonts w:ascii="Arial" w:cs="Arial" w:eastAsia="Arial" w:hAnsi="Arial"/>
          <w:sz w:val="14"/>
          <w:szCs w:val="14"/>
          <w:color w:val="auto"/>
        </w:rPr>
        <w:t>Gross margin is gross profit expressed as a percentage of revenue. Our gross margin may fluctuate from period to period based on the timing of additional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expenditures and the related depreciation expense, or other increases in our infrastructure costs, as well as revenue fluctuations. As we continue to increase the utilization of our internal infrastructure, we generally expect our gross margin, to remain relatively constant in the near term and to increase modestly in the long term.</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05" w:lineRule="exact"/>
        <w:rPr>
          <w:sz w:val="20"/>
          <w:szCs w:val="20"/>
          <w:color w:val="auto"/>
        </w:rPr>
      </w:pPr>
    </w:p>
    <w:p>
      <w:pPr>
        <w:ind w:right="140" w:firstLine="371"/>
        <w:spacing w:after="0" w:line="273"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Our research and development expenses consist primarily of employee-related costs for our engineering, product, and design teams,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53" w:lineRule="exact"/>
        <w:rPr>
          <w:sz w:val="20"/>
          <w:szCs w:val="20"/>
          <w:color w:val="auto"/>
        </w:rPr>
      </w:pPr>
    </w:p>
    <w:p>
      <w:pPr>
        <w:ind w:right="140" w:firstLine="371"/>
        <w:spacing w:after="0" w:line="289" w:lineRule="auto"/>
        <w:rPr>
          <w:sz w:val="20"/>
          <w:szCs w:val="20"/>
          <w:color w:val="auto"/>
        </w:rPr>
      </w:pPr>
      <w:r>
        <w:rPr>
          <w:rFonts w:ascii="Arial" w:cs="Arial" w:eastAsia="Arial" w:hAnsi="Arial"/>
          <w:sz w:val="15"/>
          <w:szCs w:val="15"/>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41" w:lineRule="exact"/>
        <w:rPr>
          <w:sz w:val="20"/>
          <w:szCs w:val="20"/>
          <w:color w:val="auto"/>
        </w:rPr>
      </w:pPr>
    </w:p>
    <w:p>
      <w:pPr>
        <w:ind w:right="40" w:firstLine="371"/>
        <w:spacing w:after="0" w:line="265"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 costs, brand marketing</w:t>
      </w:r>
      <w:r>
        <w:rPr>
          <w:rFonts w:ascii="Arial" w:cs="Arial" w:eastAsia="Arial" w:hAnsi="Arial"/>
          <w:sz w:val="15"/>
          <w:szCs w:val="15"/>
          <w:i w:val="1"/>
          <w:iCs w:val="1"/>
          <w:color w:val="auto"/>
        </w:rPr>
        <w:t xml:space="preserve"> </w:t>
      </w:r>
      <w:r>
        <w:rPr>
          <w:rFonts w:ascii="Arial" w:cs="Arial" w:eastAsia="Arial" w:hAnsi="Arial"/>
          <w:sz w:val="15"/>
          <w:szCs w:val="15"/>
          <w:color w:val="auto"/>
        </w:rPr>
        <w:t>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user,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60" w:lineRule="exact"/>
        <w:rPr>
          <w:sz w:val="20"/>
          <w:szCs w:val="20"/>
          <w:color w:val="auto"/>
        </w:rPr>
      </w:pPr>
    </w:p>
    <w:p>
      <w:pPr>
        <w:ind w:right="460" w:firstLine="371"/>
        <w:spacing w:after="0" w:line="289" w:lineRule="auto"/>
        <w:rPr>
          <w:sz w:val="20"/>
          <w:szCs w:val="20"/>
          <w:color w:val="auto"/>
        </w:rPr>
      </w:pPr>
      <w:r>
        <w:rPr>
          <w:rFonts w:ascii="Arial" w:cs="Arial" w:eastAsia="Arial" w:hAnsi="Arial"/>
          <w:sz w:val="15"/>
          <w:szCs w:val="15"/>
          <w:color w:val="auto"/>
        </w:rPr>
        <w:t>We plan to continue to invest in sales and marketing to grow our user base and increase our brand awareness, including marketing efforts to continue to drive our self-serve business model. We expect that sales and marketing expenses will increase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20"/>
          </w:cols>
          <w:pgMar w:left="240" w:top="123"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in absolute dollars in future periods and vary from period to period as a percentage of revenue. The trend and timing of sales and marketing expenses will depend in part on the timing of marketing campaigns.</w:t>
      </w:r>
    </w:p>
    <w:p>
      <w:pPr>
        <w:spacing w:after="0" w:line="141" w:lineRule="exact"/>
        <w:rPr>
          <w:sz w:val="20"/>
          <w:szCs w:val="20"/>
          <w:color w:val="auto"/>
        </w:rPr>
      </w:pPr>
    </w:p>
    <w:p>
      <w:pPr>
        <w:jc w:val="both"/>
        <w:ind w:right="20" w:firstLine="371"/>
        <w:spacing w:after="0" w:line="273"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Our general and administrative expenses consist primarily of employee-related costs for our legal, finance, human resources, and other administrative</w:t>
      </w:r>
      <w:r>
        <w:rPr>
          <w:rFonts w:ascii="Arial" w:cs="Arial" w:eastAsia="Arial" w:hAnsi="Arial"/>
          <w:sz w:val="15"/>
          <w:szCs w:val="15"/>
          <w:i w:val="1"/>
          <w:iCs w:val="1"/>
          <w:color w:val="auto"/>
        </w:rPr>
        <w:t xml:space="preserve"> </w:t>
      </w:r>
      <w:r>
        <w:rPr>
          <w:rFonts w:ascii="Arial" w:cs="Arial" w:eastAsia="Arial" w:hAnsi="Arial"/>
          <w:sz w:val="15"/>
          <w:szCs w:val="15"/>
          <w:color w:val="auto"/>
        </w:rPr>
        <w:t>teams, as well as certain executives. In addition, general and administrative expenses include allocated overhead, outside legal, accounting and other professional fees, and non-income based taxes.</w:t>
      </w:r>
    </w:p>
    <w:p>
      <w:pPr>
        <w:spacing w:after="0" w:line="153" w:lineRule="exact"/>
        <w:rPr>
          <w:sz w:val="20"/>
          <w:szCs w:val="20"/>
          <w:color w:val="auto"/>
        </w:rPr>
      </w:pPr>
    </w:p>
    <w:p>
      <w:pPr>
        <w:ind w:right="100" w:firstLine="371"/>
        <w:spacing w:after="0" w:line="273"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General and administrative expenses include the recognition of stock-based compensation expense related to grants of restricted stock made to our co-founders. We expect that general and administrative expenses will increase in absolute dollars in future periods and vary from period to period as a percentage of revenue.</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Interest income (expense), net</w:t>
      </w:r>
    </w:p>
    <w:p>
      <w:pPr>
        <w:spacing w:after="0" w:line="105" w:lineRule="exact"/>
        <w:rPr>
          <w:sz w:val="20"/>
          <w:szCs w:val="20"/>
          <w:color w:val="auto"/>
        </w:rPr>
      </w:pPr>
    </w:p>
    <w:p>
      <w:pPr>
        <w:ind w:right="340" w:firstLine="371"/>
        <w:spacing w:after="0" w:line="268" w:lineRule="auto"/>
        <w:rPr>
          <w:sz w:val="20"/>
          <w:szCs w:val="20"/>
          <w:color w:val="auto"/>
        </w:rPr>
      </w:pPr>
      <w:r>
        <w:rPr>
          <w:rFonts w:ascii="Arial" w:cs="Arial" w:eastAsia="Arial" w:hAnsi="Arial"/>
          <w:sz w:val="15"/>
          <w:szCs w:val="15"/>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our imputed financing obligation for our liability to the legal owner of our previous corporate headquarters. We no longer incur interest expense for our imputed financing obligation as of the fourth quarter of 2018, due to the termination of our master lease for our previous corporate headquarters in the third quarter of 2018.</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105" w:lineRule="exact"/>
        <w:rPr>
          <w:sz w:val="20"/>
          <w:szCs w:val="20"/>
          <w:color w:val="auto"/>
        </w:rPr>
      </w:pPr>
    </w:p>
    <w:p>
      <w:pPr>
        <w:ind w:right="280" w:firstLine="371"/>
        <w:spacing w:after="0" w:line="289" w:lineRule="auto"/>
        <w:rPr>
          <w:sz w:val="20"/>
          <w:szCs w:val="20"/>
          <w:color w:val="auto"/>
        </w:rPr>
      </w:pPr>
      <w:r>
        <w:rPr>
          <w:rFonts w:ascii="Arial" w:cs="Arial" w:eastAsia="Arial" w:hAnsi="Arial"/>
          <w:sz w:val="15"/>
          <w:szCs w:val="15"/>
          <w:color w:val="auto"/>
        </w:rPr>
        <w:t>Other income (expense),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Benefit from (provision for) income taxes</w:t>
      </w:r>
    </w:p>
    <w:p>
      <w:pPr>
        <w:spacing w:after="0" w:line="105" w:lineRule="exact"/>
        <w:rPr>
          <w:sz w:val="20"/>
          <w:szCs w:val="20"/>
          <w:color w:val="auto"/>
        </w:rPr>
      </w:pPr>
    </w:p>
    <w:p>
      <w:pPr>
        <w:ind w:right="20" w:firstLine="371"/>
        <w:spacing w:after="0" w:line="293" w:lineRule="auto"/>
        <w:rPr>
          <w:sz w:val="20"/>
          <w:szCs w:val="20"/>
          <w:color w:val="auto"/>
        </w:rPr>
      </w:pPr>
      <w:r>
        <w:rPr>
          <w:rFonts w:ascii="Arial" w:cs="Arial" w:eastAsia="Arial" w:hAnsi="Arial"/>
          <w:sz w:val="14"/>
          <w:szCs w:val="14"/>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20"/>
          </w:cols>
          <w:pgMar w:left="240" w:top="123" w:right="239" w:bottom="1440" w:gutter="0" w:footer="0" w:header="0"/>
        </w:sectPr>
      </w:pPr>
    </w:p>
    <w:bookmarkStart w:id="40" w:name="page41"/>
    <w:bookmarkEnd w:id="40"/>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Results of Operations</w:t>
      </w:r>
    </w:p>
    <w:p>
      <w:pPr>
        <w:spacing w:after="0" w:line="204" w:lineRule="exact"/>
        <w:rPr>
          <w:sz w:val="20"/>
          <w:szCs w:val="20"/>
          <w:color w:val="auto"/>
        </w:rPr>
      </w:pPr>
    </w:p>
    <w:p>
      <w:pPr>
        <w:ind w:left="347"/>
        <w:spacing w:after="0"/>
        <w:rPr>
          <w:sz w:val="20"/>
          <w:szCs w:val="20"/>
          <w:color w:val="auto"/>
        </w:rPr>
      </w:pPr>
      <w:r>
        <w:rPr>
          <w:rFonts w:ascii="Arial" w:cs="Arial" w:eastAsia="Arial" w:hAnsi="Arial"/>
          <w:sz w:val="14"/>
          <w:szCs w:val="14"/>
          <w:color w:val="auto"/>
        </w:rPr>
        <w:t>The following tables set forth our results of operations for the periods presented:</w:t>
      </w:r>
    </w:p>
    <w:p>
      <w:pPr>
        <w:sectPr>
          <w:pgSz w:w="11900" w:h="16838" w:orient="portrait"/>
          <w:cols w:equalWidth="0" w:num="1">
            <w:col w:w="11447"/>
          </w:cols>
          <w:pgMar w:left="233" w:top="123" w:right="2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6787"/>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48260</wp:posOffset>
            </wp:positionV>
            <wp:extent cx="15443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74" w:lineRule="exact"/>
        <w:rPr>
          <w:sz w:val="20"/>
          <w:szCs w:val="20"/>
          <w:color w:val="auto"/>
        </w:rPr>
      </w:pPr>
    </w:p>
    <w:p>
      <w:pPr>
        <w:ind w:left="6947"/>
        <w:spacing w:after="0"/>
        <w:tabs>
          <w:tab w:leader="none" w:pos="8207"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33655</wp:posOffset>
            </wp:positionV>
            <wp:extent cx="15443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48260</wp:posOffset>
            </wp:positionV>
            <wp:extent cx="15005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0505" cy="7620"/>
                    </a:xfrm>
                    <a:prstGeom prst="rect">
                      <a:avLst/>
                    </a:prstGeom>
                    <a:noFill/>
                  </pic:spPr>
                </pic:pic>
              </a:graphicData>
            </a:graphic>
          </wp:anchor>
        </w:drawing>
      </w:r>
    </w:p>
    <w:p>
      <w:pPr>
        <w:spacing w:after="0" w:line="74"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33655</wp:posOffset>
            </wp:positionV>
            <wp:extent cx="15005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0505" cy="762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8727" w:space="660"/>
            <w:col w:w="2060"/>
          </w:cols>
          <w:pgMar w:left="233" w:top="123" w:right="219" w:bottom="1440" w:gutter="0" w:footer="0" w:header="0"/>
          <w:type w:val="continuous"/>
        </w:sectPr>
      </w:pPr>
    </w:p>
    <w:tbl>
      <w:tblPr>
        <w:tblLayout w:type="fixed"/>
        <w:tblInd w:w="7"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3"/>
          </w:tcPr>
          <w:p>
            <w:pPr>
              <w:jc w:val="right"/>
              <w:ind w:right="103"/>
              <w:spacing w:after="0"/>
              <w:rPr>
                <w:sz w:val="20"/>
                <w:szCs w:val="20"/>
                <w:color w:val="auto"/>
              </w:rPr>
            </w:pPr>
            <w:r>
              <w:rPr>
                <w:rFonts w:ascii="Arial" w:cs="Arial" w:eastAsia="Arial" w:hAnsi="Arial"/>
                <w:sz w:val="15"/>
                <w:szCs w:val="15"/>
                <w:i w:val="1"/>
                <w:iCs w:val="1"/>
                <w:color w:val="auto"/>
              </w:rPr>
              <w:t>(In millions)</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401.5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339.2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787.1</w:t>
            </w:r>
          </w:p>
        </w:tc>
        <w:tc>
          <w:tcPr>
            <w:tcW w:w="44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655.5</w:t>
            </w:r>
          </w:p>
        </w:tc>
      </w:tr>
      <w:tr>
        <w:trPr>
          <w:trHeight w:val="232"/>
        </w:trPr>
        <w:tc>
          <w:tcPr>
            <w:tcW w:w="6520" w:type="dxa"/>
            <w:vAlign w:val="bottom"/>
            <w:tcBorders>
              <w:bottom w:val="single" w:sz="8" w:color="CCEEFF"/>
            </w:tcBorders>
          </w:tcPr>
          <w:p>
            <w:pPr>
              <w:ind w:left="320"/>
              <w:spacing w:after="0" w:line="232" w:lineRule="exact"/>
              <w:rPr>
                <w:sz w:val="20"/>
                <w:szCs w:val="20"/>
                <w:color w:val="auto"/>
              </w:rPr>
            </w:pPr>
            <w:r>
              <w:rPr>
                <w:rFonts w:ascii="Arial" w:cs="Arial" w:eastAsia="Arial" w:hAnsi="Arial"/>
                <w:sz w:val="15"/>
                <w:szCs w:val="15"/>
                <w:color w:val="auto"/>
              </w:rPr>
              <w:t>Cost of revenue</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102.9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89.5</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201.3</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210.1</w:t>
            </w:r>
          </w:p>
        </w:tc>
      </w:tr>
      <w:tr>
        <w:trPr>
          <w:trHeight w:val="20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298.6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249.7</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585.8</w:t>
            </w:r>
          </w:p>
        </w:tc>
        <w:tc>
          <w:tcPr>
            <w:tcW w:w="4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445.4</w:t>
            </w:r>
          </w:p>
        </w:tc>
      </w:tr>
      <w:tr>
        <w:trPr>
          <w:trHeight w:val="232"/>
        </w:trPr>
        <w:tc>
          <w:tcPr>
            <w:tcW w:w="6520" w:type="dxa"/>
            <w:vAlign w:val="bottom"/>
          </w:tcPr>
          <w:p>
            <w:pPr>
              <w:ind w:left="20"/>
              <w:spacing w:after="0" w:line="232" w:lineRule="exact"/>
              <w:rPr>
                <w:sz w:val="20"/>
                <w:szCs w:val="20"/>
                <w:color w:val="auto"/>
              </w:rPr>
            </w:pPr>
            <w:r>
              <w:rPr>
                <w:rFonts w:ascii="Arial" w:cs="Arial" w:eastAsia="Arial" w:hAnsi="Arial"/>
                <w:sz w:val="15"/>
                <w:szCs w:val="15"/>
                <w:color w:val="auto"/>
              </w:rPr>
              <w:t>Operating expenses</w:t>
            </w:r>
            <w:r>
              <w:rPr>
                <w:rFonts w:ascii="Arial" w:cs="Arial" w:eastAsia="Arial" w:hAnsi="Arial"/>
                <w:sz w:val="21"/>
                <w:szCs w:val="21"/>
                <w:color w:val="auto"/>
                <w:vertAlign w:val="superscript"/>
              </w:rPr>
              <w:t>(1)</w:t>
            </w: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2"/>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162.4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119.7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312.4</w:t>
            </w: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498.2</w:t>
            </w:r>
          </w:p>
        </w:tc>
      </w:tr>
      <w:tr>
        <w:trPr>
          <w:trHeight w:val="208"/>
        </w:trPr>
        <w:tc>
          <w:tcPr>
            <w:tcW w:w="652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40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107.3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87.4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208.8</w:t>
            </w:r>
          </w:p>
        </w:tc>
        <w:tc>
          <w:tcPr>
            <w:tcW w:w="4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244.4</w:t>
            </w:r>
          </w:p>
        </w:tc>
      </w:tr>
      <w:tr>
        <w:trPr>
          <w:trHeight w:val="2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49.8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119.9</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175.9</w:t>
            </w:r>
          </w:p>
        </w:tc>
      </w:tr>
      <w:tr>
        <w:trPr>
          <w:trHeight w:val="200"/>
        </w:trPr>
        <w:tc>
          <w:tcPr>
            <w:tcW w:w="6520" w:type="dxa"/>
            <w:vAlign w:val="bottom"/>
          </w:tcPr>
          <w:p>
            <w:pPr>
              <w:ind w:left="20"/>
              <w:spacing w:after="0"/>
              <w:rPr>
                <w:sz w:val="20"/>
                <w:szCs w:val="20"/>
                <w:color w:val="auto"/>
              </w:rPr>
            </w:pPr>
            <w:r>
              <w:rPr>
                <w:rFonts w:ascii="Arial" w:cs="Arial" w:eastAsia="Arial" w:hAnsi="Arial"/>
                <w:sz w:val="15"/>
                <w:szCs w:val="15"/>
                <w:color w:val="auto"/>
              </w:rPr>
              <w:t>Total operating expenses</w:t>
            </w: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332.6</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256.9</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rPr>
              <w:t>641.1</w:t>
            </w: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918.5</w:t>
            </w:r>
          </w:p>
        </w:tc>
      </w:tr>
      <w:tr>
        <w:trPr>
          <w:trHeight w:val="23"/>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(55.3)</w:t>
            </w:r>
          </w:p>
        </w:tc>
        <w:tc>
          <w:tcPr>
            <w:tcW w:w="4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(473.1)</w:t>
            </w:r>
          </w:p>
        </w:tc>
      </w:tr>
      <w:tr>
        <w:trPr>
          <w:trHeight w:val="208"/>
        </w:trPr>
        <w:tc>
          <w:tcPr>
            <w:tcW w:w="6520" w:type="dxa"/>
            <w:vAlign w:val="bottom"/>
          </w:tcPr>
          <w:p>
            <w:pPr>
              <w:ind w:left="20"/>
              <w:spacing w:after="0"/>
              <w:rPr>
                <w:sz w:val="20"/>
                <w:szCs w:val="20"/>
                <w:color w:val="auto"/>
              </w:rPr>
            </w:pPr>
            <w:r>
              <w:rPr>
                <w:rFonts w:ascii="Arial" w:cs="Arial" w:eastAsia="Arial" w:hAnsi="Arial"/>
                <w:sz w:val="15"/>
                <w:szCs w:val="15"/>
                <w:color w:val="auto"/>
              </w:rPr>
              <w:t>Interest income, net</w:t>
            </w:r>
          </w:p>
        </w:tc>
        <w:tc>
          <w:tcPr>
            <w:tcW w:w="40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6.9</w:t>
            </w:r>
          </w:p>
        </w:tc>
        <w:tc>
          <w:tcPr>
            <w:tcW w:w="44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0.8</w:t>
            </w:r>
          </w:p>
        </w:tc>
      </w:tr>
      <w:tr>
        <w:trPr>
          <w:trHeight w:val="2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14.2</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5.6</w:t>
            </w:r>
          </w:p>
        </w:tc>
      </w:tr>
      <w:tr>
        <w:trPr>
          <w:trHeight w:val="200"/>
        </w:trPr>
        <w:tc>
          <w:tcPr>
            <w:tcW w:w="6520" w:type="dxa"/>
            <w:vAlign w:val="bottom"/>
          </w:tcPr>
          <w:p>
            <w:pPr>
              <w:ind w:left="20"/>
              <w:spacing w:after="0"/>
              <w:rPr>
                <w:sz w:val="20"/>
                <w:szCs w:val="20"/>
                <w:color w:val="auto"/>
              </w:rPr>
            </w:pPr>
            <w:r>
              <w:rPr>
                <w:rFonts w:ascii="Arial" w:cs="Arial" w:eastAsia="Arial" w:hAnsi="Arial"/>
                <w:sz w:val="15"/>
                <w:szCs w:val="15"/>
                <w:color w:val="auto"/>
              </w:rPr>
              <w:t>Loss before income taxes</w:t>
            </w: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(34.2)</w:t>
            </w: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(466.7)</w:t>
            </w:r>
          </w:p>
        </w:tc>
      </w:tr>
      <w:tr>
        <w:trPr>
          <w:trHeight w:val="23"/>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Benefit from (provision for)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5.1</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00"/>
        </w:trPr>
        <w:tc>
          <w:tcPr>
            <w:tcW w:w="6520" w:type="dxa"/>
            <w:vAlign w:val="bottom"/>
          </w:tcPr>
          <w:p>
            <w:pPr>
              <w:ind w:left="20"/>
              <w:spacing w:after="0"/>
              <w:rPr>
                <w:sz w:val="20"/>
                <w:szCs w:val="20"/>
                <w:color w:val="auto"/>
              </w:rPr>
            </w:pPr>
            <w:r>
              <w:rPr>
                <w:rFonts w:ascii="Arial" w:cs="Arial" w:eastAsia="Arial" w:hAnsi="Arial"/>
                <w:sz w:val="15"/>
                <w:szCs w:val="15"/>
                <w:color w:val="auto"/>
              </w:rPr>
              <w:t>Net loss</w:t>
            </w:r>
          </w:p>
        </w:tc>
        <w:tc>
          <w:tcPr>
            <w:tcW w:w="40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17"/>
                <w:szCs w:val="17"/>
                <w:color w:val="auto"/>
              </w:rPr>
            </w:pPr>
          </w:p>
        </w:tc>
        <w:tc>
          <w:tcPr>
            <w:tcW w:w="40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7"/>
                <w:szCs w:val="17"/>
                <w:color w:val="auto"/>
              </w:rPr>
            </w:pPr>
          </w:p>
        </w:tc>
        <w:tc>
          <w:tcPr>
            <w:tcW w:w="48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(29.1)</w:t>
            </w:r>
          </w:p>
        </w:tc>
        <w:tc>
          <w:tcPr>
            <w:tcW w:w="44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(469.6)</w:t>
            </w:r>
          </w:p>
        </w:tc>
      </w:tr>
      <w:tr>
        <w:trPr>
          <w:trHeight w:val="23"/>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87" w:hanging="287"/>
        <w:spacing w:after="0"/>
        <w:tabs>
          <w:tab w:leader="none" w:pos="28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Includes stock-based compensation as follows:</w:t>
      </w:r>
    </w:p>
    <w:p>
      <w:pPr>
        <w:spacing w:after="0" w:line="279" w:lineRule="exact"/>
        <w:rPr>
          <w:sz w:val="20"/>
          <w:szCs w:val="20"/>
          <w:color w:val="auto"/>
        </w:rPr>
      </w:pPr>
    </w:p>
    <w:tbl>
      <w:tblPr>
        <w:tblLayout w:type="fixed"/>
        <w:tblInd w:w="47" w:type="dxa"/>
        <w:tblCellMar>
          <w:top w:w="0" w:type="dxa"/>
          <w:left w:w="0" w:type="dxa"/>
          <w:bottom w:w="0" w:type="dxa"/>
          <w:right w:w="0" w:type="dxa"/>
        </w:tblCellMar>
      </w:tblPr>
      <w:tr>
        <w:trPr>
          <w:trHeight w:val="202"/>
        </w:trPr>
        <w:tc>
          <w:tcPr>
            <w:tcW w:w="6500" w:type="dxa"/>
            <w:vAlign w:val="bottom"/>
          </w:tcPr>
          <w:p>
            <w:pPr>
              <w:spacing w:after="0"/>
              <w:rPr>
                <w:sz w:val="17"/>
                <w:szCs w:val="17"/>
                <w:color w:val="auto"/>
              </w:rPr>
            </w:pPr>
          </w:p>
        </w:tc>
        <w:tc>
          <w:tcPr>
            <w:tcW w:w="2520" w:type="dxa"/>
            <w:vAlign w:val="bottom"/>
            <w:gridSpan w:val="6"/>
          </w:tcPr>
          <w:p>
            <w:pPr>
              <w:ind w:left="24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2060" w:type="dxa"/>
            <w:vAlign w:val="bottom"/>
            <w:gridSpan w:val="4"/>
          </w:tcPr>
          <w:p>
            <w:pPr>
              <w:jc w:val="right"/>
              <w:ind w:right="223"/>
              <w:spacing w:after="0"/>
              <w:rPr>
                <w:sz w:val="20"/>
                <w:szCs w:val="20"/>
                <w:color w:val="auto"/>
              </w:rPr>
            </w:pPr>
            <w:r>
              <w:rPr>
                <w:rFonts w:ascii="Arial" w:cs="Arial" w:eastAsia="Arial" w:hAnsi="Arial"/>
                <w:sz w:val="15"/>
                <w:szCs w:val="15"/>
                <w:b w:val="1"/>
                <w:bCs w:val="1"/>
                <w:color w:val="auto"/>
                <w:w w:val="89"/>
              </w:rPr>
              <w:t>Six months ended June 30,</w:t>
            </w:r>
          </w:p>
        </w:tc>
      </w:tr>
      <w:tr>
        <w:trPr>
          <w:trHeight w:val="23"/>
        </w:trPr>
        <w:tc>
          <w:tcPr>
            <w:tcW w:w="6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0"/>
        </w:trPr>
        <w:tc>
          <w:tcPr>
            <w:tcW w:w="6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3"/>
              <w:spacing w:after="0"/>
              <w:rPr>
                <w:sz w:val="20"/>
                <w:szCs w:val="20"/>
                <w:color w:val="auto"/>
              </w:rPr>
            </w:pPr>
            <w:r>
              <w:rPr>
                <w:rFonts w:ascii="Arial" w:cs="Arial" w:eastAsia="Arial" w:hAnsi="Arial"/>
                <w:sz w:val="15"/>
                <w:szCs w:val="15"/>
                <w:b w:val="1"/>
                <w:bCs w:val="1"/>
                <w:color w:val="auto"/>
              </w:rPr>
              <w:t>2018</w:t>
            </w:r>
          </w:p>
        </w:tc>
      </w:tr>
      <w:tr>
        <w:trPr>
          <w:trHeight w:val="23"/>
        </w:trPr>
        <w:tc>
          <w:tcPr>
            <w:tcW w:w="6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4"/>
        </w:trPr>
        <w:tc>
          <w:tcPr>
            <w:tcW w:w="6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i w:val="1"/>
                <w:iCs w:val="1"/>
                <w:color w:val="auto"/>
              </w:rPr>
              <w:t>(In millions)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Cost of revenue</w:t>
            </w:r>
          </w:p>
        </w:tc>
        <w:tc>
          <w:tcPr>
            <w:tcW w:w="74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40.7</w:t>
            </w:r>
          </w:p>
        </w:tc>
      </w:tr>
      <w:tr>
        <w:trPr>
          <w:trHeight w:val="208"/>
        </w:trPr>
        <w:tc>
          <w:tcPr>
            <w:tcW w:w="6500" w:type="dxa"/>
            <w:vAlign w:val="bottom"/>
          </w:tcPr>
          <w:p>
            <w:pPr>
              <w:ind w:left="320"/>
              <w:spacing w:after="0"/>
              <w:rPr>
                <w:sz w:val="20"/>
                <w:szCs w:val="20"/>
                <w:color w:val="auto"/>
              </w:rPr>
            </w:pPr>
            <w:r>
              <w:rPr>
                <w:rFonts w:ascii="Arial" w:cs="Arial" w:eastAsia="Arial" w:hAnsi="Arial"/>
                <w:sz w:val="15"/>
                <w:szCs w:val="15"/>
                <w:color w:val="auto"/>
              </w:rPr>
              <w:t>Research and development</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5"/>
                <w:szCs w:val="15"/>
                <w:color w:val="auto"/>
                <w:w w:val="88"/>
              </w:rPr>
              <w:t>37.7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27.9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68.2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310.8</w:t>
            </w:r>
          </w:p>
        </w:tc>
      </w:tr>
      <w:tr>
        <w:trPr>
          <w:trHeight w:val="23"/>
        </w:trPr>
        <w:tc>
          <w:tcPr>
            <w:tcW w:w="6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Sales and marketing</w:t>
            </w:r>
          </w:p>
        </w:tc>
        <w:tc>
          <w:tcPr>
            <w:tcW w:w="7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80.3</w:t>
            </w:r>
          </w:p>
        </w:tc>
      </w:tr>
      <w:tr>
        <w:trPr>
          <w:trHeight w:val="208"/>
        </w:trPr>
        <w:tc>
          <w:tcPr>
            <w:tcW w:w="6500" w:type="dxa"/>
            <w:vAlign w:val="bottom"/>
          </w:tcPr>
          <w:p>
            <w:pPr>
              <w:ind w:left="320"/>
              <w:spacing w:after="0"/>
              <w:rPr>
                <w:sz w:val="20"/>
                <w:szCs w:val="20"/>
                <w:color w:val="auto"/>
              </w:rPr>
            </w:pPr>
            <w:r>
              <w:rPr>
                <w:rFonts w:ascii="Arial" w:cs="Arial" w:eastAsia="Arial" w:hAnsi="Arial"/>
                <w:sz w:val="15"/>
                <w:szCs w:val="15"/>
                <w:color w:val="auto"/>
              </w:rPr>
              <w:t>General and administrative</w:t>
            </w:r>
          </w:p>
        </w:tc>
        <w:tc>
          <w:tcPr>
            <w:tcW w:w="740" w:type="dxa"/>
            <w:vAlign w:val="bottom"/>
          </w:tcPr>
          <w:p>
            <w:pPr>
              <w:spacing w:after="0"/>
              <w:rPr>
                <w:sz w:val="18"/>
                <w:szCs w:val="18"/>
                <w:color w:val="auto"/>
              </w:rPr>
            </w:pPr>
          </w:p>
        </w:tc>
        <w:tc>
          <w:tcPr>
            <w:tcW w:w="400" w:type="dxa"/>
            <w:vAlign w:val="bottom"/>
          </w:tcPr>
          <w:p>
            <w:pPr>
              <w:jc w:val="right"/>
              <w:ind w:right="43"/>
              <w:spacing w:after="0"/>
              <w:rPr>
                <w:sz w:val="20"/>
                <w:szCs w:val="20"/>
                <w:color w:val="auto"/>
              </w:rPr>
            </w:pPr>
            <w:r>
              <w:rPr>
                <w:rFonts w:ascii="Arial" w:cs="Arial" w:eastAsia="Arial" w:hAnsi="Arial"/>
                <w:sz w:val="15"/>
                <w:szCs w:val="15"/>
                <w:color w:val="auto"/>
                <w:w w:val="88"/>
              </w:rPr>
              <w:t>16.9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109.8</w:t>
            </w:r>
          </w:p>
        </w:tc>
      </w:tr>
      <w:tr>
        <w:trPr>
          <w:trHeight w:val="23"/>
        </w:trPr>
        <w:tc>
          <w:tcPr>
            <w:tcW w:w="6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65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5"/>
                <w:szCs w:val="15"/>
                <w:color w:val="auto"/>
              </w:rPr>
              <w:t>Total stock-based compensation</w:t>
            </w:r>
            <w:r>
              <w:rPr>
                <w:rFonts w:ascii="Arial" w:cs="Arial" w:eastAsia="Arial" w:hAnsi="Arial"/>
                <w:sz w:val="21"/>
                <w:szCs w:val="21"/>
                <w:color w:val="auto"/>
                <w:vertAlign w:val="superscript"/>
              </w:rPr>
              <w:t>(2)</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88"/>
              </w:rPr>
              <w:t>68.1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55.1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123.7</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541.6</w:t>
            </w:r>
          </w:p>
        </w:tc>
      </w:tr>
      <w:tr>
        <w:trPr>
          <w:trHeight w:val="20"/>
        </w:trPr>
        <w:tc>
          <w:tcPr>
            <w:tcW w:w="6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287" w:right="160" w:hanging="287"/>
        <w:spacing w:after="0" w:line="269" w:lineRule="auto"/>
        <w:tabs>
          <w:tab w:leader="none" w:pos="287"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Upon the effectiveness of the registration statement for our initial public offering, which was March 22, 2018, the liquidity event-related performance vesting condition associated with our two-tier RSUs was satisfied. As a result, during the six months ended June 30, 2018, we recognized the cumulative unrecognized stock-based compensation of $418.7 million. See Note 1, "Description of the Business and Summary of Significant Accounting Policies" to our condensed consolidated financial statements included elsewhere in this Quarterly Report on Form 10-Q for further information.</w:t>
      </w:r>
    </w:p>
    <w:p>
      <w:pPr>
        <w:spacing w:after="0" w:line="3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7"/>
          </w:cols>
          <w:pgMar w:left="233" w:top="123" w:right="219" w:bottom="1440" w:gutter="0" w:footer="0" w:header="0"/>
          <w:type w:val="continuous"/>
        </w:sectPr>
      </w:pPr>
    </w:p>
    <w:bookmarkStart w:id="41" w:name="page42"/>
    <w:bookmarkEnd w:id="41"/>
    <w:tbl>
      <w:tblPr>
        <w:tblLayout w:type="fixed"/>
        <w:tblInd w:w="7" w:type="dxa"/>
        <w:tblCellMar>
          <w:top w:w="0" w:type="dxa"/>
          <w:left w:w="0" w:type="dxa"/>
          <w:bottom w:w="0" w:type="dxa"/>
          <w:right w:w="0" w:type="dxa"/>
        </w:tblCellMar>
      </w:tblPr>
      <w:tr>
        <w:trPr>
          <w:trHeight w:val="172"/>
        </w:trPr>
        <w:tc>
          <w:tcPr>
            <w:tcW w:w="1160" w:type="dxa"/>
            <w:vAlign w:val="bottom"/>
            <w:tcBorders>
              <w:bottom w:val="single" w:sz="8" w:color="0000EE"/>
            </w:tcBorders>
          </w:tcPr>
          <w:p>
            <w:pPr>
              <w:spacing w:after="0"/>
              <w:rPr>
                <w:rFonts w:ascii="Arial" w:cs="Arial" w:eastAsia="Arial" w:hAnsi="Arial"/>
                <w:sz w:val="15"/>
                <w:szCs w:val="15"/>
                <w:b w:val="1"/>
                <w:bCs w:val="1"/>
                <w:color w:val="0000EE"/>
                <w:w w:val="89"/>
              </w:rPr>
            </w:pPr>
            <w:hyperlink w:anchor="page2">
              <w:r>
                <w:rPr>
                  <w:rFonts w:ascii="Arial" w:cs="Arial" w:eastAsia="Arial" w:hAnsi="Arial"/>
                  <w:sz w:val="15"/>
                  <w:szCs w:val="15"/>
                  <w:b w:val="1"/>
                  <w:bCs w:val="1"/>
                  <w:color w:val="0000EE"/>
                  <w:w w:val="89"/>
                </w:rPr>
                <w:t>Table of Contents</w:t>
              </w:r>
            </w:hyperlink>
          </w:p>
        </w:tc>
        <w:tc>
          <w:tcPr>
            <w:tcW w:w="5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70"/>
        </w:trPr>
        <w:tc>
          <w:tcPr>
            <w:tcW w:w="7620" w:type="dxa"/>
            <w:vAlign w:val="bottom"/>
            <w:gridSpan w:val="4"/>
          </w:tcPr>
          <w:p>
            <w:pPr>
              <w:ind w:left="340"/>
              <w:spacing w:after="0"/>
              <w:rPr>
                <w:sz w:val="20"/>
                <w:szCs w:val="20"/>
                <w:color w:val="auto"/>
              </w:rPr>
            </w:pPr>
            <w:r>
              <w:rPr>
                <w:rFonts w:ascii="Arial" w:cs="Arial" w:eastAsia="Arial" w:hAnsi="Arial"/>
                <w:sz w:val="15"/>
                <w:szCs w:val="15"/>
                <w:color w:val="auto"/>
                <w:w w:val="94"/>
              </w:rPr>
              <w:t>The following table sets forth our results of operations for each of the periods presented as a percentage of revenue: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0"/>
        </w:trPr>
        <w:tc>
          <w:tcPr>
            <w:tcW w:w="1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20" w:type="dxa"/>
            <w:vAlign w:val="bottom"/>
            <w:gridSpan w:val="4"/>
          </w:tcPr>
          <w:p>
            <w:pPr>
              <w:ind w:left="300"/>
              <w:spacing w:after="0"/>
              <w:rPr>
                <w:sz w:val="20"/>
                <w:szCs w:val="20"/>
                <w:color w:val="auto"/>
              </w:rPr>
            </w:pPr>
            <w:r>
              <w:rPr>
                <w:rFonts w:ascii="Arial" w:cs="Arial" w:eastAsia="Arial" w:hAnsi="Arial"/>
                <w:sz w:val="15"/>
                <w:szCs w:val="15"/>
                <w:b w:val="1"/>
                <w:bCs w:val="1"/>
                <w:color w:val="auto"/>
              </w:rPr>
              <w:t>Three months ended June 30,</w:t>
            </w:r>
          </w:p>
        </w:tc>
        <w:tc>
          <w:tcPr>
            <w:tcW w:w="2520" w:type="dxa"/>
            <w:vAlign w:val="bottom"/>
            <w:gridSpan w:val="3"/>
          </w:tcPr>
          <w:p>
            <w:pPr>
              <w:jc w:val="right"/>
              <w:ind w:right="303"/>
              <w:spacing w:after="0"/>
              <w:rPr>
                <w:sz w:val="20"/>
                <w:szCs w:val="20"/>
                <w:color w:val="auto"/>
              </w:rPr>
            </w:pPr>
            <w:r>
              <w:rPr>
                <w:rFonts w:ascii="Arial" w:cs="Arial" w:eastAsia="Arial" w:hAnsi="Arial"/>
                <w:sz w:val="15"/>
                <w:szCs w:val="15"/>
                <w:b w:val="1"/>
                <w:bCs w:val="1"/>
                <w:color w:val="auto"/>
              </w:rPr>
              <w:t>Six months ended June 30,</w:t>
            </w: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2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4"/>
        </w:trPr>
        <w:tc>
          <w:tcPr>
            <w:tcW w:w="1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Arial" w:cs="Arial" w:eastAsia="Arial" w:hAnsi="Arial"/>
                <w:sz w:val="15"/>
                <w:szCs w:val="15"/>
                <w:i w:val="1"/>
                <w:iCs w:val="1"/>
                <w:color w:val="auto"/>
              </w:rPr>
              <w:t>(As a % of revenue)</w:t>
            </w:r>
          </w:p>
        </w:tc>
        <w:tc>
          <w:tcPr>
            <w:tcW w:w="120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32"/>
        </w:trPr>
        <w:tc>
          <w:tcPr>
            <w:tcW w:w="6300" w:type="dxa"/>
            <w:vAlign w:val="bottom"/>
            <w:tcBorders>
              <w:bottom w:val="single" w:sz="8" w:color="CCEEFF"/>
            </w:tcBorders>
            <w:gridSpan w:val="2"/>
          </w:tcPr>
          <w:p>
            <w:pPr>
              <w:ind w:left="320"/>
              <w:spacing w:after="0" w:line="232" w:lineRule="exact"/>
              <w:rPr>
                <w:sz w:val="20"/>
                <w:szCs w:val="20"/>
                <w:color w:val="auto"/>
              </w:rPr>
            </w:pPr>
            <w:r>
              <w:rPr>
                <w:rFonts w:ascii="Arial" w:cs="Arial" w:eastAsia="Arial" w:hAnsi="Arial"/>
                <w:sz w:val="15"/>
                <w:szCs w:val="15"/>
                <w:color w:val="auto"/>
              </w:rPr>
              <w:t>Cost of revenue</w:t>
            </w:r>
            <w:r>
              <w:rPr>
                <w:rFonts w:ascii="Arial" w:cs="Arial" w:eastAsia="Arial" w:hAnsi="Arial"/>
                <w:sz w:val="21"/>
                <w:szCs w:val="21"/>
                <w:color w:val="auto"/>
                <w:vertAlign w:val="superscript"/>
              </w:rPr>
              <w:t>(1)</w:t>
            </w: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32</w:t>
            </w:r>
          </w:p>
        </w:tc>
      </w:tr>
      <w:tr>
        <w:trPr>
          <w:trHeight w:val="20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74</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68</w:t>
            </w:r>
          </w:p>
        </w:tc>
      </w:tr>
      <w:tr>
        <w:trPr>
          <w:trHeight w:val="232"/>
        </w:trPr>
        <w:tc>
          <w:tcPr>
            <w:tcW w:w="6300" w:type="dxa"/>
            <w:vAlign w:val="bottom"/>
            <w:gridSpan w:val="2"/>
          </w:tcPr>
          <w:p>
            <w:pPr>
              <w:ind w:left="20"/>
              <w:spacing w:after="0" w:line="232" w:lineRule="exact"/>
              <w:rPr>
                <w:sz w:val="20"/>
                <w:szCs w:val="20"/>
                <w:color w:val="auto"/>
              </w:rPr>
            </w:pPr>
            <w:r>
              <w:rPr>
                <w:rFonts w:ascii="Arial" w:cs="Arial" w:eastAsia="Arial" w:hAnsi="Arial"/>
                <w:sz w:val="15"/>
                <w:szCs w:val="15"/>
                <w:color w:val="auto"/>
              </w:rPr>
              <w:t>Operating expenses</w:t>
            </w:r>
            <w:r>
              <w:rPr>
                <w:rFonts w:ascii="Arial" w:cs="Arial" w:eastAsia="Arial" w:hAnsi="Arial"/>
                <w:sz w:val="21"/>
                <w:szCs w:val="21"/>
                <w:color w:val="auto"/>
                <w:vertAlign w:val="superscript"/>
              </w:rPr>
              <w:t>(1)</w:t>
            </w:r>
            <w:r>
              <w:rPr>
                <w:rFonts w:ascii="Arial" w:cs="Arial" w:eastAsia="Arial" w:hAnsi="Arial"/>
                <w:sz w:val="15"/>
                <w:szCs w:val="15"/>
                <w:color w:val="auto"/>
              </w:rPr>
              <w: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w:t>
            </w:r>
          </w:p>
        </w:tc>
      </w:tr>
      <w:tr>
        <w:trPr>
          <w:trHeight w:val="212"/>
        </w:trPr>
        <w:tc>
          <w:tcPr>
            <w:tcW w:w="6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76</w:t>
            </w:r>
          </w:p>
        </w:tc>
      </w:tr>
      <w:tr>
        <w:trPr>
          <w:trHeight w:val="208"/>
        </w:trPr>
        <w:tc>
          <w:tcPr>
            <w:tcW w:w="6300" w:type="dxa"/>
            <w:vAlign w:val="bottom"/>
            <w:gridSpan w:val="2"/>
          </w:tcPr>
          <w:p>
            <w:pPr>
              <w:ind w:left="320"/>
              <w:spacing w:after="0"/>
              <w:rPr>
                <w:sz w:val="20"/>
                <w:szCs w:val="20"/>
                <w:color w:val="auto"/>
              </w:rPr>
            </w:pPr>
            <w:r>
              <w:rPr>
                <w:rFonts w:ascii="Arial" w:cs="Arial" w:eastAsia="Arial" w:hAnsi="Arial"/>
                <w:sz w:val="15"/>
                <w:szCs w:val="15"/>
                <w:color w:val="auto"/>
              </w:rPr>
              <w:t>Sales and marketing</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27</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37</w:t>
            </w: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6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27</w:t>
            </w:r>
          </w:p>
        </w:tc>
      </w:tr>
      <w:tr>
        <w:trPr>
          <w:trHeight w:val="200"/>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Total operating expenses</w:t>
            </w:r>
          </w:p>
        </w:tc>
        <w:tc>
          <w:tcPr>
            <w:tcW w:w="120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rPr>
              <w:t>81</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rPr>
              <w:t>140</w:t>
            </w:r>
          </w:p>
        </w:tc>
      </w:tr>
      <w:tr>
        <w:trPr>
          <w:trHeight w:val="23"/>
        </w:trPr>
        <w:tc>
          <w:tcPr>
            <w:tcW w:w="1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(72)</w:t>
            </w:r>
          </w:p>
        </w:tc>
      </w:tr>
      <w:tr>
        <w:trPr>
          <w:trHeight w:val="208"/>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Interest income, net</w:t>
            </w: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w:t>
            </w: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1</w:t>
            </w:r>
          </w:p>
        </w:tc>
      </w:tr>
      <w:tr>
        <w:trPr>
          <w:trHeight w:val="200"/>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Loss before income taxes</w:t>
            </w:r>
          </w:p>
        </w:tc>
        <w:tc>
          <w:tcPr>
            <w:tcW w:w="120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(71)</w:t>
            </w: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Benefit from (provision for) income taxes</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r>
      <w:tr>
        <w:trPr>
          <w:trHeight w:val="200"/>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Net loss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w:t>
            </w:r>
          </w:p>
        </w:tc>
      </w:tr>
      <w:tr>
        <w:trPr>
          <w:trHeight w:val="23"/>
        </w:trPr>
        <w:tc>
          <w:tcPr>
            <w:tcW w:w="11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287" w:hanging="287"/>
        <w:spacing w:after="0"/>
        <w:tabs>
          <w:tab w:leader="none" w:pos="28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Includes stock-based compensation as a percentage of revenue as follows:</w:t>
      </w:r>
    </w:p>
    <w:p>
      <w:pPr>
        <w:sectPr>
          <w:pgSz w:w="11900" w:h="16838" w:orient="portrait"/>
          <w:cols w:equalWidth="0" w:num="1">
            <w:col w:w="11447"/>
          </w:cols>
          <w:pgMar w:left="233" w:top="118" w:right="219" w:bottom="1440" w:gutter="0" w:footer="0" w:header="0"/>
        </w:sectPr>
      </w:pPr>
    </w:p>
    <w:p>
      <w:pPr>
        <w:spacing w:after="0" w:line="302" w:lineRule="exact"/>
        <w:rPr>
          <w:sz w:val="20"/>
          <w:szCs w:val="20"/>
          <w:color w:val="auto"/>
        </w:rPr>
      </w:pPr>
    </w:p>
    <w:p>
      <w:pPr>
        <w:ind w:left="6687"/>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48260</wp:posOffset>
            </wp:positionV>
            <wp:extent cx="15519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74" w:lineRule="exact"/>
        <w:rPr>
          <w:sz w:val="20"/>
          <w:szCs w:val="20"/>
          <w:color w:val="auto"/>
        </w:rPr>
      </w:pPr>
    </w:p>
    <w:p>
      <w:pPr>
        <w:ind w:left="6867"/>
        <w:spacing w:after="0"/>
        <w:tabs>
          <w:tab w:leader="none" w:pos="8107"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33655</wp:posOffset>
            </wp:positionV>
            <wp:extent cx="15519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9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48260</wp:posOffset>
            </wp:positionV>
            <wp:extent cx="1566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6545" cy="7620"/>
                    </a:xfrm>
                    <a:prstGeom prst="rect">
                      <a:avLst/>
                    </a:prstGeom>
                    <a:noFill/>
                  </pic:spPr>
                </pic:pic>
              </a:graphicData>
            </a:graphic>
          </wp:anchor>
        </w:drawing>
      </w:r>
    </w:p>
    <w:p>
      <w:pPr>
        <w:spacing w:after="0" w:line="74" w:lineRule="exact"/>
        <w:rPr>
          <w:sz w:val="20"/>
          <w:szCs w:val="20"/>
          <w:color w:val="auto"/>
        </w:rPr>
      </w:pPr>
    </w:p>
    <w:p>
      <w:pPr>
        <w:ind w:left="60"/>
        <w:spacing w:after="0"/>
        <w:tabs>
          <w:tab w:leader="none" w:pos="134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33655</wp:posOffset>
            </wp:positionV>
            <wp:extent cx="15665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6545" cy="762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8627" w:space="720"/>
            <w:col w:w="2100"/>
          </w:cols>
          <w:pgMar w:left="233" w:top="118" w:right="219" w:bottom="1440" w:gutter="0" w:footer="0" w:header="0"/>
          <w:type w:val="continuous"/>
        </w:sectPr>
      </w:pPr>
    </w:p>
    <w:tbl>
      <w:tblPr>
        <w:tblLayout w:type="fixed"/>
        <w:tblInd w:w="7"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3"/>
          </w:tcPr>
          <w:p>
            <w:pPr>
              <w:ind w:left="620"/>
              <w:spacing w:after="0"/>
              <w:rPr>
                <w:sz w:val="20"/>
                <w:szCs w:val="20"/>
                <w:color w:val="auto"/>
              </w:rPr>
            </w:pPr>
            <w:r>
              <w:rPr>
                <w:rFonts w:ascii="Arial" w:cs="Arial" w:eastAsia="Arial" w:hAnsi="Arial"/>
                <w:sz w:val="15"/>
                <w:szCs w:val="15"/>
                <w:i w:val="1"/>
                <w:iCs w:val="1"/>
                <w:color w:val="auto"/>
              </w:rPr>
              <w:t>(As a % of revenue)</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Cost of revenue</w:t>
            </w:r>
          </w:p>
        </w:tc>
        <w:tc>
          <w:tcPr>
            <w:tcW w:w="3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23"/>
              <w:spacing w:after="0"/>
              <w:rPr>
                <w:sz w:val="20"/>
                <w:szCs w:val="20"/>
                <w:color w:val="auto"/>
              </w:rPr>
            </w:pPr>
            <w:r>
              <w:rPr>
                <w:rFonts w:ascii="Arial" w:cs="Arial" w:eastAsia="Arial" w:hAnsi="Arial"/>
                <w:sz w:val="15"/>
                <w:szCs w:val="15"/>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8"/>
        </w:trPr>
        <w:tc>
          <w:tcPr>
            <w:tcW w:w="3820" w:type="dxa"/>
            <w:vAlign w:val="bottom"/>
          </w:tcPr>
          <w:p>
            <w:pPr>
              <w:ind w:left="320"/>
              <w:spacing w:after="0"/>
              <w:rPr>
                <w:sz w:val="20"/>
                <w:szCs w:val="20"/>
                <w:color w:val="auto"/>
              </w:rPr>
            </w:pPr>
            <w:r>
              <w:rPr>
                <w:rFonts w:ascii="Arial" w:cs="Arial" w:eastAsia="Arial" w:hAnsi="Arial"/>
                <w:sz w:val="15"/>
                <w:szCs w:val="15"/>
                <w:color w:val="auto"/>
              </w:rPr>
              <w:t>Research and development</w:t>
            </w:r>
          </w:p>
        </w:tc>
        <w:tc>
          <w:tcPr>
            <w:tcW w:w="3780" w:type="dxa"/>
            <w:vAlign w:val="bottom"/>
            <w:gridSpan w:val="2"/>
          </w:tcPr>
          <w:p>
            <w:pPr>
              <w:jc w:val="right"/>
              <w:ind w:right="180"/>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right"/>
              <w:ind w:right="563"/>
              <w:spacing w:after="0"/>
              <w:rPr>
                <w:sz w:val="20"/>
                <w:szCs w:val="20"/>
                <w:color w:val="auto"/>
              </w:rPr>
            </w:pPr>
            <w:r>
              <w:rPr>
                <w:rFonts w:ascii="Arial" w:cs="Arial" w:eastAsia="Arial" w:hAnsi="Arial"/>
                <w:sz w:val="15"/>
                <w:szCs w:val="15"/>
                <w:color w:val="auto"/>
              </w:rPr>
              <w:t>9</w:t>
            </w:r>
          </w:p>
        </w:tc>
        <w:tc>
          <w:tcPr>
            <w:tcW w:w="820" w:type="dxa"/>
            <w:vAlign w:val="bottom"/>
          </w:tcPr>
          <w:p>
            <w:pPr>
              <w:jc w:val="right"/>
              <w:ind w:right="83"/>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Sales and marketing</w:t>
            </w:r>
          </w:p>
        </w:tc>
        <w:tc>
          <w:tcPr>
            <w:tcW w:w="3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563"/>
              <w:spacing w:after="0"/>
              <w:rPr>
                <w:sz w:val="20"/>
                <w:szCs w:val="20"/>
                <w:color w:val="auto"/>
              </w:rPr>
            </w:pPr>
            <w:r>
              <w:rPr>
                <w:rFonts w:ascii="Arial" w:cs="Arial" w:eastAsia="Arial" w:hAnsi="Arial"/>
                <w:sz w:val="15"/>
                <w:szCs w:val="15"/>
                <w:color w:val="auto"/>
              </w:rPr>
              <w:t>2</w:t>
            </w:r>
          </w:p>
        </w:tc>
        <w:tc>
          <w:tcPr>
            <w:tcW w:w="8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8"/>
        </w:trPr>
        <w:tc>
          <w:tcPr>
            <w:tcW w:w="3820" w:type="dxa"/>
            <w:vAlign w:val="bottom"/>
          </w:tcPr>
          <w:p>
            <w:pPr>
              <w:ind w:left="320"/>
              <w:spacing w:after="0"/>
              <w:rPr>
                <w:sz w:val="20"/>
                <w:szCs w:val="20"/>
                <w:color w:val="auto"/>
              </w:rPr>
            </w:pPr>
            <w:r>
              <w:rPr>
                <w:rFonts w:ascii="Arial" w:cs="Arial" w:eastAsia="Arial" w:hAnsi="Arial"/>
                <w:sz w:val="15"/>
                <w:szCs w:val="15"/>
                <w:color w:val="auto"/>
              </w:rPr>
              <w:t>General and administrative</w:t>
            </w:r>
          </w:p>
        </w:tc>
        <w:tc>
          <w:tcPr>
            <w:tcW w:w="3780" w:type="dxa"/>
            <w:vAlign w:val="bottom"/>
            <w:gridSpan w:val="2"/>
          </w:tcPr>
          <w:p>
            <w:pPr>
              <w:jc w:val="right"/>
              <w:ind w:right="180"/>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right"/>
              <w:ind w:right="563"/>
              <w:spacing w:after="0"/>
              <w:rPr>
                <w:sz w:val="20"/>
                <w:szCs w:val="20"/>
                <w:color w:val="auto"/>
              </w:rPr>
            </w:pPr>
            <w:r>
              <w:rPr>
                <w:rFonts w:ascii="Arial" w:cs="Arial" w:eastAsia="Arial" w:hAnsi="Arial"/>
                <w:sz w:val="15"/>
                <w:szCs w:val="15"/>
                <w:color w:val="auto"/>
              </w:rPr>
              <w:t>4</w:t>
            </w:r>
          </w:p>
        </w:tc>
        <w:tc>
          <w:tcPr>
            <w:tcW w:w="820" w:type="dxa"/>
            <w:vAlign w:val="bottom"/>
          </w:tcPr>
          <w:p>
            <w:pPr>
              <w:jc w:val="right"/>
              <w:ind w:right="83"/>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stock-based compensation</w:t>
            </w:r>
          </w:p>
        </w:tc>
        <w:tc>
          <w:tcPr>
            <w:tcW w:w="3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23"/>
              <w:spacing w:after="0"/>
              <w:rPr>
                <w:sz w:val="20"/>
                <w:szCs w:val="20"/>
                <w:color w:val="auto"/>
              </w:rPr>
            </w:pPr>
            <w:r>
              <w:rPr>
                <w:rFonts w:ascii="Arial" w:cs="Arial" w:eastAsia="Arial" w:hAnsi="Arial"/>
                <w:sz w:val="15"/>
                <w:szCs w:val="15"/>
                <w:color w:val="auto"/>
              </w:rPr>
              <w:t>16%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543"/>
              <w:spacing w:after="0"/>
              <w:rPr>
                <w:sz w:val="20"/>
                <w:szCs w:val="20"/>
                <w:color w:val="auto"/>
              </w:rPr>
            </w:pPr>
            <w:r>
              <w:rPr>
                <w:rFonts w:ascii="Arial" w:cs="Arial" w:eastAsia="Arial" w:hAnsi="Arial"/>
                <w:sz w:val="15"/>
                <w:szCs w:val="15"/>
                <w:color w:val="auto"/>
              </w:rPr>
              <w:t>42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8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7"/>
          </w:cols>
          <w:pgMar w:left="233" w:top="118" w:right="219" w:bottom="1440" w:gutter="0" w:footer="0" w:header="0"/>
          <w:type w:val="continuous"/>
        </w:sectPr>
      </w:pPr>
    </w:p>
    <w:bookmarkStart w:id="42" w:name="page43"/>
    <w:bookmarkEnd w:id="4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Comparison of the three months ended June 30, 2019 and 2018</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Revenue</w:t>
      </w:r>
    </w:p>
    <w:p>
      <w:pPr>
        <w:spacing w:after="0" w:line="262" w:lineRule="exact"/>
        <w:rPr>
          <w:sz w:val="20"/>
          <w:szCs w:val="20"/>
          <w:color w:val="auto"/>
        </w:rPr>
      </w:pPr>
    </w:p>
    <w:p>
      <w:pPr>
        <w:jc w:val="center"/>
        <w:ind w:left="1980"/>
        <w:spacing w:after="0"/>
        <w:rPr>
          <w:sz w:val="20"/>
          <w:szCs w:val="20"/>
          <w:color w:val="auto"/>
        </w:rPr>
      </w:pPr>
      <w:r>
        <w:rPr>
          <w:rFonts w:ascii="Arial" w:cs="Arial" w:eastAsia="Arial" w:hAnsi="Arial"/>
          <w:sz w:val="15"/>
          <w:szCs w:val="15"/>
          <w:b w:val="1"/>
          <w:bCs w:val="1"/>
          <w:color w:val="auto"/>
        </w:rPr>
        <w:t>Three months ended</w:t>
      </w:r>
    </w:p>
    <w:p>
      <w:pPr>
        <w:spacing w:after="0" w:line="29" w:lineRule="exact"/>
        <w:rPr>
          <w:sz w:val="20"/>
          <w:szCs w:val="20"/>
          <w:color w:val="auto"/>
        </w:rPr>
      </w:pPr>
    </w:p>
    <w:p>
      <w:pPr>
        <w:jc w:val="center"/>
        <w:ind w:left="198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22860</wp:posOffset>
            </wp:positionV>
            <wp:extent cx="19634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3420" cy="762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4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right"/>
              <w:ind w:right="63"/>
              <w:spacing w:after="0"/>
              <w:rPr>
                <w:sz w:val="20"/>
                <w:szCs w:val="20"/>
                <w:color w:val="auto"/>
              </w:rPr>
            </w:pPr>
            <w:r>
              <w:rPr>
                <w:rFonts w:ascii="Arial" w:cs="Arial" w:eastAsia="Arial" w:hAnsi="Arial"/>
                <w:sz w:val="15"/>
                <w:szCs w:val="15"/>
                <w:i w:val="1"/>
                <w:i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60" w:firstLine="348"/>
        <w:spacing w:after="0" w:line="268" w:lineRule="auto"/>
        <w:rPr>
          <w:sz w:val="20"/>
          <w:szCs w:val="20"/>
          <w:color w:val="auto"/>
        </w:rPr>
      </w:pPr>
      <w:r>
        <w:rPr>
          <w:rFonts w:ascii="Arial" w:cs="Arial" w:eastAsia="Arial" w:hAnsi="Arial"/>
          <w:sz w:val="15"/>
          <w:szCs w:val="15"/>
          <w:color w:val="auto"/>
        </w:rPr>
        <w:t>Revenue increased $62.3 million or 18% during the three months ended June 30, 2019, as compared to the three months ended June 30, 2018. This increase was primarily due to a 14% increase in the number of paying users between periods. The average revenue per paying user also increased between periods primarily due to an increased mix of sales towards our higher-priced subscription plans, including renewals of grandfathered teams on our Dropbox Business Advanced Plan at higher prices throughout 2018 and early 2019, as discussed in "—Key Business Metrics".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ind w:left="340"/>
              <w:spacing w:after="0"/>
              <w:rPr>
                <w:sz w:val="20"/>
                <w:szCs w:val="20"/>
                <w:color w:val="auto"/>
              </w:rPr>
            </w:pPr>
            <w:r>
              <w:rPr>
                <w:rFonts w:ascii="Arial" w:cs="Arial" w:eastAsia="Arial" w:hAnsi="Arial"/>
                <w:sz w:val="15"/>
                <w:szCs w:val="15"/>
                <w:i w:val="1"/>
                <w:iCs w:val="1"/>
                <w:color w:val="auto"/>
              </w:rPr>
              <w:t>Cost of revenue, gross profit, and gross margin</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08"/>
        </w:trPr>
        <w:tc>
          <w:tcPr>
            <w:tcW w:w="5100" w:type="dxa"/>
            <w:vAlign w:val="bottom"/>
          </w:tcPr>
          <w:p>
            <w:pPr>
              <w:spacing w:after="0"/>
              <w:rPr>
                <w:sz w:val="24"/>
                <w:szCs w:val="24"/>
                <w:color w:val="auto"/>
              </w:rPr>
            </w:pPr>
          </w:p>
        </w:tc>
        <w:tc>
          <w:tcPr>
            <w:tcW w:w="2580" w:type="dxa"/>
            <w:vAlign w:val="bottom"/>
            <w:gridSpan w:val="4"/>
          </w:tcPr>
          <w:p>
            <w:pPr>
              <w:jc w:val="center"/>
              <w:ind w:left="503"/>
              <w:spacing w:after="0"/>
              <w:rPr>
                <w:sz w:val="20"/>
                <w:szCs w:val="20"/>
                <w:color w:val="auto"/>
              </w:rPr>
            </w:pPr>
            <w:r>
              <w:rPr>
                <w:rFonts w:ascii="Arial" w:cs="Arial" w:eastAsia="Arial" w:hAnsi="Arial"/>
                <w:sz w:val="15"/>
                <w:szCs w:val="15"/>
                <w:b w:val="1"/>
                <w:bCs w:val="1"/>
                <w:color w:val="auto"/>
                <w:w w:val="92"/>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2"/>
        </w:trPr>
        <w:tc>
          <w:tcPr>
            <w:tcW w:w="5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3"/>
          </w:tcPr>
          <w:p>
            <w:pPr>
              <w:jc w:val="center"/>
              <w:ind w:right="303"/>
              <w:spacing w:after="0"/>
              <w:rPr>
                <w:sz w:val="20"/>
                <w:szCs w:val="20"/>
                <w:color w:val="auto"/>
              </w:rPr>
            </w:pPr>
            <w:r>
              <w:rPr>
                <w:rFonts w:ascii="Arial" w:cs="Arial" w:eastAsia="Arial" w:hAnsi="Arial"/>
                <w:sz w:val="15"/>
                <w:szCs w:val="15"/>
                <w:b w:val="1"/>
                <w:bCs w:val="1"/>
                <w:color w:val="auto"/>
                <w:w w:val="93"/>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
        </w:trPr>
        <w:tc>
          <w:tcPr>
            <w:tcW w:w="5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00"/>
        </w:trPr>
        <w:tc>
          <w:tcPr>
            <w:tcW w:w="5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4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gridSpan w:val="3"/>
          </w:tcPr>
          <w:p>
            <w:pPr>
              <w:jc w:val="center"/>
              <w:ind w:right="303"/>
              <w:spacing w:after="0"/>
              <w:rPr>
                <w:sz w:val="20"/>
                <w:szCs w:val="20"/>
                <w:color w:val="auto"/>
              </w:rPr>
            </w:pPr>
            <w:r>
              <w:rPr>
                <w:rFonts w:ascii="Arial" w:cs="Arial" w:eastAsia="Arial" w:hAnsi="Arial"/>
                <w:sz w:val="15"/>
                <w:szCs w:val="15"/>
                <w:i w:val="1"/>
                <w:iCs w:val="1"/>
                <w:color w:val="auto"/>
                <w:w w:val="99"/>
              </w:rPr>
              <w:t>(In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102.9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89.5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08"/>
        </w:trPr>
        <w:tc>
          <w:tcPr>
            <w:tcW w:w="51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96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Arial" w:cs="Arial" w:eastAsia="Arial" w:hAnsi="Arial"/>
                <w:sz w:val="15"/>
                <w:szCs w:val="15"/>
                <w:color w:val="auto"/>
              </w:rPr>
              <w:t>298.6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Arial" w:cs="Arial" w:eastAsia="Arial" w:hAnsi="Arial"/>
                <w:sz w:val="15"/>
                <w:szCs w:val="15"/>
                <w:color w:val="auto"/>
              </w:rPr>
              <w:t>249.7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3"/>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margin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
        </w:trPr>
        <w:tc>
          <w:tcPr>
            <w:tcW w:w="5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00" w:firstLine="348"/>
        <w:spacing w:after="0" w:line="273" w:lineRule="auto"/>
        <w:rPr>
          <w:sz w:val="20"/>
          <w:szCs w:val="20"/>
          <w:color w:val="auto"/>
        </w:rPr>
      </w:pPr>
      <w:r>
        <w:rPr>
          <w:rFonts w:ascii="Arial" w:cs="Arial" w:eastAsia="Arial" w:hAnsi="Arial"/>
          <w:sz w:val="15"/>
          <w:szCs w:val="15"/>
          <w:color w:val="auto"/>
        </w:rPr>
        <w:t>Cost of revenue increased $13.4 million or 15% during the three months ended June 30, 2019, as compared to the three months ended June 30, 2018, primarily due to increases in employee-related costs of $5.5 million due to headcount growth, $3.8 million in infrastructure costs, and $3.3 million in allocated overhead, which includes facilities related costs for both our current and future corporate headquarters.</w:t>
      </w:r>
    </w:p>
    <w:p>
      <w:pPr>
        <w:spacing w:after="0" w:line="83" w:lineRule="exact"/>
        <w:rPr>
          <w:sz w:val="20"/>
          <w:szCs w:val="20"/>
          <w:color w:val="auto"/>
        </w:rPr>
      </w:pPr>
    </w:p>
    <w:p>
      <w:pPr>
        <w:ind w:right="360" w:firstLine="348"/>
        <w:spacing w:after="0" w:line="289" w:lineRule="auto"/>
        <w:rPr>
          <w:sz w:val="20"/>
          <w:szCs w:val="20"/>
          <w:color w:val="auto"/>
        </w:rPr>
      </w:pPr>
      <w:r>
        <w:rPr>
          <w:rFonts w:ascii="Arial" w:cs="Arial" w:eastAsia="Arial" w:hAnsi="Arial"/>
          <w:sz w:val="15"/>
          <w:szCs w:val="15"/>
          <w:color w:val="auto"/>
        </w:rPr>
        <w:t>Our gross margin remained flat during the three months ended June 30, 2019 compared to the three months ended June 30, 2018, primarily due to an 18% increase in revenue during the period, which was offset by an increase in our cost of revenue described above.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340"/>
              <w:spacing w:after="0"/>
              <w:rPr>
                <w:sz w:val="20"/>
                <w:szCs w:val="20"/>
                <w:color w:val="auto"/>
              </w:rPr>
            </w:pPr>
            <w:r>
              <w:rPr>
                <w:rFonts w:ascii="Arial" w:cs="Arial" w:eastAsia="Arial" w:hAnsi="Arial"/>
                <w:sz w:val="15"/>
                <w:szCs w:val="15"/>
                <w:i w:val="1"/>
                <w:iCs w:val="1"/>
                <w:color w:val="auto"/>
              </w:rPr>
              <w:t>Research and development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08"/>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5"/>
                <w:szCs w:val="15"/>
                <w:b w:val="1"/>
                <w:bCs w:val="1"/>
                <w:color w:val="auto"/>
                <w:w w:val="92"/>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5"/>
                <w:szCs w:val="15"/>
                <w:b w:val="1"/>
                <w:bCs w:val="1"/>
                <w:color w:val="auto"/>
                <w:w w:val="93"/>
              </w:rPr>
              <w:t>June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4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5"/>
                <w:szCs w:val="15"/>
                <w:i w:val="1"/>
                <w:iCs w:val="1"/>
                <w:color w:val="auto"/>
                <w:w w:val="99"/>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firstLine="348"/>
        <w:spacing w:after="0" w:line="273" w:lineRule="auto"/>
        <w:rPr>
          <w:sz w:val="20"/>
          <w:szCs w:val="20"/>
          <w:color w:val="auto"/>
        </w:rPr>
      </w:pPr>
      <w:r>
        <w:rPr>
          <w:rFonts w:ascii="Arial" w:cs="Arial" w:eastAsia="Arial" w:hAnsi="Arial"/>
          <w:sz w:val="15"/>
          <w:szCs w:val="15"/>
          <w:color w:val="auto"/>
        </w:rPr>
        <w:t>Research and development expenses increased $42.7 million or 36% during the three months ended June 30, 2019, as compared to the three months ended June 30, 2018, primarily due to increases of $28.5 million in employee-related costs due to headcount growth and $11.5 million in allocated overhead, which includes facilities related costs for both our current and future corporate headquarters.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340"/>
              <w:spacing w:after="0"/>
              <w:rPr>
                <w:sz w:val="20"/>
                <w:szCs w:val="20"/>
                <w:color w:val="auto"/>
              </w:rPr>
            </w:pPr>
            <w:r>
              <w:rPr>
                <w:rFonts w:ascii="Arial" w:cs="Arial" w:eastAsia="Arial" w:hAnsi="Arial"/>
                <w:sz w:val="15"/>
                <w:szCs w:val="15"/>
                <w:i w:val="1"/>
                <w:iCs w:val="1"/>
                <w:color w:val="auto"/>
              </w:rPr>
              <w:t>Sales and marketing</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08"/>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5"/>
                <w:szCs w:val="15"/>
                <w:b w:val="1"/>
                <w:bCs w:val="1"/>
                <w:color w:val="auto"/>
                <w:w w:val="92"/>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3"/>
          </w:tcPr>
          <w:p>
            <w:pPr>
              <w:jc w:val="center"/>
              <w:ind w:left="663"/>
              <w:spacing w:after="0"/>
              <w:rPr>
                <w:sz w:val="20"/>
                <w:szCs w:val="20"/>
                <w:color w:val="auto"/>
              </w:rPr>
            </w:pPr>
            <w:r>
              <w:rPr>
                <w:rFonts w:ascii="Arial" w:cs="Arial" w:eastAsia="Arial" w:hAnsi="Arial"/>
                <w:sz w:val="15"/>
                <w:szCs w:val="15"/>
                <w:b w:val="1"/>
                <w:bCs w:val="1"/>
                <w:color w:val="auto"/>
                <w:w w:val="93"/>
              </w:rPr>
              <w:t>June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4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center"/>
              <w:ind w:left="663"/>
              <w:spacing w:after="0"/>
              <w:rPr>
                <w:sz w:val="20"/>
                <w:szCs w:val="20"/>
                <w:color w:val="auto"/>
              </w:rPr>
            </w:pPr>
            <w:r>
              <w:rPr>
                <w:rFonts w:ascii="Arial" w:cs="Arial" w:eastAsia="Arial" w:hAnsi="Arial"/>
                <w:sz w:val="15"/>
                <w:szCs w:val="15"/>
                <w:i w:val="1"/>
                <w:iCs w:val="1"/>
                <w:color w:val="auto"/>
                <w:w w:val="99"/>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107.3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393"/>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763"/>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60" w:firstLine="348"/>
        <w:spacing w:after="0" w:line="268" w:lineRule="auto"/>
        <w:rPr>
          <w:sz w:val="20"/>
          <w:szCs w:val="20"/>
          <w:color w:val="auto"/>
        </w:rPr>
      </w:pPr>
      <w:r>
        <w:rPr>
          <w:rFonts w:ascii="Arial" w:cs="Arial" w:eastAsia="Arial" w:hAnsi="Arial"/>
          <w:sz w:val="15"/>
          <w:szCs w:val="15"/>
          <w:color w:val="auto"/>
        </w:rPr>
        <w:t>Sales and marketing expenses increased $19.9 million or 23% during the three months ended June 30, 2019, as compared to the three months ended June 30, 2018, primarily due to increases of $8.5 million in employee-related costs due to headcount growth and $5.9 million in allocated overhead, which includes facilities related costs for both our current and future corporate headquarters. Additionally, sales and marketing expenses increased due to $1.4 million in amortization of acquired intangible assets and an increase in app store fees due to increased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340"/>
              <w:spacing w:after="0"/>
              <w:rPr>
                <w:sz w:val="20"/>
                <w:szCs w:val="20"/>
                <w:color w:val="auto"/>
              </w:rPr>
            </w:pPr>
            <w:r>
              <w:rPr>
                <w:rFonts w:ascii="Arial" w:cs="Arial" w:eastAsia="Arial" w:hAnsi="Arial"/>
                <w:sz w:val="15"/>
                <w:szCs w:val="15"/>
                <w:i w:val="1"/>
                <w:iCs w:val="1"/>
                <w:color w:val="auto"/>
              </w:rPr>
              <w:t>General and administrative</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08"/>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5"/>
                <w:szCs w:val="15"/>
                <w:b w:val="1"/>
                <w:bCs w:val="1"/>
                <w:color w:val="auto"/>
                <w:w w:val="92"/>
              </w:rPr>
              <w:t>Three months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5"/>
                <w:szCs w:val="15"/>
                <w:b w:val="1"/>
                <w:bCs w:val="1"/>
                <w:color w:val="auto"/>
                <w:w w:val="93"/>
              </w:rPr>
              <w:t>June 30,</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4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603"/>
              <w:spacing w:after="0"/>
              <w:rPr>
                <w:sz w:val="20"/>
                <w:szCs w:val="20"/>
                <w:color w:val="auto"/>
              </w:rPr>
            </w:pPr>
            <w:r>
              <w:rPr>
                <w:rFonts w:ascii="Arial" w:cs="Arial" w:eastAsia="Arial" w:hAnsi="Arial"/>
                <w:sz w:val="15"/>
                <w:szCs w:val="15"/>
                <w:i w:val="1"/>
                <w:iCs w:val="1"/>
                <w:color w:val="auto"/>
                <w:w w:val="99"/>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ind w:right="100" w:firstLine="348"/>
        <w:spacing w:after="0" w:line="273" w:lineRule="auto"/>
        <w:rPr>
          <w:sz w:val="20"/>
          <w:szCs w:val="20"/>
          <w:color w:val="auto"/>
        </w:rPr>
      </w:pPr>
      <w:r>
        <w:rPr>
          <w:rFonts w:ascii="Arial" w:cs="Arial" w:eastAsia="Arial" w:hAnsi="Arial"/>
          <w:sz w:val="15"/>
          <w:szCs w:val="15"/>
          <w:color w:val="auto"/>
        </w:rPr>
        <w:t>General and administrative expenses increased $13.1 million or 26% during the three months ended June 30, 2019, as compared to the three months ended June 30, 2018, primarily due to increases of $5.2 million in non-income based taxes, $4.7 million in allocated overhead, which includes facilities related costs for both our current and future corporate headquarters, and $3.4 million in legal-related expenses.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Interest income, net</w:t>
      </w:r>
    </w:p>
    <w:p>
      <w:pPr>
        <w:spacing w:after="0" w:line="198" w:lineRule="exact"/>
        <w:rPr>
          <w:sz w:val="20"/>
          <w:szCs w:val="20"/>
          <w:color w:val="auto"/>
        </w:rPr>
      </w:pPr>
    </w:p>
    <w:p>
      <w:pPr>
        <w:ind w:right="300" w:firstLine="348"/>
        <w:spacing w:after="0" w:line="289" w:lineRule="auto"/>
        <w:rPr>
          <w:sz w:val="20"/>
          <w:szCs w:val="20"/>
          <w:color w:val="auto"/>
        </w:rPr>
      </w:pPr>
      <w:r>
        <w:rPr>
          <w:rFonts w:ascii="Arial" w:cs="Arial" w:eastAsia="Arial" w:hAnsi="Arial"/>
          <w:sz w:val="15"/>
          <w:szCs w:val="15"/>
          <w:color w:val="auto"/>
        </w:rPr>
        <w:t>Interest income, net increased $1.2 million during the three months ended June 30, 2019, as compared to the three months ended June 30, 2018, primarily due to an increase in interest income from our money market funds and short-term investments.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Other income, net</w:t>
      </w:r>
    </w:p>
    <w:p>
      <w:pPr>
        <w:spacing w:after="0" w:line="198" w:lineRule="exact"/>
        <w:rPr>
          <w:sz w:val="20"/>
          <w:szCs w:val="20"/>
          <w:color w:val="auto"/>
        </w:rPr>
      </w:pPr>
    </w:p>
    <w:p>
      <w:pPr>
        <w:ind w:right="340" w:firstLine="348"/>
        <w:spacing w:after="0" w:line="289" w:lineRule="auto"/>
        <w:rPr>
          <w:sz w:val="20"/>
          <w:szCs w:val="20"/>
          <w:color w:val="auto"/>
        </w:rPr>
      </w:pPr>
      <w:r>
        <w:rPr>
          <w:rFonts w:ascii="Arial" w:cs="Arial" w:eastAsia="Arial" w:hAnsi="Arial"/>
          <w:sz w:val="15"/>
          <w:szCs w:val="15"/>
          <w:color w:val="auto"/>
        </w:rPr>
        <w:t>Other income, net increased $7.8 million during the three months ended June 30, 2019, as compared to the three months ended June 30, 2018, primarily due to $7.4 million in gains related to an equity investment.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Benefit from (provision for) income taxes</w:t>
      </w:r>
    </w:p>
    <w:p>
      <w:pPr>
        <w:spacing w:after="0" w:line="198" w:lineRule="exact"/>
        <w:rPr>
          <w:sz w:val="20"/>
          <w:szCs w:val="20"/>
          <w:color w:val="auto"/>
        </w:rPr>
      </w:pPr>
    </w:p>
    <w:p>
      <w:pPr>
        <w:ind w:right="40" w:firstLine="348"/>
        <w:spacing w:after="0" w:line="289" w:lineRule="auto"/>
        <w:rPr>
          <w:sz w:val="20"/>
          <w:szCs w:val="20"/>
          <w:color w:val="auto"/>
        </w:rPr>
      </w:pPr>
      <w:r>
        <w:rPr>
          <w:rFonts w:ascii="Arial" w:cs="Arial" w:eastAsia="Arial" w:hAnsi="Arial"/>
          <w:sz w:val="15"/>
          <w:szCs w:val="15"/>
          <w:color w:val="auto"/>
        </w:rPr>
        <w:t>Provision for income taxes decreased $0.5 million during the three months ended June 30, 2019, as compared to the three months ended June 30, 2018, primarily due to a decrease in foreign taxes.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40"/>
          </w:cols>
          <w:pgMar w:left="240" w:top="123"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Comparison of the six months ended June 30, 2019 and 2018</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Revenue</w:t>
      </w:r>
    </w:p>
    <w:p>
      <w:pPr>
        <w:spacing w:after="0" w:line="262" w:lineRule="exact"/>
        <w:rPr>
          <w:sz w:val="20"/>
          <w:szCs w:val="20"/>
          <w:color w:val="auto"/>
        </w:rPr>
      </w:pPr>
    </w:p>
    <w:p>
      <w:pPr>
        <w:jc w:val="center"/>
        <w:ind w:left="1980"/>
        <w:spacing w:after="0"/>
        <w:rPr>
          <w:sz w:val="20"/>
          <w:szCs w:val="20"/>
          <w:color w:val="auto"/>
        </w:rPr>
      </w:pPr>
      <w:r>
        <w:rPr>
          <w:rFonts w:ascii="Arial" w:cs="Arial" w:eastAsia="Arial" w:hAnsi="Arial"/>
          <w:sz w:val="15"/>
          <w:szCs w:val="15"/>
          <w:b w:val="1"/>
          <w:bCs w:val="1"/>
          <w:color w:val="auto"/>
        </w:rPr>
        <w:t>Six months ended</w:t>
      </w:r>
    </w:p>
    <w:p>
      <w:pPr>
        <w:spacing w:after="0" w:line="29" w:lineRule="exact"/>
        <w:rPr>
          <w:sz w:val="20"/>
          <w:szCs w:val="20"/>
          <w:color w:val="auto"/>
        </w:rPr>
      </w:pPr>
    </w:p>
    <w:p>
      <w:pPr>
        <w:jc w:val="center"/>
        <w:ind w:left="198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22860</wp:posOffset>
            </wp:positionV>
            <wp:extent cx="196342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3420" cy="762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40" w:type="dxa"/>
            <w:vAlign w:val="bottom"/>
          </w:tcPr>
          <w:p>
            <w:pPr>
              <w:jc w:val="right"/>
              <w:ind w:right="34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right"/>
              <w:ind w:right="63"/>
              <w:spacing w:after="0"/>
              <w:rPr>
                <w:sz w:val="20"/>
                <w:szCs w:val="20"/>
                <w:color w:val="auto"/>
              </w:rPr>
            </w:pPr>
            <w:r>
              <w:rPr>
                <w:rFonts w:ascii="Arial" w:cs="Arial" w:eastAsia="Arial" w:hAnsi="Arial"/>
                <w:sz w:val="15"/>
                <w:szCs w:val="15"/>
                <w:i w:val="1"/>
                <w:i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787.1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3"/>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80" w:firstLine="348"/>
        <w:spacing w:after="0" w:line="268" w:lineRule="auto"/>
        <w:rPr>
          <w:sz w:val="20"/>
          <w:szCs w:val="20"/>
          <w:color w:val="auto"/>
        </w:rPr>
      </w:pPr>
      <w:r>
        <w:rPr>
          <w:rFonts w:ascii="Arial" w:cs="Arial" w:eastAsia="Arial" w:hAnsi="Arial"/>
          <w:sz w:val="15"/>
          <w:szCs w:val="15"/>
          <w:color w:val="auto"/>
        </w:rPr>
        <w:t>Revenue increased $131.6 million or 20% during the six months ended June 30, 2019, as compared to the six months ended June 30, 2018. This increase was primarily due to a 14% increase in the number of paying users between periods. The average revenue per paying user also increased between periods primarily due to an increased mix of sales towards our higher-priced subscription plans, including renewals of grandfathered teams on our Dropbox Business Advanced Plan at higher prices throughout 2018 and early 2019, as discussed in "—Key Business Metrics".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ind w:left="340"/>
              <w:spacing w:after="0"/>
              <w:rPr>
                <w:sz w:val="20"/>
                <w:szCs w:val="20"/>
                <w:color w:val="auto"/>
              </w:rPr>
            </w:pPr>
            <w:r>
              <w:rPr>
                <w:rFonts w:ascii="Arial" w:cs="Arial" w:eastAsia="Arial" w:hAnsi="Arial"/>
                <w:sz w:val="15"/>
                <w:szCs w:val="15"/>
                <w:i w:val="1"/>
                <w:iCs w:val="1"/>
                <w:color w:val="auto"/>
              </w:rPr>
              <w:t>Cost of revenue, gross profit, and gross margin</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8"/>
        </w:trPr>
        <w:tc>
          <w:tcPr>
            <w:tcW w:w="5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gridSpan w:val="3"/>
          </w:tcPr>
          <w:p>
            <w:pPr>
              <w:jc w:val="center"/>
              <w:ind w:right="303"/>
              <w:spacing w:after="0"/>
              <w:rPr>
                <w:sz w:val="20"/>
                <w:szCs w:val="20"/>
                <w:color w:val="auto"/>
              </w:rPr>
            </w:pPr>
            <w:r>
              <w:rPr>
                <w:rFonts w:ascii="Arial" w:cs="Arial" w:eastAsia="Arial" w:hAnsi="Arial"/>
                <w:sz w:val="15"/>
                <w:szCs w:val="15"/>
                <w:b w:val="1"/>
                <w:bCs w:val="1"/>
                <w:color w:val="auto"/>
                <w:w w:val="89"/>
              </w:rPr>
              <w:t>Six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2"/>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gridSpan w:val="3"/>
          </w:tcPr>
          <w:p>
            <w:pPr>
              <w:jc w:val="center"/>
              <w:ind w:right="303"/>
              <w:spacing w:after="0"/>
              <w:rPr>
                <w:sz w:val="20"/>
                <w:szCs w:val="20"/>
                <w:color w:val="auto"/>
              </w:rPr>
            </w:pPr>
            <w:r>
              <w:rPr>
                <w:rFonts w:ascii="Arial" w:cs="Arial" w:eastAsia="Arial" w:hAnsi="Arial"/>
                <w:sz w:val="15"/>
                <w:szCs w:val="15"/>
                <w:b w:val="1"/>
                <w:bCs w:val="1"/>
                <w:color w:val="auto"/>
                <w:w w:val="93"/>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00"/>
        </w:trPr>
        <w:tc>
          <w:tcPr>
            <w:tcW w:w="50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2018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Pr>
          <w:p>
            <w:pPr>
              <w:jc w:val="right"/>
              <w:ind w:right="36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04"/>
        </w:trPr>
        <w:tc>
          <w:tcPr>
            <w:tcW w:w="5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gridSpan w:val="3"/>
          </w:tcPr>
          <w:p>
            <w:pPr>
              <w:jc w:val="center"/>
              <w:ind w:right="303"/>
              <w:spacing w:after="0"/>
              <w:rPr>
                <w:sz w:val="20"/>
                <w:szCs w:val="20"/>
                <w:color w:val="auto"/>
              </w:rPr>
            </w:pPr>
            <w:r>
              <w:rPr>
                <w:rFonts w:ascii="Arial" w:cs="Arial" w:eastAsia="Arial" w:hAnsi="Arial"/>
                <w:sz w:val="15"/>
                <w:szCs w:val="15"/>
                <w:i w:val="1"/>
                <w:iCs w:val="1"/>
                <w:color w:val="auto"/>
                <w:w w:val="99"/>
              </w:rPr>
              <w:t>(In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201.3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210.1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8"/>
        </w:trPr>
        <w:tc>
          <w:tcPr>
            <w:tcW w:w="50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960" w:type="dxa"/>
            <w:vAlign w:val="bottom"/>
          </w:tcPr>
          <w:p>
            <w:pPr>
              <w:spacing w:after="0"/>
              <w:rPr>
                <w:sz w:val="18"/>
                <w:szCs w:val="18"/>
                <w:color w:val="auto"/>
              </w:rPr>
            </w:pPr>
          </w:p>
        </w:tc>
        <w:tc>
          <w:tcPr>
            <w:tcW w:w="560" w:type="dxa"/>
            <w:vAlign w:val="bottom"/>
          </w:tcPr>
          <w:p>
            <w:pPr>
              <w:jc w:val="right"/>
              <w:ind w:right="103"/>
              <w:spacing w:after="0"/>
              <w:rPr>
                <w:sz w:val="20"/>
                <w:szCs w:val="20"/>
                <w:color w:val="auto"/>
              </w:rPr>
            </w:pPr>
            <w:r>
              <w:rPr>
                <w:rFonts w:ascii="Arial" w:cs="Arial" w:eastAsia="Arial" w:hAnsi="Arial"/>
                <w:sz w:val="15"/>
                <w:szCs w:val="15"/>
                <w:color w:val="auto"/>
                <w:w w:val="95"/>
              </w:rPr>
              <w:t>585.8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83"/>
              <w:spacing w:after="0"/>
              <w:rPr>
                <w:sz w:val="20"/>
                <w:szCs w:val="20"/>
                <w:color w:val="auto"/>
              </w:rPr>
            </w:pPr>
            <w:r>
              <w:rPr>
                <w:rFonts w:ascii="Arial" w:cs="Arial" w:eastAsia="Arial" w:hAnsi="Arial"/>
                <w:sz w:val="15"/>
                <w:szCs w:val="15"/>
                <w:color w:val="auto"/>
              </w:rPr>
              <w:t>445.4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color w:val="auto"/>
              </w:rPr>
              <w:t>140.4</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32 %</w:t>
            </w:r>
          </w:p>
        </w:tc>
      </w:tr>
      <w:tr>
        <w:trPr>
          <w:trHeight w:val="23"/>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margin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
        </w:trPr>
        <w:tc>
          <w:tcPr>
            <w:tcW w:w="50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0" w:firstLine="348"/>
        <w:spacing w:after="0" w:line="265" w:lineRule="auto"/>
        <w:rPr>
          <w:sz w:val="20"/>
          <w:szCs w:val="20"/>
          <w:color w:val="auto"/>
        </w:rPr>
      </w:pPr>
      <w:r>
        <w:rPr>
          <w:rFonts w:ascii="Arial" w:cs="Arial" w:eastAsia="Arial" w:hAnsi="Arial"/>
          <w:sz w:val="15"/>
          <w:szCs w:val="15"/>
          <w:color w:val="auto"/>
        </w:rPr>
        <w:t>Cost of revenue decreased $8.8 million or 4% during the six months ended June 30, 2019, as compared to the six months ended June 30, 2018, primarily due to a decrease of $33.0 million in stock-based compensation, which included expense recognized due to the achievement of the performance vesting condition of our two-tier RSUs upon the effectiveness of the registration statement related to our IPO. This decrease was offset by increases of $10.5 million in infrastructure costs, $5.3 million in employee related costs due to headcount growth, $5.1 million in allocated overhead, which includes facilities related costs for both our current and future corporate headquarters, and $2.0 million in credit card transaction fees due to higher sales and professional fees for user support.</w:t>
      </w:r>
    </w:p>
    <w:p>
      <w:pPr>
        <w:spacing w:after="0" w:line="90" w:lineRule="exact"/>
        <w:rPr>
          <w:sz w:val="20"/>
          <w:szCs w:val="20"/>
          <w:color w:val="auto"/>
        </w:rPr>
      </w:pPr>
    </w:p>
    <w:p>
      <w:pPr>
        <w:ind w:right="280" w:firstLine="348"/>
        <w:spacing w:after="0" w:line="289" w:lineRule="auto"/>
        <w:rPr>
          <w:sz w:val="20"/>
          <w:szCs w:val="20"/>
          <w:color w:val="auto"/>
        </w:rPr>
      </w:pPr>
      <w:r>
        <w:rPr>
          <w:rFonts w:ascii="Arial" w:cs="Arial" w:eastAsia="Arial" w:hAnsi="Arial"/>
          <w:sz w:val="15"/>
          <w:szCs w:val="15"/>
          <w:color w:val="auto"/>
        </w:rPr>
        <w:t>Our gross margin increased 6% during the six months ended June 30, 2019 compared to the six months ended June 30, 2018, primarily due to a decrease in our cost of revenue primarily due to a decrease in stock-based compensation described above and a 20% increase in our revenue during the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340"/>
              <w:spacing w:after="0"/>
              <w:rPr>
                <w:sz w:val="20"/>
                <w:szCs w:val="20"/>
                <w:color w:val="auto"/>
              </w:rPr>
            </w:pPr>
            <w:r>
              <w:rPr>
                <w:rFonts w:ascii="Arial" w:cs="Arial" w:eastAsia="Arial" w:hAnsi="Arial"/>
                <w:sz w:val="15"/>
                <w:szCs w:val="15"/>
                <w:i w:val="1"/>
                <w:iCs w:val="1"/>
                <w:color w:val="auto"/>
              </w:rPr>
              <w:t>Research and development</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8"/>
        </w:trPr>
        <w:tc>
          <w:tcPr>
            <w:tcW w:w="5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Six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93"/>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Pr>
          <w:p>
            <w:pPr>
              <w:jc w:val="right"/>
              <w:ind w:right="36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i w:val="1"/>
                <w:iCs w:val="1"/>
                <w:color w:val="auto"/>
                <w:w w:val="99"/>
              </w:rPr>
              <w:t>(In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3"/>
        </w:trPr>
        <w:tc>
          <w:tcPr>
            <w:tcW w:w="5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60" w:firstLine="348"/>
        <w:spacing w:after="0" w:line="293" w:lineRule="auto"/>
        <w:rPr>
          <w:sz w:val="20"/>
          <w:szCs w:val="20"/>
          <w:color w:val="auto"/>
        </w:rPr>
      </w:pPr>
      <w:r>
        <w:rPr>
          <w:rFonts w:ascii="Arial" w:cs="Arial" w:eastAsia="Arial" w:hAnsi="Arial"/>
          <w:sz w:val="14"/>
          <w:szCs w:val="14"/>
          <w:color w:val="auto"/>
        </w:rPr>
        <w:t>Research and development expenses decreased $185.8 million or 37% during the six months ended June 30, 2019, as compared to the six months ended June 30, 2018, primarily due to a decrease of $242.6 million in stock-based compensation, which included expense recognized due to the achievement of the performance vesting condition of our two-tier RSUs upon the effectiveness of the registration statement related to our IPO. This decrease was offset by increases of $29.0 million in employee-related costs due to headcount growth and $21.2 million in allocated overhead, which includes facilities related costs for both our current and future corporate headquarters.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Sales and marketing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40"/>
          </w:cols>
          <w:pgMar w:left="240" w:top="123"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2"/>
        </w:trPr>
        <w:tc>
          <w:tcPr>
            <w:tcW w:w="5140" w:type="dxa"/>
            <w:vAlign w:val="bottom"/>
            <w:gridSpan w:val="2"/>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31"/>
        </w:trPr>
        <w:tc>
          <w:tcPr>
            <w:tcW w:w="11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Six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2"/>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93"/>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Pr>
          <w:p>
            <w:pPr>
              <w:jc w:val="right"/>
              <w:ind w:right="363"/>
              <w:spacing w:after="0"/>
              <w:rPr>
                <w:sz w:val="20"/>
                <w:szCs w:val="20"/>
                <w:color w:val="auto"/>
              </w:rPr>
            </w:pPr>
            <w:r>
              <w:rPr>
                <w:rFonts w:ascii="Arial" w:cs="Arial" w:eastAsia="Arial" w:hAnsi="Arial"/>
                <w:sz w:val="15"/>
                <w:szCs w:val="15"/>
                <w:b w:val="1"/>
                <w:bCs w:val="1"/>
                <w:color w:val="auto"/>
              </w:rPr>
              <w:t>% Change</w:t>
            </w: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04"/>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i w:val="1"/>
                <w:iCs w:val="1"/>
                <w:color w:val="auto"/>
                <w:w w:val="99"/>
              </w:rPr>
              <w:t>(In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208.8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3"/>
        </w:trPr>
        <w:tc>
          <w:tcPr>
            <w:tcW w:w="11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80" w:firstLine="348"/>
        <w:spacing w:after="0" w:line="268" w:lineRule="auto"/>
        <w:rPr>
          <w:sz w:val="20"/>
          <w:szCs w:val="20"/>
          <w:color w:val="auto"/>
        </w:rPr>
      </w:pPr>
      <w:r>
        <w:rPr>
          <w:rFonts w:ascii="Arial" w:cs="Arial" w:eastAsia="Arial" w:hAnsi="Arial"/>
          <w:sz w:val="15"/>
          <w:szCs w:val="15"/>
          <w:color w:val="auto"/>
        </w:rPr>
        <w:t>Sales and marketing expenses decreased $35.6 million or 15% during the six months ended June 30, 2019, as compared to the six months ended June 30, 2018, primarily due to a decrease of $64.4 million in stock-based compensation, which included expense recognized due to the achievement of the performance vesting condition of our two-tier RSUs upon the effectiveness of the registration statement related to our IPO. This decrease was offset by increases of $12.4 million in employee-related costs due to headcount growth and $10.6 million in allocated overhead, which includes facilities related costs for both our current and future corporate headquarters.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340"/>
              <w:spacing w:after="0"/>
              <w:rPr>
                <w:sz w:val="20"/>
                <w:szCs w:val="20"/>
                <w:color w:val="auto"/>
              </w:rPr>
            </w:pPr>
            <w:r>
              <w:rPr>
                <w:rFonts w:ascii="Arial" w:cs="Arial" w:eastAsia="Arial" w:hAnsi="Arial"/>
                <w:sz w:val="15"/>
                <w:szCs w:val="15"/>
                <w:i w:val="1"/>
                <w:iCs w:val="1"/>
                <w:color w:val="auto"/>
              </w:rPr>
              <w:t>General and administrative</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8"/>
        </w:trPr>
        <w:tc>
          <w:tcPr>
            <w:tcW w:w="5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89"/>
              </w:rPr>
              <w:t>Six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2"/>
        </w:trPr>
        <w:tc>
          <w:tcPr>
            <w:tcW w:w="5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b w:val="1"/>
                <w:bCs w:val="1"/>
                <w:color w:val="auto"/>
                <w:w w:val="93"/>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
        </w:trPr>
        <w:tc>
          <w:tcPr>
            <w:tcW w:w="5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r>
      <w:tr>
        <w:trPr>
          <w:trHeight w:val="200"/>
        </w:trPr>
        <w:tc>
          <w:tcPr>
            <w:tcW w:w="5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580" w:type="dxa"/>
            <w:vAlign w:val="bottom"/>
          </w:tcPr>
          <w:p>
            <w:pPr>
              <w:jc w:val="right"/>
              <w:ind w:right="363"/>
              <w:spacing w:after="0"/>
              <w:rPr>
                <w:sz w:val="20"/>
                <w:szCs w:val="20"/>
                <w:color w:val="auto"/>
              </w:rPr>
            </w:pPr>
            <w:r>
              <w:rPr>
                <w:rFonts w:ascii="Arial" w:cs="Arial" w:eastAsia="Arial" w:hAnsi="Arial"/>
                <w:sz w:val="15"/>
                <w:szCs w:val="15"/>
                <w:b w:val="1"/>
                <w:bCs w:val="1"/>
                <w:color w:val="auto"/>
              </w:rPr>
              <w:t>% Change</w:t>
            </w:r>
          </w:p>
        </w:tc>
      </w:tr>
      <w:tr>
        <w:trPr>
          <w:trHeight w:val="23"/>
        </w:trPr>
        <w:tc>
          <w:tcPr>
            <w:tcW w:w="5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04"/>
        </w:trPr>
        <w:tc>
          <w:tcPr>
            <w:tcW w:w="5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5"/>
                <w:szCs w:val="15"/>
                <w:i w:val="1"/>
                <w:iCs w:val="1"/>
                <w:color w:val="auto"/>
                <w:w w:val="99"/>
              </w:rPr>
              <w:t>(In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
        </w:trPr>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3"/>
        </w:trPr>
        <w:tc>
          <w:tcPr>
            <w:tcW w:w="5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91" w:lineRule="exact"/>
        <w:rPr>
          <w:sz w:val="20"/>
          <w:szCs w:val="20"/>
          <w:color w:val="auto"/>
        </w:rPr>
      </w:pPr>
    </w:p>
    <w:p>
      <w:pPr>
        <w:ind w:right="100" w:firstLine="348"/>
        <w:spacing w:after="0" w:line="265" w:lineRule="auto"/>
        <w:rPr>
          <w:sz w:val="20"/>
          <w:szCs w:val="20"/>
          <w:color w:val="auto"/>
        </w:rPr>
      </w:pPr>
      <w:r>
        <w:rPr>
          <w:rFonts w:ascii="Arial" w:cs="Arial" w:eastAsia="Arial" w:hAnsi="Arial"/>
          <w:sz w:val="15"/>
          <w:szCs w:val="15"/>
          <w:color w:val="auto"/>
        </w:rPr>
        <w:t>General and administrative expenses decreased $56.0 million or 32% during the six months ended June 30, 2019, as compared to the six months ended June 30, 2018, primarily due to a decrease of $77.9 million in stock-based compensation, which included expense recognized due to the achievement of the performance vesting condition of our two-tier RSUs, and the performance-based vesting condition for the Co-Founder Grants in connection with our IPO. This decrease was offset by increases of $8.4 million in allocated overhead, which includes facilities related costs for both our current and future corporate headquarters, $7.6 million in non-income based taxes, and $7.2 million in legal-related and acquisition expenses.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Interest income, net</w:t>
      </w:r>
    </w:p>
    <w:p>
      <w:pPr>
        <w:spacing w:after="0" w:line="198" w:lineRule="exact"/>
        <w:rPr>
          <w:sz w:val="20"/>
          <w:szCs w:val="20"/>
          <w:color w:val="auto"/>
        </w:rPr>
      </w:pPr>
    </w:p>
    <w:p>
      <w:pPr>
        <w:ind w:right="60" w:firstLine="348"/>
        <w:spacing w:after="0" w:line="289" w:lineRule="auto"/>
        <w:rPr>
          <w:sz w:val="20"/>
          <w:szCs w:val="20"/>
          <w:color w:val="auto"/>
        </w:rPr>
      </w:pPr>
      <w:r>
        <w:rPr>
          <w:rFonts w:ascii="Arial" w:cs="Arial" w:eastAsia="Arial" w:hAnsi="Arial"/>
          <w:sz w:val="15"/>
          <w:szCs w:val="15"/>
          <w:color w:val="auto"/>
        </w:rPr>
        <w:t>Interest income, net increased $6.1 million during the six months ended June 30, 2019, as compared to the six months ended June 30, 2018, primarily due to an increase in interest income from our money market funds and short-term investments.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Other income, net</w:t>
      </w:r>
    </w:p>
    <w:p>
      <w:pPr>
        <w:spacing w:after="0" w:line="198" w:lineRule="exact"/>
        <w:rPr>
          <w:sz w:val="20"/>
          <w:szCs w:val="20"/>
          <w:color w:val="auto"/>
        </w:rPr>
      </w:pPr>
    </w:p>
    <w:p>
      <w:pPr>
        <w:ind w:right="240" w:firstLine="348"/>
        <w:spacing w:after="0" w:line="289" w:lineRule="auto"/>
        <w:rPr>
          <w:sz w:val="20"/>
          <w:szCs w:val="20"/>
          <w:color w:val="auto"/>
        </w:rPr>
      </w:pPr>
      <w:r>
        <w:rPr>
          <w:rFonts w:ascii="Arial" w:cs="Arial" w:eastAsia="Arial" w:hAnsi="Arial"/>
          <w:sz w:val="15"/>
          <w:szCs w:val="15"/>
          <w:color w:val="auto"/>
        </w:rPr>
        <w:t>Other income, net increased $8.6 million during the six months ended June 30, 2019, as compared to the six months ended June 30, 2018, primarily due to $7.4 million in gains related to an equity investment.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Benefit from (provision for) income taxes</w:t>
      </w:r>
    </w:p>
    <w:p>
      <w:pPr>
        <w:spacing w:after="0" w:line="198" w:lineRule="exact"/>
        <w:rPr>
          <w:sz w:val="20"/>
          <w:szCs w:val="20"/>
          <w:color w:val="auto"/>
        </w:rPr>
      </w:pPr>
    </w:p>
    <w:p>
      <w:pPr>
        <w:ind w:right="60" w:firstLine="348"/>
        <w:spacing w:after="0" w:line="289" w:lineRule="auto"/>
        <w:rPr>
          <w:sz w:val="20"/>
          <w:szCs w:val="20"/>
          <w:color w:val="auto"/>
        </w:rPr>
      </w:pPr>
      <w:r>
        <w:rPr>
          <w:rFonts w:ascii="Arial" w:cs="Arial" w:eastAsia="Arial" w:hAnsi="Arial"/>
          <w:sz w:val="15"/>
          <w:szCs w:val="15"/>
          <w:color w:val="auto"/>
        </w:rPr>
        <w:t>Provision for income taxes decreased $8.0 million during the six months ended June 30, 2019, as compared to the six months ended June 30, 2018, primarily due to the tax benefit from our acquisition of HelloSign.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40"/>
          </w:cols>
          <w:pgMar w:left="240" w:top="118"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0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5"/>
          <w:szCs w:val="15"/>
          <w:color w:val="auto"/>
        </w:rPr>
        <w:t>As of June 30, 2019, we had cash and cash equivalents of $343.6 million and short-term investments of $629.2 million, which were held for working capital purposes. Our cash, cash equivalents, and short-term investments consist primarily of cash, money market funds, corporate notes and obligations, U.S. Treasury securities, U.S. agency obligations, commercial paper, and certificates of deposits. As of June 30, 2019, we had $162.1 million of our cash and cash equivalents held by our foreign subsidiaries. We do not expect to incur material taxes in the event we repatriate any of these amounts.</w:t>
      </w:r>
    </w:p>
    <w:p>
      <w:pPr>
        <w:spacing w:after="0" w:line="87" w:lineRule="exact"/>
        <w:rPr>
          <w:sz w:val="20"/>
          <w:szCs w:val="20"/>
          <w:color w:val="auto"/>
        </w:rPr>
      </w:pPr>
    </w:p>
    <w:p>
      <w:pPr>
        <w:ind w:right="40" w:firstLine="348"/>
        <w:spacing w:after="0" w:line="268" w:lineRule="auto"/>
        <w:rPr>
          <w:sz w:val="20"/>
          <w:szCs w:val="20"/>
          <w:color w:val="auto"/>
        </w:rPr>
      </w:pPr>
      <w:r>
        <w:rPr>
          <w:rFonts w:ascii="Arial" w:cs="Arial" w:eastAsia="Arial" w:hAnsi="Arial"/>
          <w:sz w:val="15"/>
          <w:szCs w:val="15"/>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87" w:lineRule="exact"/>
        <w:rPr>
          <w:sz w:val="20"/>
          <w:szCs w:val="20"/>
          <w:color w:val="auto"/>
        </w:rPr>
      </w:pPr>
    </w:p>
    <w:p>
      <w:pPr>
        <w:ind w:right="320" w:firstLine="348"/>
        <w:spacing w:after="0" w:line="289" w:lineRule="auto"/>
        <w:rPr>
          <w:sz w:val="20"/>
          <w:szCs w:val="20"/>
          <w:color w:val="auto"/>
        </w:rPr>
      </w:pPr>
      <w:r>
        <w:rPr>
          <w:rFonts w:ascii="Arial" w:cs="Arial" w:eastAsia="Arial" w:hAnsi="Arial"/>
          <w:sz w:val="15"/>
          <w:szCs w:val="15"/>
          <w:color w:val="auto"/>
        </w:rPr>
        <w:t>Our principal uses of cash in recent periods have been funding our operations, purchases of short-term investments, the satisfaction of tax withholdings in connection with the settlement of restricted stock units, making principal payments on our finance lease obligations, and capital expenditures.</w:t>
      </w:r>
    </w:p>
    <w:p>
      <w:pPr>
        <w:spacing w:after="0" w:line="71" w:lineRule="exact"/>
        <w:rPr>
          <w:sz w:val="20"/>
          <w:szCs w:val="20"/>
          <w:color w:val="auto"/>
        </w:rPr>
      </w:pPr>
    </w:p>
    <w:p>
      <w:pPr>
        <w:ind w:firstLine="348"/>
        <w:spacing w:after="0" w:line="264" w:lineRule="auto"/>
        <w:rPr>
          <w:sz w:val="20"/>
          <w:szCs w:val="20"/>
          <w:color w:val="auto"/>
        </w:rPr>
      </w:pPr>
      <w:r>
        <w:rPr>
          <w:rFonts w:ascii="Arial" w:cs="Arial" w:eastAsia="Arial" w:hAnsi="Arial"/>
          <w:sz w:val="15"/>
          <w:szCs w:val="15"/>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89" w:lineRule="exact"/>
        <w:rPr>
          <w:sz w:val="20"/>
          <w:szCs w:val="20"/>
          <w:color w:val="auto"/>
        </w:rPr>
      </w:pPr>
    </w:p>
    <w:p>
      <w:pPr>
        <w:ind w:right="20" w:firstLine="348"/>
        <w:spacing w:after="0" w:line="265"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90" w:lineRule="exact"/>
        <w:rPr>
          <w:sz w:val="20"/>
          <w:szCs w:val="20"/>
          <w:color w:val="auto"/>
        </w:rPr>
      </w:pPr>
    </w:p>
    <w:p>
      <w:pPr>
        <w:ind w:right="60" w:firstLine="348"/>
        <w:spacing w:after="0" w:line="268" w:lineRule="auto"/>
        <w:rPr>
          <w:sz w:val="20"/>
          <w:szCs w:val="20"/>
          <w:color w:val="auto"/>
        </w:rPr>
      </w:pPr>
      <w:r>
        <w:rPr>
          <w:rFonts w:ascii="Arial" w:cs="Arial" w:eastAsia="Arial" w:hAnsi="Arial"/>
          <w:sz w:val="15"/>
          <w:szCs w:val="15"/>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June 30, 2019.</w:t>
      </w:r>
    </w:p>
    <w:p>
      <w:pPr>
        <w:spacing w:after="0" w:line="87" w:lineRule="exact"/>
        <w:rPr>
          <w:sz w:val="20"/>
          <w:szCs w:val="20"/>
          <w:color w:val="auto"/>
        </w:rPr>
      </w:pPr>
    </w:p>
    <w:p>
      <w:pPr>
        <w:ind w:right="380" w:firstLine="348"/>
        <w:spacing w:after="0" w:line="289" w:lineRule="auto"/>
        <w:rPr>
          <w:sz w:val="20"/>
          <w:szCs w:val="20"/>
          <w:color w:val="auto"/>
        </w:rPr>
      </w:pPr>
      <w:r>
        <w:rPr>
          <w:rFonts w:ascii="Arial" w:cs="Arial" w:eastAsia="Arial" w:hAnsi="Arial"/>
          <w:sz w:val="15"/>
          <w:szCs w:val="15"/>
          <w:color w:val="auto"/>
        </w:rPr>
        <w:t>As of June 30, 2019, we had no amounts outstanding under the revolving credit facility and an aggregate of $67.8 million in letters of credit issued under the revolving credit facility. Our total available borrowing capacity under the revolving credit facility was $657.2 million as of June 30, 2019.</w:t>
      </w:r>
    </w:p>
    <w:p>
      <w:pPr>
        <w:spacing w:after="0" w:line="71" w:lineRule="exact"/>
        <w:rPr>
          <w:sz w:val="20"/>
          <w:szCs w:val="20"/>
          <w:color w:val="auto"/>
        </w:rPr>
      </w:pPr>
    </w:p>
    <w:p>
      <w:pPr>
        <w:ind w:right="20" w:firstLine="348"/>
        <w:spacing w:after="0" w:line="261" w:lineRule="auto"/>
        <w:rPr>
          <w:sz w:val="20"/>
          <w:szCs w:val="20"/>
          <w:color w:val="auto"/>
        </w:rPr>
      </w:pPr>
      <w:r>
        <w:rPr>
          <w:rFonts w:ascii="Arial" w:cs="Arial" w:eastAsia="Arial" w:hAnsi="Arial"/>
          <w:sz w:val="15"/>
          <w:szCs w:val="15"/>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cash flow activities were as follows for the periods presented: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0"/>
          </w:cols>
          <w:pgMar w:left="240" w:top="12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2"/>
        </w:trPr>
        <w:tc>
          <w:tcPr>
            <w:tcW w:w="7200" w:type="dxa"/>
            <w:vAlign w:val="bottom"/>
            <w:gridSpan w:val="2"/>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Table of Contents</w:t>
              </w:r>
            </w:hyperlink>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47"/>
        </w:trPr>
        <w:tc>
          <w:tcPr>
            <w:tcW w:w="1160" w:type="dxa"/>
            <w:vAlign w:val="bottom"/>
            <w:tcBorders>
              <w:top w:val="single" w:sz="8" w:color="0000EE"/>
            </w:tcBorders>
          </w:tcPr>
          <w:p>
            <w:pPr>
              <w:spacing w:after="0"/>
              <w:rPr>
                <w:sz w:val="24"/>
                <w:szCs w:val="24"/>
                <w:color w:val="auto"/>
              </w:rPr>
            </w:pPr>
          </w:p>
        </w:tc>
        <w:tc>
          <w:tcPr>
            <w:tcW w:w="6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5"/>
                <w:szCs w:val="15"/>
                <w:b w:val="1"/>
                <w:bCs w:val="1"/>
                <w:color w:val="auto"/>
                <w:w w:val="92"/>
              </w:rPr>
              <w:t>Six months ended June 30,</w:t>
            </w:r>
          </w:p>
        </w:tc>
        <w:tc>
          <w:tcPr>
            <w:tcW w:w="120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11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783"/>
              <w:spacing w:after="0"/>
              <w:rPr>
                <w:sz w:val="20"/>
                <w:szCs w:val="20"/>
                <w:color w:val="auto"/>
              </w:rPr>
            </w:pPr>
            <w:r>
              <w:rPr>
                <w:rFonts w:ascii="Arial" w:cs="Arial" w:eastAsia="Arial" w:hAnsi="Arial"/>
                <w:sz w:val="15"/>
                <w:szCs w:val="15"/>
                <w:b w:val="1"/>
                <w:bCs w:val="1"/>
                <w:color w:val="auto"/>
                <w:w w:val="95"/>
              </w:rPr>
              <w:t>2018</w:t>
            </w: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4"/>
        </w:trPr>
        <w:tc>
          <w:tcPr>
            <w:tcW w:w="1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gridSpan w:val="3"/>
          </w:tcPr>
          <w:p>
            <w:pPr>
              <w:jc w:val="right"/>
              <w:ind w:right="443"/>
              <w:spacing w:after="0"/>
              <w:rPr>
                <w:sz w:val="20"/>
                <w:szCs w:val="20"/>
                <w:color w:val="auto"/>
              </w:rPr>
            </w:pPr>
            <w:r>
              <w:rPr>
                <w:rFonts w:ascii="Arial" w:cs="Arial" w:eastAsia="Arial" w:hAnsi="Arial"/>
                <w:sz w:val="15"/>
                <w:szCs w:val="15"/>
                <w:i w:val="1"/>
                <w:iCs w:val="1"/>
                <w:color w:val="auto"/>
              </w:rPr>
              <w:t>(In millions)</w:t>
            </w:r>
          </w:p>
        </w:tc>
        <w:tc>
          <w:tcPr>
            <w:tcW w:w="1200" w:type="dxa"/>
            <w:vAlign w:val="bottom"/>
          </w:tcPr>
          <w:p>
            <w:pPr>
              <w:spacing w:after="0"/>
              <w:rPr>
                <w:sz w:val="24"/>
                <w:szCs w:val="24"/>
                <w:color w:val="auto"/>
              </w:rPr>
            </w:pP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192.0</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173.7</w:t>
            </w:r>
          </w:p>
        </w:tc>
      </w:tr>
      <w:tr>
        <w:trPr>
          <w:trHeight w:val="208"/>
        </w:trPr>
        <w:tc>
          <w:tcPr>
            <w:tcW w:w="7200" w:type="dxa"/>
            <w:vAlign w:val="bottom"/>
            <w:gridSpan w:val="2"/>
          </w:tcPr>
          <w:p>
            <w:pPr>
              <w:ind w:left="20"/>
              <w:spacing w:after="0"/>
              <w:rPr>
                <w:sz w:val="20"/>
                <w:szCs w:val="20"/>
                <w:color w:val="auto"/>
              </w:rPr>
            </w:pPr>
            <w:r>
              <w:rPr>
                <w:rFonts w:ascii="Arial" w:cs="Arial" w:eastAsia="Arial" w:hAnsi="Arial"/>
                <w:sz w:val="15"/>
                <w:szCs w:val="15"/>
                <w:color w:val="auto"/>
              </w:rPr>
              <w:t>Net cash used in investing activities</w:t>
            </w: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(270.5)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(497.6)</w:t>
            </w:r>
          </w:p>
        </w:tc>
      </w:tr>
      <w:tr>
        <w:trPr>
          <w:trHeight w:val="23"/>
        </w:trPr>
        <w:tc>
          <w:tcPr>
            <w:tcW w:w="11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1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(97.4)</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399.4</w:t>
            </w:r>
          </w:p>
        </w:tc>
      </w:tr>
      <w:tr>
        <w:trPr>
          <w:trHeight w:val="208"/>
        </w:trPr>
        <w:tc>
          <w:tcPr>
            <w:tcW w:w="7200" w:type="dxa"/>
            <w:vAlign w:val="bottom"/>
            <w:gridSpan w:val="2"/>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1220" w:type="dxa"/>
            <w:vAlign w:val="bottom"/>
          </w:tcPr>
          <w:p>
            <w:pPr>
              <w:spacing w:after="0"/>
              <w:rPr>
                <w:sz w:val="18"/>
                <w:szCs w:val="18"/>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3"/>
        </w:trPr>
        <w:tc>
          <w:tcPr>
            <w:tcW w:w="116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increase in cash and cash equivalents</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(175.7)</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74.1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29" w:lineRule="exact"/>
        <w:rPr>
          <w:sz w:val="20"/>
          <w:szCs w:val="20"/>
          <w:color w:val="auto"/>
        </w:rPr>
      </w:pPr>
    </w:p>
    <w:p>
      <w:pPr>
        <w:ind w:right="140" w:firstLine="348"/>
        <w:spacing w:after="0" w:line="302" w:lineRule="auto"/>
        <w:rPr>
          <w:sz w:val="20"/>
          <w:szCs w:val="20"/>
          <w:color w:val="auto"/>
        </w:rPr>
      </w:pPr>
      <w:r>
        <w:rPr>
          <w:rFonts w:ascii="Arial" w:cs="Arial" w:eastAsia="Arial" w:hAnsi="Arial"/>
          <w:sz w:val="14"/>
          <w:szCs w:val="14"/>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64" w:lineRule="exact"/>
        <w:rPr>
          <w:sz w:val="20"/>
          <w:szCs w:val="20"/>
          <w:color w:val="auto"/>
        </w:rPr>
      </w:pPr>
    </w:p>
    <w:p>
      <w:pPr>
        <w:ind w:right="20" w:firstLine="348"/>
        <w:spacing w:after="0" w:line="265" w:lineRule="auto"/>
        <w:rPr>
          <w:sz w:val="20"/>
          <w:szCs w:val="20"/>
          <w:color w:val="auto"/>
        </w:rPr>
      </w:pPr>
      <w:r>
        <w:rPr>
          <w:rFonts w:ascii="Arial" w:cs="Arial" w:eastAsia="Arial" w:hAnsi="Arial"/>
          <w:sz w:val="15"/>
          <w:szCs w:val="15"/>
          <w:color w:val="auto"/>
        </w:rPr>
        <w:t>For the six months ended June 30, 2019, net cash provided by operating activities was $192.0 million, which mostly consisted of our net loss of $29.1 million, adjusted for stock-based compensation expense of $123.7 million and depreciation and amortization expenses of $91.9 million, and net cash inflow of $12.4 million from operating assets and liabilities. The inflow from operating assets and liabilities was primarily due to an increase in deferred revenue of $28.0 million from increased subscription sales, as a majority of our paying users are invoiced in advance, and reimbursements for tenant improvement allowances of $28.5 million. These increases were partially offset by the payment of our corporate bonus during the six months ended June 30, 2019.</w:t>
      </w:r>
    </w:p>
    <w:p>
      <w:pPr>
        <w:spacing w:after="0" w:line="90" w:lineRule="exact"/>
        <w:rPr>
          <w:sz w:val="20"/>
          <w:szCs w:val="20"/>
          <w:color w:val="auto"/>
        </w:rPr>
      </w:pPr>
    </w:p>
    <w:p>
      <w:pPr>
        <w:ind w:right="260" w:firstLine="348"/>
        <w:spacing w:after="0" w:line="273" w:lineRule="auto"/>
        <w:rPr>
          <w:sz w:val="20"/>
          <w:szCs w:val="20"/>
          <w:color w:val="auto"/>
        </w:rPr>
      </w:pPr>
      <w:r>
        <w:rPr>
          <w:rFonts w:ascii="Arial" w:cs="Arial" w:eastAsia="Arial" w:hAnsi="Arial"/>
          <w:sz w:val="15"/>
          <w:szCs w:val="15"/>
          <w:color w:val="auto"/>
        </w:rPr>
        <w:t>The increase in net cash provided by operating activities during the six months ended June 30, 2019, compared to the six months ended June 30, 2018, was primarily due to a reduction in our net loss, as adjusted for stock-based compensation and depreciation and amortization expenses, offset by a decrease in cash inflows from changes in operating assets and liabilities.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29" w:lineRule="exact"/>
        <w:rPr>
          <w:sz w:val="20"/>
          <w:szCs w:val="20"/>
          <w:color w:val="auto"/>
        </w:rPr>
      </w:pPr>
    </w:p>
    <w:p>
      <w:pPr>
        <w:ind w:right="300" w:firstLine="348"/>
        <w:spacing w:after="0" w:line="289" w:lineRule="auto"/>
        <w:rPr>
          <w:sz w:val="20"/>
          <w:szCs w:val="20"/>
          <w:color w:val="auto"/>
        </w:rPr>
      </w:pPr>
      <w:r>
        <w:rPr>
          <w:rFonts w:ascii="Arial" w:cs="Arial" w:eastAsia="Arial" w:hAnsi="Arial"/>
          <w:sz w:val="15"/>
          <w:szCs w:val="15"/>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71" w:lineRule="exact"/>
        <w:rPr>
          <w:sz w:val="20"/>
          <w:szCs w:val="20"/>
          <w:color w:val="auto"/>
        </w:rPr>
      </w:pPr>
    </w:p>
    <w:p>
      <w:pPr>
        <w:jc w:val="both"/>
        <w:ind w:right="100" w:firstLine="348"/>
        <w:spacing w:after="0" w:line="273" w:lineRule="auto"/>
        <w:rPr>
          <w:sz w:val="20"/>
          <w:szCs w:val="20"/>
          <w:color w:val="auto"/>
        </w:rPr>
      </w:pPr>
      <w:r>
        <w:rPr>
          <w:rFonts w:ascii="Arial" w:cs="Arial" w:eastAsia="Arial" w:hAnsi="Arial"/>
          <w:sz w:val="15"/>
          <w:szCs w:val="15"/>
          <w:color w:val="auto"/>
        </w:rPr>
        <w:t>For the six months ended June 30, 2019, net cash used in investing activities was $270.5 million, which primarily related to cash paid for our acquisition of HelloSign, net of cash acquired of $171.6 million, capital expenditures of $63.4 million related to our office and datacenter build-outs, and $47.1 million in investment activity, primarily related to purchases of short-term investments, net of sales and maturities.</w:t>
      </w:r>
    </w:p>
    <w:p>
      <w:pPr>
        <w:spacing w:after="0" w:line="83" w:lineRule="exact"/>
        <w:rPr>
          <w:sz w:val="20"/>
          <w:szCs w:val="20"/>
          <w:color w:val="auto"/>
        </w:rPr>
      </w:pPr>
    </w:p>
    <w:p>
      <w:pPr>
        <w:ind w:right="380" w:firstLine="348"/>
        <w:spacing w:after="0" w:line="289" w:lineRule="auto"/>
        <w:rPr>
          <w:sz w:val="20"/>
          <w:szCs w:val="20"/>
          <w:color w:val="auto"/>
        </w:rPr>
      </w:pPr>
      <w:r>
        <w:rPr>
          <w:rFonts w:ascii="Arial" w:cs="Arial" w:eastAsia="Arial" w:hAnsi="Arial"/>
          <w:sz w:val="15"/>
          <w:szCs w:val="15"/>
          <w:color w:val="auto"/>
        </w:rPr>
        <w:t>The decrease in cash used in investing activities during the six months ended June 30, 2019, compared to the six months ended June 30, 2018, was primarily due to increased purchases of short-term investments due to the receipt of our IPO proceeds during the six months ended June 30, 2018.</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29" w:lineRule="exact"/>
        <w:rPr>
          <w:sz w:val="20"/>
          <w:szCs w:val="20"/>
          <w:color w:val="auto"/>
        </w:rPr>
      </w:pPr>
    </w:p>
    <w:p>
      <w:pPr>
        <w:ind w:right="360" w:firstLine="348"/>
        <w:spacing w:after="0" w:line="289" w:lineRule="auto"/>
        <w:rPr>
          <w:sz w:val="20"/>
          <w:szCs w:val="20"/>
          <w:color w:val="auto"/>
        </w:rPr>
      </w:pPr>
      <w:r>
        <w:rPr>
          <w:rFonts w:ascii="Arial" w:cs="Arial" w:eastAsia="Arial" w:hAnsi="Arial"/>
          <w:sz w:val="15"/>
          <w:szCs w:val="15"/>
          <w:color w:val="auto"/>
        </w:rPr>
        <w:t>Net cash provided by (used in) financing activities is primarily impacted by repurchases of common stock to satisfy the tax withholding obligation for the release of restricted stock units (“RSUs”) and finance lease obligations for our infrastructure equipment.</w:t>
      </w:r>
    </w:p>
    <w:p>
      <w:pPr>
        <w:spacing w:after="0" w:line="71" w:lineRule="exact"/>
        <w:rPr>
          <w:sz w:val="20"/>
          <w:szCs w:val="20"/>
          <w:color w:val="auto"/>
        </w:rPr>
      </w:pPr>
    </w:p>
    <w:p>
      <w:pPr>
        <w:ind w:right="40" w:firstLine="348"/>
        <w:spacing w:after="0" w:line="289" w:lineRule="auto"/>
        <w:rPr>
          <w:sz w:val="20"/>
          <w:szCs w:val="20"/>
          <w:color w:val="auto"/>
        </w:rPr>
      </w:pPr>
      <w:r>
        <w:rPr>
          <w:rFonts w:ascii="Arial" w:cs="Arial" w:eastAsia="Arial" w:hAnsi="Arial"/>
          <w:sz w:val="15"/>
          <w:szCs w:val="15"/>
          <w:color w:val="auto"/>
        </w:rPr>
        <w:t>For the six months ended June 30, 2019, net cash used for financing activities was $97.4 million, which primarily consisted of principal payments against finance lease obligations and payments for the satisfaction of tax withholding obligations for the release of restricted stock units.</w:t>
      </w:r>
    </w:p>
    <w:p>
      <w:pPr>
        <w:spacing w:after="0" w:line="71" w:lineRule="exact"/>
        <w:rPr>
          <w:sz w:val="20"/>
          <w:szCs w:val="20"/>
          <w:color w:val="auto"/>
        </w:rPr>
      </w:pPr>
    </w:p>
    <w:p>
      <w:pPr>
        <w:ind w:right="200" w:firstLine="348"/>
        <w:spacing w:after="0" w:line="289" w:lineRule="auto"/>
        <w:rPr>
          <w:sz w:val="20"/>
          <w:szCs w:val="20"/>
          <w:color w:val="auto"/>
        </w:rPr>
      </w:pPr>
      <w:r>
        <w:rPr>
          <w:rFonts w:ascii="Arial" w:cs="Arial" w:eastAsia="Arial" w:hAnsi="Arial"/>
          <w:sz w:val="15"/>
          <w:szCs w:val="15"/>
          <w:color w:val="auto"/>
        </w:rPr>
        <w:t>The increase in cash used in financing activities during the six months ended June 30, 2019, compared to the six months ended June 30, 2018, was primarily due to cash inflows from the proceeds from the completion of our IPO during the six months ended June 30, 2018.</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40"/>
          </w:cols>
          <w:pgMar w:left="240" w:top="118" w:right="2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204" w:lineRule="exact"/>
        <w:rPr>
          <w:sz w:val="20"/>
          <w:szCs w:val="20"/>
          <w:color w:val="auto"/>
        </w:rPr>
      </w:pPr>
    </w:p>
    <w:p>
      <w:pPr>
        <w:ind w:firstLine="348"/>
        <w:spacing w:after="0" w:line="273" w:lineRule="auto"/>
        <w:rPr>
          <w:sz w:val="20"/>
          <w:szCs w:val="20"/>
          <w:color w:val="auto"/>
        </w:rPr>
      </w:pPr>
      <w:r>
        <w:rPr>
          <w:rFonts w:ascii="Arial" w:cs="Arial" w:eastAsia="Arial" w:hAnsi="Arial"/>
          <w:sz w:val="15"/>
          <w:szCs w:val="15"/>
          <w:color w:val="auto"/>
        </w:rPr>
        <w:t>Our principal commitments consist of obligations under operating leases for office space and datacenter operations, and finance leases for datacenter equipment. See Note 9 "Leases" to our condensed consolidated financial statements included elsewhere in this Quarterly Report on Form 10-Q for further information. There have been no material changes in our contractual obligations and commitments, as disclosed in our Annual Report.</w:t>
      </w: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340"/>
          </w:cols>
          <w:pgMar w:left="240" w:top="123" w:right="3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204" w:lineRule="exact"/>
        <w:rPr>
          <w:sz w:val="20"/>
          <w:szCs w:val="20"/>
          <w:color w:val="auto"/>
        </w:rPr>
      </w:pPr>
    </w:p>
    <w:p>
      <w:pPr>
        <w:ind w:firstLine="348"/>
        <w:spacing w:after="0" w:line="327" w:lineRule="auto"/>
        <w:rPr>
          <w:sz w:val="20"/>
          <w:szCs w:val="20"/>
          <w:color w:val="auto"/>
        </w:rPr>
      </w:pPr>
      <w:r>
        <w:rPr>
          <w:rFonts w:ascii="Arial" w:cs="Arial" w:eastAsia="Arial" w:hAnsi="Arial"/>
          <w:sz w:val="14"/>
          <w:szCs w:val="14"/>
          <w:color w:val="auto"/>
        </w:rPr>
        <w:t>As of June 30, 2019,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100"/>
          </w:cols>
          <w:pgMar w:left="240" w:top="123" w:right="5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Judgments</w:t>
      </w:r>
    </w:p>
    <w:p>
      <w:pPr>
        <w:spacing w:after="0" w:line="204" w:lineRule="exact"/>
        <w:rPr>
          <w:sz w:val="20"/>
          <w:szCs w:val="20"/>
          <w:color w:val="auto"/>
        </w:rPr>
      </w:pPr>
    </w:p>
    <w:p>
      <w:pPr>
        <w:jc w:val="both"/>
        <w:ind w:right="100" w:firstLine="348"/>
        <w:spacing w:after="0" w:line="302" w:lineRule="auto"/>
        <w:rPr>
          <w:sz w:val="20"/>
          <w:szCs w:val="20"/>
          <w:color w:val="auto"/>
        </w:rPr>
      </w:pPr>
      <w:r>
        <w:rPr>
          <w:rFonts w:ascii="Arial" w:cs="Arial" w:eastAsia="Arial" w:hAnsi="Arial"/>
          <w:sz w:val="14"/>
          <w:szCs w:val="14"/>
          <w:color w:val="auto"/>
        </w:rPr>
        <w:t>Except for the below, there have been no changes to our critical accounting policies and significant judgments as compared to the critical accounting policies and judgments disclosed in our Annual Report. Additionally, common stock valuation is no longer a critical accounting policy or judgment for us in any of the periods presented as our Board of Directors determines the fair value of each share of underlying common stock based on the closing price of our Class A common stock as reported on the date of the grant.</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98" w:lineRule="exact"/>
        <w:rPr>
          <w:sz w:val="20"/>
          <w:szCs w:val="20"/>
          <w:color w:val="auto"/>
        </w:rPr>
      </w:pPr>
    </w:p>
    <w:p>
      <w:pPr>
        <w:ind w:firstLine="278"/>
        <w:spacing w:after="0" w:line="268" w:lineRule="auto"/>
        <w:rPr>
          <w:sz w:val="20"/>
          <w:szCs w:val="20"/>
          <w:color w:val="auto"/>
        </w:rPr>
      </w:pPr>
      <w:r>
        <w:rPr>
          <w:rFonts w:ascii="Arial" w:cs="Arial" w:eastAsia="Arial" w:hAnsi="Arial"/>
          <w:sz w:val="15"/>
          <w:szCs w:val="15"/>
          <w:color w:val="auto"/>
        </w:rPr>
        <w:t>Accounting for business combinations requires us to make significant estimates and assumptions. We allocate the purchase consideration to the tangible and intangible assets acquired and liabilities assumed based on their estimated fair values, with the excess recorded to goodwill. Critical estimates in valuing certain intangible assets include, but are not limited to, future expected cash flows, expected asset lives, and discount rates. The amounts and useful lives assigned to acquisition-related intangible assets impact the amount and timing of future amortization expense.</w:t>
      </w:r>
    </w:p>
    <w:p>
      <w:pPr>
        <w:spacing w:after="0" w:line="156" w:lineRule="exact"/>
        <w:rPr>
          <w:sz w:val="20"/>
          <w:szCs w:val="20"/>
          <w:color w:val="auto"/>
        </w:rPr>
      </w:pPr>
    </w:p>
    <w:p>
      <w:pPr>
        <w:ind w:right="120" w:firstLine="278"/>
        <w:spacing w:after="0" w:line="289" w:lineRule="auto"/>
        <w:rPr>
          <w:sz w:val="20"/>
          <w:szCs w:val="20"/>
          <w:color w:val="auto"/>
        </w:rPr>
      </w:pPr>
      <w:r>
        <w:rPr>
          <w:rFonts w:ascii="Arial" w:cs="Arial" w:eastAsia="Arial" w:hAnsi="Arial"/>
          <w:sz w:val="15"/>
          <w:szCs w:val="15"/>
          <w:color w:val="auto"/>
        </w:rPr>
        <w:t>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100"/>
          </w:cols>
          <w:pgMar w:left="240" w:top="123" w:right="5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204" w:lineRule="exact"/>
        <w:rPr>
          <w:sz w:val="20"/>
          <w:szCs w:val="20"/>
          <w:color w:val="auto"/>
        </w:rPr>
      </w:pPr>
    </w:p>
    <w:p>
      <w:pPr>
        <w:ind w:firstLine="348"/>
        <w:spacing w:after="0" w:line="273"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380"/>
          </w:cols>
          <w:pgMar w:left="240" w:top="123" w:right="27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29" w:lineRule="exact"/>
        <w:rPr>
          <w:sz w:val="20"/>
          <w:szCs w:val="20"/>
          <w:color w:val="auto"/>
        </w:rPr>
      </w:pPr>
    </w:p>
    <w:p>
      <w:pPr>
        <w:ind w:right="100" w:firstLine="348"/>
        <w:spacing w:after="0" w:line="264" w:lineRule="auto"/>
        <w:rPr>
          <w:sz w:val="20"/>
          <w:szCs w:val="20"/>
          <w:color w:val="auto"/>
        </w:rPr>
      </w:pPr>
      <w:r>
        <w:rPr>
          <w:rFonts w:ascii="Arial" w:cs="Arial" w:eastAsia="Arial" w:hAnsi="Arial"/>
          <w:sz w:val="15"/>
          <w:szCs w:val="15"/>
          <w:color w:val="auto"/>
        </w:rPr>
        <w:t>We had cash and cash equivalents of $343.6 million and short-term investments of $629.2 million as of June 30, 2019. We hold our cash and cash equivalents and short-term investments for working capital purposes. Our cash, cash equivalents, and short-term investments consist primarily of cash, money market funds, corporate notes and obligations, U.S. Treasury securities, U.S. agency obligations, commercial paper, and certificates of deposits.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89" w:lineRule="exact"/>
        <w:rPr>
          <w:sz w:val="20"/>
          <w:szCs w:val="20"/>
          <w:color w:val="auto"/>
        </w:rPr>
      </w:pPr>
    </w:p>
    <w:p>
      <w:pPr>
        <w:ind w:right="220" w:firstLine="348"/>
        <w:spacing w:after="0" w:line="327" w:lineRule="auto"/>
        <w:rPr>
          <w:sz w:val="20"/>
          <w:szCs w:val="20"/>
          <w:color w:val="auto"/>
        </w:rPr>
      </w:pPr>
      <w:r>
        <w:rPr>
          <w:rFonts w:ascii="Arial" w:cs="Arial" w:eastAsia="Arial" w:hAnsi="Arial"/>
          <w:sz w:val="14"/>
          <w:szCs w:val="14"/>
          <w:color w:val="auto"/>
        </w:rPr>
        <w:t>Any borrowings under the revolving credit facility bear interest at a variable rate tied to the prime rate or the LIBOR rate. As of June 30, 2019, we had no amounts outstanding under the revolving credit facility. We do not have any other long-term debt or financial liabilities with floating interest rates that would subject us to interest rate fluctuations.</w:t>
      </w:r>
    </w:p>
    <w:p>
      <w:pPr>
        <w:spacing w:after="0" w:line="48" w:lineRule="exact"/>
        <w:rPr>
          <w:sz w:val="20"/>
          <w:szCs w:val="20"/>
          <w:color w:val="auto"/>
        </w:rPr>
      </w:pPr>
    </w:p>
    <w:p>
      <w:pPr>
        <w:ind w:right="420" w:firstLine="348"/>
        <w:spacing w:after="0" w:line="289" w:lineRule="auto"/>
        <w:rPr>
          <w:sz w:val="20"/>
          <w:szCs w:val="20"/>
          <w:color w:val="auto"/>
        </w:rPr>
      </w:pPr>
      <w:r>
        <w:rPr>
          <w:rFonts w:ascii="Arial" w:cs="Arial" w:eastAsia="Arial" w:hAnsi="Arial"/>
          <w:sz w:val="15"/>
          <w:szCs w:val="15"/>
          <w:color w:val="auto"/>
        </w:rPr>
        <w:t>As of June 30, 2019, a hypothetical change in interest rates by 100 basis points would not have a significant impact on our cash and cash equivalents or the fair value of our investment portfolio.</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129" w:lineRule="exact"/>
        <w:rPr>
          <w:sz w:val="20"/>
          <w:szCs w:val="20"/>
          <w:color w:val="auto"/>
        </w:rPr>
      </w:pPr>
    </w:p>
    <w:p>
      <w:pPr>
        <w:ind w:firstLine="348"/>
        <w:spacing w:after="0" w:line="281" w:lineRule="auto"/>
        <w:rPr>
          <w:sz w:val="20"/>
          <w:szCs w:val="20"/>
          <w:color w:val="auto"/>
        </w:rPr>
      </w:pPr>
      <w:r>
        <w:rPr>
          <w:rFonts w:ascii="Arial" w:cs="Arial" w:eastAsia="Arial" w:hAnsi="Arial"/>
          <w:sz w:val="14"/>
          <w:szCs w:val="14"/>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six months ended June 30, 2019,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84" w:lineRule="exact"/>
        <w:rPr>
          <w:sz w:val="20"/>
          <w:szCs w:val="20"/>
          <w:color w:val="auto"/>
        </w:rPr>
      </w:pPr>
    </w:p>
    <w:p>
      <w:pPr>
        <w:ind w:right="60" w:firstLine="348"/>
        <w:spacing w:after="0" w:line="289" w:lineRule="auto"/>
        <w:rPr>
          <w:sz w:val="20"/>
          <w:szCs w:val="20"/>
          <w:color w:val="auto"/>
        </w:rPr>
      </w:pPr>
      <w:r>
        <w:rPr>
          <w:rFonts w:ascii="Arial" w:cs="Arial" w:eastAsia="Arial" w:hAnsi="Arial"/>
          <w:sz w:val="15"/>
          <w:szCs w:val="15"/>
          <w:color w:val="auto"/>
        </w:rPr>
        <w:t>We recorded $0.5 million and $0.4 million in net foreign currency transaction losses in the six months ended June 30, 2019 and 2018, respectively. A hypothetical 10% change in foreign currency rates would not have resulted in material gains or losses for the six months ended June 30, 2019 and 2018.</w:t>
      </w:r>
    </w:p>
    <w:p>
      <w:pPr>
        <w:spacing w:after="0" w:line="7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5"/>
          <w:szCs w:val="15"/>
          <w:color w:val="auto"/>
        </w:rPr>
        <w:t>To date, we have not engaged in any hedging activities. As our international operations grow, we will continue to reassess our approach to managing risks relating to fluctuations in currency rates.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Inflation risk</w:t>
      </w:r>
    </w:p>
    <w:p>
      <w:pPr>
        <w:spacing w:after="0" w:line="129" w:lineRule="exact"/>
        <w:rPr>
          <w:sz w:val="20"/>
          <w:szCs w:val="20"/>
          <w:color w:val="auto"/>
        </w:rPr>
      </w:pPr>
    </w:p>
    <w:p>
      <w:pPr>
        <w:ind w:right="440" w:firstLine="348"/>
        <w:spacing w:after="0" w:line="273" w:lineRule="auto"/>
        <w:rPr>
          <w:sz w:val="20"/>
          <w:szCs w:val="20"/>
          <w:color w:val="auto"/>
        </w:rPr>
      </w:pPr>
      <w:r>
        <w:rPr>
          <w:rFonts w:ascii="Arial" w:cs="Arial" w:eastAsia="Arial" w:hAnsi="Arial"/>
          <w:sz w:val="15"/>
          <w:szCs w:val="15"/>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380"/>
          </w:cols>
          <w:pgMar w:left="240" w:top="123" w:right="27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0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04" w:lineRule="exact"/>
        <w:rPr>
          <w:sz w:val="20"/>
          <w:szCs w:val="20"/>
          <w:color w:val="auto"/>
        </w:rPr>
      </w:pPr>
    </w:p>
    <w:p>
      <w:pPr>
        <w:ind w:firstLine="348"/>
        <w:spacing w:after="0" w:line="289"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Inherent Limitations on Effectiveness of Disclosure Controls and Procedures</w:t>
      </w:r>
    </w:p>
    <w:p>
      <w:pPr>
        <w:spacing w:after="0" w:line="204" w:lineRule="exact"/>
        <w:rPr>
          <w:sz w:val="20"/>
          <w:szCs w:val="20"/>
          <w:color w:val="auto"/>
        </w:rPr>
      </w:pPr>
    </w:p>
    <w:p>
      <w:pPr>
        <w:ind w:right="40" w:firstLine="348"/>
        <w:spacing w:after="0" w:line="282" w:lineRule="auto"/>
        <w:rPr>
          <w:sz w:val="20"/>
          <w:szCs w:val="20"/>
          <w:color w:val="auto"/>
        </w:rPr>
      </w:pPr>
      <w:r>
        <w:rPr>
          <w:rFonts w:ascii="Arial" w:cs="Arial" w:eastAsia="Arial" w:hAnsi="Arial"/>
          <w:sz w:val="14"/>
          <w:szCs w:val="14"/>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20"/>
          </w:cols>
          <w:pgMar w:left="240" w:top="123" w:right="2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11" w:lineRule="exact"/>
        <w:rPr>
          <w:sz w:val="20"/>
          <w:szCs w:val="20"/>
          <w:color w:val="auto"/>
        </w:rPr>
      </w:pPr>
    </w:p>
    <w:p>
      <w:pPr>
        <w:ind w:firstLine="348"/>
        <w:spacing w:after="0" w:line="262" w:lineRule="auto"/>
        <w:rPr>
          <w:sz w:val="20"/>
          <w:szCs w:val="20"/>
          <w:color w:val="auto"/>
        </w:rPr>
      </w:pPr>
      <w:r>
        <w:rPr>
          <w:rFonts w:ascii="Arial" w:cs="Arial" w:eastAsia="Arial" w:hAnsi="Arial"/>
          <w:sz w:val="15"/>
          <w:szCs w:val="15"/>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has filed a notice of appeal; we intend to vigorously oppose Synchronoss' basis for appeal.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92" w:lineRule="exact"/>
        <w:rPr>
          <w:sz w:val="20"/>
          <w:szCs w:val="20"/>
          <w:color w:val="auto"/>
        </w:rPr>
      </w:pPr>
    </w:p>
    <w:p>
      <w:pPr>
        <w:jc w:val="both"/>
        <w:ind w:firstLine="348"/>
        <w:spacing w:after="0" w:line="273"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00"/>
          </w:cols>
          <w:pgMar w:left="240" w:top="123" w:right="2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188" w:lineRule="exact"/>
        <w:rPr>
          <w:sz w:val="20"/>
          <w:szCs w:val="20"/>
          <w:color w:val="auto"/>
        </w:rPr>
      </w:pPr>
    </w:p>
    <w:p>
      <w:pPr>
        <w:ind w:right="20" w:firstLine="348"/>
        <w:spacing w:after="0" w:line="264" w:lineRule="auto"/>
        <w:rPr>
          <w:sz w:val="20"/>
          <w:szCs w:val="20"/>
          <w:color w:val="auto"/>
        </w:rPr>
      </w:pPr>
      <w:r>
        <w:rPr>
          <w:rFonts w:ascii="Arial" w:cs="Arial" w:eastAsia="Arial" w:hAnsi="Arial"/>
          <w:sz w:val="15"/>
          <w:szCs w:val="15"/>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depends on our ability to retain and upgrade paying users, and any decline in renewals or upgrades could adversely affect our future results of operations.</w:t>
      </w:r>
    </w:p>
    <w:p>
      <w:pPr>
        <w:spacing w:after="0" w:line="210" w:lineRule="exact"/>
        <w:rPr>
          <w:sz w:val="20"/>
          <w:szCs w:val="20"/>
          <w:color w:val="auto"/>
        </w:rPr>
      </w:pPr>
    </w:p>
    <w:p>
      <w:pPr>
        <w:ind w:right="100" w:firstLine="348"/>
        <w:spacing w:after="0" w:line="265" w:lineRule="auto"/>
        <w:rPr>
          <w:sz w:val="20"/>
          <w:szCs w:val="20"/>
          <w:color w:val="auto"/>
        </w:rPr>
      </w:pPr>
      <w:r>
        <w:rPr>
          <w:rFonts w:ascii="Arial" w:cs="Arial" w:eastAsia="Arial" w:hAnsi="Arial"/>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or the perception that competitive products provide better or less expensive options. In addition, some paying users downgrade or do not renew their subscriptions.</w:t>
      </w:r>
    </w:p>
    <w:p>
      <w:pPr>
        <w:spacing w:after="0" w:line="160" w:lineRule="exact"/>
        <w:rPr>
          <w:sz w:val="20"/>
          <w:szCs w:val="20"/>
          <w:color w:val="auto"/>
        </w:rPr>
      </w:pPr>
    </w:p>
    <w:p>
      <w:pPr>
        <w:ind w:firstLine="348"/>
        <w:spacing w:after="0" w:line="265" w:lineRule="auto"/>
        <w:rPr>
          <w:sz w:val="20"/>
          <w:szCs w:val="20"/>
          <w:color w:val="auto"/>
        </w:rPr>
      </w:pPr>
      <w:r>
        <w:rPr>
          <w:rFonts w:ascii="Arial" w:cs="Arial" w:eastAsia="Arial" w:hAnsi="Arial"/>
          <w:sz w:val="15"/>
          <w:szCs w:val="15"/>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60" w:lineRule="exact"/>
        <w:rPr>
          <w:sz w:val="20"/>
          <w:szCs w:val="20"/>
          <w:color w:val="auto"/>
        </w:rPr>
      </w:pPr>
    </w:p>
    <w:p>
      <w:pPr>
        <w:ind w:right="80" w:firstLine="348"/>
        <w:spacing w:after="0" w:line="273" w:lineRule="auto"/>
        <w:rPr>
          <w:sz w:val="20"/>
          <w:szCs w:val="20"/>
          <w:color w:val="auto"/>
        </w:rPr>
      </w:pPr>
      <w:r>
        <w:rPr>
          <w:rFonts w:ascii="Arial" w:cs="Arial" w:eastAsia="Arial" w:hAnsi="Arial"/>
          <w:sz w:val="15"/>
          <w:szCs w:val="15"/>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growth could be harmed if we fail to attract new users or convert registered users to paying users.</w:t>
      </w:r>
    </w:p>
    <w:p>
      <w:pPr>
        <w:spacing w:after="0" w:line="198" w:lineRule="exact"/>
        <w:rPr>
          <w:sz w:val="20"/>
          <w:szCs w:val="20"/>
          <w:color w:val="auto"/>
        </w:rPr>
      </w:pPr>
    </w:p>
    <w:p>
      <w:pPr>
        <w:jc w:val="both"/>
        <w:ind w:right="460" w:firstLine="348"/>
        <w:spacing w:after="0" w:line="273" w:lineRule="auto"/>
        <w:rPr>
          <w:sz w:val="20"/>
          <w:szCs w:val="20"/>
          <w:color w:val="auto"/>
        </w:rPr>
      </w:pPr>
      <w:r>
        <w:rPr>
          <w:rFonts w:ascii="Arial" w:cs="Arial" w:eastAsia="Arial" w:hAnsi="Arial"/>
          <w:sz w:val="15"/>
          <w:szCs w:val="15"/>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53" w:lineRule="exact"/>
        <w:rPr>
          <w:sz w:val="20"/>
          <w:szCs w:val="20"/>
          <w:color w:val="auto"/>
        </w:rPr>
      </w:pPr>
    </w:p>
    <w:p>
      <w:pPr>
        <w:ind w:right="20" w:firstLine="348"/>
        <w:spacing w:after="0" w:line="293" w:lineRule="auto"/>
        <w:rPr>
          <w:sz w:val="20"/>
          <w:szCs w:val="20"/>
          <w:color w:val="auto"/>
        </w:rPr>
      </w:pPr>
      <w:r>
        <w:rPr>
          <w:rFonts w:ascii="Arial" w:cs="Arial" w:eastAsia="Arial" w:hAnsi="Arial"/>
          <w:sz w:val="14"/>
          <w:szCs w:val="14"/>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June 30, 2019, we served over 500 million registered users but only 13.6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40" w:lineRule="exact"/>
        <w:rPr>
          <w:sz w:val="20"/>
          <w:szCs w:val="20"/>
          <w:color w:val="auto"/>
        </w:rPr>
      </w:pPr>
    </w:p>
    <w:p>
      <w:pPr>
        <w:ind w:right="140" w:firstLine="348"/>
        <w:spacing w:after="0" w:line="273" w:lineRule="auto"/>
        <w:rPr>
          <w:sz w:val="20"/>
          <w:szCs w:val="20"/>
          <w:color w:val="auto"/>
        </w:rPr>
      </w:pPr>
      <w:r>
        <w:rPr>
          <w:rFonts w:ascii="Arial" w:cs="Arial" w:eastAsia="Arial" w:hAnsi="Arial"/>
          <w:sz w:val="15"/>
          <w:szCs w:val="15"/>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123"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100" w:firstLine="348"/>
        <w:spacing w:after="0" w:line="265" w:lineRule="auto"/>
        <w:rPr>
          <w:sz w:val="20"/>
          <w:szCs w:val="20"/>
          <w:color w:val="auto"/>
        </w:rPr>
      </w:pPr>
      <w:r>
        <w:rPr>
          <w:rFonts w:ascii="Arial" w:cs="Arial" w:eastAsia="Arial" w:hAnsi="Arial"/>
          <w:sz w:val="15"/>
          <w:szCs w:val="15"/>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net losses, we anticipate increasing expenses in the future, and we may not be able to achieve or maintain profitability.</w:t>
      </w:r>
    </w:p>
    <w:p>
      <w:pPr>
        <w:spacing w:after="0" w:line="198" w:lineRule="exact"/>
        <w:rPr>
          <w:sz w:val="20"/>
          <w:szCs w:val="20"/>
          <w:color w:val="auto"/>
        </w:rPr>
      </w:pPr>
    </w:p>
    <w:p>
      <w:pPr>
        <w:ind w:firstLine="348"/>
        <w:spacing w:after="0" w:line="281" w:lineRule="auto"/>
        <w:rPr>
          <w:sz w:val="20"/>
          <w:szCs w:val="20"/>
          <w:color w:val="auto"/>
        </w:rPr>
      </w:pPr>
      <w:r>
        <w:rPr>
          <w:rFonts w:ascii="Arial" w:cs="Arial" w:eastAsia="Arial" w:hAnsi="Arial"/>
          <w:sz w:val="14"/>
          <w:szCs w:val="14"/>
          <w:color w:val="auto"/>
        </w:rPr>
        <w:t>We have incurred net losses on an annual basis since our inception. We incurred net losses of $484.9 million, $111.7 million, and $210.2 million, in the years ended December 31, 2018, 2017 and 2016, respectively, and we had an accumulated deficit of $1,659.5 million as of December 31, 2018.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53" w:lineRule="exact"/>
        <w:rPr>
          <w:sz w:val="20"/>
          <w:szCs w:val="20"/>
          <w:color w:val="auto"/>
        </w:rPr>
      </w:pPr>
    </w:p>
    <w:p>
      <w:pPr>
        <w:ind w:right="460"/>
        <w:spacing w:after="0" w:line="289" w:lineRule="auto"/>
        <w:rPr>
          <w:sz w:val="20"/>
          <w:szCs w:val="20"/>
          <w:color w:val="auto"/>
        </w:rPr>
      </w:pPr>
      <w:r>
        <w:rPr>
          <w:rFonts w:ascii="Arial" w:cs="Arial" w:eastAsia="Arial" w:hAnsi="Arial"/>
          <w:sz w:val="15"/>
          <w:szCs w:val="15"/>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41" w:lineRule="exact"/>
        <w:rPr>
          <w:sz w:val="20"/>
          <w:szCs w:val="20"/>
          <w:color w:val="auto"/>
        </w:rPr>
      </w:pPr>
    </w:p>
    <w:p>
      <w:pPr>
        <w:ind w:right="20" w:firstLine="348"/>
        <w:spacing w:after="0" w:line="280" w:lineRule="auto"/>
        <w:rPr>
          <w:sz w:val="20"/>
          <w:szCs w:val="20"/>
          <w:color w:val="auto"/>
        </w:rPr>
      </w:pPr>
      <w:r>
        <w:rPr>
          <w:rFonts w:ascii="Arial" w:cs="Arial" w:eastAsia="Arial" w:hAnsi="Arial"/>
          <w:sz w:val="14"/>
          <w:szCs w:val="14"/>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53" w:lineRule="exact"/>
        <w:rPr>
          <w:sz w:val="20"/>
          <w:szCs w:val="20"/>
          <w:color w:val="auto"/>
        </w:rPr>
      </w:pPr>
    </w:p>
    <w:p>
      <w:pPr>
        <w:ind w:firstLine="348"/>
        <w:spacing w:after="0" w:line="289" w:lineRule="auto"/>
        <w:rPr>
          <w:sz w:val="20"/>
          <w:szCs w:val="20"/>
          <w:color w:val="auto"/>
        </w:rPr>
      </w:pPr>
      <w:r>
        <w:rPr>
          <w:rFonts w:ascii="Arial" w:cs="Arial" w:eastAsia="Arial" w:hAnsi="Arial"/>
          <w:sz w:val="15"/>
          <w:szCs w:val="15"/>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41" w:lineRule="exact"/>
        <w:rPr>
          <w:sz w:val="20"/>
          <w:szCs w:val="20"/>
          <w:color w:val="auto"/>
        </w:rPr>
      </w:pPr>
    </w:p>
    <w:p>
      <w:pPr>
        <w:jc w:val="both"/>
        <w:ind w:right="120" w:firstLine="348"/>
        <w:spacing w:after="0" w:line="273" w:lineRule="auto"/>
        <w:rPr>
          <w:sz w:val="20"/>
          <w:szCs w:val="20"/>
          <w:color w:val="auto"/>
        </w:rPr>
      </w:pPr>
      <w:r>
        <w:rPr>
          <w:rFonts w:ascii="Arial" w:cs="Arial" w:eastAsia="Arial" w:hAnsi="Arial"/>
          <w:sz w:val="15"/>
          <w:szCs w:val="15"/>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20"/>
          </w:cols>
          <w:pgMar w:left="240" w:top="123"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jc w:val="both"/>
        <w:ind w:right="20" w:firstLine="348"/>
        <w:spacing w:after="0" w:line="334" w:lineRule="auto"/>
        <w:rPr>
          <w:sz w:val="20"/>
          <w:szCs w:val="20"/>
          <w:color w:val="auto"/>
        </w:rPr>
      </w:pPr>
      <w:r>
        <w:rPr>
          <w:rFonts w:ascii="Arial" w:cs="Arial" w:eastAsia="Arial" w:hAnsi="Arial"/>
          <w:sz w:val="13"/>
          <w:szCs w:val="13"/>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17" w:lineRule="exact"/>
        <w:rPr>
          <w:sz w:val="20"/>
          <w:szCs w:val="20"/>
          <w:color w:val="auto"/>
        </w:rPr>
      </w:pPr>
    </w:p>
    <w:p>
      <w:pPr>
        <w:ind w:right="40" w:firstLine="348"/>
        <w:spacing w:after="0" w:line="282" w:lineRule="auto"/>
        <w:rPr>
          <w:sz w:val="20"/>
          <w:szCs w:val="20"/>
          <w:color w:val="auto"/>
        </w:rPr>
      </w:pPr>
      <w:r>
        <w:rPr>
          <w:rFonts w:ascii="Arial" w:cs="Arial" w:eastAsia="Arial" w:hAnsi="Arial"/>
          <w:sz w:val="14"/>
          <w:szCs w:val="14"/>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harmed by any significant disruption of service on our platform or loss of content.</w:t>
      </w:r>
    </w:p>
    <w:p>
      <w:pPr>
        <w:spacing w:after="0" w:line="198" w:lineRule="exact"/>
        <w:rPr>
          <w:sz w:val="20"/>
          <w:szCs w:val="20"/>
          <w:color w:val="auto"/>
        </w:rPr>
      </w:pPr>
    </w:p>
    <w:p>
      <w:pPr>
        <w:ind w:right="120" w:firstLine="348"/>
        <w:spacing w:after="0" w:line="293" w:lineRule="auto"/>
        <w:rPr>
          <w:sz w:val="20"/>
          <w:szCs w:val="20"/>
          <w:color w:val="auto"/>
        </w:rPr>
      </w:pPr>
      <w:r>
        <w:rPr>
          <w:rFonts w:ascii="Arial" w:cs="Arial" w:eastAsia="Arial" w:hAnsi="Arial"/>
          <w:sz w:val="14"/>
          <w:szCs w:val="14"/>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40" w:lineRule="exact"/>
        <w:rPr>
          <w:sz w:val="20"/>
          <w:szCs w:val="20"/>
          <w:color w:val="auto"/>
        </w:rPr>
      </w:pPr>
    </w:p>
    <w:p>
      <w:pPr>
        <w:ind w:right="220" w:firstLine="348"/>
        <w:spacing w:after="0" w:line="302" w:lineRule="auto"/>
        <w:rPr>
          <w:sz w:val="20"/>
          <w:szCs w:val="20"/>
          <w:color w:val="auto"/>
        </w:rPr>
      </w:pPr>
      <w:r>
        <w:rPr>
          <w:rFonts w:ascii="Arial" w:cs="Arial" w:eastAsia="Arial" w:hAnsi="Arial"/>
          <w:sz w:val="14"/>
          <w:szCs w:val="14"/>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33" w:lineRule="exact"/>
        <w:rPr>
          <w:sz w:val="20"/>
          <w:szCs w:val="20"/>
          <w:color w:val="auto"/>
        </w:rPr>
      </w:pPr>
    </w:p>
    <w:p>
      <w:pPr>
        <w:ind w:right="40" w:firstLine="348"/>
        <w:spacing w:after="0" w:line="264"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59" w:lineRule="exact"/>
        <w:rPr>
          <w:sz w:val="20"/>
          <w:szCs w:val="20"/>
          <w:color w:val="auto"/>
        </w:rPr>
      </w:pPr>
    </w:p>
    <w:p>
      <w:pPr>
        <w:ind w:firstLine="348"/>
        <w:spacing w:after="0" w:line="265" w:lineRule="auto"/>
        <w:rPr>
          <w:sz w:val="20"/>
          <w:szCs w:val="20"/>
          <w:color w:val="auto"/>
        </w:rPr>
      </w:pPr>
      <w:r>
        <w:rPr>
          <w:rFonts w:ascii="Arial" w:cs="Arial" w:eastAsia="Arial" w:hAnsi="Arial"/>
          <w:sz w:val="15"/>
          <w:szCs w:val="15"/>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60" w:lineRule="exact"/>
        <w:rPr>
          <w:sz w:val="20"/>
          <w:szCs w:val="20"/>
          <w:color w:val="auto"/>
        </w:rPr>
      </w:pPr>
    </w:p>
    <w:p>
      <w:pPr>
        <w:ind w:right="340"/>
        <w:spacing w:after="0" w:line="289" w:lineRule="auto"/>
        <w:rPr>
          <w:sz w:val="20"/>
          <w:szCs w:val="20"/>
          <w:color w:val="auto"/>
        </w:rPr>
      </w:pPr>
      <w:r>
        <w:rPr>
          <w:rFonts w:ascii="Arial" w:cs="Arial" w:eastAsia="Arial" w:hAnsi="Arial"/>
          <w:sz w:val="15"/>
          <w:szCs w:val="15"/>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41" w:lineRule="exact"/>
        <w:rPr>
          <w:sz w:val="20"/>
          <w:szCs w:val="20"/>
          <w:color w:val="auto"/>
        </w:rPr>
      </w:pPr>
    </w:p>
    <w:p>
      <w:pPr>
        <w:ind w:right="100" w:firstLine="348"/>
        <w:spacing w:after="0" w:line="273" w:lineRule="auto"/>
        <w:rPr>
          <w:sz w:val="20"/>
          <w:szCs w:val="20"/>
          <w:color w:val="auto"/>
        </w:rPr>
      </w:pPr>
      <w:r>
        <w:rPr>
          <w:rFonts w:ascii="Arial" w:cs="Arial" w:eastAsia="Arial" w:hAnsi="Arial"/>
          <w:sz w:val="15"/>
          <w:szCs w:val="15"/>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440"/>
          </w:cols>
          <w:pgMar w:left="240" w:top="123" w:right="21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120" w:firstLine="348"/>
        <w:spacing w:after="0" w:line="273" w:lineRule="auto"/>
        <w:rPr>
          <w:sz w:val="20"/>
          <w:szCs w:val="20"/>
          <w:color w:val="auto"/>
        </w:rPr>
      </w:pPr>
      <w:r>
        <w:rPr>
          <w:rFonts w:ascii="Arial" w:cs="Arial" w:eastAsia="Arial" w:hAnsi="Arial"/>
          <w:sz w:val="15"/>
          <w:szCs w:val="15"/>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53" w:lineRule="exact"/>
        <w:rPr>
          <w:sz w:val="20"/>
          <w:szCs w:val="20"/>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awareness of the content collaboration category generally;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availability of products and services that compete with ours;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brand;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customer support; 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pricing.</w:t>
      </w:r>
    </w:p>
    <w:p>
      <w:pPr>
        <w:spacing w:after="0" w:line="198" w:lineRule="exact"/>
        <w:rPr>
          <w:sz w:val="20"/>
          <w:szCs w:val="20"/>
          <w:color w:val="auto"/>
        </w:rPr>
      </w:pPr>
    </w:p>
    <w:p>
      <w:pPr>
        <w:ind w:right="20" w:firstLine="348"/>
        <w:spacing w:after="0" w:line="327" w:lineRule="auto"/>
        <w:rPr>
          <w:sz w:val="20"/>
          <w:szCs w:val="20"/>
          <w:color w:val="auto"/>
        </w:rPr>
      </w:pPr>
      <w:r>
        <w:rPr>
          <w:rFonts w:ascii="Arial" w:cs="Arial" w:eastAsia="Arial" w:hAnsi="Arial"/>
          <w:sz w:val="14"/>
          <w:szCs w:val="14"/>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198" w:lineRule="exact"/>
        <w:rPr>
          <w:sz w:val="20"/>
          <w:szCs w:val="20"/>
          <w:color w:val="auto"/>
        </w:rPr>
      </w:pPr>
    </w:p>
    <w:p>
      <w:pPr>
        <w:ind w:right="20" w:firstLine="348"/>
        <w:spacing w:after="0" w:line="284" w:lineRule="auto"/>
        <w:rPr>
          <w:sz w:val="20"/>
          <w:szCs w:val="20"/>
          <w:color w:val="auto"/>
        </w:rPr>
      </w:pPr>
      <w:r>
        <w:rPr>
          <w:rFonts w:ascii="Arial" w:cs="Arial" w:eastAsia="Arial" w:hAnsi="Arial"/>
          <w:sz w:val="14"/>
          <w:szCs w:val="14"/>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49" w:lineRule="exact"/>
        <w:rPr>
          <w:sz w:val="20"/>
          <w:szCs w:val="20"/>
          <w:color w:val="auto"/>
        </w:rPr>
      </w:pPr>
    </w:p>
    <w:p>
      <w:pPr>
        <w:ind w:firstLine="348"/>
        <w:spacing w:after="0" w:line="263" w:lineRule="auto"/>
        <w:rPr>
          <w:sz w:val="20"/>
          <w:szCs w:val="20"/>
          <w:color w:val="auto"/>
        </w:rPr>
      </w:pPr>
      <w:r>
        <w:rPr>
          <w:rFonts w:ascii="Arial" w:cs="Arial" w:eastAsia="Arial" w:hAnsi="Arial"/>
          <w:sz w:val="15"/>
          <w:szCs w:val="15"/>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competitive markets, and we must continue to compete effectively.</w:t>
      </w:r>
    </w:p>
    <w:p>
      <w:pPr>
        <w:spacing w:after="0" w:line="198" w:lineRule="exact"/>
        <w:rPr>
          <w:sz w:val="20"/>
          <w:szCs w:val="20"/>
          <w:color w:val="auto"/>
        </w:rPr>
      </w:pPr>
    </w:p>
    <w:p>
      <w:pPr>
        <w:ind w:right="60" w:firstLine="348"/>
        <w:spacing w:after="0" w:line="273" w:lineRule="auto"/>
        <w:rPr>
          <w:sz w:val="20"/>
          <w:szCs w:val="20"/>
          <w:color w:val="auto"/>
        </w:rPr>
      </w:pPr>
      <w:r>
        <w:rPr>
          <w:rFonts w:ascii="Arial" w:cs="Arial" w:eastAsia="Arial" w:hAnsi="Arial"/>
          <w:sz w:val="15"/>
          <w:szCs w:val="15"/>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40"/>
          </w:cols>
          <w:pgMar w:left="240" w:top="123" w:right="21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point solutions in the cloud storage market or the content collaboration market. We believe the principal competitive factors in our markets include the following:</w:t>
      </w:r>
    </w:p>
    <w:p>
      <w:pPr>
        <w:spacing w:after="0" w:line="198" w:lineRule="exact"/>
        <w:rPr>
          <w:sz w:val="20"/>
          <w:szCs w:val="20"/>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brand;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 and applications;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pricing.</w:t>
      </w:r>
    </w:p>
    <w:p>
      <w:pPr>
        <w:spacing w:after="0" w:line="198" w:lineRule="exact"/>
        <w:rPr>
          <w:sz w:val="20"/>
          <w:szCs w:val="20"/>
          <w:color w:val="auto"/>
        </w:rPr>
      </w:pPr>
    </w:p>
    <w:p>
      <w:pPr>
        <w:ind w:right="120" w:firstLine="348"/>
        <w:spacing w:after="0" w:line="289" w:lineRule="auto"/>
        <w:rPr>
          <w:sz w:val="20"/>
          <w:szCs w:val="20"/>
          <w:color w:val="auto"/>
        </w:rPr>
      </w:pPr>
      <w:r>
        <w:rPr>
          <w:rFonts w:ascii="Arial" w:cs="Arial" w:eastAsia="Arial" w:hAnsi="Arial"/>
          <w:sz w:val="14"/>
          <w:szCs w:val="14"/>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43" w:lineRule="exact"/>
        <w:rPr>
          <w:sz w:val="20"/>
          <w:szCs w:val="20"/>
          <w:color w:val="auto"/>
        </w:rPr>
      </w:pPr>
    </w:p>
    <w:p>
      <w:pPr>
        <w:ind w:right="20" w:firstLine="348"/>
        <w:spacing w:after="0" w:line="289" w:lineRule="auto"/>
        <w:rPr>
          <w:sz w:val="20"/>
          <w:szCs w:val="20"/>
          <w:color w:val="auto"/>
        </w:rPr>
      </w:pPr>
      <w:r>
        <w:rPr>
          <w:rFonts w:ascii="Arial" w:cs="Arial" w:eastAsia="Arial" w:hAnsi="Arial"/>
          <w:sz w:val="14"/>
          <w:szCs w:val="14"/>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respond to rapid technological changes, extend our platform, or develop new features or products.</w:t>
      </w:r>
    </w:p>
    <w:p>
      <w:pPr>
        <w:spacing w:after="0" w:line="198" w:lineRule="exact"/>
        <w:rPr>
          <w:sz w:val="20"/>
          <w:szCs w:val="20"/>
          <w:color w:val="auto"/>
        </w:rPr>
      </w:pPr>
    </w:p>
    <w:p>
      <w:pPr>
        <w:ind w:firstLine="348"/>
        <w:spacing w:after="0" w:line="282" w:lineRule="auto"/>
        <w:rPr>
          <w:sz w:val="20"/>
          <w:szCs w:val="20"/>
          <w:color w:val="auto"/>
        </w:rPr>
      </w:pPr>
      <w:r>
        <w:rPr>
          <w:rFonts w:ascii="Arial" w:cs="Arial" w:eastAsia="Arial" w:hAnsi="Arial"/>
          <w:sz w:val="14"/>
          <w:szCs w:val="14"/>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new collaborative product experience. More recently, in 2018, we announced Dropbox Extensions, which allows users to initiate and manage workflows with third-party partner applications from Dropbox.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40"/>
          </w:cols>
          <w:pgMar w:left="240" w:top="123" w:right="21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firstLine="348"/>
        <w:spacing w:after="0" w:line="282" w:lineRule="auto"/>
        <w:rPr>
          <w:sz w:val="20"/>
          <w:szCs w:val="20"/>
          <w:color w:val="auto"/>
        </w:rPr>
      </w:pPr>
      <w:r>
        <w:rPr>
          <w:rFonts w:ascii="Arial" w:cs="Arial" w:eastAsia="Arial" w:hAnsi="Arial"/>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successfully manage our growth or plan for future growth.</w:t>
      </w:r>
    </w:p>
    <w:p>
      <w:pPr>
        <w:spacing w:after="0" w:line="198" w:lineRule="exact"/>
        <w:rPr>
          <w:sz w:val="20"/>
          <w:szCs w:val="20"/>
          <w:color w:val="auto"/>
        </w:rPr>
      </w:pPr>
    </w:p>
    <w:p>
      <w:pPr>
        <w:ind w:right="40" w:firstLine="348"/>
        <w:spacing w:after="0" w:line="263" w:lineRule="auto"/>
        <w:rPr>
          <w:sz w:val="20"/>
          <w:szCs w:val="20"/>
          <w:color w:val="auto"/>
        </w:rPr>
      </w:pPr>
      <w:r>
        <w:rPr>
          <w:rFonts w:ascii="Arial" w:cs="Arial" w:eastAsia="Arial" w:hAnsi="Arial"/>
          <w:sz w:val="15"/>
          <w:szCs w:val="15"/>
          <w:color w:val="auto"/>
        </w:rPr>
        <w:t>Since our founding in 2007, we have experienced rapid growth. For example, our headcount has grown from 1,612 employees as of December 31, 2016, to 2,323 employees as of December 31, 2018,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59" w:lineRule="exact"/>
        <w:rPr>
          <w:sz w:val="20"/>
          <w:szCs w:val="20"/>
          <w:color w:val="auto"/>
        </w:rPr>
      </w:pPr>
    </w:p>
    <w:p>
      <w:pPr>
        <w:ind w:firstLine="348"/>
        <w:spacing w:after="0" w:line="268"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lack of a significant outbound sales force may limit the potential growth of our business.</w:t>
      </w:r>
    </w:p>
    <w:p>
      <w:pPr>
        <w:spacing w:after="0" w:line="198" w:lineRule="exact"/>
        <w:rPr>
          <w:sz w:val="20"/>
          <w:szCs w:val="20"/>
          <w:color w:val="auto"/>
        </w:rPr>
      </w:pPr>
    </w:p>
    <w:p>
      <w:pPr>
        <w:ind w:firstLine="348"/>
        <w:spacing w:after="0" w:line="282" w:lineRule="auto"/>
        <w:rPr>
          <w:sz w:val="20"/>
          <w:szCs w:val="20"/>
          <w:color w:val="auto"/>
        </w:rPr>
      </w:pPr>
      <w:r>
        <w:rPr>
          <w:rFonts w:ascii="Arial" w:cs="Arial" w:eastAsia="Arial" w:hAnsi="Arial"/>
          <w:sz w:val="14"/>
          <w:szCs w:val="14"/>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expand sales to large organizations, which could lengthen sales cycles and result in greater deployment challenges.</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5"/>
          <w:szCs w:val="15"/>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420"/>
          </w:cols>
          <w:pgMar w:left="240" w:top="123"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produce any sales. As a result, sales to large organizations may lead to greater unpredictability in our business, results of operations,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to offer high-quality customer support may harm our relationships with our users and our financial results.</w:t>
      </w:r>
    </w:p>
    <w:p>
      <w:pPr>
        <w:spacing w:after="0" w:line="198" w:lineRule="exact"/>
        <w:rPr>
          <w:sz w:val="20"/>
          <w:szCs w:val="20"/>
          <w:color w:val="auto"/>
        </w:rPr>
      </w:pPr>
    </w:p>
    <w:p>
      <w:pPr>
        <w:ind w:right="100" w:firstLine="348"/>
        <w:spacing w:after="0" w:line="262" w:lineRule="auto"/>
        <w:rPr>
          <w:sz w:val="20"/>
          <w:szCs w:val="20"/>
          <w:color w:val="auto"/>
        </w:rPr>
      </w:pPr>
      <w:r>
        <w:rPr>
          <w:rFonts w:ascii="Arial" w:cs="Arial" w:eastAsia="Arial" w:hAnsi="Arial"/>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 million as of December 31, 2016, to 13.6 million as of June 30, 2019.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results may fluctuate significantly and may not fully reflect the underlying performance of our business.</w:t>
      </w:r>
    </w:p>
    <w:p>
      <w:pPr>
        <w:spacing w:after="0" w:line="198"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5"/>
          <w:szCs w:val="15"/>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60" w:lineRule="exact"/>
        <w:rPr>
          <w:sz w:val="20"/>
          <w:szCs w:val="20"/>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ability to attract new paying users and convert registered to paying users;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timing of expenses and recognition of revenue;</w:t>
      </w:r>
    </w:p>
    <w:p>
      <w:pPr>
        <w:spacing w:after="0" w:line="198" w:lineRule="exact"/>
        <w:rPr>
          <w:rFonts w:ascii="Arial" w:cs="Arial" w:eastAsia="Arial" w:hAnsi="Arial"/>
          <w:sz w:val="15"/>
          <w:szCs w:val="15"/>
          <w:color w:val="auto"/>
        </w:rPr>
      </w:pPr>
    </w:p>
    <w:p>
      <w:pPr>
        <w:ind w:left="1100" w:right="160" w:hanging="273"/>
        <w:spacing w:after="0" w:line="289" w:lineRule="auto"/>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the maintenance and expansion of our business, operations, and infrastructure, as well as entry into operating and finance leases;</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timing of expenses related to acquisitions;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large indemnification payments to our users or other third parties;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our pricing policies or those of our competitors;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timing and success of new product feature and service introductions by us or our competitors;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may not immediately reflect downturns or upturns in sales because we recognize revenue from our users over the term of their subscriptions with us.</w:t>
      </w:r>
    </w:p>
    <w:p>
      <w:pPr>
        <w:spacing w:after="0" w:line="221" w:lineRule="exact"/>
        <w:rPr>
          <w:sz w:val="20"/>
          <w:szCs w:val="20"/>
          <w:color w:val="auto"/>
        </w:rPr>
      </w:pPr>
    </w:p>
    <w:p>
      <w:pPr>
        <w:ind w:right="20" w:firstLine="348"/>
        <w:spacing w:after="0" w:line="273" w:lineRule="auto"/>
        <w:rPr>
          <w:sz w:val="20"/>
          <w:szCs w:val="20"/>
          <w:color w:val="auto"/>
        </w:rPr>
      </w:pPr>
      <w:r>
        <w:rPr>
          <w:rFonts w:ascii="Arial" w:cs="Arial" w:eastAsia="Arial" w:hAnsi="Arial"/>
          <w:sz w:val="15"/>
          <w:szCs w:val="15"/>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123"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6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41" w:lineRule="exact"/>
        <w:rPr>
          <w:sz w:val="20"/>
          <w:szCs w:val="20"/>
          <w:color w:val="auto"/>
        </w:rPr>
      </w:pPr>
    </w:p>
    <w:p>
      <w:pPr>
        <w:ind w:firstLine="348"/>
        <w:spacing w:after="0" w:line="286" w:lineRule="auto"/>
        <w:rPr>
          <w:sz w:val="20"/>
          <w:szCs w:val="20"/>
          <w:color w:val="auto"/>
        </w:rPr>
      </w:pPr>
      <w:r>
        <w:rPr>
          <w:rFonts w:ascii="Arial" w:cs="Arial" w:eastAsia="Arial" w:hAnsi="Arial"/>
          <w:sz w:val="14"/>
          <w:szCs w:val="14"/>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may be changes in our management team resulting from the hiring or departure of our executives. For example, in the third quarter of 2018 we announced that Dennis Woodside, our former Chief Operating Officer, had resigned such role, remaining an advisor through the end of 2018.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46" w:lineRule="exact"/>
        <w:rPr>
          <w:sz w:val="20"/>
          <w:szCs w:val="20"/>
          <w:color w:val="auto"/>
        </w:rPr>
      </w:pPr>
    </w:p>
    <w:p>
      <w:pPr>
        <w:jc w:val="both"/>
        <w:ind w:right="340" w:firstLine="348"/>
        <w:spacing w:after="0" w:line="273" w:lineRule="auto"/>
        <w:rPr>
          <w:sz w:val="20"/>
          <w:szCs w:val="20"/>
          <w:color w:val="auto"/>
        </w:rPr>
      </w:pPr>
      <w:r>
        <w:rPr>
          <w:rFonts w:ascii="Arial" w:cs="Arial" w:eastAsia="Arial" w:hAnsi="Arial"/>
          <w:sz w:val="15"/>
          <w:szCs w:val="15"/>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53" w:lineRule="exact"/>
        <w:rPr>
          <w:sz w:val="20"/>
          <w:szCs w:val="20"/>
          <w:color w:val="auto"/>
        </w:rPr>
      </w:pPr>
    </w:p>
    <w:p>
      <w:pPr>
        <w:ind w:right="40" w:firstLine="348"/>
        <w:spacing w:after="0" w:line="283" w:lineRule="auto"/>
        <w:rPr>
          <w:sz w:val="20"/>
          <w:szCs w:val="20"/>
          <w:color w:val="auto"/>
        </w:rPr>
      </w:pPr>
      <w:r>
        <w:rPr>
          <w:rFonts w:ascii="Arial" w:cs="Arial" w:eastAsia="Arial" w:hAnsi="Arial"/>
          <w:sz w:val="14"/>
          <w:szCs w:val="14"/>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49" w:lineRule="exact"/>
        <w:rPr>
          <w:sz w:val="20"/>
          <w:szCs w:val="20"/>
          <w:color w:val="auto"/>
        </w:rPr>
      </w:pPr>
    </w:p>
    <w:p>
      <w:pPr>
        <w:ind w:right="420" w:firstLine="348"/>
        <w:spacing w:after="0" w:line="273" w:lineRule="auto"/>
        <w:rPr>
          <w:sz w:val="20"/>
          <w:szCs w:val="20"/>
          <w:color w:val="auto"/>
        </w:rPr>
      </w:pPr>
      <w:r>
        <w:rPr>
          <w:rFonts w:ascii="Arial" w:cs="Arial" w:eastAsia="Arial" w:hAnsi="Arial"/>
          <w:sz w:val="15"/>
          <w:szCs w:val="15"/>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53" w:lineRule="exact"/>
        <w:rPr>
          <w:sz w:val="20"/>
          <w:szCs w:val="20"/>
          <w:color w:val="auto"/>
        </w:rPr>
      </w:pPr>
    </w:p>
    <w:p>
      <w:pPr>
        <w:ind w:right="360"/>
        <w:spacing w:after="0" w:line="289" w:lineRule="auto"/>
        <w:rPr>
          <w:sz w:val="20"/>
          <w:szCs w:val="20"/>
          <w:color w:val="auto"/>
        </w:rPr>
      </w:pPr>
      <w:r>
        <w:rPr>
          <w:rFonts w:ascii="Arial" w:cs="Arial" w:eastAsia="Arial" w:hAnsi="Arial"/>
          <w:sz w:val="15"/>
          <w:szCs w:val="15"/>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41" w:lineRule="exact"/>
        <w:rPr>
          <w:sz w:val="20"/>
          <w:szCs w:val="20"/>
          <w:color w:val="auto"/>
        </w:rPr>
      </w:pPr>
    </w:p>
    <w:p>
      <w:pPr>
        <w:ind w:right="120" w:firstLine="348"/>
        <w:spacing w:after="0" w:line="265"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60" w:lineRule="exact"/>
        <w:rPr>
          <w:sz w:val="20"/>
          <w:szCs w:val="20"/>
          <w:color w:val="auto"/>
        </w:rPr>
      </w:pPr>
    </w:p>
    <w:p>
      <w:pPr>
        <w:ind w:right="680"/>
        <w:spacing w:after="0" w:line="289" w:lineRule="auto"/>
        <w:rPr>
          <w:sz w:val="20"/>
          <w:szCs w:val="20"/>
          <w:color w:val="auto"/>
        </w:rPr>
      </w:pPr>
      <w:r>
        <w:rPr>
          <w:rFonts w:ascii="Arial" w:cs="Arial" w:eastAsia="Arial" w:hAnsi="Arial"/>
          <w:sz w:val="15"/>
          <w:szCs w:val="15"/>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41" w:lineRule="exact"/>
        <w:rPr>
          <w:sz w:val="20"/>
          <w:szCs w:val="20"/>
          <w:color w:val="auto"/>
        </w:rPr>
      </w:pPr>
    </w:p>
    <w:p>
      <w:pPr>
        <w:ind w:firstLine="348"/>
        <w:spacing w:after="0" w:line="289" w:lineRule="auto"/>
        <w:rPr>
          <w:sz w:val="20"/>
          <w:szCs w:val="20"/>
          <w:color w:val="auto"/>
        </w:rPr>
      </w:pPr>
      <w:r>
        <w:rPr>
          <w:rFonts w:ascii="Arial" w:cs="Arial" w:eastAsia="Arial" w:hAnsi="Arial"/>
          <w:sz w:val="15"/>
          <w:szCs w:val="15"/>
          <w:color w:val="auto"/>
        </w:rPr>
        <w:t>We have paying users across 180 countries and approximately half of our revenue in the year ended December 31, 2018 was generated from paying users outside the United States. We expect to continue to expand our international operations, which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20"/>
          </w:cols>
          <w:pgMar w:left="240" w:top="123" w:right="2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59" w:lineRule="exact"/>
        <w:rPr>
          <w:sz w:val="20"/>
          <w:szCs w:val="20"/>
          <w:color w:val="auto"/>
        </w:rPr>
      </w:pPr>
    </w:p>
    <w:p>
      <w:pPr>
        <w:ind w:left="1100" w:right="300" w:hanging="273"/>
        <w:spacing w:after="0" w:line="371" w:lineRule="auto"/>
        <w:tabs>
          <w:tab w:leader="none" w:pos="11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93" w:lineRule="exact"/>
        <w:rPr>
          <w:rFonts w:ascii="Arial" w:cs="Arial" w:eastAsia="Arial" w:hAnsi="Arial"/>
          <w:sz w:val="13"/>
          <w:szCs w:val="13"/>
          <w:color w:val="auto"/>
        </w:rPr>
      </w:pPr>
    </w:p>
    <w:p>
      <w:pPr>
        <w:ind w:left="1100" w:hanging="273"/>
        <w:spacing w:after="0"/>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outside the United States, and maintaining our company culture across all of our offices;</w:t>
      </w:r>
    </w:p>
    <w:p>
      <w:pPr>
        <w:spacing w:after="0" w:line="198" w:lineRule="exact"/>
        <w:rPr>
          <w:rFonts w:ascii="Arial" w:cs="Arial" w:eastAsia="Arial" w:hAnsi="Arial"/>
          <w:sz w:val="15"/>
          <w:szCs w:val="15"/>
          <w:color w:val="auto"/>
        </w:rPr>
      </w:pPr>
    </w:p>
    <w:p>
      <w:pPr>
        <w:ind w:left="1100" w:right="260" w:hanging="273"/>
        <w:spacing w:after="0" w:line="289" w:lineRule="auto"/>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operating in jurisdictions that do not protect intellectual property rights to the same extent as does the United States;</w:t>
      </w:r>
    </w:p>
    <w:p>
      <w:pPr>
        <w:spacing w:after="0" w:line="198" w:lineRule="exact"/>
        <w:rPr>
          <w:rFonts w:ascii="Arial" w:cs="Arial" w:eastAsia="Arial" w:hAnsi="Arial"/>
          <w:sz w:val="15"/>
          <w:szCs w:val="15"/>
          <w:color w:val="auto"/>
        </w:rPr>
      </w:pPr>
    </w:p>
    <w:p>
      <w:pPr>
        <w:ind w:left="1100" w:right="100" w:hanging="273"/>
        <w:spacing w:after="0" w:line="289" w:lineRule="auto"/>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40" w:lineRule="exact"/>
        <w:rPr>
          <w:rFonts w:ascii="Arial" w:cs="Arial" w:eastAsia="Arial" w:hAnsi="Arial"/>
          <w:sz w:val="15"/>
          <w:szCs w:val="15"/>
          <w:color w:val="auto"/>
        </w:rPr>
      </w:pPr>
    </w:p>
    <w:p>
      <w:pPr>
        <w:ind w:left="1100" w:right="60" w:hanging="273"/>
        <w:spacing w:after="0" w:line="289" w:lineRule="auto"/>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foreign exchange controls that might require significant lead time in setting up operations in certain geographic territories and might prevent us from repatriating cash earned outside the United States;</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198" w:lineRule="exact"/>
        <w:rPr>
          <w:rFonts w:ascii="Arial" w:cs="Arial" w:eastAsia="Arial" w:hAnsi="Arial"/>
          <w:sz w:val="15"/>
          <w:szCs w:val="15"/>
          <w:color w:val="auto"/>
        </w:rPr>
      </w:pPr>
    </w:p>
    <w:p>
      <w:pPr>
        <w:ind w:left="1100" w:right="420" w:hanging="273"/>
        <w:spacing w:after="0" w:line="289" w:lineRule="auto"/>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diplomatic and trade relationships, including the imposition of new trade restrictions, trade protection measures, import or export requirements, trade embargoes and other trade barriers;</w:t>
      </w:r>
    </w:p>
    <w:p>
      <w:pPr>
        <w:spacing w:after="0" w:line="140" w:lineRule="exact"/>
        <w:rPr>
          <w:rFonts w:ascii="Arial" w:cs="Arial" w:eastAsia="Arial" w:hAnsi="Arial"/>
          <w:sz w:val="15"/>
          <w:szCs w:val="15"/>
          <w:color w:val="auto"/>
        </w:rPr>
      </w:pPr>
    </w:p>
    <w:p>
      <w:pPr>
        <w:ind w:left="1100" w:right="320" w:hanging="273"/>
        <w:spacing w:after="0" w:line="289" w:lineRule="auto"/>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double taxation of our international earnings and potentially adverse tax consequences due to changes in the income and other tax laws of the United States or the international jurisdictions in which we operate; and</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higher costs of doing business internationally, including increased accounting, travel, infrastructure, and legal compliance costs.</w:t>
      </w:r>
    </w:p>
    <w:p>
      <w:pPr>
        <w:spacing w:after="0" w:line="198" w:lineRule="exact"/>
        <w:rPr>
          <w:sz w:val="20"/>
          <w:szCs w:val="20"/>
          <w:color w:val="auto"/>
        </w:rPr>
      </w:pPr>
    </w:p>
    <w:p>
      <w:pPr>
        <w:ind w:right="40" w:firstLine="348"/>
        <w:spacing w:after="0" w:line="265" w:lineRule="auto"/>
        <w:rPr>
          <w:sz w:val="20"/>
          <w:szCs w:val="20"/>
          <w:color w:val="auto"/>
        </w:rPr>
      </w:pPr>
      <w:r>
        <w:rPr>
          <w:rFonts w:ascii="Arial" w:cs="Arial" w:eastAsia="Arial" w:hAnsi="Arial"/>
          <w:sz w:val="15"/>
          <w:szCs w:val="15"/>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198" w:lineRule="exact"/>
        <w:rPr>
          <w:sz w:val="20"/>
          <w:szCs w:val="20"/>
          <w:color w:val="auto"/>
        </w:rPr>
      </w:pPr>
    </w:p>
    <w:p>
      <w:pPr>
        <w:ind w:firstLine="348"/>
        <w:spacing w:after="0" w:line="273" w:lineRule="auto"/>
        <w:rPr>
          <w:sz w:val="20"/>
          <w:szCs w:val="20"/>
          <w:color w:val="auto"/>
        </w:rPr>
      </w:pPr>
      <w:r>
        <w:rPr>
          <w:rFonts w:ascii="Arial" w:cs="Arial" w:eastAsia="Arial" w:hAnsi="Arial"/>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2018, 30% of our sales were denominated in currencies other than U.S. dollars. Our expenses, by contrast, are primarily denominated in 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420"/>
          </w:cols>
          <w:pgMar w:left="240" w:top="123" w:right="23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jc w:val="both"/>
        <w:ind w:right="300"/>
        <w:spacing w:after="0" w:line="322" w:lineRule="auto"/>
        <w:rPr>
          <w:sz w:val="20"/>
          <w:szCs w:val="20"/>
          <w:color w:val="auto"/>
        </w:rPr>
      </w:pPr>
      <w:r>
        <w:rPr>
          <w:rFonts w:ascii="Arial" w:cs="Arial" w:eastAsia="Arial" w:hAnsi="Arial"/>
          <w:sz w:val="13"/>
          <w:szCs w:val="13"/>
          <w:color w:val="auto"/>
        </w:rPr>
        <w:t>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24" w:lineRule="exact"/>
        <w:rPr>
          <w:sz w:val="20"/>
          <w:szCs w:val="20"/>
          <w:color w:val="auto"/>
        </w:rPr>
      </w:pPr>
    </w:p>
    <w:p>
      <w:pPr>
        <w:ind w:right="460"/>
        <w:spacing w:after="0" w:line="289" w:lineRule="auto"/>
        <w:rPr>
          <w:sz w:val="20"/>
          <w:szCs w:val="20"/>
          <w:color w:val="auto"/>
        </w:rPr>
      </w:pPr>
      <w:r>
        <w:rPr>
          <w:rFonts w:ascii="Arial" w:cs="Arial" w:eastAsia="Arial" w:hAnsi="Arial"/>
          <w:sz w:val="15"/>
          <w:szCs w:val="15"/>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41" w:lineRule="exact"/>
        <w:rPr>
          <w:sz w:val="20"/>
          <w:szCs w:val="20"/>
          <w:color w:val="auto"/>
        </w:rPr>
      </w:pPr>
    </w:p>
    <w:p>
      <w:pPr>
        <w:ind w:right="40" w:firstLine="348"/>
        <w:spacing w:after="0" w:line="268" w:lineRule="auto"/>
        <w:rPr>
          <w:sz w:val="20"/>
          <w:szCs w:val="20"/>
          <w:color w:val="auto"/>
        </w:rPr>
      </w:pPr>
      <w:r>
        <w:rPr>
          <w:rFonts w:ascii="Arial" w:cs="Arial" w:eastAsia="Arial" w:hAnsi="Arial"/>
          <w:sz w:val="15"/>
          <w:szCs w:val="15"/>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6" w:lineRule="exact"/>
        <w:rPr>
          <w:sz w:val="20"/>
          <w:szCs w:val="20"/>
          <w:color w:val="auto"/>
        </w:rPr>
      </w:pPr>
    </w:p>
    <w:p>
      <w:pPr>
        <w:ind w:right="40" w:firstLine="348"/>
        <w:spacing w:after="0" w:line="264" w:lineRule="auto"/>
        <w:rPr>
          <w:sz w:val="20"/>
          <w:szCs w:val="20"/>
          <w:color w:val="auto"/>
        </w:rPr>
      </w:pPr>
      <w:r>
        <w:rPr>
          <w:rFonts w:ascii="Arial" w:cs="Arial" w:eastAsia="Arial" w:hAnsi="Arial"/>
          <w:sz w:val="15"/>
          <w:szCs w:val="15"/>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59" w:lineRule="exact"/>
        <w:rPr>
          <w:sz w:val="20"/>
          <w:szCs w:val="20"/>
          <w:color w:val="auto"/>
        </w:rPr>
      </w:pPr>
    </w:p>
    <w:p>
      <w:pPr>
        <w:ind w:right="20" w:firstLine="348"/>
        <w:spacing w:after="0" w:line="289" w:lineRule="auto"/>
        <w:rPr>
          <w:sz w:val="20"/>
          <w:szCs w:val="20"/>
          <w:color w:val="auto"/>
        </w:rPr>
      </w:pPr>
      <w:r>
        <w:rPr>
          <w:rFonts w:ascii="Arial" w:cs="Arial" w:eastAsia="Arial" w:hAnsi="Arial"/>
          <w:sz w:val="14"/>
          <w:szCs w:val="14"/>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43" w:lineRule="exact"/>
        <w:rPr>
          <w:sz w:val="20"/>
          <w:szCs w:val="20"/>
          <w:color w:val="auto"/>
        </w:rPr>
      </w:pPr>
    </w:p>
    <w:p>
      <w:pPr>
        <w:ind w:right="520"/>
        <w:spacing w:after="0" w:line="289" w:lineRule="auto"/>
        <w:rPr>
          <w:sz w:val="20"/>
          <w:szCs w:val="20"/>
          <w:color w:val="auto"/>
        </w:rPr>
      </w:pPr>
      <w:r>
        <w:rPr>
          <w:rFonts w:ascii="Arial" w:cs="Arial" w:eastAsia="Arial" w:hAnsi="Arial"/>
          <w:sz w:val="15"/>
          <w:szCs w:val="15"/>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41" w:lineRule="exact"/>
        <w:rPr>
          <w:sz w:val="20"/>
          <w:szCs w:val="20"/>
          <w:color w:val="auto"/>
        </w:rPr>
      </w:pPr>
    </w:p>
    <w:p>
      <w:pPr>
        <w:ind w:right="160" w:firstLine="348"/>
        <w:spacing w:after="0" w:line="289" w:lineRule="auto"/>
        <w:rPr>
          <w:sz w:val="20"/>
          <w:szCs w:val="20"/>
          <w:color w:val="auto"/>
        </w:rPr>
      </w:pPr>
      <w:r>
        <w:rPr>
          <w:rFonts w:ascii="Arial" w:cs="Arial" w:eastAsia="Arial" w:hAnsi="Arial"/>
          <w:sz w:val="14"/>
          <w:szCs w:val="14"/>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43" w:lineRule="exact"/>
        <w:rPr>
          <w:sz w:val="20"/>
          <w:szCs w:val="20"/>
          <w:color w:val="auto"/>
        </w:rPr>
      </w:pPr>
    </w:p>
    <w:p>
      <w:pPr>
        <w:ind w:firstLine="348"/>
        <w:spacing w:after="0" w:line="265"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2018,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60"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20"/>
          </w:cols>
          <w:pgMar w:left="240" w:top="123" w:right="23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40" w:firstLine="348"/>
        <w:spacing w:after="0" w:line="264" w:lineRule="auto"/>
        <w:rPr>
          <w:sz w:val="20"/>
          <w:szCs w:val="20"/>
          <w:color w:val="auto"/>
        </w:rPr>
      </w:pPr>
      <w:r>
        <w:rPr>
          <w:rFonts w:ascii="Arial" w:cs="Arial" w:eastAsia="Arial" w:hAnsi="Arial"/>
          <w:sz w:val="15"/>
          <w:szCs w:val="15"/>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59" w:lineRule="exact"/>
        <w:rPr>
          <w:sz w:val="20"/>
          <w:szCs w:val="20"/>
          <w:color w:val="auto"/>
        </w:rPr>
      </w:pPr>
    </w:p>
    <w:p>
      <w:pPr>
        <w:ind w:firstLine="348"/>
        <w:spacing w:after="0" w:line="289" w:lineRule="auto"/>
        <w:rPr>
          <w:sz w:val="20"/>
          <w:szCs w:val="20"/>
          <w:color w:val="auto"/>
        </w:rPr>
      </w:pPr>
      <w:r>
        <w:rPr>
          <w:rFonts w:ascii="Arial" w:cs="Arial" w:eastAsia="Arial" w:hAnsi="Arial"/>
          <w:sz w:val="14"/>
          <w:szCs w:val="14"/>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43" w:lineRule="exact"/>
        <w:rPr>
          <w:sz w:val="20"/>
          <w:szCs w:val="20"/>
          <w:color w:val="auto"/>
        </w:rPr>
      </w:pPr>
    </w:p>
    <w:p>
      <w:pPr>
        <w:ind w:right="120" w:firstLine="348"/>
        <w:spacing w:after="0" w:line="273"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53" w:lineRule="exact"/>
        <w:rPr>
          <w:sz w:val="20"/>
          <w:szCs w:val="20"/>
          <w:color w:val="auto"/>
        </w:rPr>
      </w:pPr>
    </w:p>
    <w:p>
      <w:pPr>
        <w:ind w:right="100" w:firstLine="348"/>
        <w:spacing w:after="0" w:line="265" w:lineRule="auto"/>
        <w:rPr>
          <w:sz w:val="20"/>
          <w:szCs w:val="20"/>
          <w:color w:val="auto"/>
        </w:rPr>
      </w:pPr>
      <w:r>
        <w:rPr>
          <w:rFonts w:ascii="Arial" w:cs="Arial" w:eastAsia="Arial" w:hAnsi="Arial"/>
          <w:sz w:val="15"/>
          <w:szCs w:val="15"/>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60"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41" w:lineRule="exact"/>
        <w:rPr>
          <w:sz w:val="20"/>
          <w:szCs w:val="20"/>
          <w:color w:val="auto"/>
        </w:rPr>
      </w:pPr>
    </w:p>
    <w:p>
      <w:pPr>
        <w:ind w:right="40" w:firstLine="348"/>
        <w:spacing w:after="0" w:line="281" w:lineRule="auto"/>
        <w:rPr>
          <w:sz w:val="20"/>
          <w:szCs w:val="20"/>
          <w:color w:val="auto"/>
        </w:rPr>
      </w:pPr>
      <w:r>
        <w:rPr>
          <w:rFonts w:ascii="Arial" w:cs="Arial" w:eastAsia="Arial" w:hAnsi="Arial"/>
          <w:sz w:val="14"/>
          <w:szCs w:val="14"/>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50" w:lineRule="exact"/>
        <w:rPr>
          <w:sz w:val="20"/>
          <w:szCs w:val="20"/>
          <w:color w:val="auto"/>
        </w:rPr>
      </w:pPr>
    </w:p>
    <w:p>
      <w:pPr>
        <w:ind w:right="120" w:firstLine="348"/>
        <w:spacing w:after="0" w:line="289" w:lineRule="auto"/>
        <w:rPr>
          <w:sz w:val="20"/>
          <w:szCs w:val="20"/>
          <w:color w:val="auto"/>
        </w:rPr>
      </w:pPr>
      <w:r>
        <w:rPr>
          <w:rFonts w:ascii="Arial" w:cs="Arial" w:eastAsia="Arial" w:hAnsi="Arial"/>
          <w:sz w:val="14"/>
          <w:szCs w:val="14"/>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0"/>
          </w:cols>
          <w:pgMar w:left="240" w:top="123" w:right="2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198" w:lineRule="exact"/>
        <w:rPr>
          <w:sz w:val="20"/>
          <w:szCs w:val="20"/>
          <w:color w:val="auto"/>
        </w:rPr>
      </w:pPr>
    </w:p>
    <w:p>
      <w:pPr>
        <w:ind w:right="80" w:firstLine="348"/>
        <w:spacing w:after="0" w:line="263" w:lineRule="auto"/>
        <w:rPr>
          <w:sz w:val="20"/>
          <w:szCs w:val="20"/>
          <w:color w:val="auto"/>
        </w:rPr>
      </w:pPr>
      <w:r>
        <w:rPr>
          <w:rFonts w:ascii="Arial" w:cs="Arial" w:eastAsia="Arial" w:hAnsi="Arial"/>
          <w:sz w:val="15"/>
          <w:szCs w:val="15"/>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59" w:lineRule="exact"/>
        <w:rPr>
          <w:sz w:val="20"/>
          <w:szCs w:val="20"/>
          <w:color w:val="auto"/>
        </w:rPr>
      </w:pPr>
    </w:p>
    <w:p>
      <w:pPr>
        <w:ind w:firstLine="348"/>
        <w:spacing w:after="0" w:line="280" w:lineRule="auto"/>
        <w:rPr>
          <w:sz w:val="20"/>
          <w:szCs w:val="20"/>
          <w:color w:val="auto"/>
        </w:rPr>
      </w:pPr>
      <w:r>
        <w:rPr>
          <w:rFonts w:ascii="Arial" w:cs="Arial" w:eastAsia="Arial" w:hAnsi="Arial"/>
          <w:sz w:val="14"/>
          <w:szCs w:val="14"/>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Additionally, California recently enacted legislation, the California Consumer Privacy Act of 2018, that will afford consumers expanded privacy protections when it goes into effect on January 1, 2020. Legislators have amended this legislation, and it remains unclear what, if any, modifications will be made to this legislation or how it will be interpreted. The effects of this legislation potentially are far-reaching, however, and may require us to modify our data processing practices and policies and to incur substantial costs and expenses in an effort to comply. Similarly, there are a number of legislative proposals in the European Union, the United States, at both the federal and state level, as well as other jurisdictions that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50" w:lineRule="exact"/>
        <w:rPr>
          <w:sz w:val="20"/>
          <w:szCs w:val="20"/>
          <w:color w:val="auto"/>
        </w:rPr>
      </w:pPr>
    </w:p>
    <w:p>
      <w:pPr>
        <w:ind w:right="120" w:firstLine="348"/>
        <w:spacing w:after="0" w:line="284" w:lineRule="auto"/>
        <w:rPr>
          <w:sz w:val="20"/>
          <w:szCs w:val="20"/>
          <w:color w:val="auto"/>
        </w:rPr>
      </w:pPr>
      <w:r>
        <w:rPr>
          <w:rFonts w:ascii="Arial" w:cs="Arial" w:eastAsia="Arial" w:hAnsi="Arial"/>
          <w:sz w:val="14"/>
          <w:szCs w:val="14"/>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49" w:lineRule="exact"/>
        <w:rPr>
          <w:sz w:val="20"/>
          <w:szCs w:val="20"/>
          <w:color w:val="auto"/>
        </w:rPr>
      </w:pPr>
    </w:p>
    <w:p>
      <w:pPr>
        <w:ind w:right="80" w:firstLine="348"/>
        <w:spacing w:after="0" w:line="265" w:lineRule="auto"/>
        <w:rPr>
          <w:sz w:val="20"/>
          <w:szCs w:val="20"/>
          <w:color w:val="auto"/>
        </w:rPr>
      </w:pPr>
      <w:r>
        <w:rPr>
          <w:rFonts w:ascii="Arial" w:cs="Arial" w:eastAsia="Arial" w:hAnsi="Arial"/>
          <w:sz w:val="15"/>
          <w:szCs w:val="15"/>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00"/>
          </w:cols>
          <w:pgMar w:left="240" w:top="123" w:right="2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impacted by changes in internet access for our users or laws specifically governing the internet.</w:t>
      </w:r>
    </w:p>
    <w:p>
      <w:pPr>
        <w:spacing w:after="0" w:line="198" w:lineRule="exact"/>
        <w:rPr>
          <w:sz w:val="20"/>
          <w:szCs w:val="20"/>
          <w:color w:val="auto"/>
        </w:rPr>
      </w:pPr>
    </w:p>
    <w:p>
      <w:pPr>
        <w:jc w:val="both"/>
        <w:ind w:right="280" w:firstLine="348"/>
        <w:spacing w:after="0" w:line="302" w:lineRule="auto"/>
        <w:rPr>
          <w:sz w:val="20"/>
          <w:szCs w:val="20"/>
          <w:color w:val="auto"/>
        </w:rPr>
      </w:pPr>
      <w:r>
        <w:rPr>
          <w:rFonts w:ascii="Arial" w:cs="Arial" w:eastAsia="Arial" w:hAnsi="Arial"/>
          <w:sz w:val="14"/>
          <w:szCs w:val="14"/>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33" w:lineRule="exact"/>
        <w:rPr>
          <w:sz w:val="20"/>
          <w:szCs w:val="20"/>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implement usage-based pricing;</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discount pricing for competitive products;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otherwise materially change their pricing rates or schemes;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charge us to deliver our traffic at certain levels or at all;</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throttle traffic based on its source or type;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implement bandwidth caps or other usage restrictions; or</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otherwise try to monetize or control access to their networks.</w:t>
      </w:r>
    </w:p>
    <w:p>
      <w:pPr>
        <w:spacing w:after="0" w:line="198" w:lineRule="exact"/>
        <w:rPr>
          <w:sz w:val="20"/>
          <w:szCs w:val="20"/>
          <w:color w:val="auto"/>
        </w:rPr>
      </w:pPr>
    </w:p>
    <w:p>
      <w:pPr>
        <w:ind w:right="20" w:firstLine="348"/>
        <w:spacing w:after="0" w:line="284" w:lineRule="auto"/>
        <w:rPr>
          <w:sz w:val="20"/>
          <w:szCs w:val="20"/>
          <w:color w:val="auto"/>
        </w:rPr>
      </w:pPr>
      <w:r>
        <w:rPr>
          <w:rFonts w:ascii="Arial" w:cs="Arial" w:eastAsia="Arial" w:hAnsi="Arial"/>
          <w:sz w:val="14"/>
          <w:szCs w:val="14"/>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49" w:lineRule="exact"/>
        <w:rPr>
          <w:sz w:val="20"/>
          <w:szCs w:val="20"/>
          <w:color w:val="auto"/>
        </w:rPr>
      </w:pPr>
    </w:p>
    <w:p>
      <w:pPr>
        <w:ind w:firstLine="348"/>
        <w:spacing w:after="0" w:line="289" w:lineRule="auto"/>
        <w:rPr>
          <w:sz w:val="20"/>
          <w:szCs w:val="20"/>
          <w:color w:val="auto"/>
        </w:rPr>
      </w:pPr>
      <w:r>
        <w:rPr>
          <w:rFonts w:ascii="Arial" w:cs="Arial" w:eastAsia="Arial" w:hAnsi="Arial"/>
          <w:sz w:val="14"/>
          <w:szCs w:val="14"/>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5"/>
          <w:szCs w:val="15"/>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41" w:lineRule="exact"/>
        <w:rPr>
          <w:sz w:val="20"/>
          <w:szCs w:val="20"/>
          <w:color w:val="auto"/>
        </w:rPr>
      </w:pPr>
    </w:p>
    <w:p>
      <w:pPr>
        <w:ind w:right="60" w:firstLine="348"/>
        <w:spacing w:after="0" w:line="282" w:lineRule="auto"/>
        <w:rPr>
          <w:sz w:val="20"/>
          <w:szCs w:val="20"/>
          <w:color w:val="auto"/>
        </w:rPr>
      </w:pPr>
      <w:r>
        <w:rPr>
          <w:rFonts w:ascii="Arial" w:cs="Arial" w:eastAsia="Arial" w:hAnsi="Arial"/>
          <w:sz w:val="14"/>
          <w:szCs w:val="14"/>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20"/>
          </w:cols>
          <w:pgMar w:left="240" w:top="123" w:right="23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could require significant effort and expense. Our business, results of operations, and financial condition could be materially and adversely affected as a result.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protect our intellectual property rights and proprietary information could diminish our brand and other intangible assets.</w:t>
      </w:r>
    </w:p>
    <w:p>
      <w:pPr>
        <w:spacing w:after="0" w:line="198" w:lineRule="exact"/>
        <w:rPr>
          <w:sz w:val="20"/>
          <w:szCs w:val="20"/>
          <w:color w:val="auto"/>
        </w:rPr>
      </w:pPr>
    </w:p>
    <w:p>
      <w:pPr>
        <w:ind w:right="20" w:firstLine="348"/>
        <w:spacing w:after="0" w:line="260"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750 issued patents and more than 600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198" w:lineRule="exact"/>
        <w:rPr>
          <w:sz w:val="20"/>
          <w:szCs w:val="20"/>
          <w:color w:val="auto"/>
        </w:rPr>
      </w:pPr>
    </w:p>
    <w:p>
      <w:pPr>
        <w:ind w:right="20" w:firstLine="348"/>
        <w:spacing w:after="0" w:line="261" w:lineRule="auto"/>
        <w:rPr>
          <w:sz w:val="20"/>
          <w:szCs w:val="20"/>
          <w:color w:val="auto"/>
        </w:rPr>
      </w:pPr>
      <w:r>
        <w:rPr>
          <w:rFonts w:ascii="Arial" w:cs="Arial" w:eastAsia="Arial" w:hAnsi="Arial"/>
          <w:sz w:val="15"/>
          <w:szCs w:val="15"/>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sell subscriptions to our platform could be harmed by real or perceived material defects or errors in our platform.</w:t>
      </w:r>
    </w:p>
    <w:p>
      <w:pPr>
        <w:spacing w:after="0" w:line="198" w:lineRule="exact"/>
        <w:rPr>
          <w:sz w:val="20"/>
          <w:szCs w:val="20"/>
          <w:color w:val="auto"/>
        </w:rPr>
      </w:pPr>
    </w:p>
    <w:p>
      <w:pPr>
        <w:ind w:right="140" w:firstLine="348"/>
        <w:spacing w:after="0" w:line="286" w:lineRule="auto"/>
        <w:rPr>
          <w:sz w:val="20"/>
          <w:szCs w:val="20"/>
          <w:color w:val="auto"/>
        </w:rPr>
      </w:pPr>
      <w:r>
        <w:rPr>
          <w:rFonts w:ascii="Arial" w:cs="Arial" w:eastAsia="Arial" w:hAnsi="Arial"/>
          <w:sz w:val="14"/>
          <w:szCs w:val="14"/>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46" w:lineRule="exact"/>
        <w:rPr>
          <w:sz w:val="20"/>
          <w:szCs w:val="20"/>
          <w:color w:val="auto"/>
        </w:rPr>
      </w:pPr>
    </w:p>
    <w:p>
      <w:pPr>
        <w:ind w:firstLine="348"/>
        <w:spacing w:after="0" w:line="289" w:lineRule="auto"/>
        <w:rPr>
          <w:sz w:val="20"/>
          <w:szCs w:val="20"/>
          <w:color w:val="auto"/>
        </w:rPr>
      </w:pPr>
      <w:r>
        <w:rPr>
          <w:rFonts w:ascii="Arial" w:cs="Arial" w:eastAsia="Arial" w:hAnsi="Arial"/>
          <w:sz w:val="15"/>
          <w:szCs w:val="15"/>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41" w:lineRule="exact"/>
        <w:rPr>
          <w:sz w:val="20"/>
          <w:szCs w:val="20"/>
          <w:color w:val="auto"/>
        </w:rPr>
      </w:pPr>
    </w:p>
    <w:p>
      <w:pPr>
        <w:jc w:val="right"/>
        <w:ind w:left="5640" w:right="5620" w:hanging="4813"/>
        <w:spacing w:after="0" w:line="638" w:lineRule="auto"/>
        <w:tabs>
          <w:tab w:leader="none" w:pos="1108"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 69</w:t>
      </w:r>
    </w:p>
    <w:p>
      <w:pPr>
        <w:sectPr>
          <w:pgSz w:w="11900" w:h="16838" w:orient="portrait"/>
          <w:cols w:equalWidth="0" w:num="1">
            <w:col w:w="11420"/>
          </w:cols>
          <w:pgMar w:left="240" w:top="123" w:right="2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1100" w:hanging="273"/>
        <w:spacing w:after="0"/>
        <w:tabs>
          <w:tab w:leader="none" w:pos="11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require us to issue refunds to our users or expose us to claims for damages;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cause us to lose existing users and make it more difficult to attract new users;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divert our development resources or require us to make extensive changes to our platform, which would increase our expenses;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 our technical support costs; 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harm our reputation and brand.</w:t>
      </w:r>
    </w:p>
    <w:p>
      <w:pPr>
        <w:spacing w:after="0" w:line="198" w:lineRule="exact"/>
        <w:rPr>
          <w:sz w:val="20"/>
          <w:szCs w:val="20"/>
          <w:color w:val="auto"/>
        </w:rPr>
      </w:pPr>
    </w:p>
    <w:p>
      <w:pPr>
        <w:ind w:right="240"/>
        <w:spacing w:after="0" w:line="289" w:lineRule="auto"/>
        <w:rPr>
          <w:sz w:val="20"/>
          <w:szCs w:val="20"/>
          <w:color w:val="auto"/>
        </w:rPr>
      </w:pPr>
      <w:r>
        <w:rPr>
          <w:rFonts w:ascii="Arial" w:cs="Arial" w:eastAsia="Arial" w:hAnsi="Arial"/>
          <w:sz w:val="15"/>
          <w:szCs w:val="15"/>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41" w:lineRule="exact"/>
        <w:rPr>
          <w:sz w:val="20"/>
          <w:szCs w:val="20"/>
          <w:color w:val="auto"/>
        </w:rPr>
      </w:pPr>
    </w:p>
    <w:p>
      <w:pPr>
        <w:ind w:firstLine="348"/>
        <w:spacing w:after="0" w:line="268" w:lineRule="auto"/>
        <w:rPr>
          <w:sz w:val="20"/>
          <w:szCs w:val="20"/>
          <w:color w:val="auto"/>
        </w:rPr>
      </w:pPr>
      <w:r>
        <w:rPr>
          <w:rFonts w:ascii="Arial" w:cs="Arial" w:eastAsia="Arial" w:hAnsi="Arial"/>
          <w:sz w:val="15"/>
          <w:szCs w:val="15"/>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56" w:lineRule="exact"/>
        <w:rPr>
          <w:sz w:val="20"/>
          <w:szCs w:val="20"/>
          <w:color w:val="auto"/>
        </w:rPr>
      </w:pPr>
    </w:p>
    <w:p>
      <w:pPr>
        <w:ind w:right="20" w:firstLine="348"/>
        <w:spacing w:after="0" w:line="273" w:lineRule="auto"/>
        <w:rPr>
          <w:sz w:val="20"/>
          <w:szCs w:val="20"/>
          <w:color w:val="auto"/>
        </w:rPr>
      </w:pPr>
      <w:r>
        <w:rPr>
          <w:rFonts w:ascii="Arial" w:cs="Arial" w:eastAsia="Arial" w:hAnsi="Arial"/>
          <w:sz w:val="15"/>
          <w:szCs w:val="15"/>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53" w:lineRule="exact"/>
        <w:rPr>
          <w:sz w:val="20"/>
          <w:szCs w:val="20"/>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acquisition-related costs, liabilities, or tax impacts, some of which may be unanticipated;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difficulty integrating and retaining the personnel, intellectual property, technology infrastructure, and operations of an acquired business;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ineffective or inadequate, controls, procedures, or policies at an acquired business;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multiple product lines or services offerings, as a result of our acquisitions, that are offered, priced, and supported differently;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unknown liabilities or risks associated with an acquired business, including those arising from existing contractual obligations or litigation matters;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inability to maintain relationships with key customers, suppliers, and partners of an acquired business;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lack of experience in new markets, products or technologies;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diversion of management's attention from other business concerns; 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use of resources that are needed in other parts of our business.</w:t>
      </w:r>
    </w:p>
    <w:p>
      <w:pPr>
        <w:spacing w:after="0" w:line="198" w:lineRule="exact"/>
        <w:rPr>
          <w:sz w:val="20"/>
          <w:szCs w:val="20"/>
          <w:color w:val="auto"/>
        </w:rPr>
      </w:pPr>
    </w:p>
    <w:p>
      <w:pPr>
        <w:jc w:val="both"/>
        <w:ind w:right="80" w:firstLine="278"/>
        <w:spacing w:after="0" w:line="371" w:lineRule="auto"/>
        <w:rPr>
          <w:sz w:val="20"/>
          <w:szCs w:val="20"/>
          <w:color w:val="auto"/>
        </w:rPr>
      </w:pPr>
      <w:r>
        <w:rPr>
          <w:rFonts w:ascii="Arial" w:cs="Arial" w:eastAsia="Arial" w:hAnsi="Arial"/>
          <w:sz w:val="13"/>
          <w:szCs w:val="13"/>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420"/>
          </w:cols>
          <w:pgMar w:left="240" w:top="123" w:right="23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340" w:firstLine="348"/>
        <w:spacing w:after="0" w:line="327" w:lineRule="auto"/>
        <w:rPr>
          <w:sz w:val="20"/>
          <w:szCs w:val="20"/>
          <w:color w:val="auto"/>
        </w:rPr>
      </w:pPr>
      <w:r>
        <w:rPr>
          <w:rFonts w:ascii="Arial" w:cs="Arial" w:eastAsia="Arial" w:hAnsi="Arial"/>
          <w:sz w:val="14"/>
          <w:szCs w:val="14"/>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17" w:lineRule="exact"/>
        <w:rPr>
          <w:sz w:val="20"/>
          <w:szCs w:val="20"/>
          <w:color w:val="auto"/>
        </w:rPr>
      </w:pPr>
    </w:p>
    <w:p>
      <w:pPr>
        <w:jc w:val="both"/>
        <w:ind w:right="380" w:firstLine="348"/>
        <w:spacing w:after="0" w:line="302" w:lineRule="auto"/>
        <w:rPr>
          <w:sz w:val="20"/>
          <w:szCs w:val="20"/>
          <w:color w:val="auto"/>
        </w:rPr>
      </w:pPr>
      <w:r>
        <w:rPr>
          <w:rFonts w:ascii="Arial" w:cs="Arial" w:eastAsia="Arial" w:hAnsi="Arial"/>
          <w:sz w:val="14"/>
          <w:szCs w:val="14"/>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be significantly impacted by a change in the economy, including any resulting effect on consumer or business spending.</w:t>
      </w:r>
    </w:p>
    <w:p>
      <w:pPr>
        <w:spacing w:after="0" w:line="198" w:lineRule="exact"/>
        <w:rPr>
          <w:sz w:val="20"/>
          <w:szCs w:val="20"/>
          <w:color w:val="auto"/>
        </w:rPr>
      </w:pPr>
    </w:p>
    <w:p>
      <w:pPr>
        <w:ind w:firstLine="348"/>
        <w:spacing w:after="0" w:line="268" w:lineRule="auto"/>
        <w:rPr>
          <w:sz w:val="20"/>
          <w:szCs w:val="20"/>
          <w:color w:val="auto"/>
        </w:rPr>
      </w:pPr>
      <w:r>
        <w:rPr>
          <w:rFonts w:ascii="Arial" w:cs="Arial" w:eastAsia="Arial" w:hAnsi="Arial"/>
          <w:sz w:val="15"/>
          <w:szCs w:val="15"/>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disrupted by catastrophic events.</w:t>
      </w:r>
    </w:p>
    <w:p>
      <w:pPr>
        <w:spacing w:after="0" w:line="198" w:lineRule="exact"/>
        <w:rPr>
          <w:sz w:val="20"/>
          <w:szCs w:val="20"/>
          <w:color w:val="auto"/>
        </w:rPr>
      </w:pPr>
    </w:p>
    <w:p>
      <w:pPr>
        <w:ind w:right="100" w:firstLine="348"/>
        <w:spacing w:after="0" w:line="284" w:lineRule="auto"/>
        <w:rPr>
          <w:sz w:val="20"/>
          <w:szCs w:val="20"/>
          <w:color w:val="auto"/>
        </w:rPr>
      </w:pPr>
      <w:r>
        <w:rPr>
          <w:rFonts w:ascii="Arial" w:cs="Arial" w:eastAsia="Arial" w:hAnsi="Arial"/>
          <w:sz w:val="14"/>
          <w:szCs w:val="14"/>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exposure to greater than anticipated tax liabilities, which could adversely impact our results of operations.</w:t>
      </w:r>
    </w:p>
    <w:p>
      <w:pPr>
        <w:spacing w:after="0" w:line="19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56" w:lineRule="exact"/>
        <w:rPr>
          <w:sz w:val="20"/>
          <w:szCs w:val="20"/>
          <w:color w:val="auto"/>
        </w:rPr>
      </w:pPr>
    </w:p>
    <w:p>
      <w:pPr>
        <w:ind w:right="140" w:firstLine="348"/>
        <w:spacing w:after="0" w:line="265" w:lineRule="auto"/>
        <w:rPr>
          <w:sz w:val="20"/>
          <w:szCs w:val="20"/>
          <w:color w:val="auto"/>
        </w:rPr>
      </w:pPr>
      <w:r>
        <w:rPr>
          <w:rFonts w:ascii="Arial" w:cs="Arial" w:eastAsia="Arial" w:hAnsi="Arial"/>
          <w:sz w:val="15"/>
          <w:szCs w:val="15"/>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60" w:lineRule="exact"/>
        <w:rPr>
          <w:sz w:val="20"/>
          <w:szCs w:val="20"/>
          <w:color w:val="auto"/>
        </w:rPr>
      </w:pPr>
    </w:p>
    <w:p>
      <w:pPr>
        <w:ind w:right="300" w:firstLine="348"/>
        <w:spacing w:after="0" w:line="289" w:lineRule="auto"/>
        <w:rPr>
          <w:sz w:val="20"/>
          <w:szCs w:val="20"/>
          <w:color w:val="auto"/>
        </w:rPr>
      </w:pPr>
      <w:r>
        <w:rPr>
          <w:rFonts w:ascii="Arial" w:cs="Arial" w:eastAsia="Arial" w:hAnsi="Arial"/>
          <w:sz w:val="14"/>
          <w:szCs w:val="14"/>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net operating loss carryforwards and certain other tax attributes may be limited.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20"/>
          </w:cols>
          <w:pgMar w:left="240" w:top="123" w:right="2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firstLine="348"/>
        <w:spacing w:after="0" w:line="281" w:lineRule="auto"/>
        <w:rPr>
          <w:sz w:val="20"/>
          <w:szCs w:val="20"/>
          <w:color w:val="auto"/>
        </w:rPr>
      </w:pPr>
      <w:r>
        <w:rPr>
          <w:rFonts w:ascii="Arial" w:cs="Arial" w:eastAsia="Arial" w:hAnsi="Arial"/>
          <w:sz w:val="14"/>
          <w:szCs w:val="14"/>
          <w:color w:val="auto"/>
        </w:rPr>
        <w:t>As of December 31, 2018, we had $923.6 million of federal and $403.5 million of state net operating loss carryforwards available to reduce future taxable income. Of our federal net operating loss carryforwards, $307.4 million will begin to expire in 2031 and $616.2 million will carryforward indefinitely, while state net operating losses begin to expire in 2029. As of December 31, 2018, we also had $265.1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2018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2019 and subsequent years.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221" w:lineRule="exact"/>
        <w:rPr>
          <w:sz w:val="20"/>
          <w:szCs w:val="20"/>
          <w:color w:val="auto"/>
        </w:rPr>
      </w:pPr>
    </w:p>
    <w:p>
      <w:pPr>
        <w:ind w:right="120" w:firstLine="348"/>
        <w:spacing w:after="0" w:line="293" w:lineRule="auto"/>
        <w:rPr>
          <w:sz w:val="20"/>
          <w:szCs w:val="20"/>
          <w:color w:val="auto"/>
        </w:rPr>
      </w:pPr>
      <w:r>
        <w:rPr>
          <w:rFonts w:ascii="Arial" w:cs="Arial" w:eastAsia="Arial" w:hAnsi="Arial"/>
          <w:sz w:val="14"/>
          <w:szCs w:val="14"/>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41" w:lineRule="exact"/>
        <w:rPr>
          <w:sz w:val="20"/>
          <w:szCs w:val="20"/>
          <w:color w:val="auto"/>
        </w:rPr>
      </w:pPr>
    </w:p>
    <w:p>
      <w:pPr>
        <w:ind w:right="120" w:firstLine="348"/>
        <w:spacing w:after="0" w:line="261" w:lineRule="auto"/>
        <w:rPr>
          <w:sz w:val="20"/>
          <w:szCs w:val="20"/>
          <w:color w:val="auto"/>
        </w:rPr>
      </w:pPr>
      <w:r>
        <w:rPr>
          <w:rFonts w:ascii="Arial" w:cs="Arial" w:eastAsia="Arial" w:hAnsi="Arial"/>
          <w:sz w:val="15"/>
          <w:szCs w:val="15"/>
          <w:color w:val="auto"/>
        </w:rPr>
        <w:t>On December 22, 2017, the legislation commonly referred to as the Tax Cuts and Jobs Act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did not have a material impact on our consolidated financial statements. As we expand the scale of our international business activities, any changes in the U.S. or foreign taxation of such activities may increase our worldwide effective tax rate and harm our business, results of operations, and financial condition. For example, a judicial panel of the Ninth Circuit Court of Appeals issued an opinion in Altera Corp. v. Commissioner that would require related parties in an intercompany cost-sharing arrangement to share expenses related to stock-based compensation. As the taxpayer has requested a rehearing before the full Ninth Circuit and may subsequently appeal any unfavorable decision to the Supreme Court, the timing and outcome of the decision is uncertain and could impact the amount of net operating loss carryforwards available to us in the future.</w:t>
      </w:r>
    </w:p>
    <w:p>
      <w:pPr>
        <w:spacing w:after="0" w:line="165" w:lineRule="exact"/>
        <w:rPr>
          <w:sz w:val="20"/>
          <w:szCs w:val="20"/>
          <w:color w:val="auto"/>
        </w:rPr>
      </w:pPr>
    </w:p>
    <w:p>
      <w:pPr>
        <w:ind w:right="320"/>
        <w:spacing w:after="0" w:line="289"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1" w:lineRule="exact"/>
        <w:rPr>
          <w:sz w:val="20"/>
          <w:szCs w:val="20"/>
          <w:color w:val="auto"/>
        </w:rPr>
      </w:pPr>
    </w:p>
    <w:p>
      <w:pPr>
        <w:ind w:firstLine="348"/>
        <w:spacing w:after="0" w:line="268" w:lineRule="auto"/>
        <w:rPr>
          <w:sz w:val="20"/>
          <w:szCs w:val="20"/>
          <w:color w:val="auto"/>
        </w:rPr>
      </w:pPr>
      <w:r>
        <w:rPr>
          <w:rFonts w:ascii="Arial" w:cs="Arial" w:eastAsia="Arial" w:hAnsi="Arial"/>
          <w:sz w:val="15"/>
          <w:szCs w:val="15"/>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56" w:lineRule="exact"/>
        <w:rPr>
          <w:sz w:val="20"/>
          <w:szCs w:val="20"/>
          <w:color w:val="auto"/>
        </w:rPr>
      </w:pPr>
    </w:p>
    <w:p>
      <w:pPr>
        <w:ind w:right="40" w:firstLine="348"/>
        <w:spacing w:after="0" w:line="289"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00"/>
          </w:cols>
          <w:pgMar w:left="240" w:top="123" w:right="25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expended, and anticipate that we will continue to expend, significant resources, including accounting-related costs and significant management oversight.</w:t>
      </w:r>
    </w:p>
    <w:p>
      <w:pPr>
        <w:spacing w:after="0" w:line="198" w:lineRule="exact"/>
        <w:rPr>
          <w:sz w:val="20"/>
          <w:szCs w:val="20"/>
          <w:color w:val="auto"/>
        </w:rPr>
      </w:pPr>
    </w:p>
    <w:p>
      <w:pPr>
        <w:ind w:right="60" w:firstLine="348"/>
        <w:spacing w:after="0" w:line="281" w:lineRule="auto"/>
        <w:rPr>
          <w:sz w:val="20"/>
          <w:szCs w:val="20"/>
          <w:color w:val="auto"/>
        </w:rPr>
      </w:pPr>
      <w:r>
        <w:rPr>
          <w:rFonts w:ascii="Arial" w:cs="Arial" w:eastAsia="Arial" w:hAnsi="Arial"/>
          <w:sz w:val="14"/>
          <w:szCs w:val="14"/>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fiscal 2019 Annual Report on Form 10-K.</w:t>
      </w:r>
    </w:p>
    <w:p>
      <w:pPr>
        <w:spacing w:after="0" w:line="150" w:lineRule="exact"/>
        <w:rPr>
          <w:sz w:val="20"/>
          <w:szCs w:val="20"/>
          <w:color w:val="auto"/>
        </w:rPr>
      </w:pPr>
    </w:p>
    <w:p>
      <w:pPr>
        <w:ind w:right="40" w:firstLine="348"/>
        <w:spacing w:after="0" w:line="265"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reported results of operations may be adversely affected by changes in accounting principles generally accepted in the United States.</w:t>
      </w:r>
    </w:p>
    <w:p>
      <w:pPr>
        <w:spacing w:after="0" w:line="198" w:lineRule="exact"/>
        <w:rPr>
          <w:sz w:val="20"/>
          <w:szCs w:val="20"/>
          <w:color w:val="auto"/>
        </w:rPr>
      </w:pPr>
    </w:p>
    <w:p>
      <w:pPr>
        <w:ind w:right="40" w:firstLine="348"/>
        <w:spacing w:after="0" w:line="268" w:lineRule="auto"/>
        <w:rPr>
          <w:sz w:val="20"/>
          <w:szCs w:val="20"/>
          <w:color w:val="auto"/>
        </w:rPr>
      </w:pPr>
      <w:r>
        <w:rPr>
          <w:rFonts w:ascii="Arial" w:cs="Arial" w:eastAsia="Arial" w:hAnsi="Arial"/>
          <w:sz w:val="15"/>
          <w:szCs w:val="15"/>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56"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41" w:lineRule="exact"/>
        <w:rPr>
          <w:sz w:val="20"/>
          <w:szCs w:val="20"/>
          <w:color w:val="auto"/>
        </w:rPr>
      </w:pPr>
    </w:p>
    <w:p>
      <w:pPr>
        <w:ind w:firstLine="348"/>
        <w:spacing w:after="0" w:line="283" w:lineRule="auto"/>
        <w:rPr>
          <w:sz w:val="20"/>
          <w:szCs w:val="20"/>
          <w:color w:val="auto"/>
        </w:rPr>
      </w:pPr>
      <w:r>
        <w:rPr>
          <w:rFonts w:ascii="Arial" w:cs="Arial" w:eastAsia="Arial" w:hAnsi="Arial"/>
          <w:sz w:val="14"/>
          <w:szCs w:val="14"/>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49" w:lineRule="exact"/>
        <w:rPr>
          <w:sz w:val="20"/>
          <w:szCs w:val="20"/>
          <w:color w:val="auto"/>
        </w:rPr>
      </w:pPr>
    </w:p>
    <w:p>
      <w:pPr>
        <w:ind w:right="480"/>
        <w:spacing w:after="0" w:line="327" w:lineRule="auto"/>
        <w:rPr>
          <w:sz w:val="20"/>
          <w:szCs w:val="20"/>
          <w:color w:val="auto"/>
        </w:rPr>
      </w:pPr>
      <w:r>
        <w:rPr>
          <w:rFonts w:ascii="Arial" w:cs="Arial" w:eastAsia="Arial" w:hAnsi="Arial"/>
          <w:sz w:val="14"/>
          <w:szCs w:val="14"/>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40"/>
          </w:cols>
          <w:pgMar w:left="240" w:top="123" w:right="21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60" w:firstLine="348"/>
        <w:spacing w:after="0" w:line="264" w:lineRule="auto"/>
        <w:rPr>
          <w:sz w:val="20"/>
          <w:szCs w:val="20"/>
          <w:color w:val="auto"/>
        </w:rPr>
      </w:pPr>
      <w:r>
        <w:rPr>
          <w:rFonts w:ascii="Arial" w:cs="Arial" w:eastAsia="Arial" w:hAnsi="Arial"/>
          <w:sz w:val="15"/>
          <w:szCs w:val="15"/>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59" w:lineRule="exact"/>
        <w:rPr>
          <w:sz w:val="20"/>
          <w:szCs w:val="20"/>
          <w:color w:val="auto"/>
        </w:rPr>
      </w:pPr>
    </w:p>
    <w:p>
      <w:pPr>
        <w:ind w:firstLine="348"/>
        <w:spacing w:after="0" w:line="286" w:lineRule="auto"/>
        <w:rPr>
          <w:sz w:val="20"/>
          <w:szCs w:val="20"/>
          <w:color w:val="auto"/>
        </w:rPr>
      </w:pPr>
      <w:r>
        <w:rPr>
          <w:rFonts w:ascii="Arial" w:cs="Arial" w:eastAsia="Arial" w:hAnsi="Arial"/>
          <w:sz w:val="14"/>
          <w:szCs w:val="14"/>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operations may be interrupted and our business, results of operations, and financial condition could be adversely affected if we default on our leasing or credit obligations.</w:t>
      </w:r>
    </w:p>
    <w:p>
      <w:pPr>
        <w:spacing w:after="0" w:line="221" w:lineRule="exact"/>
        <w:rPr>
          <w:sz w:val="20"/>
          <w:szCs w:val="20"/>
          <w:color w:val="auto"/>
        </w:rPr>
      </w:pPr>
    </w:p>
    <w:p>
      <w:pPr>
        <w:ind w:right="20" w:firstLine="348"/>
        <w:spacing w:after="0" w:line="268" w:lineRule="auto"/>
        <w:rPr>
          <w:sz w:val="20"/>
          <w:szCs w:val="20"/>
          <w:color w:val="auto"/>
        </w:rPr>
      </w:pPr>
      <w:r>
        <w:rPr>
          <w:rFonts w:ascii="Arial" w:cs="Arial" w:eastAsia="Arial" w:hAnsi="Arial"/>
          <w:sz w:val="15"/>
          <w:szCs w:val="15"/>
          <w:color w:val="auto"/>
        </w:rPr>
        <w:t>We finance a significant portion of our expenditures through leasing arrangements and we may enter into additional similar arrangements in the future. As of December 31, 2018, we had an aggregate of $1,394.9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56" w:lineRule="exact"/>
        <w:rPr>
          <w:sz w:val="20"/>
          <w:szCs w:val="20"/>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require repayment of any outstanding lease obligations;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terminate our leasing arrangements;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terminate our access to the leased datacenters we utilize;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stop delivery of ordered equipment;</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sell or require us to return our leased equipment;</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require repayment of any outstanding amounts drawn on our revolving credit facility;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terminate our revolving credit facility; or</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require us to pay significant fees, penalties, or damages.</w:t>
      </w:r>
    </w:p>
    <w:p>
      <w:pPr>
        <w:spacing w:after="0" w:line="198" w:lineRule="exact"/>
        <w:rPr>
          <w:sz w:val="20"/>
          <w:szCs w:val="20"/>
          <w:color w:val="auto"/>
        </w:rPr>
      </w:pPr>
    </w:p>
    <w:p>
      <w:pPr>
        <w:ind w:right="40" w:firstLine="348"/>
        <w:spacing w:after="0" w:line="265" w:lineRule="auto"/>
        <w:rPr>
          <w:sz w:val="20"/>
          <w:szCs w:val="20"/>
          <w:color w:val="auto"/>
        </w:rPr>
      </w:pPr>
      <w:r>
        <w:rPr>
          <w:rFonts w:ascii="Arial" w:cs="Arial" w:eastAsia="Arial" w:hAnsi="Arial"/>
          <w:sz w:val="15"/>
          <w:szCs w:val="15"/>
          <w:color w:val="auto"/>
        </w:rPr>
        <w:t>In October 2017, we entered into a new lease agreement to rent office space in San Francisco, California, to serve as our new corporate headquarters. The total minimum obligations under this lease agreement are expected to be approximately $831.6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If we are unable to move into our new headquarters as scheduled, our results of operations could be adversely impacted as a result of additional rent expense.</w:t>
      </w:r>
    </w:p>
    <w:p>
      <w:pPr>
        <w:spacing w:after="0" w:line="160" w:lineRule="exact"/>
        <w:rPr>
          <w:sz w:val="20"/>
          <w:szCs w:val="20"/>
          <w:color w:val="auto"/>
        </w:rPr>
      </w:pPr>
    </w:p>
    <w:p>
      <w:pPr>
        <w:ind w:right="80" w:firstLine="348"/>
        <w:spacing w:after="0" w:line="289" w:lineRule="auto"/>
        <w:rPr>
          <w:sz w:val="20"/>
          <w:szCs w:val="20"/>
          <w:color w:val="auto"/>
        </w:rPr>
      </w:pPr>
      <w:r>
        <w:rPr>
          <w:rFonts w:ascii="Arial" w:cs="Arial" w:eastAsia="Arial" w:hAnsi="Arial"/>
          <w:sz w:val="15"/>
          <w:szCs w:val="15"/>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additional capital, and we cannot be certain that additional financing will be available on favorable terms, or at all.</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340"/>
          </w:cols>
          <w:pgMar w:left="240" w:top="123" w:right="31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firstLine="348"/>
        <w:spacing w:after="0" w:line="263"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53"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Risks Related to Ownership of Our Class A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Class A common stock may be volatile, and you could lose all or part of your investment.</w:t>
      </w:r>
    </w:p>
    <w:p>
      <w:pPr>
        <w:spacing w:after="0" w:line="198" w:lineRule="exact"/>
        <w:rPr>
          <w:sz w:val="20"/>
          <w:szCs w:val="20"/>
          <w:color w:val="auto"/>
        </w:rPr>
      </w:pPr>
    </w:p>
    <w:p>
      <w:pPr>
        <w:ind w:right="80" w:firstLine="348"/>
        <w:spacing w:after="0" w:line="289" w:lineRule="auto"/>
        <w:rPr>
          <w:sz w:val="20"/>
          <w:szCs w:val="20"/>
          <w:color w:val="auto"/>
        </w:rPr>
      </w:pPr>
      <w:r>
        <w:rPr>
          <w:rFonts w:ascii="Arial" w:cs="Arial" w:eastAsia="Arial" w:hAnsi="Arial"/>
          <w:sz w:val="15"/>
          <w:szCs w:val="15"/>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1" w:lineRule="exact"/>
        <w:rPr>
          <w:sz w:val="20"/>
          <w:szCs w:val="20"/>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technology stocks;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sales of shares of our Class A common stock by us or our stockholders;</w:t>
      </w:r>
    </w:p>
    <w:p>
      <w:pPr>
        <w:spacing w:after="0" w:line="198" w:lineRule="exact"/>
        <w:rPr>
          <w:rFonts w:ascii="Arial" w:cs="Arial" w:eastAsia="Arial" w:hAnsi="Arial"/>
          <w:sz w:val="15"/>
          <w:szCs w:val="15"/>
          <w:color w:val="auto"/>
        </w:rPr>
      </w:pPr>
    </w:p>
    <w:p>
      <w:pPr>
        <w:ind w:left="1100" w:right="260" w:hanging="273"/>
        <w:spacing w:after="0" w:line="289" w:lineRule="auto"/>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significant change in our management; and</w:t>
      </w:r>
    </w:p>
    <w:p>
      <w:pPr>
        <w:spacing w:after="0" w:line="198" w:lineRule="exact"/>
        <w:rPr>
          <w:rFonts w:ascii="Arial" w:cs="Arial" w:eastAsia="Arial" w:hAnsi="Arial"/>
          <w:sz w:val="15"/>
          <w:szCs w:val="15"/>
          <w:color w:val="auto"/>
        </w:rPr>
      </w:pPr>
    </w:p>
    <w:p>
      <w:pPr>
        <w:ind w:left="1100" w:hanging="273"/>
        <w:spacing w:after="0"/>
        <w:tabs>
          <w:tab w:leader="none" w:pos="1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380"/>
          </w:cols>
          <w:pgMar w:left="240" w:top="123" w:right="27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300" w:firstLine="348"/>
        <w:spacing w:after="0" w:line="327" w:lineRule="auto"/>
        <w:rPr>
          <w:sz w:val="20"/>
          <w:szCs w:val="20"/>
          <w:color w:val="auto"/>
        </w:rPr>
      </w:pPr>
      <w:r>
        <w:rPr>
          <w:rFonts w:ascii="Arial" w:cs="Arial" w:eastAsia="Arial" w:hAnsi="Arial"/>
          <w:sz w:val="14"/>
          <w:szCs w:val="14"/>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41" w:lineRule="exact"/>
        <w:rPr>
          <w:sz w:val="20"/>
          <w:szCs w:val="20"/>
          <w:color w:val="auto"/>
        </w:rPr>
      </w:pPr>
    </w:p>
    <w:p>
      <w:pPr>
        <w:ind w:right="80" w:firstLine="348"/>
        <w:spacing w:after="0" w:line="281" w:lineRule="auto"/>
        <w:rPr>
          <w:sz w:val="20"/>
          <w:szCs w:val="20"/>
          <w:color w:val="auto"/>
        </w:rPr>
      </w:pPr>
      <w:r>
        <w:rPr>
          <w:rFonts w:ascii="Arial" w:cs="Arial" w:eastAsia="Arial" w:hAnsi="Arial"/>
          <w:sz w:val="14"/>
          <w:szCs w:val="14"/>
          <w:color w:val="auto"/>
        </w:rPr>
        <w:t>Our Class A common stock has one vote per share, our Class B common stock has ten votes per share, and our Class C common stock has no voting rights, except as otherwise required by law. As of June 30, 2019, our directors, executive officers and holders of more than 5% of our common stock, and their respective affiliates, held in the aggregate 86.0% of the voting power of our capital stock, with our Co-Founders holding approximately 61.6% of the voting power of our capital stock (including the Co-Founder Grants and voting agreements that our co-founders entered into with certain of our stockholders that covered an aggregate of 0.7% of the voting power of our capital stock as of June 30, 2019). We are including the Co-Founder Grants in this calculation since they are legally issued and outstanding shares of our Class A common stock and our co-founders are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50" w:lineRule="exact"/>
        <w:rPr>
          <w:sz w:val="20"/>
          <w:szCs w:val="20"/>
          <w:color w:val="auto"/>
        </w:rPr>
      </w:pPr>
    </w:p>
    <w:p>
      <w:pPr>
        <w:ind w:firstLine="348"/>
        <w:spacing w:after="0" w:line="281" w:lineRule="auto"/>
        <w:rPr>
          <w:sz w:val="20"/>
          <w:szCs w:val="20"/>
          <w:color w:val="auto"/>
        </w:rPr>
      </w:pPr>
      <w:r>
        <w:rPr>
          <w:rFonts w:ascii="Arial" w:cs="Arial" w:eastAsia="Arial" w:hAnsi="Arial"/>
          <w:sz w:val="14"/>
          <w:szCs w:val="14"/>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50" w:lineRule="exact"/>
        <w:rPr>
          <w:sz w:val="20"/>
          <w:szCs w:val="20"/>
          <w:color w:val="auto"/>
        </w:rPr>
      </w:pPr>
    </w:p>
    <w:p>
      <w:pPr>
        <w:jc w:val="both"/>
        <w:ind w:right="20" w:firstLine="348"/>
        <w:spacing w:after="0" w:line="27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53" w:lineRule="exact"/>
        <w:rPr>
          <w:sz w:val="20"/>
          <w:szCs w:val="20"/>
          <w:color w:val="auto"/>
        </w:rPr>
      </w:pPr>
    </w:p>
    <w:p>
      <w:pPr>
        <w:ind w:firstLine="348"/>
        <w:spacing w:after="0" w:line="286" w:lineRule="auto"/>
        <w:rPr>
          <w:sz w:val="20"/>
          <w:szCs w:val="20"/>
          <w:color w:val="auto"/>
        </w:rPr>
      </w:pPr>
      <w:r>
        <w:rPr>
          <w:rFonts w:ascii="Arial" w:cs="Arial" w:eastAsia="Arial" w:hAnsi="Arial"/>
          <w:sz w:val="14"/>
          <w:szCs w:val="14"/>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420"/>
          </w:cols>
          <w:pgMar w:left="240" w:top="123" w:right="2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jc w:val="both"/>
        <w:ind w:right="20"/>
        <w:spacing w:after="0" w:line="371" w:lineRule="auto"/>
        <w:rPr>
          <w:sz w:val="20"/>
          <w:szCs w:val="20"/>
          <w:color w:val="auto"/>
        </w:rPr>
      </w:pPr>
      <w:r>
        <w:rPr>
          <w:rFonts w:ascii="Arial" w:cs="Arial" w:eastAsia="Arial" w:hAnsi="Arial"/>
          <w:sz w:val="13"/>
          <w:szCs w:val="13"/>
          <w:b w:val="1"/>
          <w:bCs w:val="1"/>
          <w:i w:val="1"/>
          <w:iCs w:val="1"/>
          <w:color w:val="auto"/>
        </w:rPr>
        <w:t>Because of the relatively small number of shares of our Class A common stock outstanding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94" w:lineRule="exact"/>
        <w:rPr>
          <w:sz w:val="20"/>
          <w:szCs w:val="20"/>
          <w:color w:val="auto"/>
        </w:rPr>
      </w:pPr>
    </w:p>
    <w:p>
      <w:pPr>
        <w:ind w:right="40" w:firstLine="348"/>
        <w:spacing w:after="0" w:line="261" w:lineRule="auto"/>
        <w:rPr>
          <w:sz w:val="20"/>
          <w:szCs w:val="20"/>
          <w:color w:val="auto"/>
        </w:rPr>
      </w:pPr>
      <w:r>
        <w:rPr>
          <w:rFonts w:ascii="Arial" w:cs="Arial" w:eastAsia="Arial" w:hAnsi="Arial"/>
          <w:sz w:val="15"/>
          <w:szCs w:val="15"/>
          <w:color w:val="auto"/>
        </w:rPr>
        <w:t>As of June 30, 2019, we had 266,349,370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Substantial future sales could depress the market price of our Class A common stock.</w:t>
      </w:r>
    </w:p>
    <w:p>
      <w:pPr>
        <w:spacing w:after="0" w:line="198" w:lineRule="exact"/>
        <w:rPr>
          <w:sz w:val="20"/>
          <w:szCs w:val="20"/>
          <w:color w:val="auto"/>
        </w:rPr>
      </w:pPr>
    </w:p>
    <w:p>
      <w:pPr>
        <w:ind w:right="20" w:firstLine="348"/>
        <w:spacing w:after="0" w:line="289" w:lineRule="auto"/>
        <w:rPr>
          <w:sz w:val="20"/>
          <w:szCs w:val="20"/>
          <w:color w:val="auto"/>
        </w:rPr>
      </w:pPr>
      <w:r>
        <w:rPr>
          <w:rFonts w:ascii="Arial" w:cs="Arial" w:eastAsia="Arial" w:hAnsi="Arial"/>
          <w:sz w:val="15"/>
          <w:szCs w:val="15"/>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41" w:lineRule="exact"/>
        <w:rPr>
          <w:sz w:val="20"/>
          <w:szCs w:val="20"/>
          <w:color w:val="auto"/>
        </w:rPr>
      </w:pPr>
    </w:p>
    <w:p>
      <w:pPr>
        <w:ind w:right="80" w:firstLine="348"/>
        <w:spacing w:after="0" w:line="302" w:lineRule="auto"/>
        <w:rPr>
          <w:sz w:val="20"/>
          <w:szCs w:val="20"/>
          <w:color w:val="auto"/>
        </w:rPr>
      </w:pPr>
      <w:r>
        <w:rPr>
          <w:rFonts w:ascii="Arial" w:cs="Arial" w:eastAsia="Arial" w:hAnsi="Arial"/>
          <w:sz w:val="14"/>
          <w:szCs w:val="14"/>
          <w:color w:val="auto"/>
        </w:rPr>
        <w:t>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33" w:lineRule="exact"/>
        <w:rPr>
          <w:sz w:val="20"/>
          <w:szCs w:val="20"/>
          <w:color w:val="auto"/>
        </w:rPr>
      </w:pPr>
    </w:p>
    <w:p>
      <w:pPr>
        <w:ind w:firstLine="348"/>
        <w:spacing w:after="0" w:line="289" w:lineRule="auto"/>
        <w:rPr>
          <w:sz w:val="20"/>
          <w:szCs w:val="20"/>
          <w:color w:val="auto"/>
        </w:rPr>
      </w:pPr>
      <w:r>
        <w:rPr>
          <w:rFonts w:ascii="Arial" w:cs="Arial" w:eastAsia="Arial" w:hAnsi="Arial"/>
          <w:sz w:val="15"/>
          <w:szCs w:val="15"/>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41" w:lineRule="exact"/>
        <w:rPr>
          <w:sz w:val="20"/>
          <w:szCs w:val="20"/>
          <w:color w:val="auto"/>
        </w:rPr>
      </w:pPr>
    </w:p>
    <w:p>
      <w:pPr>
        <w:ind w:right="260"/>
        <w:spacing w:after="0" w:line="289" w:lineRule="auto"/>
        <w:rPr>
          <w:sz w:val="20"/>
          <w:szCs w:val="20"/>
          <w:color w:val="auto"/>
        </w:rPr>
      </w:pPr>
      <w:r>
        <w:rPr>
          <w:rFonts w:ascii="Arial" w:cs="Arial" w:eastAsia="Arial" w:hAnsi="Arial"/>
          <w:sz w:val="15"/>
          <w:szCs w:val="15"/>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41" w:lineRule="exact"/>
        <w:rPr>
          <w:sz w:val="20"/>
          <w:szCs w:val="20"/>
          <w:color w:val="auto"/>
        </w:rPr>
      </w:pPr>
    </w:p>
    <w:p>
      <w:pPr>
        <w:ind w:firstLine="348"/>
        <w:spacing w:after="0" w:line="268"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6" w:lineRule="exact"/>
        <w:rPr>
          <w:sz w:val="20"/>
          <w:szCs w:val="20"/>
          <w:color w:val="auto"/>
        </w:rPr>
      </w:pPr>
    </w:p>
    <w:p>
      <w:pPr>
        <w:ind w:left="1100" w:right="400" w:hanging="273"/>
        <w:spacing w:after="0" w:line="289" w:lineRule="auto"/>
        <w:tabs>
          <w:tab w:leader="none" w:pos="11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transaction that would result in a change in control of our company requires the approval of a majority of our outstanding Class B common stock voting as a separate class;</w:t>
      </w:r>
    </w:p>
    <w:p>
      <w:pPr>
        <w:spacing w:after="0" w:line="140" w:lineRule="exact"/>
        <w:rPr>
          <w:rFonts w:ascii="Arial" w:cs="Arial" w:eastAsia="Arial" w:hAnsi="Arial"/>
          <w:sz w:val="15"/>
          <w:szCs w:val="15"/>
          <w:color w:val="auto"/>
        </w:rPr>
      </w:pPr>
    </w:p>
    <w:p>
      <w:pPr>
        <w:ind w:left="1100" w:hanging="273"/>
        <w:spacing w:after="0" w:line="273" w:lineRule="auto"/>
        <w:tabs>
          <w:tab w:leader="none" w:pos="11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52" w:lineRule="exact"/>
        <w:rPr>
          <w:rFonts w:ascii="Arial" w:cs="Arial" w:eastAsia="Arial" w:hAnsi="Arial"/>
          <w:sz w:val="15"/>
          <w:szCs w:val="15"/>
          <w:color w:val="auto"/>
        </w:rPr>
      </w:pPr>
    </w:p>
    <w:p>
      <w:pPr>
        <w:jc w:val="both"/>
        <w:ind w:left="1100" w:hanging="273"/>
        <w:spacing w:after="0" w:line="273" w:lineRule="auto"/>
        <w:tabs>
          <w:tab w:leader="none" w:pos="11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52" w:lineRule="exact"/>
        <w:rPr>
          <w:rFonts w:ascii="Arial" w:cs="Arial" w:eastAsia="Arial" w:hAnsi="Arial"/>
          <w:sz w:val="15"/>
          <w:szCs w:val="15"/>
          <w:color w:val="auto"/>
        </w:rPr>
      </w:pPr>
    </w:p>
    <w:p>
      <w:pPr>
        <w:ind w:left="1100" w:right="20" w:hanging="273"/>
        <w:spacing w:after="0" w:line="327" w:lineRule="auto"/>
        <w:tabs>
          <w:tab w:leader="none" w:pos="11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420"/>
          </w:cols>
          <w:pgMar w:left="240" w:top="123" w:right="2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1100" w:right="60"/>
        <w:spacing w:after="0" w:line="338" w:lineRule="auto"/>
        <w:rPr>
          <w:sz w:val="20"/>
          <w:szCs w:val="20"/>
          <w:color w:val="auto"/>
        </w:rPr>
      </w:pPr>
      <w:r>
        <w:rPr>
          <w:rFonts w:ascii="Arial" w:cs="Arial" w:eastAsia="Arial" w:hAnsi="Arial"/>
          <w:sz w:val="15"/>
          <w:szCs w:val="15"/>
          <w:color w:val="auto"/>
        </w:rPr>
        <w:t>Class B common stock, as a class, to Class A common stock, certain amendments to our amended and restated certificate of incorporation will require the approval of two-thirds of our then outstanding voting power;</w:t>
      </w:r>
    </w:p>
    <w:p>
      <w:pPr>
        <w:spacing w:after="0" w:line="116" w:lineRule="exact"/>
        <w:rPr>
          <w:sz w:val="20"/>
          <w:szCs w:val="20"/>
          <w:color w:val="auto"/>
        </w:rPr>
      </w:pPr>
    </w:p>
    <w:p>
      <w:pPr>
        <w:ind w:left="1100" w:hanging="273"/>
        <w:spacing w:after="0" w:line="289" w:lineRule="auto"/>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140" w:lineRule="exact"/>
        <w:rPr>
          <w:rFonts w:ascii="Arial" w:cs="Arial" w:eastAsia="Arial" w:hAnsi="Arial"/>
          <w:sz w:val="15"/>
          <w:szCs w:val="15"/>
          <w:color w:val="auto"/>
        </w:rPr>
      </w:pPr>
    </w:p>
    <w:p>
      <w:pPr>
        <w:ind w:left="1100" w:right="20" w:hanging="273"/>
        <w:spacing w:after="0" w:line="289" w:lineRule="auto"/>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after the Voting Threshold Date our stockholders will only be able to take action at a meeting of stockholders, and will not be able to take action by written consent for any matter;</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until the Voting Threshold Date, our stockholders will be able to act by written consent only if the action is first recommended or approved by the Board of Directors;</w:t>
      </w:r>
    </w:p>
    <w:p>
      <w:pPr>
        <w:spacing w:after="0" w:line="209" w:lineRule="exact"/>
        <w:rPr>
          <w:rFonts w:ascii="Arial" w:cs="Arial" w:eastAsia="Arial" w:hAnsi="Arial"/>
          <w:sz w:val="14"/>
          <w:szCs w:val="14"/>
          <w:color w:val="auto"/>
        </w:rPr>
      </w:pPr>
    </w:p>
    <w:p>
      <w:pPr>
        <w:ind w:left="1100" w:hanging="273"/>
        <w:spacing w:after="0"/>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198" w:lineRule="exact"/>
        <w:rPr>
          <w:rFonts w:ascii="Arial" w:cs="Arial" w:eastAsia="Arial" w:hAnsi="Arial"/>
          <w:sz w:val="15"/>
          <w:szCs w:val="15"/>
          <w:color w:val="auto"/>
        </w:rPr>
      </w:pPr>
    </w:p>
    <w:p>
      <w:pPr>
        <w:ind w:left="1100" w:right="100" w:hanging="273"/>
        <w:spacing w:after="0" w:line="273" w:lineRule="auto"/>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52" w:lineRule="exact"/>
        <w:rPr>
          <w:rFonts w:ascii="Arial" w:cs="Arial" w:eastAsia="Arial" w:hAnsi="Arial"/>
          <w:sz w:val="15"/>
          <w:szCs w:val="15"/>
          <w:color w:val="auto"/>
        </w:rPr>
      </w:pPr>
    </w:p>
    <w:p>
      <w:pPr>
        <w:ind w:left="1100" w:hanging="273"/>
        <w:spacing w:after="0"/>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certain litigation against us may be required to be brought in Delaware;</w:t>
      </w:r>
    </w:p>
    <w:p>
      <w:pPr>
        <w:spacing w:after="0" w:line="198" w:lineRule="exact"/>
        <w:rPr>
          <w:rFonts w:ascii="Arial" w:cs="Arial" w:eastAsia="Arial" w:hAnsi="Arial"/>
          <w:sz w:val="15"/>
          <w:szCs w:val="15"/>
          <w:color w:val="auto"/>
        </w:rPr>
      </w:pPr>
    </w:p>
    <w:p>
      <w:pPr>
        <w:ind w:left="1100" w:hanging="273"/>
        <w:spacing w:after="0" w:line="289" w:lineRule="auto"/>
        <w:tabs>
          <w:tab w:leader="none" w:pos="11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40" w:lineRule="exact"/>
        <w:rPr>
          <w:rFonts w:ascii="Arial" w:cs="Arial" w:eastAsia="Arial" w:hAnsi="Arial"/>
          <w:sz w:val="15"/>
          <w:szCs w:val="15"/>
          <w:color w:val="auto"/>
        </w:rPr>
      </w:pPr>
    </w:p>
    <w:p>
      <w:pPr>
        <w:ind w:left="1100" w:hanging="273"/>
        <w:spacing w:after="0"/>
        <w:tabs>
          <w:tab w:leader="none" w:pos="11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advance notice procedures apply for stockholders to nominate candidates for election as directors or to bring matters before an annual meeting of stockholders.</w:t>
      </w:r>
    </w:p>
    <w:p>
      <w:pPr>
        <w:spacing w:after="0" w:line="21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5"/>
          <w:szCs w:val="15"/>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56" w:lineRule="exact"/>
        <w:rPr>
          <w:sz w:val="20"/>
          <w:szCs w:val="20"/>
          <w:color w:val="auto"/>
        </w:rPr>
      </w:pPr>
    </w:p>
    <w:p>
      <w:pPr>
        <w:jc w:val="both"/>
        <w:ind w:right="240"/>
        <w:spacing w:after="0" w:line="302" w:lineRule="auto"/>
        <w:rPr>
          <w:sz w:val="20"/>
          <w:szCs w:val="20"/>
          <w:color w:val="auto"/>
        </w:rPr>
      </w:pPr>
      <w:r>
        <w:rPr>
          <w:rFonts w:ascii="Arial" w:cs="Arial" w:eastAsia="Arial" w:hAnsi="Arial"/>
          <w:sz w:val="14"/>
          <w:szCs w:val="14"/>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33" w:lineRule="exact"/>
        <w:rPr>
          <w:sz w:val="20"/>
          <w:szCs w:val="20"/>
          <w:color w:val="auto"/>
        </w:rPr>
      </w:pPr>
    </w:p>
    <w:p>
      <w:pPr>
        <w:ind w:right="100" w:firstLine="348"/>
        <w:spacing w:after="0" w:line="289" w:lineRule="auto"/>
        <w:rPr>
          <w:sz w:val="20"/>
          <w:szCs w:val="20"/>
          <w:color w:val="auto"/>
        </w:rPr>
      </w:pPr>
      <w:r>
        <w:rPr>
          <w:rFonts w:ascii="Arial" w:cs="Arial" w:eastAsia="Arial" w:hAnsi="Arial"/>
          <w:sz w:val="14"/>
          <w:szCs w:val="14"/>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43" w:lineRule="exact"/>
        <w:rPr>
          <w:sz w:val="20"/>
          <w:szCs w:val="20"/>
          <w:color w:val="auto"/>
        </w:rPr>
      </w:pPr>
    </w:p>
    <w:p>
      <w:pPr>
        <w:ind w:right="180" w:firstLine="348"/>
        <w:spacing w:after="0" w:line="289" w:lineRule="auto"/>
        <w:rPr>
          <w:sz w:val="20"/>
          <w:szCs w:val="20"/>
          <w:color w:val="auto"/>
        </w:rPr>
      </w:pPr>
      <w:r>
        <w:rPr>
          <w:rFonts w:ascii="Arial" w:cs="Arial" w:eastAsia="Arial" w:hAnsi="Arial"/>
          <w:sz w:val="15"/>
          <w:szCs w:val="15"/>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41" w:lineRule="exact"/>
        <w:rPr>
          <w:sz w:val="20"/>
          <w:szCs w:val="20"/>
          <w:color w:val="auto"/>
        </w:rPr>
      </w:pPr>
    </w:p>
    <w:p>
      <w:pPr>
        <w:ind w:right="280" w:firstLine="348"/>
        <w:spacing w:after="0" w:line="273" w:lineRule="auto"/>
        <w:rPr>
          <w:sz w:val="20"/>
          <w:szCs w:val="20"/>
          <w:color w:val="auto"/>
        </w:rPr>
      </w:pPr>
      <w:r>
        <w:rPr>
          <w:rFonts w:ascii="Arial" w:cs="Arial" w:eastAsia="Arial" w:hAnsi="Arial"/>
          <w:sz w:val="15"/>
          <w:szCs w:val="15"/>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420"/>
          </w:cols>
          <w:pgMar w:left="240" w:top="123" w:right="2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7" w:lineRule="exact"/>
        <w:rPr>
          <w:sz w:val="20"/>
          <w:szCs w:val="20"/>
          <w:color w:val="auto"/>
        </w:rPr>
      </w:pPr>
    </w:p>
    <w:p>
      <w:pPr>
        <w:ind w:right="60" w:firstLine="348"/>
        <w:spacing w:after="0" w:line="265" w:lineRule="auto"/>
        <w:rPr>
          <w:sz w:val="20"/>
          <w:szCs w:val="20"/>
          <w:color w:val="auto"/>
        </w:rPr>
      </w:pPr>
      <w:r>
        <w:rPr>
          <w:rFonts w:ascii="Arial" w:cs="Arial" w:eastAsia="Arial" w:hAnsi="Arial"/>
          <w:sz w:val="15"/>
          <w:szCs w:val="15"/>
          <w:color w:val="auto"/>
        </w:rPr>
        <w:t>As previously disclosed in our Current Report on Form 8-K filed with the SEC on December 19, 2018, in light of the decision issued by the Delaware Court of Chancery in Matthew Sciabacucchi v. Matthew B. Salzberg et al., C.A. No. 2017-0931-JTL (Del. Ch.), finding Federal Forum Provisions are not valid under Delaware law, we do not intend to enforce the Federal Forum Provision in our amended and restated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60" w:lineRule="exact"/>
        <w:rPr>
          <w:sz w:val="20"/>
          <w:szCs w:val="20"/>
          <w:color w:val="auto"/>
        </w:rPr>
      </w:pPr>
    </w:p>
    <w:p>
      <w:pPr>
        <w:ind w:right="320" w:firstLine="348"/>
        <w:spacing w:after="0" w:line="289" w:lineRule="auto"/>
        <w:rPr>
          <w:sz w:val="20"/>
          <w:szCs w:val="20"/>
          <w:color w:val="auto"/>
        </w:rPr>
      </w:pPr>
      <w:r>
        <w:rPr>
          <w:rFonts w:ascii="Arial" w:cs="Arial" w:eastAsia="Arial" w:hAnsi="Arial"/>
          <w:sz w:val="15"/>
          <w:szCs w:val="15"/>
          <w:color w:val="auto"/>
        </w:rPr>
        <w:t>If we face relevant litigation and are unable to enforce these provisions, we may incur additional costs associated with resolving the dispute in other jurisdictions, which could harm our results of operations.</w:t>
      </w:r>
    </w:p>
    <w:p>
      <w:pPr>
        <w:spacing w:after="0" w:line="141"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41" w:lineRule="exact"/>
        <w:rPr>
          <w:sz w:val="20"/>
          <w:szCs w:val="20"/>
          <w:color w:val="auto"/>
        </w:rPr>
      </w:pPr>
    </w:p>
    <w:p>
      <w:pPr>
        <w:ind w:firstLine="348"/>
        <w:spacing w:after="0" w:line="265" w:lineRule="auto"/>
        <w:rPr>
          <w:sz w:val="20"/>
          <w:szCs w:val="20"/>
          <w:color w:val="auto"/>
        </w:rPr>
      </w:pPr>
      <w:r>
        <w:rPr>
          <w:rFonts w:ascii="Arial" w:cs="Arial" w:eastAsia="Arial" w:hAnsi="Arial"/>
          <w:sz w:val="15"/>
          <w:szCs w:val="15"/>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198" w:lineRule="exact"/>
        <w:rPr>
          <w:sz w:val="20"/>
          <w:szCs w:val="20"/>
          <w:color w:val="auto"/>
        </w:rPr>
      </w:pPr>
    </w:p>
    <w:p>
      <w:pPr>
        <w:jc w:val="both"/>
        <w:ind w:firstLine="348"/>
        <w:spacing w:after="0" w:line="273"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420"/>
          </w:cols>
          <w:pgMar w:left="240" w:top="123" w:right="2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19"/>
          </w:cols>
          <w:pgMar w:left="240" w:top="123" w:right="1440" w:bottom="1440" w:gutter="0" w:footer="0" w:header="0"/>
        </w:sectPr>
      </w:pPr>
    </w:p>
    <w:bookmarkStart w:id="80" w:name="page81"/>
    <w:bookmarkEnd w:id="80"/>
    <w:p>
      <w:pPr>
        <w:ind w:left="7"/>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jc w:val="center"/>
        <w:ind w:right="-206"/>
        <w:spacing w:after="0"/>
        <w:rPr>
          <w:sz w:val="20"/>
          <w:szCs w:val="20"/>
          <w:color w:val="auto"/>
        </w:rPr>
      </w:pPr>
      <w:r>
        <w:rPr>
          <w:rFonts w:ascii="Arial" w:cs="Arial" w:eastAsia="Arial" w:hAnsi="Arial"/>
          <w:sz w:val="15"/>
          <w:szCs w:val="15"/>
          <w:b w:val="1"/>
          <w:bCs w:val="1"/>
          <w:color w:val="auto"/>
        </w:rPr>
        <w:t>EXHIBIT INDEX</w:t>
      </w:r>
    </w:p>
    <w:p>
      <w:pPr>
        <w:sectPr>
          <w:pgSz w:w="11900" w:h="16838" w:orient="portrait"/>
          <w:cols w:equalWidth="0" w:num="1">
            <w:col w:w="11247"/>
          </w:cols>
          <w:pgMar w:left="233" w:top="123" w:right="419" w:bottom="1440" w:gutter="0" w:footer="0" w:header="0"/>
        </w:sectPr>
      </w:pPr>
    </w:p>
    <w:p>
      <w:pPr>
        <w:spacing w:after="0" w:line="276" w:lineRule="exact"/>
        <w:rPr>
          <w:sz w:val="20"/>
          <w:szCs w:val="20"/>
          <w:color w:val="auto"/>
        </w:rPr>
      </w:pPr>
    </w:p>
    <w:p>
      <w:pPr>
        <w:ind w:left="27"/>
        <w:spacing w:after="0"/>
        <w:rPr>
          <w:sz w:val="20"/>
          <w:szCs w:val="20"/>
          <w:color w:val="auto"/>
        </w:rPr>
      </w:pPr>
      <w:r>
        <w:rPr>
          <w:rFonts w:ascii="Arial" w:cs="Arial" w:eastAsia="Arial" w:hAnsi="Arial"/>
          <w:sz w:val="12"/>
          <w:szCs w:val="12"/>
          <w:b w:val="1"/>
          <w:bCs w:val="1"/>
          <w:color w:val="auto"/>
        </w:rPr>
        <w:t>Exhibit</w:t>
      </w:r>
    </w:p>
    <w:p>
      <w:pPr>
        <w:spacing w:after="0" w:line="3" w:lineRule="exact"/>
        <w:rPr>
          <w:sz w:val="20"/>
          <w:szCs w:val="20"/>
          <w:color w:val="auto"/>
        </w:rPr>
      </w:pPr>
    </w:p>
    <w:p>
      <w:pPr>
        <w:ind w:left="27"/>
        <w:spacing w:after="0"/>
        <w:rPr>
          <w:sz w:val="20"/>
          <w:szCs w:val="20"/>
          <w:color w:val="auto"/>
        </w:rPr>
      </w:pPr>
      <w:r>
        <w:rPr>
          <w:rFonts w:ascii="Arial" w:cs="Arial" w:eastAsia="Arial" w:hAnsi="Arial"/>
          <w:sz w:val="12"/>
          <w:szCs w:val="12"/>
          <w:b w:val="1"/>
          <w:bCs w:val="1"/>
          <w:color w:val="auto"/>
        </w:rPr>
        <w:t>Number</w:t>
      </w:r>
    </w:p>
    <w:p>
      <w:pPr>
        <w:spacing w:after="0" w:line="26" w:lineRule="exact"/>
        <w:rPr>
          <w:sz w:val="20"/>
          <w:szCs w:val="20"/>
          <w:color w:val="auto"/>
        </w:rPr>
      </w:pPr>
    </w:p>
    <w:p>
      <w:pPr>
        <w:ind w:left="27"/>
        <w:spacing w:after="0"/>
        <w:rPr>
          <w:sz w:val="20"/>
          <w:szCs w:val="20"/>
          <w:color w:val="auto"/>
        </w:rPr>
      </w:pPr>
      <w:r>
        <w:rPr>
          <w:rFonts w:ascii="Arial" w:cs="Arial" w:eastAsia="Arial" w:hAnsi="Arial"/>
          <w:sz w:val="12"/>
          <w:szCs w:val="12"/>
          <w:color w:val="auto"/>
        </w:rPr>
        <w:t>31.1</w:t>
      </w:r>
    </w:p>
    <w:p>
      <w:pPr>
        <w:spacing w:after="0" w:line="200" w:lineRule="exact"/>
        <w:rPr>
          <w:sz w:val="20"/>
          <w:szCs w:val="20"/>
          <w:color w:val="auto"/>
        </w:rPr>
      </w:pPr>
    </w:p>
    <w:p>
      <w:pPr>
        <w:spacing w:after="0" w:line="241" w:lineRule="exact"/>
        <w:rPr>
          <w:sz w:val="20"/>
          <w:szCs w:val="20"/>
          <w:color w:val="auto"/>
        </w:rPr>
      </w:pPr>
    </w:p>
    <w:p>
      <w:pPr>
        <w:ind w:left="27"/>
        <w:spacing w:after="0"/>
        <w:rPr>
          <w:sz w:val="20"/>
          <w:szCs w:val="20"/>
          <w:color w:val="auto"/>
        </w:rPr>
      </w:pPr>
      <w:r>
        <w:rPr>
          <w:rFonts w:ascii="Arial" w:cs="Arial" w:eastAsia="Arial" w:hAnsi="Arial"/>
          <w:sz w:val="12"/>
          <w:szCs w:val="12"/>
          <w:color w:val="auto"/>
        </w:rPr>
        <w:t>31.2</w:t>
      </w:r>
    </w:p>
    <w:p>
      <w:pPr>
        <w:spacing w:after="0" w:line="200" w:lineRule="exact"/>
        <w:rPr>
          <w:sz w:val="20"/>
          <w:szCs w:val="20"/>
          <w:color w:val="auto"/>
        </w:rPr>
      </w:pPr>
    </w:p>
    <w:p>
      <w:pPr>
        <w:spacing w:after="0" w:line="241" w:lineRule="exact"/>
        <w:rPr>
          <w:sz w:val="20"/>
          <w:szCs w:val="20"/>
          <w:color w:val="auto"/>
        </w:rPr>
      </w:pPr>
    </w:p>
    <w:p>
      <w:pPr>
        <w:ind w:left="27"/>
        <w:spacing w:after="0"/>
        <w:rPr>
          <w:sz w:val="20"/>
          <w:szCs w:val="20"/>
          <w:color w:val="auto"/>
        </w:rPr>
      </w:pPr>
      <w:r>
        <w:rPr>
          <w:rFonts w:ascii="Arial" w:cs="Arial" w:eastAsia="Arial" w:hAnsi="Arial"/>
          <w:sz w:val="12"/>
          <w:szCs w:val="12"/>
          <w:color w:val="auto"/>
        </w:rPr>
        <w:t>32.1†</w:t>
      </w:r>
    </w:p>
    <w:p>
      <w:pPr>
        <w:spacing w:after="0" w:line="200" w:lineRule="exact"/>
        <w:rPr>
          <w:sz w:val="20"/>
          <w:szCs w:val="20"/>
          <w:color w:val="auto"/>
        </w:rPr>
      </w:pPr>
    </w:p>
    <w:p>
      <w:pPr>
        <w:spacing w:after="0" w:line="241" w:lineRule="exact"/>
        <w:rPr>
          <w:sz w:val="20"/>
          <w:szCs w:val="20"/>
          <w:color w:val="auto"/>
        </w:rPr>
      </w:pPr>
    </w:p>
    <w:p>
      <w:pPr>
        <w:ind w:left="27"/>
        <w:spacing w:after="0"/>
        <w:rPr>
          <w:sz w:val="20"/>
          <w:szCs w:val="20"/>
          <w:color w:val="auto"/>
        </w:rPr>
      </w:pPr>
      <w:r>
        <w:rPr>
          <w:rFonts w:ascii="Arial" w:cs="Arial" w:eastAsia="Arial" w:hAnsi="Arial"/>
          <w:sz w:val="12"/>
          <w:szCs w:val="12"/>
          <w:color w:val="auto"/>
        </w:rPr>
        <w:t>101.INS</w:t>
      </w:r>
    </w:p>
    <w:p>
      <w:pPr>
        <w:spacing w:after="0" w:line="372" w:lineRule="exact"/>
        <w:rPr>
          <w:sz w:val="20"/>
          <w:szCs w:val="20"/>
          <w:color w:val="auto"/>
        </w:rPr>
      </w:pPr>
    </w:p>
    <w:p>
      <w:pPr>
        <w:ind w:left="27"/>
        <w:spacing w:after="0"/>
        <w:rPr>
          <w:sz w:val="20"/>
          <w:szCs w:val="20"/>
          <w:color w:val="auto"/>
        </w:rPr>
      </w:pPr>
      <w:r>
        <w:rPr>
          <w:rFonts w:ascii="Arial" w:cs="Arial" w:eastAsia="Arial" w:hAnsi="Arial"/>
          <w:sz w:val="11"/>
          <w:szCs w:val="11"/>
          <w:color w:val="auto"/>
        </w:rPr>
        <w:t>101.SCH</w:t>
      </w:r>
    </w:p>
    <w:p>
      <w:pPr>
        <w:spacing w:after="0" w:line="383" w:lineRule="exact"/>
        <w:rPr>
          <w:sz w:val="20"/>
          <w:szCs w:val="20"/>
          <w:color w:val="auto"/>
        </w:rPr>
      </w:pPr>
    </w:p>
    <w:p>
      <w:pPr>
        <w:ind w:left="27"/>
        <w:spacing w:after="0"/>
        <w:rPr>
          <w:sz w:val="20"/>
          <w:szCs w:val="20"/>
          <w:color w:val="auto"/>
        </w:rPr>
      </w:pPr>
      <w:r>
        <w:rPr>
          <w:rFonts w:ascii="Arial" w:cs="Arial" w:eastAsia="Arial" w:hAnsi="Arial"/>
          <w:sz w:val="11"/>
          <w:szCs w:val="11"/>
          <w:color w:val="auto"/>
        </w:rPr>
        <w:t>101.CAL</w:t>
      </w:r>
    </w:p>
    <w:p>
      <w:pPr>
        <w:spacing w:after="0" w:line="383" w:lineRule="exact"/>
        <w:rPr>
          <w:sz w:val="20"/>
          <w:szCs w:val="20"/>
          <w:color w:val="auto"/>
        </w:rPr>
      </w:pPr>
    </w:p>
    <w:p>
      <w:pPr>
        <w:ind w:left="27"/>
        <w:spacing w:after="0"/>
        <w:rPr>
          <w:sz w:val="20"/>
          <w:szCs w:val="20"/>
          <w:color w:val="auto"/>
        </w:rPr>
      </w:pPr>
      <w:r>
        <w:rPr>
          <w:rFonts w:ascii="Arial" w:cs="Arial" w:eastAsia="Arial" w:hAnsi="Arial"/>
          <w:sz w:val="11"/>
          <w:szCs w:val="11"/>
          <w:color w:val="auto"/>
        </w:rPr>
        <w:t>101.DEF</w:t>
      </w:r>
    </w:p>
    <w:p>
      <w:pPr>
        <w:spacing w:after="0" w:line="383" w:lineRule="exact"/>
        <w:rPr>
          <w:sz w:val="20"/>
          <w:szCs w:val="20"/>
          <w:color w:val="auto"/>
        </w:rPr>
      </w:pPr>
    </w:p>
    <w:p>
      <w:pPr>
        <w:ind w:left="27"/>
        <w:spacing w:after="0"/>
        <w:rPr>
          <w:sz w:val="20"/>
          <w:szCs w:val="20"/>
          <w:color w:val="auto"/>
        </w:rPr>
      </w:pPr>
      <w:r>
        <w:rPr>
          <w:rFonts w:ascii="Arial" w:cs="Arial" w:eastAsia="Arial" w:hAnsi="Arial"/>
          <w:sz w:val="11"/>
          <w:szCs w:val="11"/>
          <w:color w:val="auto"/>
        </w:rPr>
        <w:t>101.LAB</w:t>
      </w:r>
    </w:p>
    <w:p>
      <w:pPr>
        <w:spacing w:after="0" w:line="383" w:lineRule="exact"/>
        <w:rPr>
          <w:sz w:val="20"/>
          <w:szCs w:val="20"/>
          <w:color w:val="auto"/>
        </w:rPr>
      </w:pPr>
    </w:p>
    <w:p>
      <w:pPr>
        <w:ind w:left="27"/>
        <w:spacing w:after="0"/>
        <w:rPr>
          <w:sz w:val="20"/>
          <w:szCs w:val="20"/>
          <w:color w:val="auto"/>
        </w:rPr>
      </w:pPr>
      <w:r>
        <w:rPr>
          <w:rFonts w:ascii="Arial" w:cs="Arial" w:eastAsia="Arial" w:hAnsi="Arial"/>
          <w:sz w:val="11"/>
          <w:szCs w:val="11"/>
          <w:color w:val="auto"/>
        </w:rPr>
        <w:t>101.PRE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230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94"/>
              </w:rPr>
              <w:t>Incorporated by</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40" w:type="dxa"/>
            <w:vAlign w:val="bottom"/>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900" w:type="dxa"/>
            <w:vAlign w:val="bottom"/>
            <w:vMerge w:val="restart"/>
          </w:tcPr>
          <w:p>
            <w:pPr>
              <w:ind w:left="1320"/>
              <w:spacing w:after="0"/>
              <w:rPr>
                <w:sz w:val="20"/>
                <w:szCs w:val="20"/>
                <w:color w:val="auto"/>
              </w:rPr>
            </w:pPr>
            <w:r>
              <w:rPr>
                <w:rFonts w:ascii="Arial" w:cs="Arial" w:eastAsia="Arial" w:hAnsi="Arial"/>
                <w:sz w:val="12"/>
                <w:szCs w:val="12"/>
                <w:b w:val="1"/>
                <w:bCs w:val="1"/>
                <w:color w:val="auto"/>
              </w:rPr>
              <w:t>Form</w:t>
            </w:r>
          </w:p>
        </w:tc>
        <w:tc>
          <w:tcPr>
            <w:tcW w:w="11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File Number</w:t>
            </w:r>
          </w:p>
        </w:tc>
        <w:tc>
          <w:tcPr>
            <w:tcW w:w="1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Reference from Exhibit</w:t>
            </w:r>
          </w:p>
        </w:tc>
        <w:tc>
          <w:tcPr>
            <w:tcW w:w="106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3"/>
              </w:rPr>
              <w:t>Filed with SEC</w:t>
            </w:r>
          </w:p>
        </w:tc>
        <w:tc>
          <w:tcPr>
            <w:tcW w:w="0" w:type="dxa"/>
            <w:vAlign w:val="bottom"/>
          </w:tcPr>
          <w:p>
            <w:pPr>
              <w:spacing w:after="0"/>
              <w:rPr>
                <w:sz w:val="1"/>
                <w:szCs w:val="1"/>
                <w:color w:val="auto"/>
              </w:rPr>
            </w:pPr>
          </w:p>
        </w:tc>
      </w:tr>
      <w:tr>
        <w:trPr>
          <w:trHeight w:val="160"/>
        </w:trPr>
        <w:tc>
          <w:tcPr>
            <w:tcW w:w="194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rFonts w:ascii="Arial" w:cs="Arial" w:eastAsia="Arial" w:hAnsi="Arial"/>
          <w:sz w:val="12"/>
          <w:szCs w:val="12"/>
          <w:u w:val="single" w:color="auto"/>
          <w:color w:val="0000FF"/>
        </w:rPr>
      </w:pPr>
      <w:hyperlink w:anchor="page83">
        <w:r>
          <w:rPr>
            <w:rFonts w:ascii="Arial" w:cs="Arial" w:eastAsia="Arial" w:hAnsi="Arial"/>
            <w:sz w:val="12"/>
            <w:szCs w:val="12"/>
            <w:u w:val="single" w:color="auto"/>
            <w:color w:val="0000FF"/>
          </w:rPr>
          <w:t>Certification of Principal Executive Officer pursuant to Exchange Act Rules 13a-14(a) and 15d-14(a), as</w:t>
        </w:r>
      </w:hyperlink>
    </w:p>
    <w:p>
      <w:pPr>
        <w:spacing w:after="0"/>
        <w:rPr>
          <w:rFonts w:ascii="Arial" w:cs="Arial" w:eastAsia="Arial" w:hAnsi="Arial"/>
          <w:sz w:val="12"/>
          <w:szCs w:val="12"/>
          <w:u w:val="single" w:color="auto"/>
          <w:color w:val="0000FF"/>
        </w:rPr>
      </w:pPr>
      <w:hyperlink w:anchor="page83">
        <w:r>
          <w:rPr>
            <w:rFonts w:ascii="Arial" w:cs="Arial" w:eastAsia="Arial" w:hAnsi="Arial"/>
            <w:sz w:val="12"/>
            <w:szCs w:val="12"/>
            <w:u w:val="single" w:color="auto"/>
            <w:color w:val="0000FF"/>
          </w:rPr>
          <w:t>adopted pursuant to Section 302 of the Sarbanes-Oxley Act of 2002.</w:t>
        </w:r>
      </w:hyperlink>
    </w:p>
    <w:p>
      <w:pPr>
        <w:spacing w:after="0" w:line="303" w:lineRule="exact"/>
        <w:rPr>
          <w:sz w:val="20"/>
          <w:szCs w:val="20"/>
          <w:color w:val="auto"/>
        </w:rPr>
      </w:pPr>
    </w:p>
    <w:p>
      <w:pPr>
        <w:spacing w:after="0"/>
        <w:rPr>
          <w:rFonts w:ascii="Arial" w:cs="Arial" w:eastAsia="Arial" w:hAnsi="Arial"/>
          <w:sz w:val="12"/>
          <w:szCs w:val="12"/>
          <w:u w:val="single" w:color="auto"/>
          <w:color w:val="0000FF"/>
        </w:rPr>
      </w:pPr>
      <w:hyperlink w:anchor="page84">
        <w:r>
          <w:rPr>
            <w:rFonts w:ascii="Arial" w:cs="Arial" w:eastAsia="Arial" w:hAnsi="Arial"/>
            <w:sz w:val="12"/>
            <w:szCs w:val="12"/>
            <w:u w:val="single" w:color="auto"/>
            <w:color w:val="0000FF"/>
          </w:rPr>
          <w:t>Certification of Principal Financial Officer pursuant to Exchange Act Rules 13a-14(a) and 15d-14(a), as</w:t>
        </w:r>
      </w:hyperlink>
    </w:p>
    <w:p>
      <w:pPr>
        <w:spacing w:after="0"/>
        <w:rPr>
          <w:rFonts w:ascii="Arial" w:cs="Arial" w:eastAsia="Arial" w:hAnsi="Arial"/>
          <w:sz w:val="12"/>
          <w:szCs w:val="12"/>
          <w:u w:val="single" w:color="auto"/>
          <w:color w:val="0000FF"/>
        </w:rPr>
      </w:pPr>
      <w:hyperlink w:anchor="page84">
        <w:r>
          <w:rPr>
            <w:rFonts w:ascii="Arial" w:cs="Arial" w:eastAsia="Arial" w:hAnsi="Arial"/>
            <w:sz w:val="12"/>
            <w:szCs w:val="12"/>
            <w:u w:val="single" w:color="auto"/>
            <w:color w:val="0000FF"/>
          </w:rPr>
          <w:t>adopted pursuant to Section 302 of the Sarbanes-Oxley Act of 2002.</w:t>
        </w:r>
      </w:hyperlink>
    </w:p>
    <w:p>
      <w:pPr>
        <w:spacing w:after="0" w:line="303" w:lineRule="exact"/>
        <w:rPr>
          <w:sz w:val="20"/>
          <w:szCs w:val="20"/>
          <w:color w:val="auto"/>
        </w:rPr>
      </w:pPr>
    </w:p>
    <w:p>
      <w:pPr>
        <w:spacing w:after="0"/>
        <w:rPr>
          <w:rFonts w:ascii="Arial" w:cs="Arial" w:eastAsia="Arial" w:hAnsi="Arial"/>
          <w:sz w:val="12"/>
          <w:szCs w:val="12"/>
          <w:u w:val="single" w:color="auto"/>
          <w:color w:val="0000FF"/>
        </w:rPr>
      </w:pPr>
      <w:hyperlink w:anchor="page85">
        <w:r>
          <w:rPr>
            <w:rFonts w:ascii="Arial" w:cs="Arial" w:eastAsia="Arial" w:hAnsi="Arial"/>
            <w:sz w:val="12"/>
            <w:szCs w:val="12"/>
            <w:u w:val="single" w:color="auto"/>
            <w:color w:val="0000FF"/>
          </w:rPr>
          <w:t>Certifications of Principal Executive Officer and Principal Financial Officer pursuant to 18 U.S.C.</w:t>
        </w:r>
      </w:hyperlink>
    </w:p>
    <w:p>
      <w:pPr>
        <w:spacing w:after="0"/>
        <w:rPr>
          <w:rFonts w:ascii="Arial" w:cs="Arial" w:eastAsia="Arial" w:hAnsi="Arial"/>
          <w:sz w:val="12"/>
          <w:szCs w:val="12"/>
          <w:u w:val="single" w:color="auto"/>
          <w:color w:val="0000FF"/>
        </w:rPr>
      </w:pPr>
      <w:hyperlink w:anchor="page85">
        <w:r>
          <w:rPr>
            <w:rFonts w:ascii="Arial" w:cs="Arial" w:eastAsia="Arial" w:hAnsi="Arial"/>
            <w:sz w:val="12"/>
            <w:szCs w:val="12"/>
            <w:u w:val="single" w:color="auto"/>
            <w:color w:val="0000FF"/>
          </w:rPr>
          <w:t>Section 1350 as adopted pursuant to Section 906 of the Sarbanes-Oxley Act of 2002.</w:t>
        </w:r>
      </w:hyperlink>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XBRL Instance Document.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Schema Document.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Calculation Linkbase Document.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Definition Linkbase Document.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Label Linkbase Document.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XBRL Taxonomy Extension Presentation Linkbase Document.</w:t>
      </w:r>
    </w:p>
    <w:p>
      <w:pPr>
        <w:spacing w:after="0" w:line="152" w:lineRule="exact"/>
        <w:rPr>
          <w:sz w:val="20"/>
          <w:szCs w:val="20"/>
          <w:color w:val="auto"/>
        </w:rPr>
      </w:pPr>
    </w:p>
    <w:p>
      <w:pPr>
        <w:sectPr>
          <w:pgSz w:w="11900" w:h="16838" w:orient="portrait"/>
          <w:cols w:equalWidth="0" w:num="2">
            <w:col w:w="487" w:space="580"/>
            <w:col w:w="10180"/>
          </w:cols>
          <w:pgMar w:left="233" w:top="123" w:right="419" w:bottom="1440" w:gutter="0" w:footer="0" w:header="0"/>
          <w:type w:val="continuous"/>
        </w:sectPr>
      </w:pPr>
    </w:p>
    <w:p>
      <w:pPr>
        <w:ind w:left="7" w:hanging="7"/>
        <w:spacing w:after="0" w:line="257" w:lineRule="auto"/>
        <w:tabs>
          <w:tab w:leader="none" w:pos="1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26" w:lineRule="exact"/>
        <w:rPr>
          <w:sz w:val="20"/>
          <w:szCs w:val="20"/>
          <w:color w:val="auto"/>
        </w:rPr>
      </w:pPr>
    </w:p>
    <w:p>
      <w:pPr>
        <w:jc w:val="center"/>
        <w:ind w:right="-186"/>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247"/>
          </w:cols>
          <w:pgMar w:left="233" w:top="123" w:right="419" w:bottom="1440" w:gutter="0" w:footer="0" w:header="0"/>
          <w:type w:val="continuous"/>
        </w:sectPr>
      </w:pPr>
    </w:p>
    <w:bookmarkStart w:id="81" w:name="page82"/>
    <w:bookmarkEnd w:id="8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right="360" w:firstLine="556"/>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700" w:type="dxa"/>
            <w:vAlign w:val="bottom"/>
            <w:gridSpan w:val="2"/>
          </w:tcPr>
          <w:p>
            <w:pPr>
              <w:ind w:left="40"/>
              <w:spacing w:after="0"/>
              <w:rPr>
                <w:sz w:val="20"/>
                <w:szCs w:val="20"/>
                <w:color w:val="auto"/>
              </w:rPr>
            </w:pPr>
            <w:r>
              <w:rPr>
                <w:rFonts w:ascii="Arial" w:cs="Arial" w:eastAsia="Arial" w:hAnsi="Arial"/>
                <w:sz w:val="15"/>
                <w:szCs w:val="15"/>
                <w:b w:val="1"/>
                <w:bCs w:val="1"/>
                <w:color w:val="auto"/>
              </w:rPr>
              <w:t>DROPBOX, INC.</w:t>
            </w:r>
          </w:p>
        </w:tc>
      </w:tr>
      <w:tr>
        <w:trPr>
          <w:trHeight w:val="510"/>
        </w:trPr>
        <w:tc>
          <w:tcPr>
            <w:tcW w:w="1040" w:type="dxa"/>
            <w:vAlign w:val="bottom"/>
          </w:tcPr>
          <w:p>
            <w:pPr>
              <w:spacing w:after="0"/>
              <w:rPr>
                <w:sz w:val="20"/>
                <w:szCs w:val="20"/>
                <w:color w:val="auto"/>
              </w:rPr>
            </w:pPr>
            <w:r>
              <w:rPr>
                <w:rFonts w:ascii="Arial" w:cs="Arial" w:eastAsia="Arial" w:hAnsi="Arial"/>
                <w:sz w:val="15"/>
                <w:szCs w:val="15"/>
                <w:color w:val="auto"/>
              </w:rPr>
              <w:t>Date:</w:t>
            </w:r>
          </w:p>
        </w:tc>
        <w:tc>
          <w:tcPr>
            <w:tcW w:w="1680" w:type="dxa"/>
            <w:vAlign w:val="bottom"/>
          </w:tcPr>
          <w:p>
            <w:pPr>
              <w:ind w:left="720"/>
              <w:spacing w:after="0"/>
              <w:rPr>
                <w:sz w:val="20"/>
                <w:szCs w:val="20"/>
                <w:color w:val="auto"/>
              </w:rPr>
            </w:pPr>
            <w:r>
              <w:rPr>
                <w:rFonts w:ascii="Arial" w:cs="Arial" w:eastAsia="Arial" w:hAnsi="Arial"/>
                <w:sz w:val="15"/>
                <w:szCs w:val="15"/>
                <w:color w:val="auto"/>
                <w:w w:val="93"/>
              </w:rPr>
              <w:t>August 9, 2019</w:t>
            </w:r>
          </w:p>
        </w:tc>
        <w:tc>
          <w:tcPr>
            <w:tcW w:w="1040" w:type="dxa"/>
            <w:vAlign w:val="bottom"/>
          </w:tcPr>
          <w:p>
            <w:pPr>
              <w:ind w:left="40"/>
              <w:spacing w:after="0"/>
              <w:rPr>
                <w:sz w:val="20"/>
                <w:szCs w:val="20"/>
                <w:color w:val="auto"/>
              </w:rPr>
            </w:pPr>
            <w:r>
              <w:rPr>
                <w:rFonts w:ascii="Arial" w:cs="Arial" w:eastAsia="Arial" w:hAnsi="Arial"/>
                <w:sz w:val="15"/>
                <w:szCs w:val="15"/>
                <w:color w:val="auto"/>
              </w:rPr>
              <w:t>By:</w:t>
            </w:r>
          </w:p>
        </w:tc>
        <w:tc>
          <w:tcPr>
            <w:tcW w:w="7660" w:type="dxa"/>
            <w:vAlign w:val="bottom"/>
          </w:tcPr>
          <w:p>
            <w:pPr>
              <w:ind w:left="20"/>
              <w:spacing w:after="0"/>
              <w:rPr>
                <w:sz w:val="20"/>
                <w:szCs w:val="20"/>
                <w:color w:val="auto"/>
              </w:rPr>
            </w:pPr>
            <w:r>
              <w:rPr>
                <w:rFonts w:ascii="Arial" w:cs="Arial" w:eastAsia="Arial" w:hAnsi="Arial"/>
                <w:sz w:val="15"/>
                <w:szCs w:val="15"/>
                <w:color w:val="auto"/>
              </w:rPr>
              <w:t>/s/ Andrew W. Houston</w:t>
            </w:r>
          </w:p>
        </w:tc>
      </w:tr>
      <w:tr>
        <w:trPr>
          <w:trHeight w:val="23"/>
        </w:trPr>
        <w:tc>
          <w:tcPr>
            <w:tcW w:w="1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00"/>
        </w:trPr>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Andrew W. Houston</w:t>
            </w:r>
          </w:p>
        </w:tc>
      </w:tr>
      <w:tr>
        <w:trPr>
          <w:trHeight w:val="232"/>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Chief Executive Officer</w:t>
            </w:r>
          </w:p>
        </w:tc>
      </w:tr>
      <w:tr>
        <w:trPr>
          <w:trHeight w:val="232"/>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5"/>
                <w:szCs w:val="15"/>
                <w:i w:val="1"/>
                <w:iCs w:val="1"/>
                <w:color w:val="auto"/>
              </w:rPr>
              <w:t>(Principal Executive Officer)</w:t>
            </w:r>
          </w:p>
        </w:tc>
      </w:tr>
      <w:tr>
        <w:trPr>
          <w:trHeight w:val="533"/>
        </w:trPr>
        <w:tc>
          <w:tcPr>
            <w:tcW w:w="1040" w:type="dxa"/>
            <w:vAlign w:val="bottom"/>
          </w:tcPr>
          <w:p>
            <w:pPr>
              <w:spacing w:after="0"/>
              <w:rPr>
                <w:sz w:val="20"/>
                <w:szCs w:val="20"/>
                <w:color w:val="auto"/>
              </w:rPr>
            </w:pPr>
            <w:r>
              <w:rPr>
                <w:rFonts w:ascii="Arial" w:cs="Arial" w:eastAsia="Arial" w:hAnsi="Arial"/>
                <w:sz w:val="15"/>
                <w:szCs w:val="15"/>
                <w:color w:val="auto"/>
              </w:rPr>
              <w:t>Date:</w:t>
            </w:r>
          </w:p>
        </w:tc>
        <w:tc>
          <w:tcPr>
            <w:tcW w:w="1680" w:type="dxa"/>
            <w:vAlign w:val="bottom"/>
          </w:tcPr>
          <w:p>
            <w:pPr>
              <w:ind w:left="720"/>
              <w:spacing w:after="0"/>
              <w:rPr>
                <w:sz w:val="20"/>
                <w:szCs w:val="20"/>
                <w:color w:val="auto"/>
              </w:rPr>
            </w:pPr>
            <w:r>
              <w:rPr>
                <w:rFonts w:ascii="Arial" w:cs="Arial" w:eastAsia="Arial" w:hAnsi="Arial"/>
                <w:sz w:val="15"/>
                <w:szCs w:val="15"/>
                <w:color w:val="auto"/>
                <w:w w:val="93"/>
              </w:rPr>
              <w:t>August 9, 2019</w:t>
            </w:r>
          </w:p>
        </w:tc>
        <w:tc>
          <w:tcPr>
            <w:tcW w:w="1040" w:type="dxa"/>
            <w:vAlign w:val="bottom"/>
          </w:tcPr>
          <w:p>
            <w:pPr>
              <w:ind w:left="40"/>
              <w:spacing w:after="0"/>
              <w:rPr>
                <w:sz w:val="20"/>
                <w:szCs w:val="20"/>
                <w:color w:val="auto"/>
              </w:rPr>
            </w:pPr>
            <w:r>
              <w:rPr>
                <w:rFonts w:ascii="Arial" w:cs="Arial" w:eastAsia="Arial" w:hAnsi="Arial"/>
                <w:sz w:val="15"/>
                <w:szCs w:val="15"/>
                <w:color w:val="auto"/>
              </w:rPr>
              <w:t>By:</w:t>
            </w:r>
          </w:p>
        </w:tc>
        <w:tc>
          <w:tcPr>
            <w:tcW w:w="7660" w:type="dxa"/>
            <w:vAlign w:val="bottom"/>
          </w:tcPr>
          <w:p>
            <w:pPr>
              <w:ind w:left="20"/>
              <w:spacing w:after="0"/>
              <w:rPr>
                <w:sz w:val="20"/>
                <w:szCs w:val="20"/>
                <w:color w:val="auto"/>
              </w:rPr>
            </w:pPr>
            <w:r>
              <w:rPr>
                <w:rFonts w:ascii="Arial" w:cs="Arial" w:eastAsia="Arial" w:hAnsi="Arial"/>
                <w:sz w:val="15"/>
                <w:szCs w:val="15"/>
                <w:color w:val="auto"/>
              </w:rPr>
              <w:t>/s/ Ajay V. Vashee</w:t>
            </w:r>
          </w:p>
        </w:tc>
      </w:tr>
      <w:tr>
        <w:trPr>
          <w:trHeight w:val="23"/>
        </w:trPr>
        <w:tc>
          <w:tcPr>
            <w:tcW w:w="1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00"/>
        </w:trPr>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Ajay V. Vashee</w:t>
            </w:r>
          </w:p>
        </w:tc>
      </w:tr>
      <w:tr>
        <w:trPr>
          <w:trHeight w:val="232"/>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Chief Financial Officer</w:t>
            </w:r>
          </w:p>
        </w:tc>
      </w:tr>
      <w:tr>
        <w:trPr>
          <w:trHeight w:val="232"/>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5"/>
                <w:szCs w:val="15"/>
                <w:i w:val="1"/>
                <w:iCs w:val="1"/>
                <w:color w:val="auto"/>
              </w:rPr>
              <w:t>(Principal Financial Officer)</w:t>
            </w:r>
          </w:p>
        </w:tc>
      </w:tr>
      <w:tr>
        <w:trPr>
          <w:trHeight w:val="533"/>
        </w:trPr>
        <w:tc>
          <w:tcPr>
            <w:tcW w:w="1040" w:type="dxa"/>
            <w:vAlign w:val="bottom"/>
          </w:tcPr>
          <w:p>
            <w:pPr>
              <w:spacing w:after="0"/>
              <w:rPr>
                <w:sz w:val="20"/>
                <w:szCs w:val="20"/>
                <w:color w:val="auto"/>
              </w:rPr>
            </w:pPr>
            <w:r>
              <w:rPr>
                <w:rFonts w:ascii="Arial" w:cs="Arial" w:eastAsia="Arial" w:hAnsi="Arial"/>
                <w:sz w:val="15"/>
                <w:szCs w:val="15"/>
                <w:color w:val="auto"/>
              </w:rPr>
              <w:t>Date:</w:t>
            </w:r>
          </w:p>
        </w:tc>
        <w:tc>
          <w:tcPr>
            <w:tcW w:w="1680" w:type="dxa"/>
            <w:vAlign w:val="bottom"/>
          </w:tcPr>
          <w:p>
            <w:pPr>
              <w:ind w:left="720"/>
              <w:spacing w:after="0"/>
              <w:rPr>
                <w:sz w:val="20"/>
                <w:szCs w:val="20"/>
                <w:color w:val="auto"/>
              </w:rPr>
            </w:pPr>
            <w:r>
              <w:rPr>
                <w:rFonts w:ascii="Arial" w:cs="Arial" w:eastAsia="Arial" w:hAnsi="Arial"/>
                <w:sz w:val="15"/>
                <w:szCs w:val="15"/>
                <w:color w:val="auto"/>
                <w:w w:val="93"/>
              </w:rPr>
              <w:t>August 9, 2019</w:t>
            </w:r>
          </w:p>
        </w:tc>
        <w:tc>
          <w:tcPr>
            <w:tcW w:w="1040" w:type="dxa"/>
            <w:vAlign w:val="bottom"/>
          </w:tcPr>
          <w:p>
            <w:pPr>
              <w:ind w:left="40"/>
              <w:spacing w:after="0"/>
              <w:rPr>
                <w:sz w:val="20"/>
                <w:szCs w:val="20"/>
                <w:color w:val="auto"/>
              </w:rPr>
            </w:pPr>
            <w:r>
              <w:rPr>
                <w:rFonts w:ascii="Arial" w:cs="Arial" w:eastAsia="Arial" w:hAnsi="Arial"/>
                <w:sz w:val="15"/>
                <w:szCs w:val="15"/>
                <w:color w:val="auto"/>
              </w:rPr>
              <w:t>By:</w:t>
            </w:r>
          </w:p>
        </w:tc>
        <w:tc>
          <w:tcPr>
            <w:tcW w:w="7660" w:type="dxa"/>
            <w:vAlign w:val="bottom"/>
          </w:tcPr>
          <w:p>
            <w:pPr>
              <w:ind w:left="20"/>
              <w:spacing w:after="0"/>
              <w:rPr>
                <w:sz w:val="20"/>
                <w:szCs w:val="20"/>
                <w:color w:val="auto"/>
              </w:rPr>
            </w:pPr>
            <w:r>
              <w:rPr>
                <w:rFonts w:ascii="Arial" w:cs="Arial" w:eastAsia="Arial" w:hAnsi="Arial"/>
                <w:sz w:val="15"/>
                <w:szCs w:val="15"/>
                <w:color w:val="auto"/>
              </w:rPr>
              <w:t>/s/ Timothy J. Regan</w:t>
            </w:r>
          </w:p>
        </w:tc>
      </w:tr>
      <w:tr>
        <w:trPr>
          <w:trHeight w:val="23"/>
        </w:trPr>
        <w:tc>
          <w:tcPr>
            <w:tcW w:w="1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00"/>
        </w:trPr>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Timothy J. Regan</w:t>
            </w:r>
          </w:p>
        </w:tc>
      </w:tr>
      <w:tr>
        <w:trPr>
          <w:trHeight w:val="232"/>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auto"/>
              </w:rPr>
              <w:t>Chief Accounting Officer</w:t>
            </w:r>
          </w:p>
        </w:tc>
      </w:tr>
    </w:tbl>
    <w:p>
      <w:pPr>
        <w:spacing w:after="0" w:line="36" w:lineRule="exact"/>
        <w:rPr>
          <w:sz w:val="20"/>
          <w:szCs w:val="20"/>
          <w:color w:val="auto"/>
        </w:rPr>
      </w:pPr>
    </w:p>
    <w:p>
      <w:pPr>
        <w:ind w:left="3800"/>
        <w:spacing w:after="0"/>
        <w:rPr>
          <w:sz w:val="20"/>
          <w:szCs w:val="20"/>
          <w:color w:val="auto"/>
        </w:rPr>
      </w:pPr>
      <w:r>
        <w:rPr>
          <w:rFonts w:ascii="Arial" w:cs="Arial" w:eastAsia="Arial" w:hAnsi="Arial"/>
          <w:sz w:val="15"/>
          <w:szCs w:val="15"/>
          <w:i w:val="1"/>
          <w:iCs w:val="1"/>
          <w:color w:val="auto"/>
        </w:rPr>
        <w:t>(Principal Accounting Officer)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440"/>
          </w:cols>
          <w:pgMar w:left="240" w:top="123" w:right="219" w:bottom="1440" w:gutter="0" w:footer="0" w:header="0"/>
        </w:sectPr>
      </w:pPr>
    </w:p>
    <w:bookmarkStart w:id="82" w:name="page83"/>
    <w:bookmarkEnd w:id="82"/>
    <w:p>
      <w:pPr>
        <w:jc w:val="right"/>
        <w:spacing w:after="0"/>
        <w:rPr>
          <w:sz w:val="20"/>
          <w:szCs w:val="20"/>
          <w:color w:val="auto"/>
        </w:rPr>
      </w:pPr>
      <w:r>
        <w:rPr>
          <w:rFonts w:ascii="Arial" w:cs="Arial" w:eastAsia="Arial" w:hAnsi="Arial"/>
          <w:sz w:val="15"/>
          <w:szCs w:val="15"/>
          <w:b w:val="1"/>
          <w:bCs w:val="1"/>
          <w:color w:val="auto"/>
        </w:rPr>
        <w:t>Exhibit 31.1</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CERTIFICATION OF PRINCIPAL EXECUTIVE OFFICER</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PURSUANT TO</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color w:val="auto"/>
        </w:rPr>
        <w:t>I, Andrew W. Houston, certify that:</w:t>
      </w:r>
    </w:p>
    <w:p>
      <w:pPr>
        <w:spacing w:after="0" w:line="198" w:lineRule="exact"/>
        <w:rPr>
          <w:sz w:val="20"/>
          <w:szCs w:val="20"/>
          <w:color w:val="auto"/>
        </w:rPr>
      </w:pPr>
    </w:p>
    <w:p>
      <w:pPr>
        <w:ind w:left="287" w:hanging="287"/>
        <w:spacing w:after="0"/>
        <w:tabs>
          <w:tab w:leader="none" w:pos="2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Dropbox, Inc.;</w:t>
      </w:r>
    </w:p>
    <w:p>
      <w:pPr>
        <w:spacing w:after="0" w:line="198" w:lineRule="exact"/>
        <w:rPr>
          <w:rFonts w:ascii="Arial" w:cs="Arial" w:eastAsia="Arial" w:hAnsi="Arial"/>
          <w:sz w:val="15"/>
          <w:szCs w:val="15"/>
          <w:color w:val="auto"/>
        </w:rPr>
      </w:pPr>
    </w:p>
    <w:p>
      <w:pPr>
        <w:ind w:left="287" w:right="220" w:hanging="287"/>
        <w:spacing w:after="0" w:line="289" w:lineRule="auto"/>
        <w:tabs>
          <w:tab w:leader="none" w:pos="2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5"/>
          <w:szCs w:val="15"/>
          <w:color w:val="auto"/>
        </w:rPr>
      </w:pPr>
    </w:p>
    <w:p>
      <w:pPr>
        <w:ind w:left="287" w:right="320" w:hanging="287"/>
        <w:spacing w:after="0" w:line="289" w:lineRule="auto"/>
        <w:tabs>
          <w:tab w:leader="none" w:pos="2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5"/>
          <w:szCs w:val="15"/>
          <w:color w:val="auto"/>
        </w:rPr>
      </w:pPr>
    </w:p>
    <w:p>
      <w:pPr>
        <w:ind w:left="287" w:hanging="287"/>
        <w:spacing w:after="0"/>
        <w:tabs>
          <w:tab w:leader="none" w:pos="287"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46" w:lineRule="exact"/>
        <w:rPr>
          <w:rFonts w:ascii="Arial" w:cs="Arial" w:eastAsia="Arial" w:hAnsi="Arial"/>
          <w:sz w:val="13"/>
          <w:szCs w:val="13"/>
          <w:color w:val="auto"/>
        </w:rPr>
      </w:pPr>
    </w:p>
    <w:p>
      <w:pPr>
        <w:ind w:left="287"/>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187" w:lineRule="exact"/>
        <w:rPr>
          <w:rFonts w:ascii="Arial" w:cs="Arial" w:eastAsia="Arial" w:hAnsi="Arial"/>
          <w:sz w:val="13"/>
          <w:szCs w:val="13"/>
          <w:color w:val="auto"/>
        </w:rPr>
      </w:pPr>
    </w:p>
    <w:p>
      <w:pPr>
        <w:jc w:val="both"/>
        <w:ind w:left="547" w:right="80" w:hanging="269"/>
        <w:spacing w:after="0" w:line="273" w:lineRule="auto"/>
        <w:tabs>
          <w:tab w:leader="none" w:pos="547" w:val="left"/>
        </w:tabs>
        <w:numPr>
          <w:ilvl w:val="1"/>
          <w:numId w:val="3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5"/>
          <w:szCs w:val="15"/>
          <w:color w:val="auto"/>
        </w:rPr>
      </w:pPr>
    </w:p>
    <w:p>
      <w:pPr>
        <w:ind w:left="547" w:right="140" w:hanging="269"/>
        <w:spacing w:after="0" w:line="289" w:lineRule="auto"/>
        <w:tabs>
          <w:tab w:leader="none" w:pos="547"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ind w:left="547" w:right="320" w:hanging="269"/>
        <w:spacing w:after="0" w:line="273" w:lineRule="auto"/>
        <w:tabs>
          <w:tab w:leader="none" w:pos="547" w:val="left"/>
        </w:tabs>
        <w:numPr>
          <w:ilvl w:val="1"/>
          <w:numId w:val="3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5"/>
          <w:szCs w:val="15"/>
          <w:color w:val="auto"/>
        </w:rPr>
      </w:pPr>
    </w:p>
    <w:p>
      <w:pPr>
        <w:ind w:left="287" w:right="220" w:hanging="287"/>
        <w:spacing w:after="0" w:line="289" w:lineRule="auto"/>
        <w:tabs>
          <w:tab w:leader="none" w:pos="2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ind w:left="547" w:right="260" w:hanging="269"/>
        <w:spacing w:after="0" w:line="289" w:lineRule="auto"/>
        <w:tabs>
          <w:tab w:leader="none" w:pos="547"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5"/>
          <w:szCs w:val="15"/>
          <w:color w:val="auto"/>
        </w:rPr>
      </w:pPr>
    </w:p>
    <w:p>
      <w:pPr>
        <w:ind w:left="547" w:hanging="269"/>
        <w:spacing w:after="0"/>
        <w:tabs>
          <w:tab w:leader="none" w:pos="547"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15"/>
          <w:szCs w:val="15"/>
          <w:color w:val="auto"/>
        </w:rPr>
        <w:t>Date: August 9, 2019</w:t>
      </w:r>
    </w:p>
    <w:p>
      <w:pPr>
        <w:spacing w:after="0" w:line="152" w:lineRule="exact"/>
        <w:rPr>
          <w:sz w:val="20"/>
          <w:szCs w:val="20"/>
          <w:color w:val="auto"/>
        </w:rPr>
      </w:pPr>
    </w:p>
    <w:p>
      <w:pPr>
        <w:ind w:left="6787"/>
        <w:spacing w:after="0"/>
        <w:rPr>
          <w:sz w:val="20"/>
          <w:szCs w:val="20"/>
          <w:color w:val="auto"/>
        </w:rPr>
      </w:pPr>
      <w:r>
        <w:rPr>
          <w:rFonts w:ascii="Arial" w:cs="Arial" w:eastAsia="Arial" w:hAnsi="Arial"/>
          <w:sz w:val="15"/>
          <w:szCs w:val="15"/>
          <w:color w:val="auto"/>
        </w:rPr>
        <w:t>DROPBOX, INC.</w:t>
      </w:r>
    </w:p>
    <w:p>
      <w:pPr>
        <w:spacing w:after="0" w:line="314" w:lineRule="exact"/>
        <w:rPr>
          <w:sz w:val="20"/>
          <w:szCs w:val="20"/>
          <w:color w:val="auto"/>
        </w:rPr>
      </w:pPr>
    </w:p>
    <w:tbl>
      <w:tblPr>
        <w:tblLayout w:type="fixed"/>
        <w:tblInd w:w="6787" w:type="dxa"/>
        <w:tblCellMar>
          <w:top w:w="0" w:type="dxa"/>
          <w:left w:w="0" w:type="dxa"/>
          <w:bottom w:w="0" w:type="dxa"/>
          <w:right w:w="0" w:type="dxa"/>
        </w:tblCellMar>
      </w:tblPr>
      <w:tr>
        <w:trPr>
          <w:trHeight w:val="196"/>
        </w:trPr>
        <w:tc>
          <w:tcPr>
            <w:tcW w:w="700" w:type="dxa"/>
            <w:vAlign w:val="bottom"/>
          </w:tcPr>
          <w:p>
            <w:pPr>
              <w:spacing w:after="0"/>
              <w:rPr>
                <w:sz w:val="20"/>
                <w:szCs w:val="20"/>
                <w:color w:val="auto"/>
              </w:rPr>
            </w:pPr>
            <w:r>
              <w:rPr>
                <w:rFonts w:ascii="Arial" w:cs="Arial" w:eastAsia="Arial" w:hAnsi="Arial"/>
                <w:sz w:val="15"/>
                <w:szCs w:val="15"/>
                <w:color w:val="auto"/>
              </w:rPr>
              <w:t>By:</w:t>
            </w:r>
          </w:p>
        </w:tc>
        <w:tc>
          <w:tcPr>
            <w:tcW w:w="3960" w:type="dxa"/>
            <w:vAlign w:val="bottom"/>
          </w:tcPr>
          <w:p>
            <w:pPr>
              <w:ind w:left="20"/>
              <w:spacing w:after="0"/>
              <w:rPr>
                <w:sz w:val="20"/>
                <w:szCs w:val="20"/>
                <w:color w:val="auto"/>
              </w:rPr>
            </w:pPr>
            <w:r>
              <w:rPr>
                <w:rFonts w:ascii="Arial" w:cs="Arial" w:eastAsia="Arial" w:hAnsi="Arial"/>
                <w:sz w:val="15"/>
                <w:szCs w:val="15"/>
                <w:color w:val="auto"/>
              </w:rPr>
              <w:t>/s/ Andrew W. Houston</w:t>
            </w:r>
          </w:p>
        </w:tc>
      </w:tr>
      <w:tr>
        <w:trPr>
          <w:trHeight w:val="23"/>
        </w:trPr>
        <w:tc>
          <w:tcPr>
            <w:tcW w:w="7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spacing w:after="0"/>
              <w:rPr>
                <w:sz w:val="20"/>
                <w:szCs w:val="20"/>
                <w:color w:val="auto"/>
              </w:rPr>
            </w:pPr>
            <w:r>
              <w:rPr>
                <w:rFonts w:ascii="Arial" w:cs="Arial" w:eastAsia="Arial" w:hAnsi="Arial"/>
                <w:sz w:val="15"/>
                <w:szCs w:val="15"/>
                <w:color w:val="auto"/>
              </w:rPr>
              <w:t>Name:</w:t>
            </w:r>
          </w:p>
        </w:tc>
        <w:tc>
          <w:tcPr>
            <w:tcW w:w="3960" w:type="dxa"/>
            <w:vAlign w:val="bottom"/>
          </w:tcPr>
          <w:p>
            <w:pPr>
              <w:ind w:left="20"/>
              <w:spacing w:after="0"/>
              <w:rPr>
                <w:sz w:val="20"/>
                <w:szCs w:val="20"/>
                <w:color w:val="auto"/>
              </w:rPr>
            </w:pPr>
            <w:r>
              <w:rPr>
                <w:rFonts w:ascii="Arial" w:cs="Arial" w:eastAsia="Arial" w:hAnsi="Arial"/>
                <w:sz w:val="15"/>
                <w:szCs w:val="15"/>
                <w:color w:val="auto"/>
              </w:rPr>
              <w:t>Andrew W. Houston</w:t>
            </w:r>
          </w:p>
        </w:tc>
      </w:tr>
      <w:tr>
        <w:trPr>
          <w:trHeight w:val="221"/>
        </w:trPr>
        <w:tc>
          <w:tcPr>
            <w:tcW w:w="700" w:type="dxa"/>
            <w:vAlign w:val="bottom"/>
          </w:tcPr>
          <w:p>
            <w:pPr>
              <w:spacing w:after="0"/>
              <w:rPr>
                <w:sz w:val="20"/>
                <w:szCs w:val="20"/>
                <w:color w:val="auto"/>
              </w:rPr>
            </w:pPr>
            <w:r>
              <w:rPr>
                <w:rFonts w:ascii="Arial" w:cs="Arial" w:eastAsia="Arial" w:hAnsi="Arial"/>
                <w:sz w:val="15"/>
                <w:szCs w:val="15"/>
                <w:color w:val="auto"/>
              </w:rPr>
              <w:t>Title:</w:t>
            </w:r>
          </w:p>
        </w:tc>
        <w:tc>
          <w:tcPr>
            <w:tcW w:w="3960" w:type="dxa"/>
            <w:vAlign w:val="bottom"/>
          </w:tcPr>
          <w:p>
            <w:pPr>
              <w:ind w:left="20"/>
              <w:spacing w:after="0"/>
              <w:rPr>
                <w:sz w:val="20"/>
                <w:szCs w:val="20"/>
                <w:color w:val="auto"/>
              </w:rPr>
            </w:pPr>
            <w:r>
              <w:rPr>
                <w:rFonts w:ascii="Arial" w:cs="Arial" w:eastAsia="Arial" w:hAnsi="Arial"/>
                <w:sz w:val="15"/>
                <w:szCs w:val="15"/>
                <w:color w:val="auto"/>
              </w:rPr>
              <w:t>Chief Executive Officer</w:t>
            </w:r>
          </w:p>
        </w:tc>
      </w:tr>
      <w:tr>
        <w:trPr>
          <w:trHeight w:val="196"/>
        </w:trPr>
        <w:tc>
          <w:tcPr>
            <w:tcW w:w="7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Arial" w:cs="Arial" w:eastAsia="Arial" w:hAnsi="Arial"/>
                <w:sz w:val="15"/>
                <w:szCs w:val="15"/>
                <w:color w:val="auto"/>
              </w:rPr>
              <w:t>(Principal Executive Officer)</w:t>
            </w:r>
          </w:p>
        </w:tc>
      </w:tr>
    </w:tbl>
    <w:p>
      <w:pPr>
        <w:sectPr>
          <w:pgSz w:w="11900" w:h="16838" w:orient="portrait"/>
          <w:cols w:equalWidth="0" w:num="1">
            <w:col w:w="11447"/>
          </w:cols>
          <w:pgMar w:left="233" w:top="123"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5"/>
          <w:szCs w:val="15"/>
          <w:b w:val="1"/>
          <w:bCs w:val="1"/>
          <w:color w:val="auto"/>
        </w:rPr>
        <w:t>Exhibit 31.2</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CERTIFICATION OF PRINCIPAL FINANCIAL OFFICER</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PURSUANT TO</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EXCHANGE ACT RULES 13a-14(a) AND 15d-14(a),</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AS ADOPTED PURSUANT TO</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color w:val="auto"/>
        </w:rPr>
        <w:t>I, Ajay V. Vashee, certify that:</w:t>
      </w:r>
    </w:p>
    <w:p>
      <w:pPr>
        <w:spacing w:after="0" w:line="198" w:lineRule="exact"/>
        <w:rPr>
          <w:sz w:val="20"/>
          <w:szCs w:val="20"/>
          <w:color w:val="auto"/>
        </w:rPr>
      </w:pPr>
    </w:p>
    <w:p>
      <w:pPr>
        <w:ind w:left="287" w:hanging="287"/>
        <w:spacing w:after="0"/>
        <w:tabs>
          <w:tab w:leader="none" w:pos="287"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Dropbox, Inc.;</w:t>
      </w:r>
    </w:p>
    <w:p>
      <w:pPr>
        <w:spacing w:after="0" w:line="198" w:lineRule="exact"/>
        <w:rPr>
          <w:rFonts w:ascii="Arial" w:cs="Arial" w:eastAsia="Arial" w:hAnsi="Arial"/>
          <w:sz w:val="15"/>
          <w:szCs w:val="15"/>
          <w:color w:val="auto"/>
        </w:rPr>
      </w:pPr>
    </w:p>
    <w:p>
      <w:pPr>
        <w:ind w:left="287" w:right="220" w:hanging="287"/>
        <w:spacing w:after="0" w:line="289" w:lineRule="auto"/>
        <w:tabs>
          <w:tab w:leader="none" w:pos="287"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5"/>
          <w:szCs w:val="15"/>
          <w:color w:val="auto"/>
        </w:rPr>
      </w:pPr>
    </w:p>
    <w:p>
      <w:pPr>
        <w:ind w:left="287" w:right="320" w:hanging="287"/>
        <w:spacing w:after="0" w:line="289" w:lineRule="auto"/>
        <w:tabs>
          <w:tab w:leader="none" w:pos="287"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5"/>
          <w:szCs w:val="15"/>
          <w:color w:val="auto"/>
        </w:rPr>
      </w:pPr>
    </w:p>
    <w:p>
      <w:pPr>
        <w:ind w:left="287" w:hanging="287"/>
        <w:spacing w:after="0"/>
        <w:tabs>
          <w:tab w:leader="none" w:pos="287"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w:t>
      </w:r>
    </w:p>
    <w:p>
      <w:pPr>
        <w:spacing w:after="0" w:line="46" w:lineRule="exact"/>
        <w:rPr>
          <w:rFonts w:ascii="Arial" w:cs="Arial" w:eastAsia="Arial" w:hAnsi="Arial"/>
          <w:sz w:val="13"/>
          <w:szCs w:val="13"/>
          <w:color w:val="auto"/>
        </w:rPr>
      </w:pPr>
    </w:p>
    <w:p>
      <w:pPr>
        <w:ind w:left="287"/>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187" w:lineRule="exact"/>
        <w:rPr>
          <w:rFonts w:ascii="Arial" w:cs="Arial" w:eastAsia="Arial" w:hAnsi="Arial"/>
          <w:sz w:val="13"/>
          <w:szCs w:val="13"/>
          <w:color w:val="auto"/>
        </w:rPr>
      </w:pPr>
    </w:p>
    <w:p>
      <w:pPr>
        <w:jc w:val="both"/>
        <w:ind w:left="547" w:right="80" w:hanging="269"/>
        <w:spacing w:after="0" w:line="273" w:lineRule="auto"/>
        <w:tabs>
          <w:tab w:leader="none" w:pos="547" w:val="left"/>
        </w:tabs>
        <w:numPr>
          <w:ilvl w:val="1"/>
          <w:numId w:val="3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5"/>
          <w:szCs w:val="15"/>
          <w:color w:val="auto"/>
        </w:rPr>
      </w:pPr>
    </w:p>
    <w:p>
      <w:pPr>
        <w:ind w:left="547" w:right="140" w:hanging="269"/>
        <w:spacing w:after="0" w:line="289" w:lineRule="auto"/>
        <w:tabs>
          <w:tab w:leader="none" w:pos="547"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ind w:left="547" w:right="320" w:hanging="269"/>
        <w:spacing w:after="0" w:line="273" w:lineRule="auto"/>
        <w:tabs>
          <w:tab w:leader="none" w:pos="547" w:val="left"/>
        </w:tabs>
        <w:numPr>
          <w:ilvl w:val="1"/>
          <w:numId w:val="3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5"/>
          <w:szCs w:val="15"/>
          <w:color w:val="auto"/>
        </w:rPr>
      </w:pPr>
    </w:p>
    <w:p>
      <w:pPr>
        <w:ind w:left="287" w:right="220" w:hanging="287"/>
        <w:spacing w:after="0" w:line="289" w:lineRule="auto"/>
        <w:tabs>
          <w:tab w:leader="none" w:pos="28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5"/>
          <w:szCs w:val="15"/>
          <w:color w:val="auto"/>
        </w:rPr>
      </w:pPr>
    </w:p>
    <w:p>
      <w:pPr>
        <w:ind w:left="547" w:right="260" w:hanging="269"/>
        <w:spacing w:after="0" w:line="289" w:lineRule="auto"/>
        <w:tabs>
          <w:tab w:leader="none" w:pos="547"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5"/>
          <w:szCs w:val="15"/>
          <w:color w:val="auto"/>
        </w:rPr>
      </w:pPr>
    </w:p>
    <w:p>
      <w:pPr>
        <w:ind w:left="547" w:hanging="269"/>
        <w:spacing w:after="0"/>
        <w:tabs>
          <w:tab w:leader="none" w:pos="547"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15"/>
          <w:szCs w:val="15"/>
          <w:color w:val="auto"/>
        </w:rPr>
        <w:t>Date: August 9, 2019</w:t>
      </w:r>
    </w:p>
    <w:p>
      <w:pPr>
        <w:spacing w:after="0" w:line="152" w:lineRule="exact"/>
        <w:rPr>
          <w:sz w:val="20"/>
          <w:szCs w:val="20"/>
          <w:color w:val="auto"/>
        </w:rPr>
      </w:pPr>
    </w:p>
    <w:p>
      <w:pPr>
        <w:ind w:left="6787"/>
        <w:spacing w:after="0"/>
        <w:rPr>
          <w:sz w:val="20"/>
          <w:szCs w:val="20"/>
          <w:color w:val="auto"/>
        </w:rPr>
      </w:pPr>
      <w:r>
        <w:rPr>
          <w:rFonts w:ascii="Arial" w:cs="Arial" w:eastAsia="Arial" w:hAnsi="Arial"/>
          <w:sz w:val="15"/>
          <w:szCs w:val="15"/>
          <w:color w:val="auto"/>
        </w:rPr>
        <w:t>DROPBOX, INC.</w:t>
      </w:r>
    </w:p>
    <w:p>
      <w:pPr>
        <w:spacing w:after="0" w:line="314" w:lineRule="exact"/>
        <w:rPr>
          <w:sz w:val="20"/>
          <w:szCs w:val="20"/>
          <w:color w:val="auto"/>
        </w:rPr>
      </w:pPr>
    </w:p>
    <w:tbl>
      <w:tblPr>
        <w:tblLayout w:type="fixed"/>
        <w:tblInd w:w="6787" w:type="dxa"/>
        <w:tblCellMar>
          <w:top w:w="0" w:type="dxa"/>
          <w:left w:w="0" w:type="dxa"/>
          <w:bottom w:w="0" w:type="dxa"/>
          <w:right w:w="0" w:type="dxa"/>
        </w:tblCellMar>
      </w:tblPr>
      <w:tr>
        <w:trPr>
          <w:trHeight w:val="196"/>
        </w:trPr>
        <w:tc>
          <w:tcPr>
            <w:tcW w:w="700" w:type="dxa"/>
            <w:vAlign w:val="bottom"/>
          </w:tcPr>
          <w:p>
            <w:pPr>
              <w:spacing w:after="0"/>
              <w:rPr>
                <w:sz w:val="20"/>
                <w:szCs w:val="20"/>
                <w:color w:val="auto"/>
              </w:rPr>
            </w:pPr>
            <w:r>
              <w:rPr>
                <w:rFonts w:ascii="Arial" w:cs="Arial" w:eastAsia="Arial" w:hAnsi="Arial"/>
                <w:sz w:val="15"/>
                <w:szCs w:val="15"/>
                <w:color w:val="auto"/>
              </w:rPr>
              <w:t>By:</w:t>
            </w:r>
          </w:p>
        </w:tc>
        <w:tc>
          <w:tcPr>
            <w:tcW w:w="3960" w:type="dxa"/>
            <w:vAlign w:val="bottom"/>
          </w:tcPr>
          <w:p>
            <w:pPr>
              <w:ind w:left="20"/>
              <w:spacing w:after="0"/>
              <w:rPr>
                <w:sz w:val="20"/>
                <w:szCs w:val="20"/>
                <w:color w:val="auto"/>
              </w:rPr>
            </w:pPr>
            <w:r>
              <w:rPr>
                <w:rFonts w:ascii="Arial" w:cs="Arial" w:eastAsia="Arial" w:hAnsi="Arial"/>
                <w:sz w:val="15"/>
                <w:szCs w:val="15"/>
                <w:color w:val="auto"/>
              </w:rPr>
              <w:t>/s/ Ajay V. Vashee</w:t>
            </w:r>
          </w:p>
        </w:tc>
      </w:tr>
      <w:tr>
        <w:trPr>
          <w:trHeight w:val="23"/>
        </w:trPr>
        <w:tc>
          <w:tcPr>
            <w:tcW w:w="7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00"/>
        </w:trPr>
        <w:tc>
          <w:tcPr>
            <w:tcW w:w="700" w:type="dxa"/>
            <w:vAlign w:val="bottom"/>
          </w:tcPr>
          <w:p>
            <w:pPr>
              <w:spacing w:after="0"/>
              <w:rPr>
                <w:sz w:val="20"/>
                <w:szCs w:val="20"/>
                <w:color w:val="auto"/>
              </w:rPr>
            </w:pPr>
            <w:r>
              <w:rPr>
                <w:rFonts w:ascii="Arial" w:cs="Arial" w:eastAsia="Arial" w:hAnsi="Arial"/>
                <w:sz w:val="15"/>
                <w:szCs w:val="15"/>
                <w:color w:val="auto"/>
              </w:rPr>
              <w:t>Name:</w:t>
            </w:r>
          </w:p>
        </w:tc>
        <w:tc>
          <w:tcPr>
            <w:tcW w:w="3960" w:type="dxa"/>
            <w:vAlign w:val="bottom"/>
          </w:tcPr>
          <w:p>
            <w:pPr>
              <w:ind w:left="20"/>
              <w:spacing w:after="0"/>
              <w:rPr>
                <w:sz w:val="20"/>
                <w:szCs w:val="20"/>
                <w:color w:val="auto"/>
              </w:rPr>
            </w:pPr>
            <w:r>
              <w:rPr>
                <w:rFonts w:ascii="Arial" w:cs="Arial" w:eastAsia="Arial" w:hAnsi="Arial"/>
                <w:sz w:val="15"/>
                <w:szCs w:val="15"/>
                <w:color w:val="auto"/>
              </w:rPr>
              <w:t>Ajay V. Vashee</w:t>
            </w:r>
          </w:p>
        </w:tc>
      </w:tr>
      <w:tr>
        <w:trPr>
          <w:trHeight w:val="221"/>
        </w:trPr>
        <w:tc>
          <w:tcPr>
            <w:tcW w:w="700" w:type="dxa"/>
            <w:vAlign w:val="bottom"/>
          </w:tcPr>
          <w:p>
            <w:pPr>
              <w:spacing w:after="0"/>
              <w:rPr>
                <w:sz w:val="20"/>
                <w:szCs w:val="20"/>
                <w:color w:val="auto"/>
              </w:rPr>
            </w:pPr>
            <w:r>
              <w:rPr>
                <w:rFonts w:ascii="Arial" w:cs="Arial" w:eastAsia="Arial" w:hAnsi="Arial"/>
                <w:sz w:val="15"/>
                <w:szCs w:val="15"/>
                <w:color w:val="auto"/>
              </w:rPr>
              <w:t>Title:</w:t>
            </w:r>
          </w:p>
        </w:tc>
        <w:tc>
          <w:tcPr>
            <w:tcW w:w="3960" w:type="dxa"/>
            <w:vAlign w:val="bottom"/>
          </w:tcPr>
          <w:p>
            <w:pPr>
              <w:ind w:left="20"/>
              <w:spacing w:after="0"/>
              <w:rPr>
                <w:sz w:val="20"/>
                <w:szCs w:val="20"/>
                <w:color w:val="auto"/>
              </w:rPr>
            </w:pPr>
            <w:r>
              <w:rPr>
                <w:rFonts w:ascii="Arial" w:cs="Arial" w:eastAsia="Arial" w:hAnsi="Arial"/>
                <w:sz w:val="15"/>
                <w:szCs w:val="15"/>
                <w:color w:val="auto"/>
              </w:rPr>
              <w:t>Chief Financial Officer</w:t>
            </w:r>
          </w:p>
        </w:tc>
      </w:tr>
      <w:tr>
        <w:trPr>
          <w:trHeight w:val="196"/>
        </w:trPr>
        <w:tc>
          <w:tcPr>
            <w:tcW w:w="7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Arial" w:cs="Arial" w:eastAsia="Arial" w:hAnsi="Arial"/>
                <w:sz w:val="15"/>
                <w:szCs w:val="15"/>
                <w:color w:val="auto"/>
              </w:rPr>
              <w:t>(Principal Financial Officer)</w:t>
            </w:r>
          </w:p>
        </w:tc>
      </w:tr>
    </w:tbl>
    <w:p>
      <w:pPr>
        <w:sectPr>
          <w:pgSz w:w="11900" w:h="16838" w:orient="portrait"/>
          <w:cols w:equalWidth="0" w:num="1">
            <w:col w:w="11447"/>
          </w:cols>
          <w:pgMar w:left="233" w:top="123" w:right="21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PRINCIPAL EXECUTIVE OFFICER AND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Andrew W. Houston, certify, pursuant to 18 U.S.C. Section 1350, as adopted pursuant to Section 906 of the Sarbanes-Oxley Act of 2002, that the Quarterly Report on Form 10-Q of Dropbox, Inc. for the fiscal quarter ended June 30, 2019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color w:val="auto"/>
              </w:rPr>
              <w:t>August 9, 2019</w:t>
            </w:r>
          </w:p>
        </w:tc>
        <w:tc>
          <w:tcPr>
            <w:tcW w:w="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color w:val="auto"/>
              </w:rPr>
              <w:t>By:</w:t>
            </w:r>
          </w:p>
        </w:tc>
        <w:tc>
          <w:tcPr>
            <w:tcW w:w="446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17"/>
                <w:szCs w:val="17"/>
                <w:color w:val="auto"/>
              </w:rPr>
              <w:t>/s/ Andrew W. Houston</w:t>
            </w:r>
          </w:p>
        </w:tc>
      </w:tr>
      <w:tr>
        <w:trPr>
          <w:trHeight w:val="219"/>
        </w:trPr>
        <w:tc>
          <w:tcPr>
            <w:tcW w:w="1140" w:type="dxa"/>
            <w:vAlign w:val="bottom"/>
            <w:shd w:val="clear" w:color="auto" w:fill="FEFEFE"/>
          </w:tcPr>
          <w:p>
            <w:pPr>
              <w:spacing w:after="0"/>
              <w:rPr>
                <w:sz w:val="19"/>
                <w:szCs w:val="19"/>
                <w:color w:val="auto"/>
              </w:rPr>
            </w:pPr>
          </w:p>
        </w:tc>
        <w:tc>
          <w:tcPr>
            <w:tcW w:w="4920" w:type="dxa"/>
            <w:vAlign w:val="bottom"/>
            <w:shd w:val="clear" w:color="auto" w:fill="FEFEFE"/>
          </w:tcPr>
          <w:p>
            <w:pPr>
              <w:spacing w:after="0"/>
              <w:rPr>
                <w:sz w:val="19"/>
                <w:szCs w:val="19"/>
                <w:color w:val="auto"/>
              </w:rPr>
            </w:pPr>
          </w:p>
        </w:tc>
        <w:tc>
          <w:tcPr>
            <w:tcW w:w="920" w:type="dxa"/>
            <w:vAlign w:val="bottom"/>
            <w:shd w:val="clear" w:color="auto" w:fill="FEFEFE"/>
          </w:tcPr>
          <w:p>
            <w:pPr>
              <w:ind w:left="20"/>
              <w:spacing w:after="0"/>
              <w:rPr>
                <w:sz w:val="20"/>
                <w:szCs w:val="20"/>
                <w:color w:val="auto"/>
              </w:rPr>
            </w:pPr>
            <w:r>
              <w:rPr>
                <w:rFonts w:ascii="Arial" w:cs="Arial" w:eastAsia="Arial" w:hAnsi="Arial"/>
                <w:sz w:val="17"/>
                <w:szCs w:val="17"/>
                <w:color w:val="auto"/>
              </w:rPr>
              <w:t>Name:</w:t>
            </w:r>
          </w:p>
        </w:tc>
        <w:tc>
          <w:tcPr>
            <w:tcW w:w="4460" w:type="dxa"/>
            <w:vAlign w:val="bottom"/>
            <w:shd w:val="clear" w:color="auto" w:fill="FEFEFE"/>
          </w:tcPr>
          <w:p>
            <w:pPr>
              <w:ind w:left="20"/>
              <w:spacing w:after="0"/>
              <w:rPr>
                <w:sz w:val="20"/>
                <w:szCs w:val="20"/>
                <w:color w:val="auto"/>
              </w:rPr>
            </w:pPr>
            <w:r>
              <w:rPr>
                <w:rFonts w:ascii="Arial" w:cs="Arial" w:eastAsia="Arial" w:hAnsi="Arial"/>
                <w:sz w:val="17"/>
                <w:szCs w:val="17"/>
                <w:color w:val="auto"/>
              </w:rPr>
              <w:t>Andrew W. Houston</w:t>
            </w:r>
          </w:p>
        </w:tc>
      </w:tr>
      <w:tr>
        <w:trPr>
          <w:trHeight w:val="232"/>
        </w:trPr>
        <w:tc>
          <w:tcPr>
            <w:tcW w:w="1140" w:type="dxa"/>
            <w:vAlign w:val="bottom"/>
            <w:shd w:val="clear" w:color="auto" w:fill="FEFEFE"/>
          </w:tcPr>
          <w:p>
            <w:pPr>
              <w:spacing w:after="0"/>
              <w:rPr>
                <w:sz w:val="20"/>
                <w:szCs w:val="20"/>
                <w:color w:val="auto"/>
              </w:rPr>
            </w:pPr>
          </w:p>
        </w:tc>
        <w:tc>
          <w:tcPr>
            <w:tcW w:w="4920" w:type="dxa"/>
            <w:vAlign w:val="bottom"/>
            <w:shd w:val="clear" w:color="auto" w:fill="FEFEFE"/>
          </w:tcPr>
          <w:p>
            <w:pPr>
              <w:spacing w:after="0"/>
              <w:rPr>
                <w:sz w:val="20"/>
                <w:szCs w:val="20"/>
                <w:color w:val="auto"/>
              </w:rPr>
            </w:pPr>
          </w:p>
        </w:tc>
        <w:tc>
          <w:tcPr>
            <w:tcW w:w="920" w:type="dxa"/>
            <w:vAlign w:val="bottom"/>
            <w:shd w:val="clear" w:color="auto" w:fill="FEFEFE"/>
          </w:tcPr>
          <w:p>
            <w:pPr>
              <w:ind w:left="20"/>
              <w:spacing w:after="0"/>
              <w:rPr>
                <w:sz w:val="20"/>
                <w:szCs w:val="20"/>
                <w:color w:val="auto"/>
              </w:rPr>
            </w:pPr>
            <w:r>
              <w:rPr>
                <w:rFonts w:ascii="Arial" w:cs="Arial" w:eastAsia="Arial" w:hAnsi="Arial"/>
                <w:sz w:val="17"/>
                <w:szCs w:val="17"/>
                <w:color w:val="auto"/>
              </w:rPr>
              <w:t>Title:</w:t>
            </w:r>
          </w:p>
        </w:tc>
        <w:tc>
          <w:tcPr>
            <w:tcW w:w="4460" w:type="dxa"/>
            <w:vAlign w:val="bottom"/>
            <w:shd w:val="clear" w:color="auto" w:fill="FEFEFE"/>
          </w:tcPr>
          <w:p>
            <w:pPr>
              <w:ind w:left="20"/>
              <w:spacing w:after="0"/>
              <w:rPr>
                <w:sz w:val="20"/>
                <w:szCs w:val="20"/>
                <w:color w:val="auto"/>
              </w:rPr>
            </w:pPr>
            <w:r>
              <w:rPr>
                <w:rFonts w:ascii="Arial" w:cs="Arial" w:eastAsia="Arial" w:hAnsi="Arial"/>
                <w:sz w:val="17"/>
                <w:szCs w:val="17"/>
                <w:color w:val="auto"/>
              </w:rPr>
              <w:t>Chief Executive Officer</w:t>
            </w:r>
          </w:p>
        </w:tc>
      </w:tr>
      <w:tr>
        <w:trPr>
          <w:trHeight w:val="255"/>
        </w:trPr>
        <w:tc>
          <w:tcPr>
            <w:tcW w:w="1140" w:type="dxa"/>
            <w:vAlign w:val="bottom"/>
            <w:shd w:val="clear" w:color="auto" w:fill="FEFEFE"/>
          </w:tcPr>
          <w:p>
            <w:pPr>
              <w:spacing w:after="0"/>
              <w:rPr>
                <w:sz w:val="22"/>
                <w:szCs w:val="22"/>
                <w:color w:val="auto"/>
              </w:rPr>
            </w:pPr>
          </w:p>
        </w:tc>
        <w:tc>
          <w:tcPr>
            <w:tcW w:w="4920" w:type="dxa"/>
            <w:vAlign w:val="bottom"/>
            <w:shd w:val="clear" w:color="auto" w:fill="FEFEFE"/>
          </w:tcPr>
          <w:p>
            <w:pPr>
              <w:spacing w:after="0"/>
              <w:rPr>
                <w:sz w:val="22"/>
                <w:szCs w:val="22"/>
                <w:color w:val="auto"/>
              </w:rPr>
            </w:pPr>
          </w:p>
        </w:tc>
        <w:tc>
          <w:tcPr>
            <w:tcW w:w="920" w:type="dxa"/>
            <w:vAlign w:val="bottom"/>
            <w:shd w:val="clear" w:color="auto" w:fill="FEFEFE"/>
          </w:tcPr>
          <w:p>
            <w:pPr>
              <w:spacing w:after="0"/>
              <w:rPr>
                <w:sz w:val="22"/>
                <w:szCs w:val="22"/>
                <w:color w:val="auto"/>
              </w:rPr>
            </w:pPr>
          </w:p>
        </w:tc>
        <w:tc>
          <w:tcPr>
            <w:tcW w:w="4460" w:type="dxa"/>
            <w:vAlign w:val="bottom"/>
            <w:shd w:val="clear" w:color="auto" w:fill="FEFEFE"/>
          </w:tcPr>
          <w:p>
            <w:pPr>
              <w:ind w:left="20"/>
              <w:spacing w:after="0"/>
              <w:rPr>
                <w:sz w:val="20"/>
                <w:szCs w:val="20"/>
                <w:color w:val="auto"/>
              </w:rPr>
            </w:pPr>
            <w:r>
              <w:rPr>
                <w:rFonts w:ascii="Arial" w:cs="Arial" w:eastAsia="Arial" w:hAnsi="Arial"/>
                <w:sz w:val="17"/>
                <w:szCs w:val="17"/>
                <w:color w:val="auto"/>
              </w:rPr>
              <w:t>(Principal Executive Officer)</w:t>
            </w:r>
          </w:p>
        </w:tc>
      </w:tr>
      <w:tr>
        <w:trPr>
          <w:trHeight w:val="228"/>
        </w:trPr>
        <w:tc>
          <w:tcPr>
            <w:tcW w:w="1140" w:type="dxa"/>
            <w:vAlign w:val="bottom"/>
            <w:shd w:val="clear" w:color="auto" w:fill="FEFEFE"/>
          </w:tcPr>
          <w:p>
            <w:pPr>
              <w:spacing w:after="0"/>
              <w:rPr>
                <w:sz w:val="19"/>
                <w:szCs w:val="19"/>
                <w:color w:val="auto"/>
              </w:rPr>
            </w:pPr>
          </w:p>
        </w:tc>
        <w:tc>
          <w:tcPr>
            <w:tcW w:w="4920" w:type="dxa"/>
            <w:vAlign w:val="bottom"/>
            <w:shd w:val="clear" w:color="auto" w:fill="FEFEFE"/>
          </w:tcPr>
          <w:p>
            <w:pPr>
              <w:spacing w:after="0"/>
              <w:rPr>
                <w:sz w:val="19"/>
                <w:szCs w:val="19"/>
                <w:color w:val="auto"/>
              </w:rPr>
            </w:pPr>
          </w:p>
        </w:tc>
        <w:tc>
          <w:tcPr>
            <w:tcW w:w="920" w:type="dxa"/>
            <w:vAlign w:val="bottom"/>
            <w:shd w:val="clear" w:color="auto" w:fill="FEFEFE"/>
          </w:tcPr>
          <w:p>
            <w:pPr>
              <w:spacing w:after="0"/>
              <w:rPr>
                <w:sz w:val="19"/>
                <w:szCs w:val="19"/>
                <w:color w:val="auto"/>
              </w:rPr>
            </w:pPr>
          </w:p>
        </w:tc>
        <w:tc>
          <w:tcPr>
            <w:tcW w:w="4460" w:type="dxa"/>
            <w:vAlign w:val="bottom"/>
            <w:shd w:val="clear" w:color="auto" w:fill="FEFEFE"/>
          </w:tcPr>
          <w:p>
            <w:pPr>
              <w:spacing w:after="0"/>
              <w:rPr>
                <w:sz w:val="19"/>
                <w:szCs w:val="19"/>
                <w:color w:val="auto"/>
              </w:rPr>
            </w:pPr>
          </w:p>
        </w:tc>
      </w:tr>
    </w:tbl>
    <w:p>
      <w:pPr>
        <w:spacing w:after="0" w:line="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 Ajay V. Vashee, certify, pursuant to 18 U.S.C. Section 1350, as adopted pursuant to Section 906 of the Sarbanes-Oxley Act of 2002, that the Quarterly Report on Form 10-Q of Dropbox, Inc. for the fiscal quarter ended June 30, 2019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color w:val="auto"/>
              </w:rPr>
              <w:t>August 9, 2019</w:t>
            </w:r>
          </w:p>
        </w:tc>
        <w:tc>
          <w:tcPr>
            <w:tcW w:w="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color w:val="auto"/>
              </w:rPr>
              <w:t>By:</w:t>
            </w:r>
          </w:p>
        </w:tc>
        <w:tc>
          <w:tcPr>
            <w:tcW w:w="446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17"/>
                <w:szCs w:val="17"/>
                <w:color w:val="auto"/>
              </w:rPr>
              <w:t>/s/ Ajay V. Vashee</w:t>
            </w:r>
          </w:p>
        </w:tc>
      </w:tr>
      <w:tr>
        <w:trPr>
          <w:trHeight w:val="215"/>
        </w:trPr>
        <w:tc>
          <w:tcPr>
            <w:tcW w:w="1140" w:type="dxa"/>
            <w:vAlign w:val="bottom"/>
            <w:shd w:val="clear" w:color="auto" w:fill="FEFEFE"/>
          </w:tcPr>
          <w:p>
            <w:pPr>
              <w:spacing w:after="0"/>
              <w:rPr>
                <w:sz w:val="18"/>
                <w:szCs w:val="18"/>
                <w:color w:val="auto"/>
              </w:rPr>
            </w:pPr>
          </w:p>
        </w:tc>
        <w:tc>
          <w:tcPr>
            <w:tcW w:w="4920" w:type="dxa"/>
            <w:vAlign w:val="bottom"/>
            <w:shd w:val="clear" w:color="auto" w:fill="FEFEFE"/>
          </w:tcPr>
          <w:p>
            <w:pPr>
              <w:spacing w:after="0"/>
              <w:rPr>
                <w:sz w:val="18"/>
                <w:szCs w:val="18"/>
                <w:color w:val="auto"/>
              </w:rPr>
            </w:pPr>
          </w:p>
        </w:tc>
        <w:tc>
          <w:tcPr>
            <w:tcW w:w="920" w:type="dxa"/>
            <w:vAlign w:val="bottom"/>
            <w:shd w:val="clear" w:color="auto" w:fill="FEFEFE"/>
          </w:tcPr>
          <w:p>
            <w:pPr>
              <w:ind w:left="20"/>
              <w:spacing w:after="0"/>
              <w:rPr>
                <w:sz w:val="20"/>
                <w:szCs w:val="20"/>
                <w:color w:val="auto"/>
              </w:rPr>
            </w:pPr>
            <w:r>
              <w:rPr>
                <w:rFonts w:ascii="Arial" w:cs="Arial" w:eastAsia="Arial" w:hAnsi="Arial"/>
                <w:sz w:val="17"/>
                <w:szCs w:val="17"/>
                <w:color w:val="auto"/>
              </w:rPr>
              <w:t>Name:</w:t>
            </w:r>
          </w:p>
        </w:tc>
        <w:tc>
          <w:tcPr>
            <w:tcW w:w="4460" w:type="dxa"/>
            <w:vAlign w:val="bottom"/>
            <w:shd w:val="clear" w:color="auto" w:fill="FEFEFE"/>
          </w:tcPr>
          <w:p>
            <w:pPr>
              <w:ind w:left="20"/>
              <w:spacing w:after="0"/>
              <w:rPr>
                <w:sz w:val="20"/>
                <w:szCs w:val="20"/>
                <w:color w:val="auto"/>
              </w:rPr>
            </w:pPr>
            <w:r>
              <w:rPr>
                <w:rFonts w:ascii="Arial" w:cs="Arial" w:eastAsia="Arial" w:hAnsi="Arial"/>
                <w:sz w:val="17"/>
                <w:szCs w:val="17"/>
                <w:color w:val="auto"/>
              </w:rPr>
              <w:t>Ajay V. Vashee</w:t>
            </w:r>
          </w:p>
        </w:tc>
      </w:tr>
      <w:tr>
        <w:trPr>
          <w:trHeight w:val="228"/>
        </w:trPr>
        <w:tc>
          <w:tcPr>
            <w:tcW w:w="1140" w:type="dxa"/>
            <w:vAlign w:val="bottom"/>
            <w:shd w:val="clear" w:color="auto" w:fill="FEFEFE"/>
          </w:tcPr>
          <w:p>
            <w:pPr>
              <w:spacing w:after="0"/>
              <w:rPr>
                <w:sz w:val="19"/>
                <w:szCs w:val="19"/>
                <w:color w:val="auto"/>
              </w:rPr>
            </w:pPr>
          </w:p>
        </w:tc>
        <w:tc>
          <w:tcPr>
            <w:tcW w:w="4920" w:type="dxa"/>
            <w:vAlign w:val="bottom"/>
            <w:shd w:val="clear" w:color="auto" w:fill="FEFEFE"/>
          </w:tcPr>
          <w:p>
            <w:pPr>
              <w:spacing w:after="0"/>
              <w:rPr>
                <w:sz w:val="19"/>
                <w:szCs w:val="19"/>
                <w:color w:val="auto"/>
              </w:rPr>
            </w:pPr>
          </w:p>
        </w:tc>
        <w:tc>
          <w:tcPr>
            <w:tcW w:w="920" w:type="dxa"/>
            <w:vAlign w:val="bottom"/>
            <w:shd w:val="clear" w:color="auto" w:fill="FEFEFE"/>
          </w:tcPr>
          <w:p>
            <w:pPr>
              <w:ind w:left="20"/>
              <w:spacing w:after="0"/>
              <w:rPr>
                <w:sz w:val="20"/>
                <w:szCs w:val="20"/>
                <w:color w:val="auto"/>
              </w:rPr>
            </w:pPr>
            <w:r>
              <w:rPr>
                <w:rFonts w:ascii="Arial" w:cs="Arial" w:eastAsia="Arial" w:hAnsi="Arial"/>
                <w:sz w:val="17"/>
                <w:szCs w:val="17"/>
                <w:color w:val="auto"/>
              </w:rPr>
              <w:t>Title:</w:t>
            </w:r>
          </w:p>
        </w:tc>
        <w:tc>
          <w:tcPr>
            <w:tcW w:w="4460" w:type="dxa"/>
            <w:vAlign w:val="bottom"/>
            <w:shd w:val="clear" w:color="auto" w:fill="FEFEFE"/>
          </w:tcPr>
          <w:p>
            <w:pPr>
              <w:ind w:left="20"/>
              <w:spacing w:after="0"/>
              <w:rPr>
                <w:sz w:val="20"/>
                <w:szCs w:val="20"/>
                <w:color w:val="auto"/>
              </w:rPr>
            </w:pPr>
            <w:r>
              <w:rPr>
                <w:rFonts w:ascii="Arial" w:cs="Arial" w:eastAsia="Arial" w:hAnsi="Arial"/>
                <w:sz w:val="17"/>
                <w:szCs w:val="17"/>
                <w:color w:val="auto"/>
              </w:rPr>
              <w:t>Chief Financial Officer</w:t>
            </w:r>
          </w:p>
        </w:tc>
      </w:tr>
      <w:tr>
        <w:trPr>
          <w:trHeight w:val="251"/>
        </w:trPr>
        <w:tc>
          <w:tcPr>
            <w:tcW w:w="1140" w:type="dxa"/>
            <w:vAlign w:val="bottom"/>
            <w:shd w:val="clear" w:color="auto" w:fill="FEFEFE"/>
          </w:tcPr>
          <w:p>
            <w:pPr>
              <w:spacing w:after="0"/>
              <w:rPr>
                <w:sz w:val="21"/>
                <w:szCs w:val="21"/>
                <w:color w:val="auto"/>
              </w:rPr>
            </w:pPr>
          </w:p>
        </w:tc>
        <w:tc>
          <w:tcPr>
            <w:tcW w:w="4920" w:type="dxa"/>
            <w:vAlign w:val="bottom"/>
            <w:shd w:val="clear" w:color="auto" w:fill="FEFEFE"/>
          </w:tcPr>
          <w:p>
            <w:pPr>
              <w:spacing w:after="0"/>
              <w:rPr>
                <w:sz w:val="21"/>
                <w:szCs w:val="21"/>
                <w:color w:val="auto"/>
              </w:rPr>
            </w:pPr>
          </w:p>
        </w:tc>
        <w:tc>
          <w:tcPr>
            <w:tcW w:w="920" w:type="dxa"/>
            <w:vAlign w:val="bottom"/>
            <w:shd w:val="clear" w:color="auto" w:fill="FEFEFE"/>
          </w:tcPr>
          <w:p>
            <w:pPr>
              <w:spacing w:after="0"/>
              <w:rPr>
                <w:sz w:val="21"/>
                <w:szCs w:val="21"/>
                <w:color w:val="auto"/>
              </w:rPr>
            </w:pPr>
          </w:p>
        </w:tc>
        <w:tc>
          <w:tcPr>
            <w:tcW w:w="4460" w:type="dxa"/>
            <w:vAlign w:val="bottom"/>
            <w:shd w:val="clear" w:color="auto" w:fill="FEFEFE"/>
          </w:tcPr>
          <w:p>
            <w:pPr>
              <w:ind w:left="20"/>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440"/>
      </w:cols>
      <w:pgMar w:left="240" w:top="1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2019-12-28T07:00:19Z</dcterms:created>
  <dcterms:modified xsi:type="dcterms:W3CDTF">2019-12-28T07:00:19Z</dcterms:modified>
</cp:coreProperties>
</file>