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114935</wp:posOffset>
            </wp:positionV>
            <wp:extent cx="17468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2701925</wp:posOffset>
            </wp:positionH>
            <wp:positionV relativeFrom="paragraph">
              <wp:posOffset>132080</wp:posOffset>
            </wp:positionV>
            <wp:extent cx="17468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46885" cy="8255"/>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(Mark One)</w:t>
      </w:r>
    </w:p>
    <w:p>
      <w:pPr>
        <w:spacing w:after="0" w:line="27" w:lineRule="exact"/>
        <w:rPr>
          <w:sz w:val="24"/>
          <w:szCs w:val="24"/>
          <w:color w:val="auto"/>
        </w:rPr>
      </w:pPr>
    </w:p>
    <w:p>
      <w:pPr>
        <w:ind w:left="4000" w:right="2160" w:hanging="3996"/>
        <w:spacing w:after="0" w:line="277" w:lineRule="auto"/>
        <w:tabs>
          <w:tab w:leader="none" w:pos="21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 xml:space="preserve">QUARTERLY REPORT PURSUANT TO SECTION 13 OR 15(d) OF THE SECURITIES EXCHANGE ACT OF 1934 </w:t>
      </w:r>
      <w:r>
        <w:rPr>
          <w:rFonts w:ascii="Times New Roman" w:cs="Times New Roman" w:eastAsia="Times New Roman" w:hAnsi="Times New Roman"/>
          <w:sz w:val="17"/>
          <w:szCs w:val="17"/>
          <w:color w:val="auto"/>
        </w:rPr>
        <w:t>For the quarterly period ended March 31, 2022</w:t>
      </w:r>
    </w:p>
    <w:p>
      <w:pPr>
        <w:spacing w:after="0" w:line="1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9" w:lineRule="exact"/>
        <w:rPr>
          <w:sz w:val="24"/>
          <w:szCs w:val="24"/>
          <w:color w:val="auto"/>
        </w:rPr>
      </w:pPr>
    </w:p>
    <w:p>
      <w:pPr>
        <w:ind w:left="3740" w:right="2140" w:hanging="3736"/>
        <w:spacing w:after="0" w:line="277" w:lineRule="auto"/>
        <w:tabs>
          <w:tab w:leader="none" w:pos="215"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from________to________</w:t>
      </w:r>
    </w:p>
    <w:p>
      <w:pPr>
        <w:spacing w:after="0" w:line="18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Commission File Number 001-38434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71120</wp:posOffset>
            </wp:positionV>
            <wp:extent cx="29559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5"/>
          <w:szCs w:val="35"/>
          <w:b w:val="1"/>
          <w:bCs w:val="1"/>
          <w:color w:val="auto"/>
        </w:rPr>
        <w:t>Dropbox, Inc.</w:t>
      </w:r>
    </w:p>
    <w:p>
      <w:pPr>
        <w:spacing w:after="0" w:line="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117475</wp:posOffset>
            </wp:positionV>
            <wp:extent cx="2955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70" w:lineRule="exact"/>
        <w:rPr>
          <w:sz w:val="24"/>
          <w:szCs w:val="24"/>
          <w:color w:val="auto"/>
        </w:rPr>
      </w:pPr>
    </w:p>
    <w:p>
      <w:pPr>
        <w:ind w:left="2040"/>
        <w:spacing w:after="0"/>
        <w:tabs>
          <w:tab w:leader="none" w:pos="9260" w:val="left"/>
        </w:tabs>
        <w:rPr>
          <w:sz w:val="20"/>
          <w:szCs w:val="20"/>
          <w:color w:val="auto"/>
        </w:rPr>
      </w:pPr>
      <w:r>
        <w:rPr>
          <w:rFonts w:ascii="Times New Roman" w:cs="Times New Roman" w:eastAsia="Times New Roman" w:hAnsi="Times New Roman"/>
          <w:sz w:val="14"/>
          <w:szCs w:val="14"/>
          <w:b w:val="1"/>
          <w:bCs w:val="1"/>
          <w:color w:val="auto"/>
        </w:rPr>
        <w:t>Delaware</w:t>
      </w:r>
      <w:r>
        <w:rPr>
          <w:sz w:val="20"/>
          <w:szCs w:val="20"/>
          <w:color w:val="auto"/>
        </w:rPr>
        <w:tab/>
      </w:r>
      <w:r>
        <w:rPr>
          <w:rFonts w:ascii="Times New Roman" w:cs="Times New Roman" w:eastAsia="Times New Roman" w:hAnsi="Times New Roman"/>
          <w:sz w:val="14"/>
          <w:szCs w:val="14"/>
          <w:b w:val="1"/>
          <w:bCs w:val="1"/>
          <w:color w:val="auto"/>
        </w:rPr>
        <w:t>26-0138832</w:t>
      </w:r>
    </w:p>
    <w:p>
      <w:pPr>
        <w:spacing w:after="0" w:line="35" w:lineRule="exact"/>
        <w:rPr>
          <w:sz w:val="24"/>
          <w:szCs w:val="24"/>
          <w:color w:val="auto"/>
        </w:rPr>
      </w:pPr>
    </w:p>
    <w:p>
      <w:pPr>
        <w:ind w:left="540"/>
        <w:spacing w:after="0"/>
        <w:tabs>
          <w:tab w:leader="none" w:pos="8380" w:val="left"/>
        </w:tabs>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3"/>
          <w:szCs w:val="13"/>
          <w:b w:val="1"/>
          <w:bCs w:val="1"/>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137160</wp:posOffset>
            </wp:positionV>
            <wp:extent cx="2955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1800 Owens Street</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San Francisco, California 94158</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(415) 857-6800</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2097405</wp:posOffset>
            </wp:positionH>
            <wp:positionV relativeFrom="paragraph">
              <wp:posOffset>116205</wp:posOffset>
            </wp:positionV>
            <wp:extent cx="2955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55925"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36195</wp:posOffset>
            </wp:positionV>
            <wp:extent cx="6259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59195" cy="8255"/>
                    </a:xfrm>
                    <a:prstGeom prst="rect">
                      <a:avLst/>
                    </a:prstGeom>
                    <a:noFill/>
                  </pic:spPr>
                </pic:pic>
              </a:graphicData>
            </a:graphic>
          </wp:anchor>
        </w:drawing>
      </w:r>
    </w:p>
    <w:p>
      <w:pPr>
        <w:spacing w:after="0" w:line="72" w:lineRule="exact"/>
        <w:rPr>
          <w:sz w:val="24"/>
          <w:szCs w:val="24"/>
          <w:color w:val="auto"/>
        </w:rPr>
      </w:pPr>
    </w:p>
    <w:tbl>
      <w:tblPr>
        <w:tblLayout w:type="fixed"/>
        <w:tblInd w:w="78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1580" w:type="dxa"/>
            <w:vAlign w:val="bottom"/>
          </w:tcPr>
          <w:p>
            <w:pPr>
              <w:spacing w:after="0"/>
              <w:rPr>
                <w:sz w:val="13"/>
                <w:szCs w:val="13"/>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exchange on which registered</w:t>
            </w:r>
          </w:p>
        </w:tc>
      </w:tr>
      <w:tr>
        <w:trPr>
          <w:trHeight w:val="205"/>
        </w:trPr>
        <w:tc>
          <w:tcPr>
            <w:tcW w:w="364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color w:val="auto"/>
                <w:w w:val="99"/>
              </w:rPr>
              <w:t>Class A Common Stock, par value $0.00001 per share</w:t>
            </w:r>
          </w:p>
        </w:tc>
        <w:tc>
          <w:tcPr>
            <w:tcW w:w="600" w:type="dxa"/>
            <w:vAlign w:val="bottom"/>
          </w:tcPr>
          <w:p>
            <w:pPr>
              <w:spacing w:after="0"/>
              <w:rPr>
                <w:sz w:val="17"/>
                <w:szCs w:val="17"/>
                <w:color w:val="auto"/>
              </w:rPr>
            </w:pPr>
          </w:p>
        </w:tc>
        <w:tc>
          <w:tcPr>
            <w:tcW w:w="270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color w:val="auto"/>
                <w:w w:val="94"/>
              </w:rPr>
              <w:t>DBX</w:t>
            </w: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r>
        <w:trPr>
          <w:trHeight w:val="196"/>
        </w:trPr>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(Nasdaq Global Select Market)</w:t>
            </w:r>
          </w:p>
        </w:tc>
      </w:tr>
    </w:tbl>
    <w:p>
      <w:pPr>
        <w:spacing w:after="0" w:line="366" w:lineRule="exact"/>
        <w:rPr>
          <w:sz w:val="24"/>
          <w:szCs w:val="24"/>
          <w:color w:val="auto"/>
        </w:rPr>
      </w:pPr>
    </w:p>
    <w:p>
      <w:pPr>
        <w:ind w:right="240" w:firstLine="313"/>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8" w:lineRule="exact"/>
        <w:rPr>
          <w:sz w:val="24"/>
          <w:szCs w:val="24"/>
          <w:color w:val="auto"/>
        </w:rPr>
      </w:pPr>
    </w:p>
    <w:p>
      <w:pPr>
        <w:ind w:right="120" w:firstLine="313"/>
        <w:spacing w:after="0" w:line="19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00"/>
          </w:cols>
          <w:pgMar w:left="320" w:top="967" w:right="379" w:bottom="1440" w:gutter="0" w:footer="0" w:header="0"/>
        </w:sectPr>
      </w:pPr>
    </w:p>
    <w:p>
      <w:pPr>
        <w:spacing w:after="0" w:line="195" w:lineRule="exact"/>
        <w:rPr>
          <w:sz w:val="24"/>
          <w:szCs w:val="24"/>
          <w:color w:val="auto"/>
        </w:rPr>
      </w:pPr>
    </w:p>
    <w:p>
      <w:pPr>
        <w:ind w:firstLine="313"/>
        <w:spacing w:after="0" w:line="283"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2"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Accelerated filer</w:t>
      </w:r>
    </w:p>
    <w:p>
      <w:pPr>
        <w:spacing w:after="0" w:line="152" w:lineRule="exact"/>
        <w:rPr>
          <w:sz w:val="24"/>
          <w:szCs w:val="24"/>
          <w:color w:val="auto"/>
        </w:rPr>
      </w:pPr>
    </w:p>
    <w:p>
      <w:pPr>
        <w:ind w:left="20"/>
        <w:spacing w:after="0" w:line="161" w:lineRule="exact"/>
        <w:tabs>
          <w:tab w:leader="none" w:pos="5080" w:val="left"/>
          <w:tab w:leader="none" w:pos="5580" w:val="left"/>
        </w:tabs>
        <w:rPr>
          <w:sz w:val="20"/>
          <w:szCs w:val="20"/>
          <w:color w:val="auto"/>
        </w:rPr>
      </w:pPr>
      <w:r>
        <w:rPr>
          <w:rFonts w:ascii="Times New Roman" w:cs="Times New Roman" w:eastAsia="Times New Roman" w:hAnsi="Times New Roman"/>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Smaller reporting company</w:t>
      </w:r>
    </w:p>
    <w:p>
      <w:pPr>
        <w:spacing w:after="0" w:line="147" w:lineRule="exact"/>
        <w:rPr>
          <w:sz w:val="24"/>
          <w:szCs w:val="24"/>
          <w:color w:val="auto"/>
        </w:rPr>
      </w:pPr>
    </w:p>
    <w:p>
      <w:pPr>
        <w:ind w:left="56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8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49" w:lineRule="exact"/>
        <w:rPr>
          <w:sz w:val="24"/>
          <w:szCs w:val="24"/>
          <w:color w:val="auto"/>
        </w:rPr>
      </w:pPr>
    </w:p>
    <w:p>
      <w:pPr>
        <w:sectPr>
          <w:pgSz w:w="11900" w:h="16838" w:orient="portrait"/>
          <w:cols w:equalWidth="0" w:num="2">
            <w:col w:w="10740" w:space="340"/>
            <w:col w:w="120"/>
          </w:cols>
          <w:pgMar w:left="320" w:top="967" w:right="379" w:bottom="1440" w:gutter="0" w:footer="0" w:header="0"/>
          <w:type w:val="continuous"/>
        </w:sectPr>
      </w:pPr>
    </w:p>
    <w:p>
      <w:pPr>
        <w:spacing w:after="0" w:line="134" w:lineRule="exact"/>
        <w:rPr>
          <w:sz w:val="24"/>
          <w:szCs w:val="24"/>
          <w:color w:val="auto"/>
        </w:rPr>
      </w:pPr>
    </w:p>
    <w:p>
      <w:pPr>
        <w:ind w:right="340"/>
        <w:spacing w:after="0" w:line="19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64" w:lineRule="exact"/>
        <w:rPr>
          <w:sz w:val="24"/>
          <w:szCs w:val="24"/>
          <w:color w:val="auto"/>
        </w:rPr>
      </w:pPr>
    </w:p>
    <w:p>
      <w:pPr>
        <w:ind w:right="120"/>
        <w:spacing w:after="0" w:line="256" w:lineRule="auto"/>
        <w:rPr>
          <w:sz w:val="20"/>
          <w:szCs w:val="20"/>
          <w:color w:val="auto"/>
        </w:rPr>
      </w:pPr>
      <w:r>
        <w:rPr>
          <w:rFonts w:ascii="Times New Roman" w:cs="Times New Roman" w:eastAsia="Times New Roman" w:hAnsi="Times New Roman"/>
          <w:sz w:val="14"/>
          <w:szCs w:val="14"/>
          <w:color w:val="auto"/>
        </w:rPr>
        <w:t>As of May 2, 2022, there were 292,996,440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2,812,813 shares of Class A common stock subject to restricted stock awards that were granted to other Dropbox executives and vest upon the satisfaction of a service condition and as applicable, achievement of certain stock price goals), 82,607,593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824230</wp:posOffset>
            </wp:positionV>
            <wp:extent cx="716216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967"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FORWARD-LOOKING STATEMENTS</w:t>
      </w:r>
    </w:p>
    <w:p>
      <w:pPr>
        <w:spacing w:after="0" w:line="241" w:lineRule="exact"/>
        <w:rPr>
          <w:sz w:val="20"/>
          <w:szCs w:val="20"/>
          <w:color w:val="auto"/>
        </w:rPr>
      </w:pPr>
    </w:p>
    <w:p>
      <w:pPr>
        <w:ind w:firstLine="391"/>
        <w:spacing w:after="0" w:line="262"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201" w:lineRule="exact"/>
        <w:rPr>
          <w:sz w:val="20"/>
          <w:szCs w:val="20"/>
          <w:color w:val="auto"/>
        </w:rPr>
      </w:pPr>
    </w:p>
    <w:p>
      <w:pPr>
        <w:ind w:left="700" w:hanging="305"/>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upgrade paying users;</w:t>
      </w:r>
    </w:p>
    <w:p>
      <w:pPr>
        <w:spacing w:after="0" w:line="247"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users or convert registered users to paying users;</w:t>
      </w:r>
    </w:p>
    <w:p>
      <w:pPr>
        <w:spacing w:after="0" w:line="247" w:lineRule="exact"/>
        <w:rPr>
          <w:rFonts w:ascii="Times New Roman" w:cs="Times New Roman" w:eastAsia="Times New Roman" w:hAnsi="Times New Roman"/>
          <w:sz w:val="17"/>
          <w:szCs w:val="17"/>
          <w:color w:val="auto"/>
        </w:rPr>
      </w:pPr>
    </w:p>
    <w:p>
      <w:pPr>
        <w:ind w:left="700" w:right="60" w:hanging="305"/>
        <w:spacing w:after="0" w:line="294"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financial performance, including trends in revenue, costs of revenue, gross profit or gross margin, operating expenses, paying users, annual recurring revenue, average revenue per user, free cash flow, and the assumptions underlying such trends;</w:t>
      </w:r>
    </w:p>
    <w:p>
      <w:pPr>
        <w:spacing w:after="0" w:line="173" w:lineRule="exact"/>
        <w:rPr>
          <w:rFonts w:ascii="Times New Roman" w:cs="Times New Roman" w:eastAsia="Times New Roman" w:hAnsi="Times New Roman"/>
          <w:sz w:val="17"/>
          <w:szCs w:val="17"/>
          <w:color w:val="auto"/>
        </w:rPr>
      </w:pPr>
    </w:p>
    <w:p>
      <w:pPr>
        <w:ind w:left="700" w:right="420" w:hanging="305"/>
        <w:spacing w:after="0" w:line="294"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challenges and anticipated benefits to our business from our Virtual First work model as well as the impact to our financial results and business operations as a result of this model;</w:t>
      </w:r>
    </w:p>
    <w:p>
      <w:pPr>
        <w:spacing w:after="0" w:line="173"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compete successfully in competitive markets;</w:t>
      </w:r>
    </w:p>
    <w:p>
      <w:pPr>
        <w:spacing w:after="0" w:line="247" w:lineRule="exact"/>
        <w:rPr>
          <w:rFonts w:ascii="Times New Roman" w:cs="Times New Roman" w:eastAsia="Times New Roman" w:hAnsi="Times New Roman"/>
          <w:sz w:val="17"/>
          <w:szCs w:val="17"/>
          <w:color w:val="auto"/>
        </w:rPr>
      </w:pPr>
    </w:p>
    <w:p>
      <w:pPr>
        <w:ind w:left="700" w:right="20" w:hanging="305"/>
        <w:spacing w:after="0" w:line="294"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the potential ongoing impacts of the COVID-19 pandemic and related public health measures, as well as the potential for a more permanent global shift to remote work, on our business, the business of our customers, suppliers and partners, and the economy;</w:t>
      </w:r>
    </w:p>
    <w:p>
      <w:pPr>
        <w:spacing w:after="0" w:line="173"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demand for our platform or for content collaboration solutions in general;</w:t>
      </w:r>
    </w:p>
    <w:p>
      <w:pPr>
        <w:spacing w:after="0" w:line="247"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effectively integrate our platform with others;</w:t>
      </w:r>
    </w:p>
    <w:p>
      <w:pPr>
        <w:spacing w:after="0" w:line="247" w:lineRule="exact"/>
        <w:rPr>
          <w:rFonts w:ascii="Times New Roman" w:cs="Times New Roman" w:eastAsia="Times New Roman" w:hAnsi="Times New Roman"/>
          <w:sz w:val="17"/>
          <w:szCs w:val="17"/>
          <w:color w:val="auto"/>
        </w:rPr>
      </w:pPr>
    </w:p>
    <w:p>
      <w:pPr>
        <w:ind w:left="700" w:right="180" w:hanging="305"/>
        <w:spacing w:after="0" w:line="294"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respond to rapid technological changes, including our ability to take advantage of potential market opportunities arising from what we believe to be a more permanent shift towards remote work;</w:t>
      </w:r>
    </w:p>
    <w:p>
      <w:pPr>
        <w:spacing w:after="0" w:line="173"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or maintain profitability;</w:t>
      </w:r>
    </w:p>
    <w:p>
      <w:pPr>
        <w:spacing w:after="0" w:line="247"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around future growth;</w:t>
      </w:r>
    </w:p>
    <w:p>
      <w:pPr>
        <w:spacing w:after="0" w:line="247"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successfully introduce new products and features;</w:t>
      </w:r>
    </w:p>
    <w:p>
      <w:pPr>
        <w:spacing w:after="0" w:line="247" w:lineRule="exact"/>
        <w:rPr>
          <w:rFonts w:ascii="Times New Roman" w:cs="Times New Roman" w:eastAsia="Times New Roman" w:hAnsi="Times New Roman"/>
          <w:sz w:val="17"/>
          <w:szCs w:val="17"/>
          <w:color w:val="auto"/>
        </w:rPr>
      </w:pPr>
    </w:p>
    <w:p>
      <w:pPr>
        <w:ind w:left="700" w:right="300" w:hanging="305"/>
        <w:spacing w:after="0" w:line="294" w:lineRule="auto"/>
        <w:tabs>
          <w:tab w:leader="none" w:pos="69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retain, integrate, and manage key and other highly qualified personnel, including as a result of our transition to a Virtual First model with an increasingly distributed workforce;</w:t>
      </w:r>
    </w:p>
    <w:p>
      <w:pPr>
        <w:spacing w:after="0" w:line="173"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prevent security breaches and unauthorized access to customer data;</w:t>
      </w:r>
    </w:p>
    <w:p>
      <w:pPr>
        <w:spacing w:after="0" w:line="247"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capital allocation plans, including expected allocations of cash and timing for our share repurchases and other investments;</w:t>
      </w:r>
    </w:p>
    <w:p>
      <w:pPr>
        <w:spacing w:after="0" w:line="247"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new or modified laws, policies, taxes, and regulations on our business;</w:t>
      </w:r>
    </w:p>
    <w:p>
      <w:pPr>
        <w:spacing w:after="0" w:line="247"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protect, and enhance our intellectual property;</w:t>
      </w:r>
    </w:p>
    <w:p>
      <w:pPr>
        <w:spacing w:after="0" w:line="247"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cash and cash equivalents to meet our liquidity needs; and</w:t>
      </w:r>
    </w:p>
    <w:p>
      <w:pPr>
        <w:spacing w:after="0" w:line="247"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of companies and assets.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caution you that the foregoing list may not contain all of the forward-looking statements made in this Quarterly Report on Form 10-Q.</w:t>
      </w:r>
    </w:p>
    <w:p>
      <w:pPr>
        <w:spacing w:after="0" w:line="222" w:lineRule="exact"/>
        <w:rPr>
          <w:sz w:val="20"/>
          <w:szCs w:val="20"/>
          <w:color w:val="auto"/>
        </w:rPr>
      </w:pPr>
    </w:p>
    <w:p>
      <w:pPr>
        <w:ind w:right="80" w:firstLine="430"/>
        <w:spacing w:after="0" w:line="261"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77" w:lineRule="exact"/>
        <w:rPr>
          <w:sz w:val="20"/>
          <w:szCs w:val="20"/>
          <w:color w:val="auto"/>
        </w:rPr>
      </w:pPr>
    </w:p>
    <w:p>
      <w:pPr>
        <w:ind w:firstLine="430"/>
        <w:spacing w:after="0" w:line="264" w:lineRule="auto"/>
        <w:rPr>
          <w:sz w:val="20"/>
          <w:szCs w:val="20"/>
          <w:color w:val="auto"/>
        </w:rPr>
      </w:pPr>
      <w:r>
        <w:rPr>
          <w:rFonts w:ascii="Times New Roman" w:cs="Times New Roman" w:eastAsia="Times New Roman" w:hAnsi="Times New Roman"/>
          <w:sz w:val="17"/>
          <w:szCs w:val="17"/>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ectPr>
          <w:pgSz w:w="11900" w:h="16838" w:orient="portrait"/>
          <w:cols w:equalWidth="0" w:num="1">
            <w:col w:w="11220"/>
          </w:cols>
          <w:pgMar w:left="320" w:top="11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250" w:lineRule="exact"/>
        <w:rPr>
          <w:sz w:val="20"/>
          <w:szCs w:val="20"/>
          <w:color w:val="auto"/>
        </w:rPr>
      </w:pPr>
    </w:p>
    <w:p>
      <w:pPr>
        <w:ind w:right="80" w:firstLine="391"/>
        <w:spacing w:after="0" w:line="265" w:lineRule="auto"/>
        <w:rPr>
          <w:sz w:val="20"/>
          <w:szCs w:val="20"/>
          <w:color w:val="auto"/>
        </w:rPr>
      </w:pPr>
      <w:r>
        <w:rPr>
          <w:rFonts w:ascii="Times New Roman" w:cs="Times New Roman" w:eastAsia="Times New Roman" w:hAnsi="Times New Roman"/>
          <w:sz w:val="17"/>
          <w:szCs w:val="17"/>
          <w:color w:val="auto"/>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spacing w:after="0" w:line="199" w:lineRule="exact"/>
        <w:rPr>
          <w:sz w:val="20"/>
          <w:szCs w:val="20"/>
          <w:color w:val="auto"/>
        </w:rPr>
      </w:pPr>
    </w:p>
    <w:p>
      <w:pPr>
        <w:ind w:left="700" w:right="260" w:hanging="305"/>
        <w:spacing w:after="0" w:line="294"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our ability to retain and upgrade paying users, and any decline in renewals or upgrades could adversely affect our future results of operations.</w:t>
      </w:r>
    </w:p>
    <w:p>
      <w:pPr>
        <w:spacing w:after="0" w:line="173"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growth could be harmed if we fail to attract new users or convert registered users to paying users.</w:t>
      </w:r>
    </w:p>
    <w:p>
      <w:pPr>
        <w:spacing w:after="0" w:line="247"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growth rate has declined in recent periods and may continue to slow in the future.</w:t>
      </w:r>
    </w:p>
    <w:p>
      <w:pPr>
        <w:spacing w:after="0" w:line="247" w:lineRule="exact"/>
        <w:rPr>
          <w:rFonts w:ascii="Times New Roman" w:cs="Times New Roman" w:eastAsia="Times New Roman" w:hAnsi="Times New Roman"/>
          <w:sz w:val="17"/>
          <w:szCs w:val="17"/>
          <w:color w:val="auto"/>
        </w:rPr>
      </w:pPr>
    </w:p>
    <w:p>
      <w:pPr>
        <w:ind w:left="700" w:right="300" w:hanging="305"/>
        <w:spacing w:after="0" w:line="294"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history of operating with a Virtual First workforce and the long-term impact on our financial results and business operations is uncertain.</w:t>
      </w:r>
    </w:p>
    <w:p>
      <w:pPr>
        <w:spacing w:after="0" w:line="173"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competitive markets, and we must continue to compete effectively.</w:t>
      </w:r>
    </w:p>
    <w:p>
      <w:pPr>
        <w:spacing w:after="0" w:line="247" w:lineRule="exact"/>
        <w:rPr>
          <w:rFonts w:ascii="Times New Roman" w:cs="Times New Roman" w:eastAsia="Times New Roman" w:hAnsi="Times New Roman"/>
          <w:sz w:val="17"/>
          <w:szCs w:val="17"/>
          <w:color w:val="auto"/>
        </w:rPr>
      </w:pPr>
    </w:p>
    <w:p>
      <w:pPr>
        <w:ind w:left="700" w:right="240" w:hanging="305"/>
        <w:spacing w:after="0" w:line="294"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could be damaged, and we could be subject to liability if there is any unauthorized access to our data or our users' content, including through privacy and data security breaches or incidents.</w:t>
      </w:r>
    </w:p>
    <w:p>
      <w:pPr>
        <w:spacing w:after="0" w:line="173"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could be harmed by any significant disruption of service on our platform or loss of content.</w:t>
      </w:r>
    </w:p>
    <w:p>
      <w:pPr>
        <w:spacing w:after="0" w:line="247" w:lineRule="exact"/>
        <w:rPr>
          <w:rFonts w:ascii="Times New Roman" w:cs="Times New Roman" w:eastAsia="Times New Roman" w:hAnsi="Times New Roman"/>
          <w:sz w:val="17"/>
          <w:szCs w:val="17"/>
          <w:color w:val="auto"/>
        </w:rPr>
      </w:pPr>
    </w:p>
    <w:p>
      <w:pPr>
        <w:ind w:left="700" w:right="160" w:hanging="305"/>
        <w:spacing w:after="0" w:line="294"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full extent of the impacts of the on-going COVID-19 pandemic on our business is currently unknown, but it may adversely affect our financial results as well as our business operations.</w:t>
      </w:r>
    </w:p>
    <w:p>
      <w:pPr>
        <w:spacing w:after="0" w:line="173" w:lineRule="exact"/>
        <w:rPr>
          <w:rFonts w:ascii="Times New Roman" w:cs="Times New Roman" w:eastAsia="Times New Roman" w:hAnsi="Times New Roman"/>
          <w:sz w:val="17"/>
          <w:szCs w:val="17"/>
          <w:color w:val="auto"/>
        </w:rPr>
      </w:pPr>
    </w:p>
    <w:p>
      <w:pPr>
        <w:ind w:left="700" w:hanging="305"/>
        <w:spacing w:after="0" w:line="294"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generate revenue from sales of subscriptions to our platform, and any decline in demand for our platform or for content collaboration solutions in general could negatively impact our business.</w:t>
      </w:r>
    </w:p>
    <w:p>
      <w:pPr>
        <w:spacing w:after="0" w:line="173"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upon the interoperability of our platform across devices, operating systems, and third-party applications that we do not control.</w:t>
      </w:r>
    </w:p>
    <w:p>
      <w:pPr>
        <w:spacing w:after="0" w:line="247" w:lineRule="exact"/>
        <w:rPr>
          <w:rFonts w:ascii="Times New Roman" w:cs="Times New Roman" w:eastAsia="Times New Roman" w:hAnsi="Times New Roman"/>
          <w:sz w:val="17"/>
          <w:szCs w:val="17"/>
          <w:color w:val="auto"/>
        </w:rPr>
      </w:pPr>
    </w:p>
    <w:p>
      <w:pPr>
        <w:ind w:left="700" w:right="580" w:hanging="305"/>
        <w:spacing w:after="0" w:line="294"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respond to rapid technological changes, extend our platform, or develop new features or products may harm our ability to compete effectively, which would adversely affect our business.</w:t>
      </w:r>
    </w:p>
    <w:p>
      <w:pPr>
        <w:spacing w:after="0" w:line="173"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successfully manage our growth or plan for future growth.</w:t>
      </w:r>
    </w:p>
    <w:p>
      <w:pPr>
        <w:spacing w:after="0" w:line="247" w:lineRule="exact"/>
        <w:rPr>
          <w:rFonts w:ascii="Times New Roman" w:cs="Times New Roman" w:eastAsia="Times New Roman" w:hAnsi="Times New Roman"/>
          <w:sz w:val="17"/>
          <w:szCs w:val="17"/>
          <w:color w:val="auto"/>
        </w:rPr>
      </w:pPr>
    </w:p>
    <w:p>
      <w:pPr>
        <w:ind w:left="700" w:right="140" w:hanging="305"/>
        <w:spacing w:after="0" w:line="294"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on our key personnel and other highly qualified personnel, and if we fail to attract, integrate, and retain our personnel, and maintain our unique corporate culture, our business could be harmed.</w:t>
      </w:r>
    </w:p>
    <w:p>
      <w:pPr>
        <w:spacing w:after="0" w:line="173"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history of net losses, we may increase expenses in the future, and we may not be able to achieve or to maintain profitability.</w:t>
      </w:r>
    </w:p>
    <w:p>
      <w:pPr>
        <w:spacing w:after="0" w:line="247" w:lineRule="exact"/>
        <w:rPr>
          <w:rFonts w:ascii="Times New Roman" w:cs="Times New Roman" w:eastAsia="Times New Roman" w:hAnsi="Times New Roman"/>
          <w:sz w:val="17"/>
          <w:szCs w:val="17"/>
          <w:color w:val="auto"/>
        </w:rPr>
      </w:pPr>
    </w:p>
    <w:p>
      <w:pPr>
        <w:ind w:left="700" w:hanging="305"/>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lack of a significant outbound sales force may limit the potential growth of our business.</w:t>
      </w:r>
    </w:p>
    <w:p>
      <w:pPr>
        <w:spacing w:after="0" w:line="247" w:lineRule="exact"/>
        <w:rPr>
          <w:rFonts w:ascii="Times New Roman" w:cs="Times New Roman" w:eastAsia="Times New Roman" w:hAnsi="Times New Roman"/>
          <w:sz w:val="17"/>
          <w:szCs w:val="17"/>
          <w:color w:val="auto"/>
        </w:rPr>
      </w:pPr>
    </w:p>
    <w:p>
      <w:pPr>
        <w:ind w:left="700" w:right="80" w:hanging="305"/>
        <w:spacing w:after="0" w:line="294" w:lineRule="auto"/>
        <w:tabs>
          <w:tab w:leader="none" w:pos="6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our 2026 Notes and 2028 Notes (as defined below) may require a significant amount of cash, and we may not have sufficient cash flow or the ability to raise the funds necessary to satisfy our obligations under the 2026 Notes or 2028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80"/>
          </w:cols>
          <w:pgMar w:left="320" w:top="119"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189"/>
        </w:trPr>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520" w:type="dxa"/>
            <w:vAlign w:val="bottom"/>
            <w:tcBorders>
              <w:bottom w:val="single" w:sz="8" w:color="0000FF"/>
            </w:tcBorders>
            <w:gridSpan w:val="9"/>
          </w:tcPr>
          <w:p>
            <w:pPr>
              <w:jc w:val="center"/>
              <w:spacing w:after="0"/>
              <w:rPr>
                <w:sz w:val="20"/>
                <w:szCs w:val="20"/>
                <w:color w:val="auto"/>
              </w:rPr>
            </w:pPr>
            <w:r>
              <w:rPr>
                <w:rFonts w:ascii="Times New Roman" w:cs="Times New Roman" w:eastAsia="Times New Roman" w:hAnsi="Times New Roman"/>
                <w:sz w:val="16"/>
                <w:szCs w:val="16"/>
                <w:color w:val="0000FF"/>
                <w:w w:val="96"/>
              </w:rPr>
              <w:t>PART I. FINANCIAL INFORMATION</w:t>
            </w:r>
          </w:p>
        </w:tc>
        <w:tc>
          <w:tcPr>
            <w:tcW w:w="1580" w:type="dxa"/>
            <w:vAlign w:val="bottom"/>
            <w:gridSpan w:val="4"/>
          </w:tcPr>
          <w:p>
            <w:pPr>
              <w:spacing w:after="0"/>
              <w:rPr>
                <w:sz w:val="16"/>
                <w:szCs w:val="16"/>
                <w:color w:val="auto"/>
              </w:rPr>
            </w:pPr>
          </w:p>
        </w:tc>
        <w:tc>
          <w:tcPr>
            <w:tcW w:w="25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37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7"/>
              </w:rPr>
              <w:t>Condensed Consolidated Financial Statements (Unaudited)</w:t>
            </w:r>
          </w:p>
        </w:tc>
        <w:tc>
          <w:tcPr>
            <w:tcW w:w="3740" w:type="dxa"/>
            <w:vAlign w:val="bottom"/>
            <w:gridSpan w:val="10"/>
          </w:tcPr>
          <w:p>
            <w:pPr>
              <w:spacing w:after="0"/>
              <w:rPr>
                <w:sz w:val="16"/>
                <w:szCs w:val="16"/>
                <w:color w:val="auto"/>
              </w:rPr>
            </w:pPr>
          </w:p>
        </w:tc>
        <w:tc>
          <w:tcPr>
            <w:tcW w:w="2740" w:type="dxa"/>
            <w:vAlign w:val="bottom"/>
            <w:gridSpan w:val="4"/>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r>
      <w:tr>
        <w:trPr>
          <w:trHeight w:val="189"/>
        </w:trPr>
        <w:tc>
          <w:tcPr>
            <w:tcW w:w="920" w:type="dxa"/>
            <w:vAlign w:val="bottom"/>
          </w:tcPr>
          <w:p>
            <w:pPr>
              <w:spacing w:after="0"/>
              <w:rPr>
                <w:sz w:val="16"/>
                <w:szCs w:val="16"/>
                <w:color w:val="auto"/>
              </w:rPr>
            </w:pPr>
          </w:p>
        </w:tc>
        <w:tc>
          <w:tcPr>
            <w:tcW w:w="5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7"/>
              </w:rPr>
              <w:t>Condensed Consolidated Balance Sheets as of March 31, 2022 and December 31, 2021</w:t>
            </w:r>
          </w:p>
        </w:tc>
        <w:tc>
          <w:tcPr>
            <w:tcW w:w="1980" w:type="dxa"/>
            <w:vAlign w:val="bottom"/>
            <w:gridSpan w:val="7"/>
          </w:tcPr>
          <w:p>
            <w:pPr>
              <w:spacing w:after="0"/>
              <w:rPr>
                <w:sz w:val="16"/>
                <w:szCs w:val="16"/>
                <w:color w:val="auto"/>
              </w:rPr>
            </w:pPr>
          </w:p>
        </w:tc>
        <w:tc>
          <w:tcPr>
            <w:tcW w:w="2740" w:type="dxa"/>
            <w:vAlign w:val="bottom"/>
            <w:gridSpan w:val="4"/>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r>
      <w:tr>
        <w:trPr>
          <w:trHeight w:val="189"/>
        </w:trPr>
        <w:tc>
          <w:tcPr>
            <w:tcW w:w="920" w:type="dxa"/>
            <w:vAlign w:val="bottom"/>
          </w:tcPr>
          <w:p>
            <w:pPr>
              <w:spacing w:after="0"/>
              <w:rPr>
                <w:sz w:val="16"/>
                <w:szCs w:val="16"/>
                <w:color w:val="auto"/>
              </w:rPr>
            </w:pPr>
          </w:p>
        </w:tc>
        <w:tc>
          <w:tcPr>
            <w:tcW w:w="66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w w:val="98"/>
              </w:rPr>
              <w:t>Condensed Consolidated Statements of Operations for the Three Months Ended March 31, 2022 and 2021</w:t>
            </w:r>
          </w:p>
        </w:tc>
        <w:tc>
          <w:tcPr>
            <w:tcW w:w="760" w:type="dxa"/>
            <w:vAlign w:val="bottom"/>
            <w:gridSpan w:val="2"/>
          </w:tcPr>
          <w:p>
            <w:pPr>
              <w:spacing w:after="0"/>
              <w:rPr>
                <w:sz w:val="16"/>
                <w:szCs w:val="16"/>
                <w:color w:val="auto"/>
              </w:rPr>
            </w:pPr>
          </w:p>
        </w:tc>
        <w:tc>
          <w:tcPr>
            <w:tcW w:w="2740" w:type="dxa"/>
            <w:vAlign w:val="bottom"/>
            <w:gridSpan w:val="4"/>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7</w:t>
            </w:r>
          </w:p>
        </w:tc>
      </w:tr>
      <w:tr>
        <w:trPr>
          <w:trHeight w:val="189"/>
        </w:trPr>
        <w:tc>
          <w:tcPr>
            <w:tcW w:w="920" w:type="dxa"/>
            <w:vAlign w:val="bottom"/>
          </w:tcPr>
          <w:p>
            <w:pPr>
              <w:spacing w:after="0"/>
              <w:rPr>
                <w:sz w:val="16"/>
                <w:szCs w:val="16"/>
                <w:color w:val="auto"/>
              </w:rPr>
            </w:pPr>
          </w:p>
        </w:tc>
        <w:tc>
          <w:tcPr>
            <w:tcW w:w="74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w w:val="97"/>
              </w:rPr>
              <w:t>Condensed Consolidated Statements of Comprehensive Income for the Three Months Ended March 31, 2022 and 2021</w:t>
            </w:r>
          </w:p>
        </w:tc>
        <w:tc>
          <w:tcPr>
            <w:tcW w:w="2740" w:type="dxa"/>
            <w:vAlign w:val="bottom"/>
            <w:gridSpan w:val="4"/>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8</w:t>
            </w:r>
          </w:p>
        </w:tc>
      </w:tr>
      <w:tr>
        <w:trPr>
          <w:trHeight w:val="189"/>
        </w:trPr>
        <w:tc>
          <w:tcPr>
            <w:tcW w:w="920" w:type="dxa"/>
            <w:vAlign w:val="bottom"/>
          </w:tcPr>
          <w:p>
            <w:pPr>
              <w:spacing w:after="0"/>
              <w:rPr>
                <w:sz w:val="16"/>
                <w:szCs w:val="16"/>
                <w:color w:val="auto"/>
              </w:rPr>
            </w:pPr>
          </w:p>
        </w:tc>
        <w:tc>
          <w:tcPr>
            <w:tcW w:w="74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w w:val="99"/>
              </w:rPr>
              <w:t>Condensed Consolidated Statements of Stockholders' Deficit for the Three Months Ended March 31, 2022 and 2021</w:t>
            </w:r>
          </w:p>
        </w:tc>
        <w:tc>
          <w:tcPr>
            <w:tcW w:w="2740" w:type="dxa"/>
            <w:vAlign w:val="bottom"/>
            <w:gridSpan w:val="4"/>
          </w:tcPr>
          <w:p>
            <w:pPr>
              <w:spacing w:after="0"/>
              <w:rPr>
                <w:sz w:val="16"/>
                <w:szCs w:val="16"/>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9</w:t>
            </w:r>
          </w:p>
        </w:tc>
      </w:tr>
      <w:tr>
        <w:trPr>
          <w:trHeight w:val="189"/>
        </w:trPr>
        <w:tc>
          <w:tcPr>
            <w:tcW w:w="920" w:type="dxa"/>
            <w:vAlign w:val="bottom"/>
          </w:tcPr>
          <w:p>
            <w:pPr>
              <w:spacing w:after="0"/>
              <w:rPr>
                <w:sz w:val="16"/>
                <w:szCs w:val="16"/>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Three Months Ended March 31, 2022 and 2021</w:t>
            </w:r>
          </w:p>
        </w:tc>
        <w:tc>
          <w:tcPr>
            <w:tcW w:w="28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0000FF"/>
              </w:rPr>
              <w:t>10</w:t>
            </w:r>
          </w:p>
        </w:tc>
      </w:tr>
      <w:tr>
        <w:trPr>
          <w:trHeight w:val="189"/>
        </w:trPr>
        <w:tc>
          <w:tcPr>
            <w:tcW w:w="920" w:type="dxa"/>
            <w:vAlign w:val="bottom"/>
          </w:tcPr>
          <w:p>
            <w:pPr>
              <w:spacing w:after="0"/>
              <w:rPr>
                <w:sz w:val="16"/>
                <w:szCs w:val="16"/>
                <w:color w:val="auto"/>
              </w:rPr>
            </w:pPr>
          </w:p>
        </w:tc>
        <w:tc>
          <w:tcPr>
            <w:tcW w:w="66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rPr>
              <w:t>Notes to Condensed Consolidated Financial Statements</w:t>
            </w:r>
          </w:p>
        </w:tc>
        <w:tc>
          <w:tcPr>
            <w:tcW w:w="760" w:type="dxa"/>
            <w:vAlign w:val="bottom"/>
            <w:gridSpan w:val="2"/>
          </w:tcPr>
          <w:p>
            <w:pPr>
              <w:spacing w:after="0"/>
              <w:rPr>
                <w:sz w:val="16"/>
                <w:szCs w:val="16"/>
                <w:color w:val="auto"/>
              </w:rPr>
            </w:pPr>
          </w:p>
        </w:tc>
        <w:tc>
          <w:tcPr>
            <w:tcW w:w="2660" w:type="dxa"/>
            <w:vAlign w:val="bottom"/>
            <w:gridSpan w:val="2"/>
          </w:tcPr>
          <w:p>
            <w:pPr>
              <w:spacing w:after="0"/>
              <w:rPr>
                <w:sz w:val="16"/>
                <w:szCs w:val="16"/>
                <w:color w:val="auto"/>
              </w:rPr>
            </w:pPr>
          </w:p>
        </w:tc>
        <w:tc>
          <w:tcPr>
            <w:tcW w:w="160" w:type="dxa"/>
            <w:vAlign w:val="bottom"/>
            <w:tcBorders>
              <w:top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11</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56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w w:val="97"/>
              </w:rPr>
              <w:t>Management's Discussion and Analysis of Financial Condition and Results of Operations</w:t>
            </w:r>
          </w:p>
        </w:tc>
        <w:tc>
          <w:tcPr>
            <w:tcW w:w="1840" w:type="dxa"/>
            <w:vAlign w:val="bottom"/>
            <w:gridSpan w:val="6"/>
          </w:tcPr>
          <w:p>
            <w:pPr>
              <w:spacing w:after="0"/>
              <w:rPr>
                <w:sz w:val="16"/>
                <w:szCs w:val="16"/>
                <w:color w:val="auto"/>
              </w:rPr>
            </w:pPr>
          </w:p>
        </w:tc>
        <w:tc>
          <w:tcPr>
            <w:tcW w:w="2660" w:type="dxa"/>
            <w:vAlign w:val="bottom"/>
            <w:gridSpan w:val="2"/>
          </w:tcPr>
          <w:p>
            <w:pPr>
              <w:spacing w:after="0"/>
              <w:rPr>
                <w:sz w:val="16"/>
                <w:szCs w:val="16"/>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38</w:t>
            </w: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38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w w:val="97"/>
              </w:rPr>
              <w:t>Quantitative and Qualitative Disclosures About Market Risk</w:t>
            </w:r>
          </w:p>
        </w:tc>
        <w:tc>
          <w:tcPr>
            <w:tcW w:w="3640" w:type="dxa"/>
            <w:vAlign w:val="bottom"/>
            <w:gridSpan w:val="8"/>
          </w:tcPr>
          <w:p>
            <w:pPr>
              <w:spacing w:after="0"/>
              <w:rPr>
                <w:sz w:val="16"/>
                <w:szCs w:val="16"/>
                <w:color w:val="auto"/>
              </w:rPr>
            </w:pPr>
          </w:p>
        </w:tc>
        <w:tc>
          <w:tcPr>
            <w:tcW w:w="2660" w:type="dxa"/>
            <w:vAlign w:val="bottom"/>
            <w:gridSpan w:val="2"/>
          </w:tcPr>
          <w:p>
            <w:pPr>
              <w:spacing w:after="0"/>
              <w:rPr>
                <w:sz w:val="16"/>
                <w:szCs w:val="16"/>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54</w:t>
            </w: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74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28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0000FF"/>
              </w:rPr>
              <w:t>55</w:t>
            </w:r>
          </w:p>
        </w:tc>
      </w:tr>
      <w:tr>
        <w:trPr>
          <w:trHeight w:val="449"/>
        </w:trPr>
        <w:tc>
          <w:tcPr>
            <w:tcW w:w="9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4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6"/>
                <w:szCs w:val="16"/>
                <w:color w:val="0000FF"/>
                <w:w w:val="96"/>
              </w:rPr>
              <w:t>PART II. OTHER INFORMATION</w:t>
            </w:r>
          </w:p>
        </w:tc>
        <w:tc>
          <w:tcPr>
            <w:tcW w:w="1720" w:type="dxa"/>
            <w:vAlign w:val="bottom"/>
            <w:gridSpan w:val="5"/>
          </w:tcPr>
          <w:p>
            <w:pPr>
              <w:spacing w:after="0"/>
              <w:rPr>
                <w:sz w:val="24"/>
                <w:szCs w:val="24"/>
                <w:color w:val="auto"/>
              </w:rPr>
            </w:pPr>
          </w:p>
        </w:tc>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1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6"/>
              </w:rPr>
              <w:t>Legal Proceedings</w:t>
            </w:r>
          </w:p>
        </w:tc>
        <w:tc>
          <w:tcPr>
            <w:tcW w:w="6280" w:type="dxa"/>
            <w:vAlign w:val="bottom"/>
            <w:gridSpan w:val="15"/>
          </w:tcPr>
          <w:p>
            <w:pPr>
              <w:spacing w:after="0"/>
              <w:rPr>
                <w:sz w:val="16"/>
                <w:szCs w:val="16"/>
                <w:color w:val="auto"/>
              </w:rPr>
            </w:pPr>
          </w:p>
        </w:tc>
        <w:tc>
          <w:tcPr>
            <w:tcW w:w="2660" w:type="dxa"/>
            <w:vAlign w:val="bottom"/>
            <w:gridSpan w:val="2"/>
          </w:tcPr>
          <w:p>
            <w:pPr>
              <w:spacing w:after="0"/>
              <w:rPr>
                <w:sz w:val="16"/>
                <w:szCs w:val="16"/>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56</w:t>
            </w: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7440" w:type="dxa"/>
            <w:vAlign w:val="bottom"/>
            <w:gridSpan w:val="2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282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0000FF"/>
              </w:rPr>
              <w:t>57</w:t>
            </w:r>
          </w:p>
        </w:tc>
      </w:tr>
      <w:tr>
        <w:trPr>
          <w:trHeight w:val="20"/>
        </w:trPr>
        <w:tc>
          <w:tcPr>
            <w:tcW w:w="9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20" w:type="dxa"/>
            <w:vAlign w:val="bottom"/>
            <w:gridSpan w:val="7"/>
          </w:tcPr>
          <w:p>
            <w:pPr>
              <w:spacing w:after="0" w:line="20" w:lineRule="exact"/>
              <w:rPr>
                <w:sz w:val="1"/>
                <w:szCs w:val="1"/>
                <w:color w:val="auto"/>
              </w:rPr>
            </w:pPr>
          </w:p>
        </w:tc>
        <w:tc>
          <w:tcPr>
            <w:tcW w:w="3660" w:type="dxa"/>
            <w:vAlign w:val="bottom"/>
            <w:gridSpan w:val="9"/>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37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7"/>
              </w:rPr>
              <w:t>Unregistered Sales of Equity Securities and Use of Proceeds</w:t>
            </w:r>
          </w:p>
        </w:tc>
        <w:tc>
          <w:tcPr>
            <w:tcW w:w="3660" w:type="dxa"/>
            <w:vAlign w:val="bottom"/>
            <w:gridSpan w:val="9"/>
          </w:tcPr>
          <w:p>
            <w:pPr>
              <w:spacing w:after="0"/>
              <w:rPr>
                <w:sz w:val="16"/>
                <w:szCs w:val="16"/>
                <w:color w:val="auto"/>
              </w:rPr>
            </w:pPr>
          </w:p>
        </w:tc>
        <w:tc>
          <w:tcPr>
            <w:tcW w:w="2660" w:type="dxa"/>
            <w:vAlign w:val="bottom"/>
            <w:gridSpan w:val="2"/>
          </w:tcPr>
          <w:p>
            <w:pPr>
              <w:spacing w:after="0"/>
              <w:rPr>
                <w:sz w:val="16"/>
                <w:szCs w:val="16"/>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85</w:t>
            </w:r>
          </w:p>
        </w:tc>
      </w:tr>
      <w:tr>
        <w:trPr>
          <w:trHeight w:val="189"/>
        </w:trPr>
        <w:tc>
          <w:tcPr>
            <w:tcW w:w="92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3"/>
              </w:rPr>
              <w:t>Exhibits</w:t>
            </w:r>
          </w:p>
        </w:tc>
        <w:tc>
          <w:tcPr>
            <w:tcW w:w="6920" w:type="dxa"/>
            <w:vAlign w:val="bottom"/>
            <w:gridSpan w:val="19"/>
          </w:tcPr>
          <w:p>
            <w:pPr>
              <w:spacing w:after="0"/>
              <w:rPr>
                <w:sz w:val="16"/>
                <w:szCs w:val="16"/>
                <w:color w:val="auto"/>
              </w:rPr>
            </w:pPr>
          </w:p>
        </w:tc>
        <w:tc>
          <w:tcPr>
            <w:tcW w:w="2660" w:type="dxa"/>
            <w:vAlign w:val="bottom"/>
            <w:gridSpan w:val="2"/>
          </w:tcPr>
          <w:p>
            <w:pPr>
              <w:spacing w:after="0"/>
              <w:rPr>
                <w:sz w:val="16"/>
                <w:szCs w:val="16"/>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85</w:t>
            </w:r>
          </w:p>
        </w:tc>
      </w:tr>
      <w:tr>
        <w:trPr>
          <w:trHeight w:val="189"/>
        </w:trPr>
        <w:tc>
          <w:tcPr>
            <w:tcW w:w="920" w:type="dxa"/>
            <w:vAlign w:val="bottom"/>
          </w:tcPr>
          <w:p>
            <w:pPr>
              <w:spacing w:after="0"/>
              <w:rPr>
                <w:sz w:val="16"/>
                <w:szCs w:val="16"/>
                <w:color w:val="auto"/>
              </w:rPr>
            </w:pPr>
          </w:p>
        </w:tc>
        <w:tc>
          <w:tcPr>
            <w:tcW w:w="8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5"/>
              </w:rPr>
              <w:t>Exhibit Index</w:t>
            </w:r>
          </w:p>
        </w:tc>
        <w:tc>
          <w:tcPr>
            <w:tcW w:w="6580" w:type="dxa"/>
            <w:vAlign w:val="bottom"/>
            <w:gridSpan w:val="16"/>
          </w:tcPr>
          <w:p>
            <w:pPr>
              <w:spacing w:after="0"/>
              <w:rPr>
                <w:sz w:val="16"/>
                <w:szCs w:val="16"/>
                <w:color w:val="auto"/>
              </w:rPr>
            </w:pPr>
          </w:p>
        </w:tc>
        <w:tc>
          <w:tcPr>
            <w:tcW w:w="2660" w:type="dxa"/>
            <w:vAlign w:val="bottom"/>
            <w:gridSpan w:val="2"/>
          </w:tcPr>
          <w:p>
            <w:pPr>
              <w:spacing w:after="0"/>
              <w:rPr>
                <w:sz w:val="16"/>
                <w:szCs w:val="16"/>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86</w:t>
            </w:r>
          </w:p>
        </w:tc>
      </w:tr>
      <w:tr>
        <w:trPr>
          <w:trHeight w:val="189"/>
        </w:trPr>
        <w:tc>
          <w:tcPr>
            <w:tcW w:w="920" w:type="dxa"/>
            <w:vAlign w:val="bottom"/>
          </w:tcPr>
          <w:p>
            <w:pPr>
              <w:spacing w:after="0"/>
              <w:rPr>
                <w:sz w:val="16"/>
                <w:szCs w:val="16"/>
                <w:color w:val="auto"/>
              </w:rPr>
            </w:pPr>
          </w:p>
        </w:tc>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4"/>
              </w:rPr>
              <w:t>Signatures</w:t>
            </w:r>
          </w:p>
        </w:tc>
        <w:tc>
          <w:tcPr>
            <w:tcW w:w="6780" w:type="dxa"/>
            <w:vAlign w:val="bottom"/>
            <w:gridSpan w:val="18"/>
          </w:tcPr>
          <w:p>
            <w:pPr>
              <w:spacing w:after="0"/>
              <w:rPr>
                <w:sz w:val="16"/>
                <w:szCs w:val="16"/>
                <w:color w:val="auto"/>
              </w:rPr>
            </w:pPr>
          </w:p>
        </w:tc>
        <w:tc>
          <w:tcPr>
            <w:tcW w:w="2660" w:type="dxa"/>
            <w:vAlign w:val="bottom"/>
            <w:gridSpan w:val="2"/>
          </w:tcPr>
          <w:p>
            <w:pPr>
              <w:spacing w:after="0"/>
              <w:rPr>
                <w:sz w:val="16"/>
                <w:szCs w:val="16"/>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6"/>
                <w:szCs w:val="16"/>
                <w:color w:val="0000FF"/>
                <w:w w:val="87"/>
              </w:rPr>
              <w:t>87</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 FINANCIAL INFORMATION</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FINANCIAL STATEMENTS</w:t>
      </w:r>
    </w:p>
    <w:p>
      <w:pPr>
        <w:spacing w:after="0" w:line="2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40" w:type="dxa"/>
            <w:vAlign w:val="bottom"/>
          </w:tcPr>
          <w:p>
            <w:pPr>
              <w:spacing w:after="0"/>
              <w:rPr>
                <w:sz w:val="18"/>
                <w:szCs w:val="18"/>
                <w:color w:val="auto"/>
              </w:rPr>
            </w:pPr>
          </w:p>
        </w:tc>
        <w:tc>
          <w:tcPr>
            <w:tcW w:w="1800" w:type="dxa"/>
            <w:vAlign w:val="bottom"/>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0" w:type="dxa"/>
            <w:vAlign w:val="bottom"/>
          </w:tcPr>
          <w:p>
            <w:pPr>
              <w:spacing w:after="0"/>
              <w:rPr>
                <w:sz w:val="1"/>
                <w:szCs w:val="1"/>
                <w:color w:val="auto"/>
              </w:rPr>
            </w:pPr>
          </w:p>
        </w:tc>
      </w:tr>
      <w:tr>
        <w:trPr>
          <w:trHeight w:val="32"/>
        </w:trPr>
        <w:tc>
          <w:tcPr>
            <w:tcW w:w="67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7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1,185.1</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Trade and other receivables, net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1,622.9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1,849.8</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322.0</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413.9</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0" w:type="dxa"/>
            <w:vAlign w:val="bottom"/>
          </w:tcPr>
          <w:p>
            <w:pPr>
              <w:spacing w:after="0"/>
              <w:rPr>
                <w:sz w:val="1"/>
                <w:szCs w:val="1"/>
                <w:color w:val="auto"/>
              </w:rPr>
            </w:pPr>
          </w:p>
        </w:tc>
      </w:tr>
      <w:tr>
        <w:trPr>
          <w:trHeight w:val="24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3,091.3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7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and other current liabilities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compensation and benefits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139.1</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 obligation</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120.4</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671.5</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1,175.8</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liability, non-current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632.0</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obligation, non-current</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 net, non-current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1,370.3</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3,315.3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3,385.2</w:t>
            </w:r>
          </w:p>
        </w:tc>
        <w:tc>
          <w:tcPr>
            <w:tcW w:w="0" w:type="dxa"/>
            <w:vAlign w:val="bottom"/>
          </w:tcPr>
          <w:p>
            <w:pPr>
              <w:spacing w:after="0"/>
              <w:rPr>
                <w:sz w:val="1"/>
                <w:szCs w:val="1"/>
                <w:color w:val="auto"/>
              </w:rPr>
            </w:pPr>
          </w:p>
        </w:tc>
      </w:tr>
      <w:tr>
        <w:trPr>
          <w:trHeight w:val="202"/>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10)</w:t>
            </w:r>
          </w:p>
        </w:tc>
        <w:tc>
          <w:tcPr>
            <w:tcW w:w="2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deficit: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paid-in-capital</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2,448.1</w:t>
            </w:r>
          </w:p>
        </w:tc>
        <w:tc>
          <w:tcPr>
            <w:tcW w:w="0" w:type="dxa"/>
            <w:vAlign w:val="bottom"/>
          </w:tcPr>
          <w:p>
            <w:pPr>
              <w:spacing w:after="0"/>
              <w:rPr>
                <w:sz w:val="1"/>
                <w:szCs w:val="1"/>
                <w:color w:val="auto"/>
              </w:rPr>
            </w:pPr>
          </w:p>
        </w:tc>
      </w:tr>
      <w:tr>
        <w:trPr>
          <w:trHeight w:val="222"/>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(2,739.4)</w:t>
            </w:r>
          </w:p>
        </w:tc>
        <w:tc>
          <w:tcPr>
            <w:tcW w:w="0" w:type="dxa"/>
            <w:vAlign w:val="bottom"/>
          </w:tcPr>
          <w:p>
            <w:pPr>
              <w:spacing w:after="0"/>
              <w:rPr>
                <w:sz w:val="1"/>
                <w:szCs w:val="1"/>
                <w:color w:val="auto"/>
              </w:rPr>
            </w:pPr>
          </w:p>
        </w:tc>
      </w:tr>
      <w:tr>
        <w:trPr>
          <w:trHeight w:val="222"/>
        </w:trPr>
        <w:tc>
          <w:tcPr>
            <w:tcW w:w="6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15"/>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6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(293.9)</w:t>
            </w:r>
          </w:p>
        </w:tc>
        <w:tc>
          <w:tcPr>
            <w:tcW w:w="0" w:type="dxa"/>
            <w:vAlign w:val="bottom"/>
          </w:tcPr>
          <w:p>
            <w:pPr>
              <w:spacing w:after="0"/>
              <w:rPr>
                <w:sz w:val="1"/>
                <w:szCs w:val="1"/>
                <w:color w:val="auto"/>
              </w:rPr>
            </w:pPr>
          </w:p>
        </w:tc>
      </w:tr>
      <w:tr>
        <w:trPr>
          <w:trHeight w:val="215"/>
        </w:trPr>
        <w:tc>
          <w:tcPr>
            <w:tcW w:w="6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2,852.0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3,091.3</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8"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5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40"/>
          </w:cols>
          <w:pgMar w:left="320" w:top="119" w:right="6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7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3"/>
        </w:trPr>
        <w:tc>
          <w:tcPr>
            <w:tcW w:w="1320" w:type="dxa"/>
            <w:vAlign w:val="bottom"/>
            <w:tcBorders>
              <w:top w:val="single" w:sz="8" w:color="0000FF"/>
            </w:tcBorders>
          </w:tcPr>
          <w:p>
            <w:pPr>
              <w:spacing w:after="0"/>
              <w:rPr>
                <w:sz w:val="24"/>
                <w:szCs w:val="24"/>
                <w:color w:val="auto"/>
              </w:rPr>
            </w:pPr>
          </w:p>
        </w:tc>
        <w:tc>
          <w:tcPr>
            <w:tcW w:w="6300" w:type="dxa"/>
            <w:vAlign w:val="bottom"/>
          </w:tcPr>
          <w:p>
            <w:pPr>
              <w:jc w:val="center"/>
              <w:ind w:left="2213"/>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7480" w:type="dxa"/>
            <w:vAlign w:val="bottom"/>
            <w:gridSpan w:val="2"/>
          </w:tcPr>
          <w:p>
            <w:pPr>
              <w:jc w:val="center"/>
              <w:ind w:left="1033"/>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6300" w:type="dxa"/>
            <w:vAlign w:val="bottom"/>
          </w:tcPr>
          <w:p>
            <w:pPr>
              <w:jc w:val="center"/>
              <w:ind w:left="2213"/>
              <w:spacing w:after="0"/>
              <w:rPr>
                <w:sz w:val="20"/>
                <w:szCs w:val="20"/>
                <w:color w:val="auto"/>
              </w:rPr>
            </w:pPr>
            <w:r>
              <w:rPr>
                <w:rFonts w:ascii="Times New Roman" w:cs="Times New Roman" w:eastAsia="Times New Roman" w:hAnsi="Times New Roman"/>
                <w:sz w:val="17"/>
                <w:szCs w:val="17"/>
                <w:i w:val="1"/>
                <w:iCs w:val="1"/>
                <w:color w:val="auto"/>
              </w:rPr>
              <w:t>(In millions, except per share data)</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6300" w:type="dxa"/>
            <w:vAlign w:val="bottom"/>
          </w:tcPr>
          <w:p>
            <w:pPr>
              <w:jc w:val="center"/>
              <w:ind w:left="2213"/>
              <w:spacing w:after="0"/>
              <w:rPr>
                <w:sz w:val="20"/>
                <w:szCs w:val="20"/>
                <w:color w:val="auto"/>
              </w:rPr>
            </w:pPr>
            <w:r>
              <w:rPr>
                <w:rFonts w:ascii="Times New Roman" w:cs="Times New Roman" w:eastAsia="Times New Roman" w:hAnsi="Times New Roman"/>
                <w:sz w:val="17"/>
                <w:szCs w:val="17"/>
                <w:i w:val="1"/>
                <w:iCs w:val="1"/>
                <w:color w:val="auto"/>
              </w:rPr>
              <w:t>(Unaudited)</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040" w:type="dxa"/>
            <w:vAlign w:val="bottom"/>
            <w:gridSpan w:val="4"/>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3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511.6</w:t>
            </w:r>
          </w:p>
        </w:tc>
        <w:tc>
          <w:tcPr>
            <w:tcW w:w="0" w:type="dxa"/>
            <w:vAlign w:val="bottom"/>
          </w:tcPr>
          <w:p>
            <w:pPr>
              <w:spacing w:after="0"/>
              <w:rPr>
                <w:sz w:val="1"/>
                <w:szCs w:val="1"/>
                <w:color w:val="auto"/>
              </w:rPr>
            </w:pPr>
          </w:p>
        </w:tc>
      </w:tr>
      <w:tr>
        <w:trPr>
          <w:trHeight w:val="222"/>
        </w:trPr>
        <w:tc>
          <w:tcPr>
            <w:tcW w:w="7620" w:type="dxa"/>
            <w:vAlign w:val="bottom"/>
            <w:tcBorders>
              <w:bottom w:val="single" w:sz="8" w:color="CCEEFF"/>
            </w:tcBorders>
            <w:gridSpan w:val="2"/>
          </w:tcPr>
          <w:p>
            <w:pPr>
              <w:ind w:left="26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109.3</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449.5</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402.3</w:t>
            </w:r>
          </w:p>
        </w:tc>
        <w:tc>
          <w:tcPr>
            <w:tcW w:w="0" w:type="dxa"/>
            <w:vAlign w:val="bottom"/>
          </w:tcPr>
          <w:p>
            <w:pPr>
              <w:spacing w:after="0"/>
              <w:rPr>
                <w:sz w:val="1"/>
                <w:szCs w:val="1"/>
                <w:color w:val="auto"/>
              </w:rPr>
            </w:pPr>
          </w:p>
        </w:tc>
      </w:tr>
      <w:tr>
        <w:trPr>
          <w:trHeight w:val="222"/>
        </w:trPr>
        <w:tc>
          <w:tcPr>
            <w:tcW w:w="7620" w:type="dxa"/>
            <w:vAlign w:val="bottom"/>
            <w:gridSpan w:val="2"/>
          </w:tcPr>
          <w:p>
            <w:pPr>
              <w:ind w:left="20"/>
              <w:spacing w:after="0" w:line="222"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2"/>
                <w:szCs w:val="22"/>
                <w:color w:val="auto"/>
                <w:vertAlign w:val="superscript"/>
              </w:rPr>
              <w:t>(1)</w:t>
            </w: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0" w:type="dxa"/>
            <w:vAlign w:val="bottom"/>
          </w:tcPr>
          <w:p>
            <w:pPr>
              <w:spacing w:after="0"/>
              <w:rPr>
                <w:sz w:val="1"/>
                <w:szCs w:val="1"/>
                <w:color w:val="auto"/>
              </w:rPr>
            </w:pPr>
          </w:p>
        </w:tc>
      </w:tr>
      <w:tr>
        <w:trPr>
          <w:trHeight w:val="222"/>
        </w:trPr>
        <w:tc>
          <w:tcPr>
            <w:tcW w:w="76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w:t>
            </w: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0" w:type="dxa"/>
            <w:vAlign w:val="bottom"/>
          </w:tcPr>
          <w:p>
            <w:pPr>
              <w:spacing w:after="0"/>
              <w:rPr>
                <w:sz w:val="1"/>
                <w:szCs w:val="1"/>
                <w:color w:val="auto"/>
              </w:rPr>
            </w:pPr>
          </w:p>
        </w:tc>
      </w:tr>
      <w:tr>
        <w:trPr>
          <w:trHeight w:val="222"/>
        </w:trPr>
        <w:tc>
          <w:tcPr>
            <w:tcW w:w="7620" w:type="dxa"/>
            <w:vAlign w:val="bottom"/>
            <w:gridSpan w:val="2"/>
          </w:tcPr>
          <w:p>
            <w:pPr>
              <w:ind w:left="220"/>
              <w:spacing w:after="0" w:line="222" w:lineRule="exact"/>
              <w:rPr>
                <w:sz w:val="20"/>
                <w:szCs w:val="20"/>
                <w:color w:val="auto"/>
              </w:rPr>
            </w:pPr>
            <w:r>
              <w:rPr>
                <w:rFonts w:ascii="Times New Roman" w:cs="Times New Roman" w:eastAsia="Times New Roman" w:hAnsi="Times New Roman"/>
                <w:sz w:val="17"/>
                <w:szCs w:val="17"/>
                <w:color w:val="auto"/>
              </w:rPr>
              <w:t>Impairment related to real estate assets</w:t>
            </w:r>
            <w:r>
              <w:rPr>
                <w:rFonts w:ascii="Times New Roman" w:cs="Times New Roman" w:eastAsia="Times New Roman" w:hAnsi="Times New Roman"/>
                <w:sz w:val="22"/>
                <w:szCs w:val="22"/>
                <w:color w:val="auto"/>
                <w:vertAlign w:val="superscript"/>
              </w:rPr>
              <w:t>(2)</w:t>
            </w:r>
          </w:p>
        </w:tc>
        <w:tc>
          <w:tcPr>
            <w:tcW w:w="11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215"/>
        </w:trPr>
        <w:tc>
          <w:tcPr>
            <w:tcW w:w="7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359.8</w:t>
            </w:r>
          </w:p>
        </w:tc>
        <w:tc>
          <w:tcPr>
            <w:tcW w:w="0" w:type="dxa"/>
            <w:vAlign w:val="bottom"/>
          </w:tcPr>
          <w:p>
            <w:pPr>
              <w:spacing w:after="0"/>
              <w:rPr>
                <w:sz w:val="1"/>
                <w:szCs w:val="1"/>
                <w:color w:val="auto"/>
              </w:rPr>
            </w:pPr>
          </w:p>
        </w:tc>
      </w:tr>
      <w:tr>
        <w:trPr>
          <w:trHeight w:val="22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0" w:type="dxa"/>
            <w:vAlign w:val="bottom"/>
          </w:tcPr>
          <w:p>
            <w:pPr>
              <w:spacing w:after="0"/>
              <w:rPr>
                <w:sz w:val="1"/>
                <w:szCs w:val="1"/>
                <w:color w:val="auto"/>
              </w:rPr>
            </w:pPr>
          </w:p>
        </w:tc>
      </w:tr>
      <w:tr>
        <w:trPr>
          <w:trHeight w:val="22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2"/>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5"/>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222"/>
        </w:trPr>
        <w:tc>
          <w:tcPr>
            <w:tcW w:w="7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40"/>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per share-basic and diluted:</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762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620" w:type="dxa"/>
            <w:vAlign w:val="bottom"/>
            <w:gridSpan w:val="2"/>
            <w:vMerge w:val="continue"/>
          </w:tcPr>
          <w:p>
            <w:pPr>
              <w:spacing w:after="0"/>
              <w:rPr>
                <w:sz w:val="16"/>
                <w:szCs w:val="16"/>
                <w:color w:val="auto"/>
              </w:rPr>
            </w:pPr>
          </w:p>
        </w:tc>
        <w:tc>
          <w:tcPr>
            <w:tcW w:w="1180" w:type="dxa"/>
            <w:vAlign w:val="bottom"/>
            <w:tcBorders>
              <w:bottom w:val="single" w:sz="8" w:color="auto"/>
            </w:tcBorders>
          </w:tcPr>
          <w:p>
            <w:pPr>
              <w:jc w:val="right"/>
              <w:ind w:right="9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0.21</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9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62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5"/>
                <w:szCs w:val="15"/>
                <w:color w:val="auto"/>
              </w:rPr>
              <w:t>Weighted-average shares used in computing net income per share attributable to common stockholders,</w:t>
            </w:r>
          </w:p>
        </w:tc>
        <w:tc>
          <w:tcPr>
            <w:tcW w:w="1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370.7</w:t>
            </w: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398.1</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basic</w:t>
            </w: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gridSpan w:val="2"/>
            <w:vMerge w:val="restart"/>
          </w:tcPr>
          <w:p>
            <w:pPr>
              <w:ind w:left="20"/>
              <w:spacing w:after="0" w:line="156" w:lineRule="exact"/>
              <w:rPr>
                <w:sz w:val="20"/>
                <w:szCs w:val="20"/>
                <w:color w:val="auto"/>
              </w:rPr>
            </w:pPr>
            <w:r>
              <w:rPr>
                <w:rFonts w:ascii="Times New Roman" w:cs="Times New Roman" w:eastAsia="Times New Roman" w:hAnsi="Times New Roman"/>
                <w:sz w:val="17"/>
                <w:szCs w:val="17"/>
                <w:color w:val="auto"/>
              </w:rPr>
              <w:t>Weighted-average shares used in computing net income per share attributable to common stockholders,</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620" w:type="dxa"/>
            <w:vAlign w:val="bottom"/>
            <w:gridSpan w:val="2"/>
            <w:vMerge w:val="continue"/>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372.9</w:t>
            </w: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405.4</w:t>
            </w:r>
          </w:p>
        </w:tc>
        <w:tc>
          <w:tcPr>
            <w:tcW w:w="0" w:type="dxa"/>
            <w:vAlign w:val="bottom"/>
          </w:tcPr>
          <w:p>
            <w:pPr>
              <w:spacing w:after="0"/>
              <w:rPr>
                <w:sz w:val="1"/>
                <w:szCs w:val="1"/>
                <w:color w:val="auto"/>
              </w:rPr>
            </w:pPr>
          </w:p>
        </w:tc>
      </w:tr>
      <w:tr>
        <w:trPr>
          <w:trHeight w:val="209"/>
        </w:trPr>
        <w:tc>
          <w:tcPr>
            <w:tcW w:w="76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diluted</w:t>
            </w: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40" w:hanging="136"/>
        <w:spacing w:after="0"/>
        <w:tabs>
          <w:tab w:leader="none" w:pos="140" w:val="left"/>
        </w:tabs>
        <w:numPr>
          <w:ilvl w:val="0"/>
          <w:numId w:val="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follows:</w:t>
      </w:r>
    </w:p>
    <w:p>
      <w:pPr>
        <w:spacing w:after="0" w:line="267"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32"/>
        </w:trPr>
        <w:tc>
          <w:tcPr>
            <w:tcW w:w="76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2"/>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22"/>
        </w:trPr>
        <w:tc>
          <w:tcPr>
            <w:tcW w:w="7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222"/>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27"/>
        </w:trPr>
        <w:tc>
          <w:tcPr>
            <w:tcW w:w="76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bl>
    <w:p>
      <w:pPr>
        <w:spacing w:after="0" w:line="293" w:lineRule="exact"/>
        <w:rPr>
          <w:sz w:val="20"/>
          <w:szCs w:val="20"/>
          <w:color w:val="auto"/>
        </w:rPr>
      </w:pPr>
    </w:p>
    <w:p>
      <w:pPr>
        <w:ind w:left="160" w:hanging="156"/>
        <w:spacing w:after="0"/>
        <w:tabs>
          <w:tab w:leader="none" w:pos="16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impairment charges related to real estate assets as a result of our decision to shift to a Virtual First work model. See Note 9 "Leases" for further information.</w:t>
      </w:r>
    </w:p>
    <w:p>
      <w:pPr>
        <w:spacing w:after="0" w:line="220" w:lineRule="exact"/>
        <w:rPr>
          <w:rFonts w:ascii="Times New Roman" w:cs="Times New Roman" w:eastAsia="Times New Roman" w:hAnsi="Times New Roman"/>
          <w:sz w:val="20"/>
          <w:szCs w:val="20"/>
          <w:color w:val="auto"/>
          <w:vertAlign w:val="superscript"/>
        </w:rPr>
      </w:pPr>
    </w:p>
    <w:p>
      <w:pPr>
        <w:ind w:left="300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7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rPr>
              <w:t>Table of Contents</w:t>
            </w:r>
          </w:p>
        </w:tc>
        <w:tc>
          <w:tcPr>
            <w:tcW w:w="1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703"/>
        </w:trPr>
        <w:tc>
          <w:tcPr>
            <w:tcW w:w="1320" w:type="dxa"/>
            <w:vAlign w:val="bottom"/>
            <w:tcBorders>
              <w:top w:val="single" w:sz="8" w:color="0000FF"/>
            </w:tcBorders>
          </w:tcPr>
          <w:p>
            <w:pPr>
              <w:spacing w:after="0"/>
              <w:rPr>
                <w:sz w:val="24"/>
                <w:szCs w:val="24"/>
                <w:color w:val="auto"/>
              </w:rPr>
            </w:pPr>
          </w:p>
        </w:tc>
        <w:tc>
          <w:tcPr>
            <w:tcW w:w="6300" w:type="dxa"/>
            <w:vAlign w:val="bottom"/>
          </w:tcPr>
          <w:p>
            <w:pPr>
              <w:jc w:val="center"/>
              <w:ind w:left="2213"/>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9"/>
        </w:trPr>
        <w:tc>
          <w:tcPr>
            <w:tcW w:w="1320" w:type="dxa"/>
            <w:vAlign w:val="bottom"/>
          </w:tcPr>
          <w:p>
            <w:pPr>
              <w:spacing w:after="0"/>
              <w:rPr>
                <w:sz w:val="18"/>
                <w:szCs w:val="18"/>
                <w:color w:val="auto"/>
              </w:rPr>
            </w:pPr>
          </w:p>
        </w:tc>
        <w:tc>
          <w:tcPr>
            <w:tcW w:w="7560" w:type="dxa"/>
            <w:vAlign w:val="bottom"/>
            <w:gridSpan w:val="2"/>
          </w:tcPr>
          <w:p>
            <w:pPr>
              <w:jc w:val="center"/>
              <w:ind w:left="953"/>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9"/>
        </w:trPr>
        <w:tc>
          <w:tcPr>
            <w:tcW w:w="1320" w:type="dxa"/>
            <w:vAlign w:val="bottom"/>
          </w:tcPr>
          <w:p>
            <w:pPr>
              <w:spacing w:after="0"/>
              <w:rPr>
                <w:sz w:val="18"/>
                <w:szCs w:val="18"/>
                <w:color w:val="auto"/>
              </w:rPr>
            </w:pPr>
          </w:p>
        </w:tc>
        <w:tc>
          <w:tcPr>
            <w:tcW w:w="6300" w:type="dxa"/>
            <w:vAlign w:val="bottom"/>
          </w:tcPr>
          <w:p>
            <w:pPr>
              <w:jc w:val="center"/>
              <w:ind w:left="223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29"/>
        </w:trPr>
        <w:tc>
          <w:tcPr>
            <w:tcW w:w="1320" w:type="dxa"/>
            <w:vAlign w:val="bottom"/>
          </w:tcPr>
          <w:p>
            <w:pPr>
              <w:spacing w:after="0"/>
              <w:rPr>
                <w:sz w:val="19"/>
                <w:szCs w:val="19"/>
                <w:color w:val="auto"/>
              </w:rPr>
            </w:pPr>
          </w:p>
        </w:tc>
        <w:tc>
          <w:tcPr>
            <w:tcW w:w="6300" w:type="dxa"/>
            <w:vAlign w:val="bottom"/>
          </w:tcPr>
          <w:p>
            <w:pPr>
              <w:jc w:val="center"/>
              <w:ind w:left="2213"/>
              <w:spacing w:after="0"/>
              <w:rPr>
                <w:sz w:val="20"/>
                <w:szCs w:val="20"/>
                <w:color w:val="auto"/>
              </w:rPr>
            </w:pPr>
            <w:r>
              <w:rPr>
                <w:rFonts w:ascii="Times New Roman" w:cs="Times New Roman" w:eastAsia="Times New Roman" w:hAnsi="Times New Roman"/>
                <w:sz w:val="17"/>
                <w:szCs w:val="17"/>
                <w:i w:val="1"/>
                <w:iCs w:val="1"/>
                <w:color w:val="auto"/>
              </w:rPr>
              <w:t>(Unaudited)</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87"/>
        </w:trPr>
        <w:tc>
          <w:tcPr>
            <w:tcW w:w="13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3080" w:type="dxa"/>
            <w:vAlign w:val="bottom"/>
            <w:gridSpan w:val="4"/>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40" w:type="dxa"/>
            <w:vAlign w:val="bottom"/>
          </w:tcPr>
          <w:p>
            <w:pPr>
              <w:spacing w:after="0"/>
              <w:rPr>
                <w:sz w:val="24"/>
                <w:szCs w:val="24"/>
                <w:color w:val="auto"/>
              </w:rPr>
            </w:pPr>
          </w:p>
        </w:tc>
      </w:tr>
      <w:tr>
        <w:trPr>
          <w:trHeight w:val="232"/>
        </w:trPr>
        <w:tc>
          <w:tcPr>
            <w:tcW w:w="13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79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40" w:type="dxa"/>
            <w:vAlign w:val="bottom"/>
            <w:tcBorders>
              <w:bottom w:val="single" w:sz="8" w:color="auto"/>
            </w:tcBorders>
          </w:tcPr>
          <w:p>
            <w:pPr>
              <w:spacing w:after="0"/>
              <w:rPr>
                <w:sz w:val="20"/>
                <w:szCs w:val="20"/>
                <w:color w:val="auto"/>
              </w:rPr>
            </w:pPr>
          </w:p>
        </w:tc>
      </w:tr>
      <w:tr>
        <w:trPr>
          <w:trHeight w:val="218"/>
        </w:trPr>
        <w:tc>
          <w:tcPr>
            <w:tcW w:w="13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2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540" w:type="dxa"/>
            <w:vAlign w:val="bottom"/>
            <w:tcBorders>
              <w:bottom w:val="single" w:sz="8" w:color="auto"/>
            </w:tcBorders>
          </w:tcPr>
          <w:p>
            <w:pPr>
              <w:spacing w:after="0"/>
              <w:rPr>
                <w:sz w:val="18"/>
                <w:szCs w:val="18"/>
                <w:color w:val="auto"/>
              </w:rPr>
            </w:pPr>
          </w:p>
        </w:tc>
      </w:tr>
      <w:tr>
        <w:trPr>
          <w:trHeight w:val="32"/>
        </w:trPr>
        <w:tc>
          <w:tcPr>
            <w:tcW w:w="13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22"/>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260" w:type="dxa"/>
            <w:vAlign w:val="bottom"/>
            <w:shd w:val="clear" w:color="auto" w:fill="CCEEFF"/>
          </w:tcPr>
          <w:p>
            <w:pPr>
              <w:jc w:val="right"/>
              <w:ind w:right="10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47.6</w:t>
            </w:r>
          </w:p>
        </w:tc>
      </w:tr>
      <w:tr>
        <w:trPr>
          <w:trHeight w:val="222"/>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2"/>
        </w:trPr>
        <w:tc>
          <w:tcPr>
            <w:tcW w:w="7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foreign currency translation adjustments</w:t>
            </w:r>
          </w:p>
        </w:tc>
        <w:tc>
          <w:tcPr>
            <w:tcW w:w="12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(1.8)</w:t>
            </w:r>
          </w:p>
        </w:tc>
      </w:tr>
      <w:tr>
        <w:trPr>
          <w:trHeight w:val="222"/>
        </w:trPr>
        <w:tc>
          <w:tcPr>
            <w:tcW w:w="76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Change in net unrealized gains and losses on short-term investments</w:t>
            </w:r>
          </w:p>
        </w:tc>
        <w:tc>
          <w:tcPr>
            <w:tcW w:w="12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(4.5)</w:t>
            </w:r>
          </w:p>
        </w:tc>
      </w:tr>
      <w:tr>
        <w:trPr>
          <w:trHeight w:val="215"/>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other comprehensive loss</w:t>
            </w:r>
          </w:p>
        </w:tc>
        <w:tc>
          <w:tcPr>
            <w:tcW w:w="1260" w:type="dxa"/>
            <w:vAlign w:val="bottom"/>
            <w:tcBorders>
              <w:bottom w:val="single" w:sz="8" w:color="auto"/>
            </w:tcBorders>
            <w:shd w:val="clear" w:color="auto" w:fill="CCEEFF"/>
          </w:tcPr>
          <w:p>
            <w:pPr>
              <w:jc w:val="right"/>
              <w:ind w:right="10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(6.3)</w:t>
            </w:r>
          </w:p>
        </w:tc>
      </w:tr>
      <w:tr>
        <w:trPr>
          <w:trHeight w:val="215"/>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1260" w:type="dxa"/>
            <w:vAlign w:val="bottom"/>
            <w:tcBorders>
              <w:bottom w:val="single" w:sz="8" w:color="auto"/>
            </w:tcBorders>
          </w:tcPr>
          <w:p>
            <w:pPr>
              <w:jc w:val="right"/>
              <w:ind w:right="10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41.3</w:t>
            </w:r>
          </w:p>
        </w:tc>
      </w:tr>
      <w:tr>
        <w:trPr>
          <w:trHeight w:val="20"/>
        </w:trPr>
        <w:tc>
          <w:tcPr>
            <w:tcW w:w="13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DEFICIT</w:t>
      </w:r>
    </w:p>
    <w:p>
      <w:pPr>
        <w:spacing w:after="0" w:line="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200" w:lineRule="exact"/>
        <w:rPr>
          <w:sz w:val="20"/>
          <w:szCs w:val="20"/>
          <w:color w:val="auto"/>
        </w:rPr>
      </w:pPr>
    </w:p>
    <w:p>
      <w:pPr>
        <w:spacing w:after="0" w:line="306" w:lineRule="exact"/>
        <w:rPr>
          <w:sz w:val="20"/>
          <w:szCs w:val="20"/>
          <w:color w:val="auto"/>
        </w:rPr>
      </w:pPr>
    </w:p>
    <w:tbl>
      <w:tblPr>
        <w:tblLayout w:type="fixed"/>
        <w:tblInd w:w="1000" w:type="dxa"/>
        <w:tblCellMar>
          <w:top w:w="0" w:type="dxa"/>
          <w:left w:w="0" w:type="dxa"/>
          <w:bottom w:w="0" w:type="dxa"/>
          <w:right w:w="0" w:type="dxa"/>
        </w:tblCellMar>
      </w:tblPr>
      <w:tr>
        <w:trPr>
          <w:trHeight w:val="208"/>
        </w:trPr>
        <w:tc>
          <w:tcPr>
            <w:tcW w:w="1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jc w:val="center"/>
              <w:ind w:right="106"/>
              <w:spacing w:after="0"/>
              <w:rPr>
                <w:sz w:val="20"/>
                <w:szCs w:val="20"/>
                <w:color w:val="auto"/>
              </w:rPr>
            </w:pPr>
            <w:r>
              <w:rPr>
                <w:rFonts w:ascii="Times New Roman" w:cs="Times New Roman" w:eastAsia="Times New Roman" w:hAnsi="Times New Roman"/>
                <w:sz w:val="16"/>
                <w:szCs w:val="16"/>
                <w:b w:val="1"/>
                <w:bCs w:val="1"/>
                <w:color w:val="auto"/>
                <w:w w:val="97"/>
              </w:rPr>
              <w:t>Three Months Ended March 31, 2022</w:t>
            </w: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3"/>
          </w:tcPr>
          <w:p>
            <w:pPr>
              <w:jc w:val="center"/>
              <w:ind w:right="126"/>
              <w:spacing w:after="0"/>
              <w:rPr>
                <w:sz w:val="20"/>
                <w:szCs w:val="20"/>
                <w:color w:val="auto"/>
              </w:rPr>
            </w:pPr>
            <w:r>
              <w:rPr>
                <w:rFonts w:ascii="Times New Roman" w:cs="Times New Roman" w:eastAsia="Times New Roman" w:hAnsi="Times New Roman"/>
                <w:sz w:val="16"/>
                <w:szCs w:val="16"/>
                <w:b w:val="1"/>
                <w:bCs w:val="1"/>
                <w:color w:val="auto"/>
                <w:w w:val="96"/>
              </w:rPr>
              <w:t>Three Months Ended March 31, 2021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16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b w:val="1"/>
                <w:bCs w:val="1"/>
                <w:color w:val="auto"/>
                <w:w w:val="97"/>
              </w:rPr>
              <w:t>Class A and</w:t>
            </w:r>
          </w:p>
        </w:tc>
        <w:tc>
          <w:tcPr>
            <w:tcW w:w="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16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7"/>
              </w:rPr>
              <w:t>Class B</w:t>
            </w: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Class B common</w:t>
            </w:r>
          </w:p>
        </w:tc>
        <w:tc>
          <w:tcPr>
            <w:tcW w:w="8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1160" w:type="dxa"/>
            <w:vAlign w:val="bottom"/>
            <w:vMerge w:val="continue"/>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0" w:type="dxa"/>
            <w:vAlign w:val="bottom"/>
          </w:tcPr>
          <w:p>
            <w:pPr>
              <w:spacing w:after="0"/>
              <w:rPr>
                <w:sz w:val="4"/>
                <w:szCs w:val="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10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160" w:type="dxa"/>
            <w:vAlign w:val="bottom"/>
            <w:vMerge w:val="continue"/>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000" w:type="dxa"/>
            <w:vAlign w:val="bottom"/>
          </w:tcPr>
          <w:p>
            <w:pPr>
              <w:spacing w:after="0"/>
              <w:rPr>
                <w:sz w:val="4"/>
                <w:szCs w:val="4"/>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other</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56"/>
        </w:trPr>
        <w:tc>
          <w:tcPr>
            <w:tcW w:w="1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w w:val="98"/>
              </w:rPr>
              <w:t>Common Stock</w:t>
            </w: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16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b w:val="1"/>
                <w:bCs w:val="1"/>
                <w:color w:val="auto"/>
              </w:rPr>
              <w:t>stock</w:t>
            </w:r>
          </w:p>
        </w:tc>
        <w:tc>
          <w:tcPr>
            <w:tcW w:w="88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1160" w:type="dxa"/>
            <w:vAlign w:val="bottom"/>
            <w:tcBorders>
              <w:bottom w:val="single" w:sz="8" w:color="auto"/>
            </w:tcBorders>
          </w:tcPr>
          <w:p>
            <w:pPr>
              <w:spacing w:after="0"/>
              <w:rPr>
                <w:sz w:val="4"/>
                <w:szCs w:val="4"/>
                <w:color w:val="auto"/>
              </w:rPr>
            </w:pPr>
          </w:p>
        </w:tc>
        <w:tc>
          <w:tcPr>
            <w:tcW w:w="88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100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60" w:type="dxa"/>
            <w:vAlign w:val="bottom"/>
            <w:gridSpan w:val="2"/>
            <w:vMerge w:val="restart"/>
          </w:tcPr>
          <w:p>
            <w:pPr>
              <w:jc w:val="center"/>
              <w:ind w:right="40"/>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160" w:type="dxa"/>
            <w:vAlign w:val="bottom"/>
            <w:tcBorders>
              <w:bottom w:val="single" w:sz="8" w:color="auto"/>
            </w:tcBorders>
          </w:tcPr>
          <w:p>
            <w:pPr>
              <w:spacing w:after="0"/>
              <w:rPr>
                <w:sz w:val="4"/>
                <w:szCs w:val="4"/>
                <w:color w:val="auto"/>
              </w:rPr>
            </w:pPr>
          </w:p>
        </w:tc>
        <w:tc>
          <w:tcPr>
            <w:tcW w:w="88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12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960" w:type="dxa"/>
            <w:vAlign w:val="bottom"/>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32"/>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Shares  Amount</w:t>
            </w:r>
          </w:p>
        </w:tc>
        <w:tc>
          <w:tcPr>
            <w:tcW w:w="88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11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116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capital</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deficit</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deficit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7198360" cy="3314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8360" cy="33147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tbl>
      <w:tblPr>
        <w:tblLayout w:type="fixed"/>
        <w:tblInd w:w="20" w:type="dxa"/>
        <w:tblCellMar>
          <w:top w:w="0" w:type="dxa"/>
          <w:left w:w="0" w:type="dxa"/>
          <w:bottom w:w="0" w:type="dxa"/>
          <w:right w:w="0" w:type="dxa"/>
        </w:tblCellMar>
      </w:tblPr>
      <w:tr>
        <w:trPr>
          <w:trHeight w:val="140"/>
        </w:trPr>
        <w:tc>
          <w:tcPr>
            <w:tcW w:w="980" w:type="dxa"/>
            <w:vAlign w:val="bottom"/>
          </w:tcPr>
          <w:p>
            <w:pPr>
              <w:spacing w:after="0" w:line="140" w:lineRule="exact"/>
              <w:rPr>
                <w:sz w:val="20"/>
                <w:szCs w:val="20"/>
                <w:color w:val="auto"/>
              </w:rPr>
            </w:pPr>
            <w:r>
              <w:rPr>
                <w:rFonts w:ascii="Times New Roman" w:cs="Times New Roman" w:eastAsia="Times New Roman" w:hAnsi="Times New Roman"/>
                <w:sz w:val="16"/>
                <w:szCs w:val="16"/>
                <w:b w:val="1"/>
                <w:bCs w:val="1"/>
                <w:color w:val="auto"/>
              </w:rPr>
              <w:t>Balances at</w:t>
            </w: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b w:val="1"/>
                <w:bCs w:val="1"/>
                <w:color w:val="auto"/>
              </w:rPr>
              <w:t>beginning of</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80" w:type="dxa"/>
            <w:vAlign w:val="bottom"/>
          </w:tcPr>
          <w:p>
            <w:pPr>
              <w:spacing w:after="0"/>
              <w:rPr>
                <w:sz w:val="13"/>
                <w:szCs w:val="13"/>
                <w:color w:val="auto"/>
              </w:rPr>
            </w:pPr>
          </w:p>
        </w:tc>
        <w:tc>
          <w:tcPr>
            <w:tcW w:w="24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2,448.1</w:t>
            </w:r>
          </w:p>
        </w:tc>
        <w:tc>
          <w:tcPr>
            <w:tcW w:w="80" w:type="dxa"/>
            <w:vAlign w:val="bottom"/>
          </w:tcPr>
          <w:p>
            <w:pPr>
              <w:spacing w:after="0"/>
              <w:rPr>
                <w:sz w:val="13"/>
                <w:szCs w:val="13"/>
                <w:color w:val="auto"/>
              </w:rPr>
            </w:pPr>
          </w:p>
        </w:tc>
        <w:tc>
          <w:tcPr>
            <w:tcW w:w="2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(2,739.4)</w:t>
            </w:r>
          </w:p>
        </w:tc>
        <w:tc>
          <w:tcPr>
            <w:tcW w:w="80" w:type="dxa"/>
            <w:vAlign w:val="bottom"/>
          </w:tcPr>
          <w:p>
            <w:pPr>
              <w:spacing w:after="0"/>
              <w:rPr>
                <w:sz w:val="13"/>
                <w:szCs w:val="13"/>
                <w:color w:val="auto"/>
              </w:rPr>
            </w:pPr>
          </w:p>
        </w:tc>
        <w:tc>
          <w:tcPr>
            <w:tcW w:w="38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Release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Shares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withheld</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related to net</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share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settlement of</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w w:val="98"/>
              </w:rPr>
              <w:t>restricted stock</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units and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Repurchases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of common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stock</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Exercise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stock options</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and awards</w:t>
            </w:r>
          </w:p>
        </w:tc>
        <w:tc>
          <w:tcPr>
            <w:tcW w:w="5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w w:val="98"/>
              </w:rPr>
              <w:t>Assumed 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options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with</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acquisition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Purchase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w w:val="99"/>
              </w:rPr>
              <w:t>bond hedges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Sale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warrants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Tax benefit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attributable to</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bond hedges</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purchased in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connection</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with issuance</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rPr>
              <w:t>of convertible</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senior notes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Stock-based</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compensation</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Other</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line="157" w:lineRule="exact"/>
              <w:rPr>
                <w:sz w:val="20"/>
                <w:szCs w:val="20"/>
                <w:color w:val="auto"/>
              </w:rPr>
            </w:pPr>
            <w:r>
              <w:rPr>
                <w:rFonts w:ascii="Times New Roman" w:cs="Times New Roman" w:eastAsia="Times New Roman" w:hAnsi="Times New Roman"/>
                <w:sz w:val="16"/>
                <w:szCs w:val="16"/>
                <w:color w:val="auto"/>
                <w:w w:val="99"/>
              </w:rPr>
              <w:t>comprehensive</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3"/>
                <w:szCs w:val="13"/>
                <w:color w:val="auto"/>
              </w:rPr>
            </w:pP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3"/>
                <w:szCs w:val="13"/>
                <w:color w:val="auto"/>
              </w:rPr>
            </w:pP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loss</w:t>
            </w:r>
          </w:p>
        </w:tc>
        <w:tc>
          <w:tcPr>
            <w:tcW w:w="58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980" w:type="dxa"/>
            <w:vAlign w:val="bottom"/>
          </w:tcPr>
          <w:p>
            <w:pPr>
              <w:spacing w:after="0" w:line="143" w:lineRule="exact"/>
              <w:rPr>
                <w:sz w:val="20"/>
                <w:szCs w:val="20"/>
                <w:color w:val="auto"/>
              </w:rPr>
            </w:pPr>
            <w:r>
              <w:rPr>
                <w:rFonts w:ascii="Times New Roman" w:cs="Times New Roman" w:eastAsia="Times New Roman" w:hAnsi="Times New Roman"/>
                <w:sz w:val="16"/>
                <w:szCs w:val="16"/>
                <w:b w:val="1"/>
                <w:bCs w:val="1"/>
                <w:color w:val="auto"/>
              </w:rPr>
              <w:t>Balances at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367.0</w:t>
            </w:r>
          </w:p>
        </w:tc>
        <w:tc>
          <w:tcPr>
            <w:tcW w:w="80" w:type="dxa"/>
            <w:vAlign w:val="bottom"/>
          </w:tcPr>
          <w:p>
            <w:pPr>
              <w:spacing w:after="0"/>
              <w:rPr>
                <w:sz w:val="12"/>
                <w:szCs w:val="12"/>
                <w:color w:val="auto"/>
              </w:rPr>
            </w:pPr>
          </w:p>
        </w:tc>
        <w:tc>
          <w:tcPr>
            <w:tcW w:w="240" w:type="dxa"/>
            <w:vAlign w:val="bottom"/>
            <w:vMerge w:val="restart"/>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2,419.7</w:t>
            </w:r>
          </w:p>
        </w:tc>
        <w:tc>
          <w:tcPr>
            <w:tcW w:w="80" w:type="dxa"/>
            <w:vAlign w:val="bottom"/>
          </w:tcPr>
          <w:p>
            <w:pPr>
              <w:spacing w:after="0"/>
              <w:rPr>
                <w:sz w:val="12"/>
                <w:szCs w:val="12"/>
                <w:color w:val="auto"/>
              </w:rPr>
            </w:pPr>
          </w:p>
        </w:tc>
        <w:tc>
          <w:tcPr>
            <w:tcW w:w="22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(2,854.9)</w:t>
            </w:r>
          </w:p>
        </w:tc>
        <w:tc>
          <w:tcPr>
            <w:tcW w:w="80" w:type="dxa"/>
            <w:vAlign w:val="bottom"/>
          </w:tcPr>
          <w:p>
            <w:pPr>
              <w:spacing w:after="0"/>
              <w:rPr>
                <w:sz w:val="12"/>
                <w:szCs w:val="12"/>
                <w:color w:val="auto"/>
              </w:rPr>
            </w:pPr>
          </w:p>
        </w:tc>
        <w:tc>
          <w:tcPr>
            <w:tcW w:w="38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3"/>
        </w:trPr>
        <w:tc>
          <w:tcPr>
            <w:tcW w:w="980" w:type="dxa"/>
            <w:vAlign w:val="bottom"/>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end of period</w:t>
            </w: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89"/>
              </w:rPr>
              <w:t>(293.9)</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405.7</w:t>
            </w:r>
          </w:p>
        </w:tc>
        <w:tc>
          <w:tcPr>
            <w:tcW w:w="8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2,564.3</w:t>
            </w:r>
          </w:p>
        </w:tc>
        <w:tc>
          <w:tcPr>
            <w:tcW w:w="8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(2,241.4)</w:t>
            </w:r>
          </w:p>
        </w:tc>
        <w:tc>
          <w:tcPr>
            <w:tcW w:w="8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333.8</w:t>
            </w:r>
          </w:p>
        </w:tc>
      </w:tr>
      <w:tr>
        <w:trPr>
          <w:trHeight w:val="678"/>
        </w:trPr>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304"/>
        </w:trPr>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(36.7)</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522"/>
        </w:trPr>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89"/>
              </w:rPr>
              <w:t>(259.9)</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(431.9)</w:t>
            </w:r>
          </w:p>
        </w:tc>
      </w:tr>
      <w:tr>
        <w:trPr>
          <w:trHeight w:val="522"/>
        </w:trPr>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0.2</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834"/>
        </w:trPr>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991"/>
        </w:trPr>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(265.3)</w:t>
            </w:r>
          </w:p>
        </w:tc>
      </w:tr>
      <w:tr>
        <w:trPr>
          <w:trHeight w:val="991"/>
        </w:trPr>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r>
      <w:tr>
        <w:trPr>
          <w:trHeight w:val="1304"/>
        </w:trPr>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0.5</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65"/>
        </w:trPr>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72.3</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r>
      <w:tr>
        <w:trPr>
          <w:trHeight w:val="522"/>
        </w:trPr>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(25.5)</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2"/>
        </w:trPr>
        <w:tc>
          <w:tcPr>
            <w:tcW w:w="5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79.7</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w:t>
            </w:r>
          </w:p>
        </w:tc>
      </w:tr>
      <w:tr>
        <w:trPr>
          <w:trHeight w:val="319"/>
        </w:trPr>
        <w:tc>
          <w:tcPr>
            <w:tcW w:w="5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89"/>
              </w:rPr>
              <w:t>(463.3)</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w:t>
            </w:r>
          </w:p>
        </w:tc>
        <w:tc>
          <w:tcPr>
            <w:tcW w:w="80" w:type="dxa"/>
            <w:vAlign w:val="bottom"/>
          </w:tcPr>
          <w:p>
            <w:pPr>
              <w:spacing w:after="0"/>
              <w:rPr>
                <w:sz w:val="24"/>
                <w:szCs w:val="24"/>
                <w:color w:val="auto"/>
              </w:rPr>
            </w:pP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2,420.2</w:t>
            </w:r>
          </w:p>
        </w:tc>
        <w:tc>
          <w:tcPr>
            <w:tcW w:w="80" w:type="dxa"/>
            <w:vAlign w:val="bottom"/>
          </w:tcPr>
          <w:p>
            <w:pPr>
              <w:spacing w:after="0"/>
              <w:rPr>
                <w:sz w:val="24"/>
                <w:szCs w:val="24"/>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(2,507.8)</w:t>
            </w:r>
          </w:p>
        </w:tc>
        <w:tc>
          <w:tcPr>
            <w:tcW w:w="80" w:type="dxa"/>
            <w:vAlign w:val="bottom"/>
          </w:tcPr>
          <w:p>
            <w:pPr>
              <w:spacing w:after="0"/>
              <w:rPr>
                <w:sz w:val="24"/>
                <w:szCs w:val="24"/>
                <w:color w:val="auto"/>
              </w:rPr>
            </w:pPr>
          </w:p>
        </w:tc>
        <w:tc>
          <w:tcPr>
            <w:tcW w:w="400" w:type="dxa"/>
            <w:vAlign w:val="bottom"/>
          </w:tcPr>
          <w:p>
            <w:pPr>
              <w:jc w:val="right"/>
              <w:ind w:right="22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24"/>
                <w:szCs w:val="24"/>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22"/>
        </w:trPr>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-5050155</wp:posOffset>
            </wp:positionV>
            <wp:extent cx="7198360" cy="828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8360" cy="82804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-3890645</wp:posOffset>
            </wp:positionV>
            <wp:extent cx="7198360" cy="3314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8360" cy="33147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-3029585</wp:posOffset>
            </wp:positionV>
            <wp:extent cx="7198360" cy="629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8360" cy="629285"/>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-1771015</wp:posOffset>
            </wp:positionV>
            <wp:extent cx="7198360" cy="8280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8360" cy="82804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-711200</wp:posOffset>
            </wp:positionV>
            <wp:extent cx="7198360" cy="331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8360" cy="33147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-247650</wp:posOffset>
            </wp:positionV>
            <wp:extent cx="7198360" cy="248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8360" cy="248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360"/>
            <w:col w:w="5680"/>
          </w:cols>
          <w:pgMar w:left="320" w:top="11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w:t>
      </w:r>
    </w:p>
    <w:p>
      <w:pPr>
        <w:sectPr>
          <w:pgSz w:w="11900" w:h="16838" w:orient="portrait"/>
          <w:cols w:equalWidth="0" w:num="1">
            <w:col w:w="11340"/>
          </w:cols>
          <w:pgMar w:left="320" w:top="119" w:right="2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(In millions)</w:t>
      </w:r>
    </w:p>
    <w:p>
      <w:pPr>
        <w:spacing w:after="0" w:line="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i w:val="1"/>
          <w:iCs w:val="1"/>
          <w:color w:val="auto"/>
        </w:rPr>
        <w:t>(Unaudited)</w:t>
      </w:r>
    </w:p>
    <w:p>
      <w:pPr>
        <w:spacing w:after="0" w:line="120"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jc w:val="center"/>
        <w:ind w:left="796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33"/>
        </w:trPr>
        <w:tc>
          <w:tcPr>
            <w:tcW w:w="7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operating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r>
      <w:tr>
        <w:trPr>
          <w:trHeight w:val="20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related to real estate assets</w:t>
            </w:r>
          </w:p>
        </w:tc>
        <w:tc>
          <w:tcPr>
            <w:tcW w:w="10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commissions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6"/>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and other receivables, net</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0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r>
      <w:tr>
        <w:trPr>
          <w:trHeight w:val="20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0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0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Tenant improvement allowance reimbursement</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19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w:t>
            </w:r>
          </w:p>
        </w:tc>
      </w:tr>
      <w:tr>
        <w:trPr>
          <w:trHeight w:val="19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investing activities</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combinations, net of cash acquired</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r>
      <w:tr>
        <w:trPr>
          <w:trHeight w:val="20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(513.9)</w:t>
            </w: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w:t>
            </w:r>
          </w:p>
        </w:tc>
      </w:tr>
      <w:tr>
        <w:trPr>
          <w:trHeight w:val="20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maturities of short-term investments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19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(398.8)</w:t>
            </w:r>
          </w:p>
        </w:tc>
      </w:tr>
      <w:tr>
        <w:trPr>
          <w:trHeight w:val="19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from financing activities</w:t>
            </w:r>
          </w:p>
        </w:tc>
        <w:tc>
          <w:tcPr>
            <w:tcW w:w="10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convertible senior notes</w:t>
            </w:r>
          </w:p>
        </w:tc>
        <w:tc>
          <w:tcPr>
            <w:tcW w:w="10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1,389.1</w:t>
            </w: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convertible note hedge in connection with issuance of convertible senior notes</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w:t>
            </w:r>
          </w:p>
        </w:tc>
      </w:tr>
      <w:tr>
        <w:trPr>
          <w:trHeight w:val="20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 of warrants in connection with issuance of convertible senior notes</w:t>
            </w:r>
          </w:p>
        </w:tc>
        <w:tc>
          <w:tcPr>
            <w:tcW w:w="10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w:t>
            </w: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10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0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for taxes related to net share settlement of restricted stock units and awards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net of taxes withheld</w:t>
            </w:r>
          </w:p>
        </w:tc>
        <w:tc>
          <w:tcPr>
            <w:tcW w:w="10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6"/>
        </w:trPr>
        <w:tc>
          <w:tcPr>
            <w:tcW w:w="7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Principal payments on finance lease obligations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1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Common stock repurchases</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(431.9)</w:t>
            </w:r>
          </w:p>
        </w:tc>
      </w:tr>
      <w:tr>
        <w:trPr>
          <w:trHeight w:val="19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financing activities</w:t>
            </w:r>
          </w:p>
        </w:tc>
        <w:tc>
          <w:tcPr>
            <w:tcW w:w="10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814.6</w:t>
            </w:r>
          </w:p>
        </w:tc>
      </w:tr>
      <w:tr>
        <w:trPr>
          <w:trHeight w:val="20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10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r>
      <w:tr>
        <w:trPr>
          <w:trHeight w:val="206"/>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0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530.6</w:t>
            </w:r>
          </w:p>
        </w:tc>
      </w:tr>
      <w:tr>
        <w:trPr>
          <w:trHeight w:val="21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 beginning of period</w:t>
            </w:r>
          </w:p>
        </w:tc>
        <w:tc>
          <w:tcPr>
            <w:tcW w:w="10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w:t>
            </w:r>
          </w:p>
        </w:tc>
      </w:tr>
      <w:tr>
        <w:trPr>
          <w:trHeight w:val="19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 end of period</w:t>
            </w:r>
          </w:p>
        </w:tc>
        <w:tc>
          <w:tcPr>
            <w:tcW w:w="102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845.5</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73"/>
        </w:trPr>
        <w:tc>
          <w:tcPr>
            <w:tcW w:w="79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07"/>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data:</w:t>
            </w: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r>
      <w:tr>
        <w:trPr>
          <w:trHeight w:val="226"/>
        </w:trPr>
        <w:tc>
          <w:tcPr>
            <w:tcW w:w="79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Property and equipment acquired under finance leases</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the Business and Summary of Significant Accounting Policies</w:t>
      </w:r>
    </w:p>
    <w:p>
      <w:pPr>
        <w:spacing w:after="0" w:line="3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Business</w:t>
      </w:r>
    </w:p>
    <w:p>
      <w:pPr>
        <w:spacing w:after="0" w:line="121" w:lineRule="exact"/>
        <w:rPr>
          <w:sz w:val="20"/>
          <w:szCs w:val="20"/>
          <w:color w:val="auto"/>
        </w:rPr>
      </w:pPr>
    </w:p>
    <w:p>
      <w:pPr>
        <w:ind w:firstLine="430"/>
        <w:spacing w:after="0" w:line="294" w:lineRule="auto"/>
        <w:rPr>
          <w:sz w:val="20"/>
          <w:szCs w:val="20"/>
          <w:color w:val="auto"/>
        </w:rPr>
      </w:pPr>
      <w:r>
        <w:rPr>
          <w:rFonts w:ascii="Times New Roman" w:cs="Times New Roman" w:eastAsia="Times New Roman" w:hAnsi="Times New Roman"/>
          <w:sz w:val="17"/>
          <w:szCs w:val="17"/>
          <w:color w:val="auto"/>
        </w:rPr>
        <w:t>Dropbox, Inc. (the “Company” or “Dropbox”) helps keep life organized and work moving. The Company was incorporated in May 2007 as Evenflow, Inc., a Delaware corporation, and changed its name to Dropbox, Inc. in October 2009. The Company is headquartered in San Francisco, California.</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121" w:lineRule="exact"/>
        <w:rPr>
          <w:sz w:val="20"/>
          <w:szCs w:val="20"/>
          <w:color w:val="auto"/>
        </w:rPr>
      </w:pPr>
    </w:p>
    <w:p>
      <w:pPr>
        <w:ind w:right="120" w:firstLine="430"/>
        <w:spacing w:after="0" w:line="268"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the United States of America generally accepted accounting principles (“GAAP”) and applicable rules and regulations of the SEC regarding interim financial reporting. The accompanying unaudited condensed consolidated financial statements include the accounts of Dropbox and its wholly owned subsidiaries. All intercompany balances and transactions have been eliminated in consolidation.</w:t>
      </w:r>
    </w:p>
    <w:p>
      <w:pPr>
        <w:spacing w:after="0" w:line="196" w:lineRule="exact"/>
        <w:rPr>
          <w:sz w:val="20"/>
          <w:szCs w:val="20"/>
          <w:color w:val="auto"/>
        </w:rPr>
      </w:pPr>
    </w:p>
    <w:p>
      <w:pPr>
        <w:ind w:right="80" w:firstLine="430"/>
        <w:spacing w:after="0" w:line="268" w:lineRule="auto"/>
        <w:rPr>
          <w:sz w:val="20"/>
          <w:szCs w:val="20"/>
          <w:color w:val="auto"/>
        </w:rPr>
      </w:pPr>
      <w:r>
        <w:rPr>
          <w:rFonts w:ascii="Times New Roman" w:cs="Times New Roman" w:eastAsia="Times New Roman" w:hAnsi="Times New Roman"/>
          <w:sz w:val="17"/>
          <w:szCs w:val="17"/>
          <w:color w:val="auto"/>
        </w:rPr>
        <w:t>The condensed consolidated balance sheet as of December 31, 2021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2022 or any future period.</w:t>
      </w:r>
    </w:p>
    <w:p>
      <w:pPr>
        <w:spacing w:after="0" w:line="196" w:lineRule="exact"/>
        <w:rPr>
          <w:sz w:val="20"/>
          <w:szCs w:val="20"/>
          <w:color w:val="auto"/>
        </w:rPr>
      </w:pPr>
    </w:p>
    <w:p>
      <w:pPr>
        <w:ind w:firstLine="430"/>
        <w:spacing w:after="0" w:line="294" w:lineRule="auto"/>
        <w:rPr>
          <w:sz w:val="20"/>
          <w:szCs w:val="20"/>
          <w:color w:val="auto"/>
        </w:rPr>
      </w:pPr>
      <w:r>
        <w:rPr>
          <w:rFonts w:ascii="Times New Roman" w:cs="Times New Roman" w:eastAsia="Times New Roman" w:hAnsi="Times New Roman"/>
          <w:sz w:val="17"/>
          <w:szCs w:val="17"/>
          <w:color w:val="auto"/>
        </w:rPr>
        <w:t>The unaudited condensed consolidated financial statements should be read in conjunction with the audited consolidated financial statements and the related notes thereto as of and for the year ended December 31, 2021, included in the Company's Annual Report on Form 10-K on file with the SEC ("Annual Report").</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1" w:lineRule="exact"/>
        <w:rPr>
          <w:sz w:val="20"/>
          <w:szCs w:val="20"/>
          <w:color w:val="auto"/>
        </w:rPr>
      </w:pPr>
    </w:p>
    <w:p>
      <w:pPr>
        <w:ind w:right="280" w:firstLine="430"/>
        <w:spacing w:after="0" w:line="26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spacing w:after="0" w:line="196" w:lineRule="exact"/>
        <w:rPr>
          <w:sz w:val="20"/>
          <w:szCs w:val="20"/>
          <w:color w:val="auto"/>
        </w:rPr>
      </w:pPr>
    </w:p>
    <w:p>
      <w:pPr>
        <w:ind w:right="120" w:firstLine="430"/>
        <w:spacing w:after="0" w:line="294" w:lineRule="auto"/>
        <w:rPr>
          <w:sz w:val="20"/>
          <w:szCs w:val="20"/>
          <w:color w:val="auto"/>
        </w:rPr>
      </w:pPr>
      <w:r>
        <w:rPr>
          <w:rFonts w:ascii="Times New Roman" w:cs="Times New Roman" w:eastAsia="Times New Roman" w:hAnsi="Times New Roman"/>
          <w:sz w:val="17"/>
          <w:szCs w:val="17"/>
          <w:color w:val="auto"/>
        </w:rPr>
        <w:t>The Company’s most significant estimates and judgments involve the valuation of acquired intangible assets and goodwill from business combinations as well as the valuation of right-of-use and other lease related assets.</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Financial information about segments and geographic areas</w:t>
      </w:r>
    </w:p>
    <w:p>
      <w:pPr>
        <w:spacing w:after="0" w:line="108" w:lineRule="exact"/>
        <w:rPr>
          <w:sz w:val="20"/>
          <w:szCs w:val="20"/>
          <w:color w:val="auto"/>
        </w:rPr>
      </w:pPr>
    </w:p>
    <w:p>
      <w:pPr>
        <w:ind w:right="60" w:firstLine="430"/>
        <w:spacing w:after="0" w:line="249" w:lineRule="auto"/>
        <w:rPr>
          <w:sz w:val="20"/>
          <w:szCs w:val="20"/>
          <w:color w:val="auto"/>
        </w:rPr>
      </w:pPr>
      <w:r>
        <w:rPr>
          <w:rFonts w:ascii="Times New Roman" w:cs="Times New Roman" w:eastAsia="Times New Roman" w:hAnsi="Times New Roman"/>
          <w:sz w:val="17"/>
          <w:szCs w:val="17"/>
          <w:color w:val="auto"/>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to our condensed consolidated financial statements included elsewhere in this Quarterly Report on Form 10-Q for information regarding the Company’s long-lived assets and revenue by geography.</w:t>
      </w:r>
    </w:p>
    <w:p>
      <w:pPr>
        <w:spacing w:after="0" w:line="2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transactions</w:t>
      </w:r>
    </w:p>
    <w:p>
      <w:pPr>
        <w:spacing w:after="0" w:line="121" w:lineRule="exact"/>
        <w:rPr>
          <w:sz w:val="20"/>
          <w:szCs w:val="20"/>
          <w:color w:val="auto"/>
        </w:rPr>
      </w:pPr>
    </w:p>
    <w:p>
      <w:pPr>
        <w:ind w:right="140" w:firstLine="430"/>
        <w:spacing w:after="0" w:line="275" w:lineRule="auto"/>
        <w:rPr>
          <w:sz w:val="20"/>
          <w:szCs w:val="20"/>
          <w:color w:val="auto"/>
        </w:rPr>
      </w:pPr>
      <w:r>
        <w:rPr>
          <w:rFonts w:ascii="Times New Roman" w:cs="Times New Roman" w:eastAsia="Times New Roman" w:hAnsi="Times New Roman"/>
          <w:sz w:val="17"/>
          <w:szCs w:val="17"/>
          <w:color w:val="auto"/>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loss, net of tax.</w:t>
      </w:r>
    </w:p>
    <w:p>
      <w:pPr>
        <w:spacing w:after="0" w:line="189" w:lineRule="exact"/>
        <w:rPr>
          <w:sz w:val="20"/>
          <w:szCs w:val="20"/>
          <w:color w:val="auto"/>
        </w:rPr>
      </w:pPr>
    </w:p>
    <w:p>
      <w:pPr>
        <w:ind w:right="160" w:firstLine="430"/>
        <w:spacing w:after="0" w:line="275" w:lineRule="auto"/>
        <w:rPr>
          <w:sz w:val="20"/>
          <w:szCs w:val="20"/>
          <w:color w:val="auto"/>
        </w:rPr>
      </w:pPr>
      <w:r>
        <w:rPr>
          <w:rFonts w:ascii="Times New Roman" w:cs="Times New Roman" w:eastAsia="Times New Roman" w:hAnsi="Times New Roman"/>
          <w:sz w:val="17"/>
          <w:szCs w:val="17"/>
          <w:color w:val="auto"/>
        </w:rPr>
        <w:t>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6"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7"/>
          <w:szCs w:val="17"/>
          <w:color w:val="auto"/>
        </w:rPr>
        <w:t>exchange rates. The Company recorded net foreign currency transaction gains of $2.8 million and $0.2 million during the three months ended March 31, 2022 and 2021, respectively.</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1" w:lineRule="exact"/>
        <w:rPr>
          <w:sz w:val="20"/>
          <w:szCs w:val="20"/>
          <w:color w:val="auto"/>
        </w:rPr>
      </w:pPr>
    </w:p>
    <w:p>
      <w:pPr>
        <w:jc w:val="both"/>
        <w:ind w:right="280" w:firstLine="430"/>
        <w:spacing w:after="0" w:line="275" w:lineRule="auto"/>
        <w:rPr>
          <w:sz w:val="20"/>
          <w:szCs w:val="20"/>
          <w:color w:val="auto"/>
        </w:rPr>
      </w:pPr>
      <w:r>
        <w:rPr>
          <w:rFonts w:ascii="Times New Roman" w:cs="Times New Roman" w:eastAsia="Times New Roman" w:hAnsi="Times New Roman"/>
          <w:sz w:val="17"/>
          <w:szCs w:val="17"/>
          <w:color w:val="auto"/>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spacing w:after="0" w:line="58" w:lineRule="exact"/>
        <w:rPr>
          <w:sz w:val="20"/>
          <w:szCs w:val="20"/>
          <w:color w:val="auto"/>
        </w:rPr>
      </w:pPr>
    </w:p>
    <w:p>
      <w:pPr>
        <w:ind w:left="940" w:hanging="310"/>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 or contracts, with a customer</w:t>
      </w:r>
    </w:p>
    <w:p>
      <w:pPr>
        <w:spacing w:after="0" w:line="117" w:lineRule="exact"/>
        <w:rPr>
          <w:rFonts w:ascii="Times New Roman" w:cs="Times New Roman" w:eastAsia="Times New Roman" w:hAnsi="Times New Roman"/>
          <w:sz w:val="17"/>
          <w:szCs w:val="17"/>
          <w:color w:val="auto"/>
        </w:rPr>
      </w:pPr>
    </w:p>
    <w:p>
      <w:pPr>
        <w:ind w:left="940" w:hanging="310"/>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17" w:lineRule="exact"/>
        <w:rPr>
          <w:rFonts w:ascii="Times New Roman" w:cs="Times New Roman" w:eastAsia="Times New Roman" w:hAnsi="Times New Roman"/>
          <w:sz w:val="17"/>
          <w:szCs w:val="17"/>
          <w:color w:val="auto"/>
        </w:rPr>
      </w:pPr>
    </w:p>
    <w:p>
      <w:pPr>
        <w:ind w:left="940" w:hanging="310"/>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117" w:lineRule="exact"/>
        <w:rPr>
          <w:rFonts w:ascii="Times New Roman" w:cs="Times New Roman" w:eastAsia="Times New Roman" w:hAnsi="Times New Roman"/>
          <w:sz w:val="17"/>
          <w:szCs w:val="17"/>
          <w:color w:val="auto"/>
        </w:rPr>
      </w:pPr>
    </w:p>
    <w:p>
      <w:pPr>
        <w:ind w:left="940" w:hanging="310"/>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17" w:lineRule="exact"/>
        <w:rPr>
          <w:rFonts w:ascii="Times New Roman" w:cs="Times New Roman" w:eastAsia="Times New Roman" w:hAnsi="Times New Roman"/>
          <w:sz w:val="17"/>
          <w:szCs w:val="17"/>
          <w:color w:val="auto"/>
        </w:rPr>
      </w:pPr>
    </w:p>
    <w:p>
      <w:pPr>
        <w:ind w:left="940" w:hanging="310"/>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Company satisfies a performance obligation</w:t>
      </w:r>
    </w:p>
    <w:p>
      <w:pPr>
        <w:spacing w:after="0" w:line="248" w:lineRule="exact"/>
        <w:rPr>
          <w:sz w:val="20"/>
          <w:szCs w:val="20"/>
          <w:color w:val="auto"/>
        </w:rPr>
      </w:pPr>
    </w:p>
    <w:p>
      <w:pPr>
        <w:ind w:right="180" w:firstLine="430"/>
        <w:spacing w:after="0" w:line="265" w:lineRule="auto"/>
        <w:rPr>
          <w:sz w:val="20"/>
          <w:szCs w:val="20"/>
          <w:color w:val="auto"/>
        </w:rPr>
      </w:pPr>
      <w:r>
        <w:rPr>
          <w:rFonts w:ascii="Times New Roman" w:cs="Times New Roman" w:eastAsia="Times New Roman" w:hAnsi="Times New Roman"/>
          <w:sz w:val="17"/>
          <w:szCs w:val="17"/>
          <w:color w:val="auto"/>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spacing w:after="0" w:line="199" w:lineRule="exact"/>
        <w:rPr>
          <w:sz w:val="20"/>
          <w:szCs w:val="20"/>
          <w:color w:val="auto"/>
        </w:rPr>
      </w:pPr>
    </w:p>
    <w:p>
      <w:pPr>
        <w:jc w:val="both"/>
        <w:ind w:right="120" w:firstLine="430"/>
        <w:spacing w:after="0" w:line="275" w:lineRule="auto"/>
        <w:rPr>
          <w:sz w:val="20"/>
          <w:szCs w:val="20"/>
          <w:color w:val="auto"/>
        </w:rPr>
      </w:pPr>
      <w:r>
        <w:rPr>
          <w:rFonts w:ascii="Times New Roman" w:cs="Times New Roman" w:eastAsia="Times New Roman" w:hAnsi="Times New Roman"/>
          <w:sz w:val="17"/>
          <w:szCs w:val="17"/>
          <w:color w:val="auto"/>
        </w:rPr>
        <w:t>The Company bills in advance for monthly contracts and typically bills annually in advance for contracts with terms of one year or longer. The Company also recognizes an immaterial amount of contract assets, or unbilled receivables, primarily relating to consideration for services completed but not billed at the reporting date. Unbilled receivables are classified as receivables when the Company has the right to invoice the customer.</w:t>
      </w:r>
    </w:p>
    <w:p>
      <w:pPr>
        <w:spacing w:after="0" w:line="189" w:lineRule="exact"/>
        <w:rPr>
          <w:sz w:val="20"/>
          <w:szCs w:val="20"/>
          <w:color w:val="auto"/>
        </w:rPr>
      </w:pPr>
    </w:p>
    <w:p>
      <w:pPr>
        <w:ind w:right="480" w:firstLine="430"/>
        <w:spacing w:after="0" w:line="294" w:lineRule="auto"/>
        <w:rPr>
          <w:sz w:val="20"/>
          <w:szCs w:val="20"/>
          <w:color w:val="auto"/>
        </w:rPr>
      </w:pPr>
      <w:r>
        <w:rPr>
          <w:rFonts w:ascii="Times New Roman" w:cs="Times New Roman" w:eastAsia="Times New Roman" w:hAnsi="Times New Roman"/>
          <w:sz w:val="17"/>
          <w:szCs w:val="17"/>
          <w:color w:val="auto"/>
        </w:rPr>
        <w:t>The Company records contract liabilities when cash payments are received or due in advance of performance to deferred revenue. Deferred revenue primarily relates to the advance consideration received from the customer.</w:t>
      </w:r>
    </w:p>
    <w:p>
      <w:pPr>
        <w:spacing w:after="0" w:line="173" w:lineRule="exact"/>
        <w:rPr>
          <w:sz w:val="20"/>
          <w:szCs w:val="20"/>
          <w:color w:val="auto"/>
        </w:rPr>
      </w:pPr>
    </w:p>
    <w:p>
      <w:pPr>
        <w:jc w:val="both"/>
        <w:ind w:right="160" w:firstLine="430"/>
        <w:spacing w:after="0" w:line="275" w:lineRule="auto"/>
        <w:rPr>
          <w:sz w:val="20"/>
          <w:szCs w:val="20"/>
          <w:color w:val="auto"/>
        </w:rPr>
      </w:pPr>
      <w:r>
        <w:rPr>
          <w:rFonts w:ascii="Times New Roman" w:cs="Times New Roman" w:eastAsia="Times New Roman" w:hAnsi="Times New Roman"/>
          <w:sz w:val="17"/>
          <w:szCs w:val="17"/>
          <w:color w:val="auto"/>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spacing w:after="0" w:line="189" w:lineRule="exact"/>
        <w:rPr>
          <w:sz w:val="20"/>
          <w:szCs w:val="20"/>
          <w:color w:val="auto"/>
        </w:rPr>
      </w:pPr>
    </w:p>
    <w:p>
      <w:pPr>
        <w:ind w:right="200" w:firstLine="430"/>
        <w:spacing w:after="0" w:line="294" w:lineRule="auto"/>
        <w:rPr>
          <w:sz w:val="20"/>
          <w:szCs w:val="20"/>
          <w:color w:val="auto"/>
        </w:rPr>
      </w:pPr>
      <w:r>
        <w:rPr>
          <w:rFonts w:ascii="Times New Roman" w:cs="Times New Roman" w:eastAsia="Times New Roman" w:hAnsi="Times New Roman"/>
          <w:sz w:val="17"/>
          <w:szCs w:val="17"/>
          <w:color w:val="auto"/>
        </w:rPr>
        <w:t>The Company recognized $313.7 million and $283.8 million of revenue during the three months ended March 31, 2022 and 2021, respectively, that was included in the deferred revenue balances at the beginning of their respective periods.</w:t>
      </w:r>
    </w:p>
    <w:p>
      <w:pPr>
        <w:spacing w:after="0" w:line="173" w:lineRule="exact"/>
        <w:rPr>
          <w:sz w:val="20"/>
          <w:szCs w:val="20"/>
          <w:color w:val="auto"/>
        </w:rPr>
      </w:pPr>
    </w:p>
    <w:p>
      <w:pPr>
        <w:ind w:right="180" w:firstLine="430"/>
        <w:spacing w:after="0" w:line="294" w:lineRule="auto"/>
        <w:rPr>
          <w:sz w:val="20"/>
          <w:szCs w:val="20"/>
          <w:color w:val="auto"/>
        </w:rPr>
      </w:pPr>
      <w:r>
        <w:rPr>
          <w:rFonts w:ascii="Times New Roman" w:cs="Times New Roman" w:eastAsia="Times New Roman" w:hAnsi="Times New Roman"/>
          <w:sz w:val="17"/>
          <w:szCs w:val="17"/>
          <w:color w:val="auto"/>
        </w:rPr>
        <w:t>As of March 31, 2022, future estimated revenue related to performance obligations that were unsatisfied or partially unsatisfied was $753.6 million. The substantial majority of the unsatisfied performance obligations will be satisfied over the next twelve months.</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21" w:lineRule="exact"/>
        <w:rPr>
          <w:sz w:val="20"/>
          <w:szCs w:val="20"/>
          <w:color w:val="auto"/>
        </w:rPr>
      </w:pPr>
    </w:p>
    <w:p>
      <w:pPr>
        <w:ind w:firstLine="430"/>
        <w:spacing w:after="0" w:line="263" w:lineRule="auto"/>
        <w:rPr>
          <w:sz w:val="20"/>
          <w:szCs w:val="20"/>
          <w:color w:val="auto"/>
        </w:rPr>
      </w:pPr>
      <w:r>
        <w:rPr>
          <w:rFonts w:ascii="Times New Roman" w:cs="Times New Roman" w:eastAsia="Times New Roman" w:hAnsi="Times New Roman"/>
          <w:sz w:val="17"/>
          <w:szCs w:val="17"/>
          <w:color w:val="auto"/>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 based vesting condition over a four-year period vesting quarterly, as the only stock-based payment awards to its employees, with the exception of awards granted to its co-founders and certain executives, and has not granted any stock options to employees under the Dropbox Equity Incentive Plans. The Company recognizes compensation expense associated with RSUs on a straight-line basis over the requisite service period and accounts for forfeitures in the period in which they occur.</w:t>
      </w:r>
    </w:p>
    <w:p>
      <w:pPr>
        <w:spacing w:after="0" w:line="201" w:lineRule="exact"/>
        <w:rPr>
          <w:sz w:val="20"/>
          <w:szCs w:val="20"/>
          <w:color w:val="auto"/>
        </w:rPr>
      </w:pPr>
    </w:p>
    <w:p>
      <w:pPr>
        <w:ind w:right="40" w:firstLine="430"/>
        <w:spacing w:after="0" w:line="294" w:lineRule="auto"/>
        <w:rPr>
          <w:sz w:val="20"/>
          <w:szCs w:val="20"/>
          <w:color w:val="auto"/>
        </w:rPr>
      </w:pPr>
      <w:r>
        <w:rPr>
          <w:rFonts w:ascii="Times New Roman" w:cs="Times New Roman" w:eastAsia="Times New Roman" w:hAnsi="Times New Roman"/>
          <w:sz w:val="17"/>
          <w:szCs w:val="17"/>
          <w:color w:val="auto"/>
        </w:rPr>
        <w:t>The Board of Directors determines the fair value of each share of underlying common stock based on the closing price of the Company's Class A common stock as reported on the Nasdaq Global Select Market on the date of the grant.</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6" w:lineRule="exact"/>
        <w:rPr>
          <w:sz w:val="20"/>
          <w:szCs w:val="20"/>
          <w:color w:val="auto"/>
        </w:rPr>
      </w:pPr>
    </w:p>
    <w:p>
      <w:pPr>
        <w:ind w:right="200" w:firstLine="430"/>
        <w:spacing w:after="0" w:line="268" w:lineRule="auto"/>
        <w:rPr>
          <w:sz w:val="20"/>
          <w:szCs w:val="20"/>
          <w:color w:val="auto"/>
        </w:rPr>
      </w:pPr>
      <w:r>
        <w:rPr>
          <w:rFonts w:ascii="Times New Roman" w:cs="Times New Roman" w:eastAsia="Times New Roman" w:hAnsi="Times New Roman"/>
          <w:sz w:val="17"/>
          <w:szCs w:val="17"/>
          <w:color w:val="auto"/>
        </w:rPr>
        <w:t>In connection with the acquisition of DocSend, Inc. (“DocSend”), the Company assumed unvested stock options and an immaterial number of unvested RSUs that had been granted under DocSend's 2013 Stock Plan and DocSend's 2015 Stock Option and Grant Plan. The fair value of the DocSend options assumed were based upon the Black-Scholes option-pricing model. See Note 12 "Stockholders' Deficit" to our condensed consolidated financial statements included elsewhere in this Quarterly Report on Form 10-Q for further information.</w:t>
      </w:r>
    </w:p>
    <w:p>
      <w:pPr>
        <w:spacing w:after="0" w:line="196" w:lineRule="exact"/>
        <w:rPr>
          <w:sz w:val="20"/>
          <w:szCs w:val="20"/>
          <w:color w:val="auto"/>
        </w:rPr>
      </w:pPr>
    </w:p>
    <w:p>
      <w:pPr>
        <w:ind w:firstLine="430"/>
        <w:spacing w:after="0" w:line="260" w:lineRule="auto"/>
        <w:rPr>
          <w:sz w:val="20"/>
          <w:szCs w:val="20"/>
          <w:color w:val="auto"/>
        </w:rPr>
      </w:pPr>
      <w:r>
        <w:rPr>
          <w:rFonts w:ascii="Times New Roman" w:cs="Times New Roman" w:eastAsia="Times New Roman" w:hAnsi="Times New Roman"/>
          <w:sz w:val="17"/>
          <w:szCs w:val="17"/>
          <w:color w:val="auto"/>
        </w:rPr>
        <w:t>In December 2017, the Board of Directors approved the Company’s Co-Founder Grant, consisting of 10.3 million shares of Class A Common Stock in the form of restricted stock awards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Company estimated the grant date fair value of the Co-Founder Grant using a model based on multiple stock price paths developed through the use of a Monte Carlo simulation that incorporates into the valuation the possibility that the Stock Price Targets may not be satisfied. The first tranche of Mr. Houston's Co-Founder Grant vested in the fourth quarter of 2021. The stock-based compensation expense for Mr. Houston's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 See Note 12, "Stockholders' Deficit" to our condensed consolidated financial statements included elsewhere in this Quarterly Report on Form 10-Q for further information.</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121" w:lineRule="exact"/>
        <w:rPr>
          <w:sz w:val="20"/>
          <w:szCs w:val="20"/>
          <w:color w:val="auto"/>
        </w:rPr>
      </w:pPr>
    </w:p>
    <w:p>
      <w:pPr>
        <w:ind w:right="40" w:firstLine="430"/>
        <w:spacing w:after="0" w:line="260" w:lineRule="auto"/>
        <w:rPr>
          <w:sz w:val="20"/>
          <w:szCs w:val="20"/>
          <w:color w:val="auto"/>
        </w:rPr>
      </w:pPr>
      <w:r>
        <w:rPr>
          <w:rFonts w:ascii="Times New Roman" w:cs="Times New Roman" w:eastAsia="Times New Roman" w:hAnsi="Times New Roman"/>
          <w:sz w:val="17"/>
          <w:szCs w:val="17"/>
          <w:color w:val="auto"/>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costs, such as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21" w:lineRule="exact"/>
        <w:rPr>
          <w:sz w:val="20"/>
          <w:szCs w:val="20"/>
          <w:color w:val="auto"/>
        </w:rPr>
      </w:pPr>
    </w:p>
    <w:p>
      <w:pPr>
        <w:ind w:right="140" w:firstLine="430"/>
        <w:spacing w:after="0" w:line="275" w:lineRule="auto"/>
        <w:rPr>
          <w:sz w:val="20"/>
          <w:szCs w:val="20"/>
          <w:color w:val="auto"/>
        </w:rPr>
      </w:pPr>
      <w:r>
        <w:rPr>
          <w:rFonts w:ascii="Times New Roman" w:cs="Times New Roman" w:eastAsia="Times New Roman" w:hAnsi="Times New Roman"/>
          <w:sz w:val="17"/>
          <w:szCs w:val="17"/>
          <w:color w:val="auto"/>
        </w:rPr>
        <w:t>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w:t>
      </w:r>
    </w:p>
    <w:p>
      <w:pPr>
        <w:spacing w:after="0" w:line="189" w:lineRule="exact"/>
        <w:rPr>
          <w:sz w:val="20"/>
          <w:szCs w:val="20"/>
          <w:color w:val="auto"/>
        </w:rPr>
      </w:pPr>
    </w:p>
    <w:p>
      <w:pPr>
        <w:ind w:right="40" w:firstLine="430"/>
        <w:spacing w:after="0" w:line="294" w:lineRule="auto"/>
        <w:rPr>
          <w:sz w:val="20"/>
          <w:szCs w:val="20"/>
          <w:color w:val="auto"/>
        </w:rPr>
      </w:pPr>
      <w:r>
        <w:rPr>
          <w:rFonts w:ascii="Times New Roman" w:cs="Times New Roman" w:eastAsia="Times New Roman" w:hAnsi="Times New Roman"/>
          <w:sz w:val="17"/>
          <w:szCs w:val="17"/>
          <w:color w:val="auto"/>
        </w:rPr>
        <w:t>The Company monitors its credit risk by considering factors such as historical experience, credit ratings, current economic conditions, and reasonable and supportable forecasts.</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Short-term investments</w:t>
      </w:r>
    </w:p>
    <w:p>
      <w:pPr>
        <w:spacing w:after="0" w:line="121" w:lineRule="exact"/>
        <w:rPr>
          <w:sz w:val="20"/>
          <w:szCs w:val="20"/>
          <w:color w:val="auto"/>
        </w:rPr>
      </w:pPr>
    </w:p>
    <w:p>
      <w:pPr>
        <w:ind w:right="20" w:firstLine="430"/>
        <w:spacing w:after="0" w:line="263" w:lineRule="auto"/>
        <w:rPr>
          <w:sz w:val="20"/>
          <w:szCs w:val="20"/>
          <w:color w:val="auto"/>
        </w:rPr>
      </w:pPr>
      <w:r>
        <w:rPr>
          <w:rFonts w:ascii="Times New Roman" w:cs="Times New Roman" w:eastAsia="Times New Roman" w:hAnsi="Times New Roman"/>
          <w:sz w:val="17"/>
          <w:szCs w:val="17"/>
          <w:color w:val="auto"/>
        </w:rPr>
        <w:t>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w:t>
      </w:r>
    </w:p>
    <w:p>
      <w:pPr>
        <w:spacing w:after="0" w:line="201" w:lineRule="exact"/>
        <w:rPr>
          <w:sz w:val="20"/>
          <w:szCs w:val="20"/>
          <w:color w:val="auto"/>
        </w:rPr>
      </w:pPr>
    </w:p>
    <w:p>
      <w:pPr>
        <w:jc w:val="both"/>
        <w:ind w:right="180" w:firstLine="430"/>
        <w:spacing w:after="0" w:line="275" w:lineRule="auto"/>
        <w:rPr>
          <w:sz w:val="20"/>
          <w:szCs w:val="20"/>
          <w:color w:val="auto"/>
        </w:rPr>
      </w:pPr>
      <w:r>
        <w:rPr>
          <w:rFonts w:ascii="Times New Roman" w:cs="Times New Roman" w:eastAsia="Times New Roman" w:hAnsi="Times New Roman"/>
          <w:sz w:val="17"/>
          <w:szCs w:val="17"/>
          <w:color w:val="auto"/>
        </w:rPr>
        <w:t>The Company's short-term investments are recorded at fair value each reporting period. Unrealized gains and losses on these short-term investments are reported as a separate component of accumulated other comprehensive loss in the condensed consolidated balance sheets until realized. Unrealized gains and losses for any short-term investments that management intends</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months ended March 31, 2022 and 2021.</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21" w:lineRule="exact"/>
        <w:rPr>
          <w:sz w:val="20"/>
          <w:szCs w:val="20"/>
          <w:color w:val="auto"/>
        </w:rPr>
      </w:pPr>
    </w:p>
    <w:p>
      <w:pPr>
        <w:ind w:right="80" w:firstLine="430"/>
        <w:spacing w:after="0" w:line="28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primarily of cash, cash equivalents, accounts receivable, and short-term investments. The Company places its cash and cash equivalents and short-term investments with well-established financial institutions.</w:t>
      </w:r>
    </w:p>
    <w:p>
      <w:pPr>
        <w:spacing w:after="0" w:line="393" w:lineRule="exact"/>
        <w:rPr>
          <w:sz w:val="20"/>
          <w:szCs w:val="20"/>
          <w:color w:val="auto"/>
        </w:rPr>
      </w:pPr>
    </w:p>
    <w:p>
      <w:pPr>
        <w:ind w:firstLine="430"/>
        <w:spacing w:after="0" w:line="275" w:lineRule="auto"/>
        <w:rPr>
          <w:sz w:val="20"/>
          <w:szCs w:val="20"/>
          <w:color w:val="auto"/>
        </w:rPr>
      </w:pPr>
      <w:r>
        <w:rPr>
          <w:rFonts w:ascii="Times New Roman" w:cs="Times New Roman" w:eastAsia="Times New Roman" w:hAnsi="Times New Roman"/>
          <w:sz w:val="17"/>
          <w:szCs w:val="17"/>
          <w:color w:val="auto"/>
        </w:rPr>
        <w:t>Trade accounts receivable are typically unsecured and are derived from revenue earned from customers located around the world. Two distribution partners accounted for 14% and 34%, respectively, of total trade and other receivables, net as of March 31, 2022. Two distribution partners accounted for 14% and 29% of total trade and other receivables, net as of December 31, 2021. No customer accounted for more than 10% of the Company’s revenue in the periods presented.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Deferred commissions, net</w:t>
      </w:r>
    </w:p>
    <w:p>
      <w:pPr>
        <w:spacing w:after="0" w:line="121" w:lineRule="exact"/>
        <w:rPr>
          <w:sz w:val="20"/>
          <w:szCs w:val="20"/>
          <w:color w:val="auto"/>
        </w:rPr>
      </w:pPr>
    </w:p>
    <w:p>
      <w:pPr>
        <w:ind w:firstLine="430"/>
        <w:spacing w:after="0" w:line="268" w:lineRule="auto"/>
        <w:rPr>
          <w:sz w:val="20"/>
          <w:szCs w:val="20"/>
          <w:color w:val="auto"/>
        </w:rPr>
      </w:pPr>
      <w:r>
        <w:rPr>
          <w:rFonts w:ascii="Times New Roman" w:cs="Times New Roman" w:eastAsia="Times New Roman" w:hAnsi="Times New Roman"/>
          <w:sz w:val="17"/>
          <w:szCs w:val="17"/>
          <w:color w:val="auto"/>
        </w:rPr>
        <w:t>Deferred commissions, net is stated as gross deferred commissions less accumulated amortization. Sales commissions earned by the Company’s sales force and third-party resellers, as well as related payroll taxes, are considered to be incremental and recoverable costs of obtaining a contract with a customer. These amounts have been capitalized as deferred commissions within prepaid and other current assets and other assets on the condensed consolidated balance sheets. The Company deferred incremental costs of obtaining a contract of $7.6 and $4.9 million during the three months ended March 31, 2022 and 2021 respectively.</w:t>
      </w:r>
    </w:p>
    <w:p>
      <w:pPr>
        <w:spacing w:after="0" w:line="196" w:lineRule="exact"/>
        <w:rPr>
          <w:sz w:val="20"/>
          <w:szCs w:val="20"/>
          <w:color w:val="auto"/>
        </w:rPr>
      </w:pPr>
    </w:p>
    <w:p>
      <w:pPr>
        <w:jc w:val="both"/>
        <w:ind w:right="400" w:firstLine="430"/>
        <w:spacing w:after="0" w:line="275" w:lineRule="auto"/>
        <w:rPr>
          <w:sz w:val="20"/>
          <w:szCs w:val="20"/>
          <w:color w:val="auto"/>
        </w:rPr>
      </w:pPr>
      <w:r>
        <w:rPr>
          <w:rFonts w:ascii="Times New Roman" w:cs="Times New Roman" w:eastAsia="Times New Roman" w:hAnsi="Times New Roman"/>
          <w:sz w:val="17"/>
          <w:szCs w:val="17"/>
          <w:color w:val="auto"/>
        </w:rPr>
        <w:t>Deferred commissions, net included in prepaid and other current assets were $32.0 million and $30.8 million as of March 31, 2022 and December 31, 2021, respectively. Deferred commissions, net included in other assets were $32.0 million and $34.6 million as of March 31, 2022 and December 31, 2021, respectively.</w:t>
      </w:r>
    </w:p>
    <w:p>
      <w:pPr>
        <w:spacing w:after="0" w:line="189" w:lineRule="exact"/>
        <w:rPr>
          <w:sz w:val="20"/>
          <w:szCs w:val="20"/>
          <w:color w:val="auto"/>
        </w:rPr>
      </w:pPr>
    </w:p>
    <w:p>
      <w:pPr>
        <w:ind w:right="220" w:firstLine="430"/>
        <w:spacing w:after="0" w:line="265" w:lineRule="auto"/>
        <w:rPr>
          <w:sz w:val="20"/>
          <w:szCs w:val="20"/>
          <w:color w:val="auto"/>
        </w:rPr>
      </w:pPr>
      <w:r>
        <w:rPr>
          <w:rFonts w:ascii="Times New Roman" w:cs="Times New Roman" w:eastAsia="Times New Roman" w:hAnsi="Times New Roman"/>
          <w:sz w:val="17"/>
          <w:szCs w:val="17"/>
          <w:color w:val="auto"/>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commissions are typically amortized over one year. Amortized costs were $9.0 million and $7.7 million for the three months ended March 31, 2022 and 2021, respectively. Amortized costs are included in sales and marketing expense in the accompanying condensed consolidated statements of operations. There was no material impairment loss in relation to the deferred costs for any period presented.</w:t>
      </w:r>
    </w:p>
    <w:p>
      <w:pPr>
        <w:spacing w:after="0" w:line="1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Property and equipment, net</w:t>
      </w:r>
    </w:p>
    <w:p>
      <w:pPr>
        <w:spacing w:after="0" w:line="121" w:lineRule="exact"/>
        <w:rPr>
          <w:sz w:val="20"/>
          <w:szCs w:val="20"/>
          <w:color w:val="auto"/>
        </w:rPr>
      </w:pPr>
    </w:p>
    <w:p>
      <w:pPr>
        <w:jc w:val="both"/>
        <w:ind w:right="300" w:firstLine="430"/>
        <w:spacing w:after="0" w:line="275" w:lineRule="auto"/>
        <w:rPr>
          <w:sz w:val="20"/>
          <w:szCs w:val="20"/>
          <w:color w:val="auto"/>
        </w:rPr>
      </w:pPr>
      <w:r>
        <w:rPr>
          <w:rFonts w:ascii="Times New Roman" w:cs="Times New Roman" w:eastAsia="Times New Roman" w:hAnsi="Times New Roman"/>
          <w:sz w:val="17"/>
          <w:szCs w:val="17"/>
          <w:color w:val="auto"/>
        </w:rPr>
        <w:t>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4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auto"/>
              </w:rPr>
              <w:t>The following table presents the estimated useful lives of property and equipment:</w:t>
            </w:r>
          </w:p>
        </w:tc>
        <w:tc>
          <w:tcPr>
            <w:tcW w:w="4880" w:type="dxa"/>
            <w:vAlign w:val="bottom"/>
          </w:tcPr>
          <w:p>
            <w:pPr>
              <w:spacing w:after="0"/>
              <w:rPr>
                <w:sz w:val="19"/>
                <w:szCs w:val="19"/>
                <w:color w:val="auto"/>
              </w:rPr>
            </w:pPr>
          </w:p>
        </w:tc>
      </w:tr>
      <w:tr>
        <w:trPr>
          <w:trHeight w:val="483"/>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4880" w:type="dxa"/>
            <w:vAlign w:val="bottom"/>
          </w:tcPr>
          <w:p>
            <w:pPr>
              <w:jc w:val="center"/>
              <w:ind w:right="653"/>
              <w:spacing w:after="0"/>
              <w:rPr>
                <w:sz w:val="20"/>
                <w:szCs w:val="20"/>
                <w:color w:val="auto"/>
              </w:rPr>
            </w:pPr>
            <w:r>
              <w:rPr>
                <w:rFonts w:ascii="Times New Roman" w:cs="Times New Roman" w:eastAsia="Times New Roman" w:hAnsi="Times New Roman"/>
                <w:sz w:val="17"/>
                <w:szCs w:val="17"/>
                <w:b w:val="1"/>
                <w:bCs w:val="1"/>
                <w:color w:val="auto"/>
              </w:rPr>
              <w:t>Useful life</w:t>
            </w:r>
          </w:p>
        </w:tc>
      </w:tr>
      <w:tr>
        <w:trPr>
          <w:trHeight w:val="32"/>
        </w:trPr>
        <w:tc>
          <w:tcPr>
            <w:tcW w:w="5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4880" w:type="dxa"/>
            <w:vAlign w:val="bottom"/>
            <w:tcBorders>
              <w:top w:val="single" w:sz="8" w:color="auto"/>
            </w:tcBorders>
          </w:tcPr>
          <w:p>
            <w:pPr>
              <w:spacing w:after="0"/>
              <w:rPr>
                <w:sz w:val="2"/>
                <w:szCs w:val="2"/>
                <w:color w:val="auto"/>
              </w:rPr>
            </w:pPr>
          </w:p>
        </w:tc>
      </w:tr>
      <w:tr>
        <w:trPr>
          <w:trHeight w:val="222"/>
        </w:trPr>
        <w:tc>
          <w:tcPr>
            <w:tcW w:w="6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4880" w:type="dxa"/>
            <w:vAlign w:val="bottom"/>
            <w:shd w:val="clear" w:color="auto" w:fill="CCEEFF"/>
          </w:tcPr>
          <w:p>
            <w:pPr>
              <w:jc w:val="center"/>
              <w:ind w:right="653"/>
              <w:spacing w:after="0"/>
              <w:rPr>
                <w:sz w:val="20"/>
                <w:szCs w:val="20"/>
                <w:color w:val="auto"/>
              </w:rPr>
            </w:pPr>
            <w:r>
              <w:rPr>
                <w:rFonts w:ascii="Times New Roman" w:cs="Times New Roman" w:eastAsia="Times New Roman" w:hAnsi="Times New Roman"/>
                <w:sz w:val="17"/>
                <w:szCs w:val="17"/>
                <w:color w:val="auto"/>
              </w:rPr>
              <w:t>20 to 30 years</w:t>
            </w:r>
          </w:p>
        </w:tc>
      </w:tr>
      <w:tr>
        <w:trPr>
          <w:trHeight w:val="222"/>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Datacenter and other computer equipment</w:t>
            </w:r>
          </w:p>
        </w:tc>
        <w:tc>
          <w:tcPr>
            <w:tcW w:w="4880" w:type="dxa"/>
            <w:vAlign w:val="bottom"/>
          </w:tcPr>
          <w:p>
            <w:pPr>
              <w:jc w:val="center"/>
              <w:ind w:right="653"/>
              <w:spacing w:after="0"/>
              <w:rPr>
                <w:sz w:val="20"/>
                <w:szCs w:val="20"/>
                <w:color w:val="auto"/>
              </w:rPr>
            </w:pPr>
            <w:r>
              <w:rPr>
                <w:rFonts w:ascii="Times New Roman" w:cs="Times New Roman" w:eastAsia="Times New Roman" w:hAnsi="Times New Roman"/>
                <w:sz w:val="17"/>
                <w:szCs w:val="17"/>
                <w:color w:val="auto"/>
              </w:rPr>
              <w:t>3 to 5 years</w:t>
            </w:r>
          </w:p>
        </w:tc>
      </w:tr>
      <w:tr>
        <w:trPr>
          <w:trHeight w:val="222"/>
        </w:trPr>
        <w:tc>
          <w:tcPr>
            <w:tcW w:w="6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equipment and other</w:t>
            </w:r>
          </w:p>
        </w:tc>
        <w:tc>
          <w:tcPr>
            <w:tcW w:w="4880" w:type="dxa"/>
            <w:vAlign w:val="bottom"/>
            <w:shd w:val="clear" w:color="auto" w:fill="CCEEFF"/>
          </w:tcPr>
          <w:p>
            <w:pPr>
              <w:jc w:val="center"/>
              <w:ind w:right="653"/>
              <w:spacing w:after="0"/>
              <w:rPr>
                <w:sz w:val="20"/>
                <w:szCs w:val="20"/>
                <w:color w:val="auto"/>
              </w:rPr>
            </w:pPr>
            <w:r>
              <w:rPr>
                <w:rFonts w:ascii="Times New Roman" w:cs="Times New Roman" w:eastAsia="Times New Roman" w:hAnsi="Times New Roman"/>
                <w:sz w:val="17"/>
                <w:szCs w:val="17"/>
                <w:color w:val="auto"/>
              </w:rPr>
              <w:t>3 to 7 years</w:t>
            </w:r>
          </w:p>
        </w:tc>
      </w:tr>
      <w:tr>
        <w:trPr>
          <w:trHeight w:val="227"/>
        </w:trPr>
        <w:tc>
          <w:tcPr>
            <w:tcW w:w="63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4880" w:type="dxa"/>
            <w:vAlign w:val="bottom"/>
          </w:tcPr>
          <w:p>
            <w:pPr>
              <w:jc w:val="center"/>
              <w:ind w:right="653"/>
              <w:spacing w:after="0"/>
              <w:rPr>
                <w:sz w:val="20"/>
                <w:szCs w:val="20"/>
                <w:color w:val="auto"/>
              </w:rPr>
            </w:pPr>
            <w:r>
              <w:rPr>
                <w:rFonts w:ascii="Times New Roman" w:cs="Times New Roman" w:eastAsia="Times New Roman" w:hAnsi="Times New Roman"/>
                <w:sz w:val="17"/>
                <w:szCs w:val="17"/>
                <w:color w:val="auto"/>
              </w:rPr>
              <w:t>Lesser of estimated useful life or remaining lease term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Lease obligations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leases office space, data centers, and equipment under non-cancelable finance and operating leases with various expiration dates through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2036. The Company determines if an arrangement contains a lease at inception.</w:t>
      </w:r>
    </w:p>
    <w:p>
      <w:pPr>
        <w:spacing w:after="0" w:line="230" w:lineRule="exact"/>
        <w:rPr>
          <w:sz w:val="20"/>
          <w:szCs w:val="20"/>
          <w:color w:val="auto"/>
        </w:rPr>
      </w:pPr>
    </w:p>
    <w:p>
      <w:pPr>
        <w:ind w:right="20" w:firstLine="430"/>
        <w:spacing w:after="0" w:line="268" w:lineRule="auto"/>
        <w:rPr>
          <w:sz w:val="20"/>
          <w:szCs w:val="20"/>
          <w:color w:val="auto"/>
        </w:rPr>
      </w:pPr>
      <w:r>
        <w:rPr>
          <w:rFonts w:ascii="Times New Roman" w:cs="Times New Roman" w:eastAsia="Times New Roman" w:hAnsi="Times New Roman"/>
          <w:sz w:val="17"/>
          <w:szCs w:val="17"/>
          <w:color w:val="auto"/>
        </w:rPr>
        <w:t>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w:t>
      </w:r>
    </w:p>
    <w:p>
      <w:pPr>
        <w:spacing w:after="0" w:line="196" w:lineRule="exact"/>
        <w:rPr>
          <w:sz w:val="20"/>
          <w:szCs w:val="20"/>
          <w:color w:val="auto"/>
        </w:rPr>
      </w:pPr>
    </w:p>
    <w:p>
      <w:pPr>
        <w:ind w:right="120" w:firstLine="430"/>
        <w:spacing w:after="0" w:line="265" w:lineRule="auto"/>
        <w:rPr>
          <w:sz w:val="20"/>
          <w:szCs w:val="20"/>
          <w:color w:val="auto"/>
        </w:rPr>
      </w:pPr>
      <w:r>
        <w:rPr>
          <w:rFonts w:ascii="Times New Roman" w:cs="Times New Roman" w:eastAsia="Times New Roman" w:hAnsi="Times New Roman"/>
          <w:sz w:val="17"/>
          <w:szCs w:val="17"/>
          <w:color w:val="auto"/>
        </w:rPr>
        <w:t>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w:t>
      </w:r>
    </w:p>
    <w:p>
      <w:pPr>
        <w:spacing w:after="0" w:line="199" w:lineRule="exact"/>
        <w:rPr>
          <w:sz w:val="20"/>
          <w:szCs w:val="20"/>
          <w:color w:val="auto"/>
        </w:rPr>
      </w:pPr>
    </w:p>
    <w:p>
      <w:pPr>
        <w:ind w:right="320" w:firstLine="430"/>
        <w:spacing w:after="0" w:line="294" w:lineRule="auto"/>
        <w:rPr>
          <w:sz w:val="20"/>
          <w:szCs w:val="20"/>
          <w:color w:val="auto"/>
        </w:rPr>
      </w:pPr>
      <w:r>
        <w:rPr>
          <w:rFonts w:ascii="Times New Roman" w:cs="Times New Roman" w:eastAsia="Times New Roman" w:hAnsi="Times New Roman"/>
          <w:sz w:val="17"/>
          <w:szCs w:val="17"/>
          <w:color w:val="auto"/>
        </w:rPr>
        <w:t>In addition, certain operating lease agreements contain tenant improvement allowances from its landlords. These allowances are accounted for as lease incentives and decrease the Company's right-of-use asset and reduce single lease cost over the lease term.</w:t>
      </w:r>
    </w:p>
    <w:p>
      <w:pPr>
        <w:spacing w:after="0" w:line="173" w:lineRule="exact"/>
        <w:rPr>
          <w:sz w:val="20"/>
          <w:szCs w:val="20"/>
          <w:color w:val="auto"/>
        </w:rPr>
      </w:pPr>
    </w:p>
    <w:p>
      <w:pPr>
        <w:ind w:firstLine="430"/>
        <w:spacing w:after="0" w:line="263" w:lineRule="auto"/>
        <w:rPr>
          <w:sz w:val="20"/>
          <w:szCs w:val="20"/>
          <w:color w:val="auto"/>
        </w:rPr>
      </w:pPr>
      <w:r>
        <w:rPr>
          <w:rFonts w:ascii="Times New Roman" w:cs="Times New Roman" w:eastAsia="Times New Roman" w:hAnsi="Times New Roman"/>
          <w:sz w:val="17"/>
          <w:szCs w:val="17"/>
          <w:color w:val="auto"/>
        </w:rPr>
        <w:t>As part of the Company's Virtual First strategy, Dropbox has retained a portion of its office space for in-person collaboration while the remainder will be subleased. During the first quarter of 2022, the Company did not recognize any impairment charge related to right-of-use assets and other lease related property and equipment assets. During the first quarter of 2021, the Company recorded an impairment charge of $17.3 million related to right-of-use assets and other lease related property and real estate assets acquired as part of the acquisition of DocSend in the first quarter of 2021. These impairment charges were recorded as a result of the Company's decision to move towards a Virtual First work model. See Note 9 "Leases" to our condensed consolidated financial statements included elsewhere in this Quarterly Report on Form 10-Q for further information.</w:t>
      </w:r>
    </w:p>
    <w:p>
      <w:pPr>
        <w:spacing w:after="0" w:line="201" w:lineRule="exact"/>
        <w:rPr>
          <w:sz w:val="20"/>
          <w:szCs w:val="20"/>
          <w:color w:val="auto"/>
        </w:rPr>
      </w:pPr>
    </w:p>
    <w:p>
      <w:pPr>
        <w:ind w:firstLine="430"/>
        <w:spacing w:after="0" w:line="265" w:lineRule="auto"/>
        <w:rPr>
          <w:sz w:val="20"/>
          <w:szCs w:val="20"/>
          <w:color w:val="auto"/>
        </w:rPr>
      </w:pPr>
      <w:r>
        <w:rPr>
          <w:rFonts w:ascii="Times New Roman" w:cs="Times New Roman" w:eastAsia="Times New Roman" w:hAnsi="Times New Roman"/>
          <w:sz w:val="17"/>
          <w:szCs w:val="17"/>
          <w:color w:val="auto"/>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spacing w:after="0" w:line="199" w:lineRule="exact"/>
        <w:rPr>
          <w:sz w:val="20"/>
          <w:szCs w:val="20"/>
          <w:color w:val="auto"/>
        </w:rPr>
      </w:pPr>
    </w:p>
    <w:p>
      <w:pPr>
        <w:ind w:right="240" w:firstLine="430"/>
        <w:spacing w:after="0" w:line="275" w:lineRule="auto"/>
        <w:rPr>
          <w:sz w:val="20"/>
          <w:szCs w:val="20"/>
          <w:color w:val="auto"/>
        </w:rPr>
      </w:pPr>
      <w:r>
        <w:rPr>
          <w:rFonts w:ascii="Times New Roman" w:cs="Times New Roman" w:eastAsia="Times New Roman" w:hAnsi="Times New Roman"/>
          <w:sz w:val="17"/>
          <w:szCs w:val="17"/>
          <w:color w:val="auto"/>
        </w:rPr>
        <w:t>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w:t>
      </w: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w:t>
      </w:r>
    </w:p>
    <w:p>
      <w:pPr>
        <w:spacing w:after="0" w:line="121" w:lineRule="exact"/>
        <w:rPr>
          <w:sz w:val="20"/>
          <w:szCs w:val="20"/>
          <w:color w:val="auto"/>
        </w:rPr>
      </w:pPr>
    </w:p>
    <w:p>
      <w:pPr>
        <w:ind w:right="180" w:firstLine="430"/>
        <w:spacing w:after="0" w:line="268" w:lineRule="auto"/>
        <w:rPr>
          <w:sz w:val="20"/>
          <w:szCs w:val="20"/>
          <w:color w:val="auto"/>
        </w:rPr>
      </w:pPr>
      <w:r>
        <w:rPr>
          <w:rFonts w:ascii="Times New Roman" w:cs="Times New Roman" w:eastAsia="Times New Roman" w:hAnsi="Times New Roman"/>
          <w:sz w:val="17"/>
          <w:szCs w:val="17"/>
          <w:color w:val="auto"/>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w:t>
      </w:r>
    </w:p>
    <w:p>
      <w:pPr>
        <w:spacing w:after="0" w:line="66" w:lineRule="exact"/>
        <w:rPr>
          <w:sz w:val="20"/>
          <w:szCs w:val="20"/>
          <w:color w:val="auto"/>
        </w:rPr>
      </w:pPr>
    </w:p>
    <w:p>
      <w:pPr>
        <w:ind w:firstLine="430"/>
        <w:spacing w:after="0" w:line="294" w:lineRule="auto"/>
        <w:rPr>
          <w:sz w:val="20"/>
          <w:szCs w:val="20"/>
          <w:color w:val="auto"/>
        </w:rPr>
      </w:pPr>
      <w:r>
        <w:rPr>
          <w:rFonts w:ascii="Times New Roman" w:cs="Times New Roman" w:eastAsia="Times New Roman" w:hAnsi="Times New Roman"/>
          <w:sz w:val="17"/>
          <w:szCs w:val="17"/>
          <w:color w:val="auto"/>
        </w:rPr>
        <w:t>Upon the conclusion of the measurement period or final determination of the fair value of assets acquired or liabilities assumed, whichever comes first, any subsequent adjustments are recorded to the Company’s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 including goodwill and other acquired intangible assets, net</w:t>
      </w:r>
    </w:p>
    <w:p>
      <w:pPr>
        <w:spacing w:after="0" w:line="121" w:lineRule="exact"/>
        <w:rPr>
          <w:sz w:val="20"/>
          <w:szCs w:val="20"/>
          <w:color w:val="auto"/>
        </w:rPr>
      </w:pPr>
    </w:p>
    <w:p>
      <w:pPr>
        <w:jc w:val="both"/>
        <w:ind w:right="220" w:firstLine="430"/>
        <w:spacing w:after="0" w:line="265" w:lineRule="auto"/>
        <w:rPr>
          <w:sz w:val="20"/>
          <w:szCs w:val="20"/>
          <w:color w:val="auto"/>
        </w:rPr>
      </w:pPr>
      <w:r>
        <w:rPr>
          <w:rFonts w:ascii="Times New Roman" w:cs="Times New Roman" w:eastAsia="Times New Roman" w:hAnsi="Times New Roman"/>
          <w:sz w:val="17"/>
          <w:szCs w:val="17"/>
          <w:color w:val="auto"/>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spacing w:after="0" w:line="199" w:lineRule="exact"/>
        <w:rPr>
          <w:sz w:val="20"/>
          <w:szCs w:val="20"/>
          <w:color w:val="auto"/>
        </w:rPr>
      </w:pPr>
    </w:p>
    <w:p>
      <w:pPr>
        <w:ind w:right="360" w:firstLine="430"/>
        <w:spacing w:after="0" w:line="294" w:lineRule="auto"/>
        <w:rPr>
          <w:sz w:val="20"/>
          <w:szCs w:val="20"/>
          <w:color w:val="auto"/>
        </w:rPr>
      </w:pPr>
      <w:r>
        <w:rPr>
          <w:rFonts w:ascii="Times New Roman" w:cs="Times New Roman" w:eastAsia="Times New Roman" w:hAnsi="Times New Roman"/>
          <w:sz w:val="17"/>
          <w:szCs w:val="17"/>
          <w:color w:val="auto"/>
        </w:rPr>
        <w:t>The Company reviews goodwill for impairment at least annually in the fourth quarter, or more frequently if events or changes in circumstances would more likely than not reduce the fair value of its single reporting unit below its carrying value.</w:t>
      </w:r>
    </w:p>
    <w:p>
      <w:pPr>
        <w:spacing w:after="0" w:line="173" w:lineRule="exact"/>
        <w:rPr>
          <w:sz w:val="20"/>
          <w:szCs w:val="20"/>
          <w:color w:val="auto"/>
        </w:rPr>
      </w:pPr>
    </w:p>
    <w:p>
      <w:pPr>
        <w:ind w:right="240" w:firstLine="430"/>
        <w:spacing w:after="0" w:line="294" w:lineRule="auto"/>
        <w:rPr>
          <w:sz w:val="20"/>
          <w:szCs w:val="20"/>
          <w:color w:val="auto"/>
        </w:rPr>
      </w:pPr>
      <w:r>
        <w:rPr>
          <w:rFonts w:ascii="Times New Roman" w:cs="Times New Roman" w:eastAsia="Times New Roman" w:hAnsi="Times New Roman"/>
          <w:sz w:val="17"/>
          <w:szCs w:val="17"/>
          <w:color w:val="auto"/>
        </w:rPr>
        <w:t>The Company has not recorded impairment charges on goodwill or intangible assets for the periods presented in these condensed consolidated financial statements.</w:t>
      </w:r>
    </w:p>
    <w:p>
      <w:pPr>
        <w:spacing w:after="0" w:line="173" w:lineRule="exact"/>
        <w:rPr>
          <w:sz w:val="20"/>
          <w:szCs w:val="20"/>
          <w:color w:val="auto"/>
        </w:rPr>
      </w:pPr>
    </w:p>
    <w:p>
      <w:pPr>
        <w:ind w:right="260" w:firstLine="391"/>
        <w:spacing w:after="0" w:line="275" w:lineRule="auto"/>
        <w:rPr>
          <w:sz w:val="20"/>
          <w:szCs w:val="20"/>
          <w:color w:val="auto"/>
        </w:rPr>
      </w:pPr>
      <w:r>
        <w:rPr>
          <w:rFonts w:ascii="Times New Roman" w:cs="Times New Roman" w:eastAsia="Times New Roman" w:hAnsi="Times New Roman"/>
          <w:sz w:val="17"/>
          <w:szCs w:val="17"/>
          <w:color w:val="auto"/>
        </w:rPr>
        <w:t>During the first quarter of 2021, the Company recorded impairment charges in conjunction with the Company's decision to move towards a Virtual First work model. See Note 9 "Leases" to our condensed consolidated financial statements included elsewhere in this Quarterly Report on Form 10-Q for further information. The Company did not record impairment during the first quarter of 2022.</w:t>
      </w:r>
    </w:p>
    <w:p>
      <w:pPr>
        <w:spacing w:after="0" w:line="189" w:lineRule="exact"/>
        <w:rPr>
          <w:sz w:val="20"/>
          <w:szCs w:val="20"/>
          <w:color w:val="auto"/>
        </w:rPr>
      </w:pPr>
    </w:p>
    <w:p>
      <w:pPr>
        <w:ind w:right="120" w:firstLine="430"/>
        <w:spacing w:after="0" w:line="268" w:lineRule="auto"/>
        <w:rPr>
          <w:sz w:val="20"/>
          <w:szCs w:val="20"/>
          <w:color w:val="auto"/>
        </w:rPr>
      </w:pPr>
      <w:r>
        <w:rPr>
          <w:rFonts w:ascii="Times New Roman" w:cs="Times New Roman" w:eastAsia="Times New Roman" w:hAnsi="Times New Roman"/>
          <w:sz w:val="17"/>
          <w:szCs w:val="17"/>
          <w:color w:val="auto"/>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1" w:lineRule="exact"/>
        <w:rPr>
          <w:sz w:val="20"/>
          <w:szCs w:val="20"/>
          <w:color w:val="auto"/>
        </w:rPr>
      </w:pPr>
    </w:p>
    <w:p>
      <w:pPr>
        <w:ind w:right="120" w:firstLine="430"/>
        <w:spacing w:after="0" w:line="275" w:lineRule="auto"/>
        <w:rPr>
          <w:sz w:val="20"/>
          <w:szCs w:val="20"/>
          <w:color w:val="auto"/>
        </w:rPr>
      </w:pPr>
      <w:r>
        <w:rPr>
          <w:rFonts w:ascii="Times New Roman" w:cs="Times New Roman" w:eastAsia="Times New Roman" w:hAnsi="Times New Roman"/>
          <w:sz w:val="17"/>
          <w:szCs w:val="17"/>
          <w:color w:val="auto"/>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spacing w:after="0" w:line="189" w:lineRule="exact"/>
        <w:rPr>
          <w:sz w:val="20"/>
          <w:szCs w:val="20"/>
          <w:color w:val="auto"/>
        </w:rPr>
      </w:pPr>
    </w:p>
    <w:p>
      <w:pPr>
        <w:ind w:right="120" w:firstLine="430"/>
        <w:spacing w:after="0" w:line="275" w:lineRule="auto"/>
        <w:rPr>
          <w:sz w:val="20"/>
          <w:szCs w:val="20"/>
          <w:color w:val="auto"/>
        </w:rPr>
      </w:pPr>
      <w:r>
        <w:rPr>
          <w:rFonts w:ascii="Times New Roman" w:cs="Times New Roman" w:eastAsia="Times New Roman" w:hAnsi="Times New Roman"/>
          <w:sz w:val="17"/>
          <w:szCs w:val="17"/>
          <w:color w:val="auto"/>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spacing w:after="0" w:line="189" w:lineRule="exact"/>
        <w:rPr>
          <w:sz w:val="20"/>
          <w:szCs w:val="20"/>
          <w:color w:val="auto"/>
        </w:rPr>
      </w:pPr>
    </w:p>
    <w:p>
      <w:pPr>
        <w:ind w:right="60" w:firstLine="430"/>
        <w:spacing w:after="0" w:line="268" w:lineRule="auto"/>
        <w:rPr>
          <w:sz w:val="20"/>
          <w:szCs w:val="20"/>
          <w:color w:val="auto"/>
        </w:rPr>
      </w:pPr>
      <w:r>
        <w:rPr>
          <w:rFonts w:ascii="Times New Roman" w:cs="Times New Roman" w:eastAsia="Times New Roman" w:hAnsi="Times New Roman"/>
          <w:sz w:val="17"/>
          <w:szCs w:val="17"/>
          <w:color w:val="auto"/>
        </w:rPr>
        <w:t>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w:t>
      </w:r>
    </w:p>
    <w:p>
      <w:pPr>
        <w:spacing w:after="0" w:line="196" w:lineRule="exact"/>
        <w:rPr>
          <w:sz w:val="20"/>
          <w:szCs w:val="20"/>
          <w:color w:val="auto"/>
        </w:rPr>
      </w:pPr>
    </w:p>
    <w:p>
      <w:pPr>
        <w:ind w:right="340" w:firstLine="430"/>
        <w:spacing w:after="0" w:line="268" w:lineRule="auto"/>
        <w:rPr>
          <w:sz w:val="20"/>
          <w:szCs w:val="20"/>
          <w:color w:val="auto"/>
        </w:rPr>
      </w:pPr>
      <w:r>
        <w:rPr>
          <w:rFonts w:ascii="Times New Roman" w:cs="Times New Roman" w:eastAsia="Times New Roman" w:hAnsi="Times New Roman"/>
          <w:sz w:val="17"/>
          <w:szCs w:val="17"/>
          <w:color w:val="auto"/>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spacing w:after="0" w:line="196" w:lineRule="exact"/>
        <w:rPr>
          <w:sz w:val="20"/>
          <w:szCs w:val="20"/>
          <w:color w:val="auto"/>
        </w:rPr>
      </w:pPr>
    </w:p>
    <w:p>
      <w:pPr>
        <w:jc w:val="both"/>
        <w:ind w:firstLine="430"/>
        <w:spacing w:after="0" w:line="294" w:lineRule="auto"/>
        <w:rPr>
          <w:sz w:val="20"/>
          <w:szCs w:val="20"/>
          <w:color w:val="auto"/>
        </w:rPr>
      </w:pPr>
      <w:r>
        <w:rPr>
          <w:rFonts w:ascii="Times New Roman" w:cs="Times New Roman" w:eastAsia="Times New Roman" w:hAnsi="Times New Roman"/>
          <w:sz w:val="17"/>
          <w:szCs w:val="17"/>
          <w:color w:val="auto"/>
        </w:rPr>
        <w:t>To the extent that the final tax outcome of these matters is different than the amounts recorded, such differences will affect the (provision for) benefit from income taxes in the period in which such determination is made and could have a material impact on the Company’s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w:t>
      </w:r>
    </w:p>
    <w:p>
      <w:pPr>
        <w:spacing w:after="0" w:line="121" w:lineRule="exact"/>
        <w:rPr>
          <w:sz w:val="20"/>
          <w:szCs w:val="20"/>
          <w:color w:val="auto"/>
        </w:rPr>
      </w:pPr>
    </w:p>
    <w:p>
      <w:pPr>
        <w:ind w:right="40" w:firstLine="430"/>
        <w:spacing w:after="0" w:line="262" w:lineRule="auto"/>
        <w:rPr>
          <w:sz w:val="20"/>
          <w:szCs w:val="20"/>
          <w:color w:val="auto"/>
        </w:rPr>
      </w:pPr>
      <w:r>
        <w:rPr>
          <w:rFonts w:ascii="Times New Roman" w:cs="Times New Roman" w:eastAsia="Times New Roman" w:hAnsi="Times New Roman"/>
          <w:sz w:val="17"/>
          <w:szCs w:val="17"/>
          <w:color w:val="auto"/>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i w:val="1"/>
          <w:iCs w:val="1"/>
          <w:color w:val="auto"/>
        </w:rPr>
        <w:t>Level 1</w:t>
      </w:r>
      <w:r>
        <w:rPr>
          <w:rFonts w:ascii="Times New Roman" w:cs="Times New Roman" w:eastAsia="Times New Roman" w:hAnsi="Times New Roman"/>
          <w:sz w:val="17"/>
          <w:szCs w:val="17"/>
          <w:color w:val="auto"/>
        </w:rPr>
        <w:t>—Quoted prices in active markets for identical assets or liabilities.</w:t>
      </w:r>
    </w:p>
    <w:p>
      <w:pPr>
        <w:spacing w:after="0" w:line="117" w:lineRule="exact"/>
        <w:rPr>
          <w:sz w:val="20"/>
          <w:szCs w:val="20"/>
          <w:color w:val="auto"/>
        </w:rPr>
      </w:pPr>
    </w:p>
    <w:p>
      <w:pPr>
        <w:jc w:val="both"/>
        <w:ind w:left="480" w:right="300"/>
        <w:spacing w:after="0" w:line="276" w:lineRule="auto"/>
        <w:rPr>
          <w:sz w:val="20"/>
          <w:szCs w:val="20"/>
          <w:color w:val="auto"/>
        </w:rPr>
      </w:pPr>
      <w:r>
        <w:rPr>
          <w:rFonts w:ascii="Times New Roman" w:cs="Times New Roman" w:eastAsia="Times New Roman" w:hAnsi="Times New Roman"/>
          <w:sz w:val="17"/>
          <w:szCs w:val="17"/>
          <w:i w:val="1"/>
          <w:iCs w:val="1"/>
          <w:color w:val="auto"/>
        </w:rPr>
        <w:t>Level 2</w:t>
      </w:r>
      <w:r>
        <w:rPr>
          <w:rFonts w:ascii="Times New Roman" w:cs="Times New Roman" w:eastAsia="Times New Roman" w:hAnsi="Times New Roman"/>
          <w:sz w:val="17"/>
          <w:szCs w:val="17"/>
          <w:color w:val="auto"/>
        </w:rPr>
        <w:t>—Observable inputs other than quoted prices in active markets for identical assets and liabilities, quoted prices for identical or similar assets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in inactive markets, or other inputs that are observable or can be corroborated by observable market data for substantially the full term of the assets or liabilities.</w:t>
      </w:r>
    </w:p>
    <w:p>
      <w:pPr>
        <w:spacing w:after="0" w:line="56" w:lineRule="exact"/>
        <w:rPr>
          <w:sz w:val="20"/>
          <w:szCs w:val="20"/>
          <w:color w:val="auto"/>
        </w:rPr>
      </w:pPr>
    </w:p>
    <w:p>
      <w:pPr>
        <w:ind w:left="480" w:right="80"/>
        <w:spacing w:after="0" w:line="297"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—Inputs that are generally unobservable and typically reflect management’s estimate of assumptions that market participants would use in pricing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asset or liability.</w:t>
      </w:r>
    </w:p>
    <w:p>
      <w:pPr>
        <w:spacing w:after="0" w:line="1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 not yet adopted</w:t>
      </w:r>
    </w:p>
    <w:p>
      <w:pPr>
        <w:spacing w:after="0" w:line="119" w:lineRule="exact"/>
        <w:rPr>
          <w:sz w:val="20"/>
          <w:szCs w:val="20"/>
          <w:color w:val="auto"/>
        </w:rPr>
      </w:pPr>
    </w:p>
    <w:p>
      <w:pPr>
        <w:ind w:right="20" w:firstLine="430"/>
        <w:spacing w:after="0" w:line="264"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w:t>
      </w:r>
      <w:r>
        <w:rPr>
          <w:rFonts w:ascii="Times New Roman" w:cs="Times New Roman" w:eastAsia="Times New Roman" w:hAnsi="Times New Roman"/>
          <w:sz w:val="17"/>
          <w:szCs w:val="17"/>
          <w:i w:val="1"/>
          <w:iCs w:val="1"/>
          <w:color w:val="auto"/>
        </w:rPr>
        <w:t>Business Combinations (Topic 805): Accounting for Contract Assets and Contract Liabilities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Contracts with Customers, </w:t>
      </w:r>
      <w:r>
        <w:rPr>
          <w:rFonts w:ascii="Times New Roman" w:cs="Times New Roman" w:eastAsia="Times New Roman" w:hAnsi="Times New Roman"/>
          <w:sz w:val="17"/>
          <w:szCs w:val="17"/>
          <w:color w:val="auto"/>
        </w:rPr>
        <w:t>which requires entities to recognize and measure contract assets and contract liabilities acquired in a business combination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accordance with Topic 606, Revenue from Contracts with Customers, instead of fair value at the acquisition date in accordance with Topic 805. The amendments in ASU 2021-08 will result in the acquirer recording acquired contract assets and liabilities on the same basis that would have been recorded by the acquiree before the acquisition under ASC Topic 606. The amendments in ASU 2021-08 are effective for fiscal years beginning after December 15, 2022, with early adoption permitted. The Company is evaluating the effect of adopting this new accounting guidance.</w:t>
      </w:r>
    </w:p>
    <w:p>
      <w:pPr>
        <w:spacing w:after="0" w:line="66" w:lineRule="exact"/>
        <w:rPr>
          <w:sz w:val="20"/>
          <w:szCs w:val="20"/>
          <w:color w:val="auto"/>
        </w:rPr>
      </w:pPr>
    </w:p>
    <w:p>
      <w:pPr>
        <w:ind w:firstLine="430"/>
        <w:spacing w:after="0" w:line="264" w:lineRule="auto"/>
        <w:rPr>
          <w:sz w:val="20"/>
          <w:szCs w:val="20"/>
          <w:color w:val="auto"/>
        </w:rPr>
      </w:pPr>
      <w:r>
        <w:rPr>
          <w:rFonts w:ascii="Times New Roman" w:cs="Times New Roman" w:eastAsia="Times New Roman" w:hAnsi="Times New Roman"/>
          <w:sz w:val="17"/>
          <w:szCs w:val="17"/>
          <w:color w:val="auto"/>
        </w:rPr>
        <w:t xml:space="preserve">In March 2022, the FASB issued ASU 2022-02, </w:t>
      </w:r>
      <w:r>
        <w:rPr>
          <w:rFonts w:ascii="Times New Roman" w:cs="Times New Roman" w:eastAsia="Times New Roman" w:hAnsi="Times New Roman"/>
          <w:sz w:val="17"/>
          <w:szCs w:val="17"/>
          <w:i w:val="1"/>
          <w:iCs w:val="1"/>
          <w:color w:val="auto"/>
        </w:rPr>
        <w:t>Financial Instruments—Credit Losses (Topic 326): Troubled Debt Restructurings and Vintage Disclosures,</w:t>
      </w:r>
      <w:r>
        <w:rPr>
          <w:rFonts w:ascii="Times New Roman" w:cs="Times New Roman" w:eastAsia="Times New Roman" w:hAnsi="Times New Roman"/>
          <w:sz w:val="17"/>
          <w:szCs w:val="17"/>
          <w:color w:val="auto"/>
        </w:rPr>
        <w:t xml:space="preserve"> which eliminates the accounting guidance on troubled debt restructurings for creditors in ASC 310-40 and amends the guidance on "vintage disclosures" to require disclosure of current-period gross write-offs by year of origination. The ASU also updates the requirements related to accounting for credit losses under ASC 326 and adds enhanced disclosures for creditors with respect to loan refinancings and restructurings for borrowers experiencing financial difficulty. The amendments in ASU 2022-02 are effective for fiscal years beginning after December 15, 2022, and interim periods within those fiscal years. The Company does not expect the adoption of ASU 2022-02 to have a significant impact on its consolidated financial statements.</w:t>
      </w:r>
    </w:p>
    <w:p>
      <w:pPr>
        <w:spacing w:after="0" w:line="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pronouncements</w:t>
      </w:r>
    </w:p>
    <w:p>
      <w:pPr>
        <w:spacing w:after="0" w:line="119" w:lineRule="exact"/>
        <w:rPr>
          <w:sz w:val="20"/>
          <w:szCs w:val="20"/>
          <w:color w:val="auto"/>
        </w:rPr>
      </w:pPr>
    </w:p>
    <w:p>
      <w:pPr>
        <w:ind w:firstLine="430"/>
        <w:spacing w:after="0" w:line="266" w:lineRule="auto"/>
        <w:rPr>
          <w:sz w:val="20"/>
          <w:szCs w:val="20"/>
          <w:color w:val="auto"/>
        </w:rPr>
      </w:pPr>
      <w:r>
        <w:rPr>
          <w:rFonts w:ascii="Times New Roman" w:cs="Times New Roman" w:eastAsia="Times New Roman" w:hAnsi="Times New Roman"/>
          <w:sz w:val="17"/>
          <w:szCs w:val="17"/>
          <w:color w:val="auto"/>
        </w:rPr>
        <w:t xml:space="preserve">In May 2021, the FASB issued ASU 2021-04, </w:t>
      </w:r>
      <w:r>
        <w:rPr>
          <w:rFonts w:ascii="Times New Roman" w:cs="Times New Roman" w:eastAsia="Times New Roman" w:hAnsi="Times New Roman"/>
          <w:sz w:val="17"/>
          <w:szCs w:val="17"/>
          <w:i w:val="1"/>
          <w:iCs w:val="1"/>
          <w:color w:val="auto"/>
        </w:rPr>
        <w:t>Earnings Per Share (Topic 260), Debt - Modifications and Extinguishments (Subtopic 470-50),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Compensation - Stock Compensation (Topic 718), and Derivatives and Hedging - Contracts in Entity's Own Equity (Subtopic 815-40) </w:t>
      </w:r>
      <w:r>
        <w:rPr>
          <w:rFonts w:ascii="Times New Roman" w:cs="Times New Roman" w:eastAsia="Times New Roman" w:hAnsi="Times New Roman"/>
          <w:sz w:val="17"/>
          <w:szCs w:val="17"/>
          <w:color w:val="auto"/>
        </w:rPr>
        <w:t>to clarify and reduce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diversity in an issuer’s accounting for modifications or exchanges of freestanding equity-classified written call options (for example, warrants) that remain equity classified after modification or exchange. The Company adopted ASU 2021-04 on January 1, 2022. The adoption of the standard did not have a material impact on the Company's condensed consolidated financial statements.</w:t>
      </w:r>
    </w:p>
    <w:p>
      <w:pPr>
        <w:spacing w:after="0" w:line="299" w:lineRule="exact"/>
        <w:rPr>
          <w:sz w:val="20"/>
          <w:szCs w:val="20"/>
          <w:color w:val="auto"/>
        </w:rPr>
      </w:pPr>
    </w:p>
    <w:p>
      <w:pPr>
        <w:ind w:right="40" w:firstLine="430"/>
        <w:spacing w:after="0" w:line="264" w:lineRule="auto"/>
        <w:rPr>
          <w:sz w:val="20"/>
          <w:szCs w:val="20"/>
          <w:color w:val="auto"/>
        </w:rPr>
      </w:pPr>
      <w:r>
        <w:rPr>
          <w:rFonts w:ascii="Times New Roman" w:cs="Times New Roman" w:eastAsia="Times New Roman" w:hAnsi="Times New Roman"/>
          <w:sz w:val="17"/>
          <w:szCs w:val="17"/>
          <w:color w:val="auto"/>
        </w:rPr>
        <w:t xml:space="preserve">In July 2021, the FASB issued ASU 2021-05, </w:t>
      </w:r>
      <w:r>
        <w:rPr>
          <w:rFonts w:ascii="Times New Roman" w:cs="Times New Roman" w:eastAsia="Times New Roman" w:hAnsi="Times New Roman"/>
          <w:sz w:val="17"/>
          <w:szCs w:val="17"/>
          <w:i w:val="1"/>
          <w:iCs w:val="1"/>
          <w:color w:val="auto"/>
        </w:rPr>
        <w:t>Leases (Topic 842)</w:t>
      </w:r>
      <w:r>
        <w:rPr>
          <w:rFonts w:ascii="Times New Roman" w:cs="Times New Roman" w:eastAsia="Times New Roman" w:hAnsi="Times New Roman"/>
          <w:sz w:val="17"/>
          <w:szCs w:val="17"/>
          <w:color w:val="auto"/>
        </w:rPr>
        <w:t>, which amends ASC 842 so that lessors are no longer required to recognize a selling loss upon commencement of a lease with variable lease payments that, prior to the amendments, would have been classified as a sales-type or direct financing lease. Furthermore, a lessor must classify as an operating lease any lease that would otherwise be classified as a sales-type or direct financing lease and that would result in the recognition of a selling loss at lease commencement, provided that the lease includes variable lease payments that do not depend on an index or rate. The Company adopted ASU 2021-05 on January 1, 2022. The adoption of the standard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Cash, Cash Equivalents and Short-Term Investments</w:t>
      </w: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amortized cost, unrealized gains and losses and estimated fair value of the Company's cash, cash equivalents and short-term investments as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2022 and December 31, 2021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7"/>
                <w:szCs w:val="17"/>
                <w:b w:val="1"/>
                <w:bCs w:val="1"/>
                <w:color w:val="auto"/>
              </w:rPr>
              <w:t>As of March 31, 2022</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Unrealized Loss</w:t>
            </w:r>
          </w:p>
        </w:tc>
        <w:tc>
          <w:tcPr>
            <w:tcW w:w="120" w:type="dxa"/>
            <w:vAlign w:val="bottom"/>
          </w:tcPr>
          <w:p>
            <w:pPr>
              <w:spacing w:after="0"/>
              <w:rPr>
                <w:sz w:val="18"/>
                <w:szCs w:val="18"/>
                <w:color w:val="auto"/>
              </w:rPr>
            </w:pPr>
          </w:p>
        </w:tc>
        <w:tc>
          <w:tcPr>
            <w:tcW w:w="172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c>
          <w:tcPr>
            <w:tcW w:w="0" w:type="dxa"/>
            <w:vAlign w:val="bottom"/>
          </w:tcPr>
          <w:p>
            <w:pPr>
              <w:spacing w:after="0"/>
              <w:rPr>
                <w:sz w:val="1"/>
                <w:szCs w:val="1"/>
                <w:color w:val="auto"/>
              </w:rPr>
            </w:pPr>
          </w:p>
        </w:tc>
      </w:tr>
      <w:tr>
        <w:trPr>
          <w:trHeight w:val="215"/>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0" w:type="dxa"/>
            <w:vAlign w:val="bottom"/>
          </w:tcPr>
          <w:p>
            <w:pPr>
              <w:spacing w:after="0"/>
              <w:rPr>
                <w:sz w:val="1"/>
                <w:szCs w:val="1"/>
                <w:color w:val="auto"/>
              </w:rPr>
            </w:pPr>
          </w:p>
        </w:tc>
      </w:tr>
      <w:tr>
        <w:trPr>
          <w:trHeight w:val="222"/>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0" w:type="dxa"/>
            <w:vAlign w:val="bottom"/>
          </w:tcPr>
          <w:p>
            <w:pPr>
              <w:spacing w:after="0"/>
              <w:rPr>
                <w:sz w:val="1"/>
                <w:szCs w:val="1"/>
                <w:color w:val="auto"/>
              </w:rPr>
            </w:pPr>
          </w:p>
        </w:tc>
      </w:tr>
      <w:tr>
        <w:trPr>
          <w:trHeight w:val="222"/>
        </w:trPr>
        <w:tc>
          <w:tcPr>
            <w:tcW w:w="3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0" w:type="dxa"/>
            <w:vAlign w:val="bottom"/>
          </w:tcPr>
          <w:p>
            <w:pPr>
              <w:spacing w:after="0"/>
              <w:rPr>
                <w:sz w:val="1"/>
                <w:szCs w:val="1"/>
                <w:color w:val="auto"/>
              </w:rPr>
            </w:pPr>
          </w:p>
        </w:tc>
      </w:tr>
      <w:tr>
        <w:trPr>
          <w:trHeight w:val="240"/>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&amp; cash equivalents</w:t>
            </w: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445.5</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5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516.1</w:t>
            </w:r>
          </w:p>
        </w:tc>
        <w:tc>
          <w:tcPr>
            <w:tcW w:w="0" w:type="dxa"/>
            <w:vAlign w:val="bottom"/>
          </w:tcPr>
          <w:p>
            <w:pPr>
              <w:spacing w:after="0"/>
              <w:rPr>
                <w:sz w:val="1"/>
                <w:szCs w:val="1"/>
                <w:color w:val="auto"/>
              </w:rPr>
            </w:pPr>
          </w:p>
        </w:tc>
      </w:tr>
      <w:tr>
        <w:trPr>
          <w:trHeight w:val="222"/>
        </w:trPr>
        <w:tc>
          <w:tcPr>
            <w:tcW w:w="3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0" w:type="dxa"/>
            <w:vAlign w:val="bottom"/>
          </w:tcPr>
          <w:p>
            <w:pPr>
              <w:spacing w:after="0"/>
              <w:rPr>
                <w:sz w:val="1"/>
                <w:szCs w:val="1"/>
                <w:color w:val="auto"/>
              </w:rPr>
            </w:pPr>
          </w:p>
        </w:tc>
      </w:tr>
      <w:tr>
        <w:trPr>
          <w:trHeight w:val="222"/>
        </w:trPr>
        <w:tc>
          <w:tcPr>
            <w:tcW w:w="3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0" w:type="dxa"/>
            <w:vAlign w:val="bottom"/>
          </w:tcPr>
          <w:p>
            <w:pPr>
              <w:spacing w:after="0"/>
              <w:rPr>
                <w:sz w:val="1"/>
                <w:szCs w:val="1"/>
                <w:color w:val="auto"/>
              </w:rPr>
            </w:pPr>
          </w:p>
        </w:tc>
      </w:tr>
      <w:tr>
        <w:trPr>
          <w:trHeight w:val="222"/>
        </w:trPr>
        <w:tc>
          <w:tcPr>
            <w:tcW w:w="3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Certificates of deposit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0" w:type="dxa"/>
            <w:vAlign w:val="bottom"/>
          </w:tcPr>
          <w:p>
            <w:pPr>
              <w:spacing w:after="0"/>
              <w:rPr>
                <w:sz w:val="1"/>
                <w:szCs w:val="1"/>
                <w:color w:val="auto"/>
              </w:rPr>
            </w:pPr>
          </w:p>
        </w:tc>
      </w:tr>
      <w:tr>
        <w:trPr>
          <w:trHeight w:val="222"/>
        </w:trPr>
        <w:tc>
          <w:tcPr>
            <w:tcW w:w="3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gridSpan w:val="2"/>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15"/>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2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1,083.1</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1,050.1</w:t>
            </w:r>
          </w:p>
        </w:tc>
        <w:tc>
          <w:tcPr>
            <w:tcW w:w="0" w:type="dxa"/>
            <w:vAlign w:val="bottom"/>
          </w:tcPr>
          <w:p>
            <w:pPr>
              <w:spacing w:after="0"/>
              <w:rPr>
                <w:sz w:val="1"/>
                <w:szCs w:val="1"/>
                <w:color w:val="auto"/>
              </w:rPr>
            </w:pPr>
          </w:p>
        </w:tc>
      </w:tr>
      <w:tr>
        <w:trPr>
          <w:trHeight w:val="240"/>
        </w:trPr>
        <w:tc>
          <w:tcPr>
            <w:tcW w:w="3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1,495.6</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7"/>
                <w:szCs w:val="17"/>
                <w:b w:val="1"/>
                <w:bCs w:val="1"/>
                <w:color w:val="auto"/>
              </w:rPr>
              <w:t>As of December 31, 2021</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15"/>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28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Unrealized Gain</w:t>
            </w:r>
          </w:p>
        </w:tc>
        <w:tc>
          <w:tcPr>
            <w:tcW w:w="22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Unrealized Loss</w:t>
            </w:r>
          </w:p>
        </w:tc>
        <w:tc>
          <w:tcPr>
            <w:tcW w:w="120" w:type="dxa"/>
            <w:vAlign w:val="bottom"/>
          </w:tcPr>
          <w:p>
            <w:pPr>
              <w:spacing w:after="0"/>
              <w:rPr>
                <w:sz w:val="18"/>
                <w:szCs w:val="18"/>
                <w:color w:val="auto"/>
              </w:rPr>
            </w:pPr>
          </w:p>
        </w:tc>
        <w:tc>
          <w:tcPr>
            <w:tcW w:w="172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15"/>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tcBorders>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w:t>
            </w:r>
          </w:p>
        </w:tc>
      </w:tr>
      <w:tr>
        <w:trPr>
          <w:trHeight w:val="222"/>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2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2"/>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390.3</w:t>
            </w:r>
          </w:p>
        </w:tc>
      </w:tr>
      <w:tr>
        <w:trPr>
          <w:trHeight w:val="215"/>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&amp; cash equivalents</w:t>
            </w: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58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533.0</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88"/>
        </w:trPr>
        <w:tc>
          <w:tcPr>
            <w:tcW w:w="352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color w:val="auto"/>
              </w:rPr>
              <w:t>Short-term investments</w:t>
            </w: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r>
      <w:tr>
        <w:trPr>
          <w:trHeight w:val="222"/>
        </w:trPr>
        <w:tc>
          <w:tcPr>
            <w:tcW w:w="3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603.8</w:t>
            </w:r>
          </w:p>
        </w:tc>
      </w:tr>
      <w:tr>
        <w:trPr>
          <w:trHeight w:val="222"/>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237.5</w:t>
            </w:r>
          </w:p>
        </w:tc>
      </w:tr>
      <w:tr>
        <w:trPr>
          <w:trHeight w:val="222"/>
        </w:trPr>
        <w:tc>
          <w:tcPr>
            <w:tcW w:w="3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ind w:left="1340"/>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139.6</w:t>
            </w:r>
          </w:p>
        </w:tc>
      </w:tr>
      <w:tr>
        <w:trPr>
          <w:trHeight w:val="222"/>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w:t>
            </w:r>
          </w:p>
        </w:tc>
      </w:tr>
      <w:tr>
        <w:trPr>
          <w:trHeight w:val="222"/>
        </w:trPr>
        <w:tc>
          <w:tcPr>
            <w:tcW w:w="3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w:t>
            </w:r>
          </w:p>
        </w:tc>
      </w:tr>
      <w:tr>
        <w:trPr>
          <w:trHeight w:val="222"/>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Certificates of deposit</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w:t>
            </w:r>
          </w:p>
        </w:tc>
      </w:tr>
      <w:tr>
        <w:trPr>
          <w:trHeight w:val="222"/>
        </w:trPr>
        <w:tc>
          <w:tcPr>
            <w:tcW w:w="3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22"/>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r>
      <w:tr>
        <w:trPr>
          <w:trHeight w:val="222"/>
        </w:trPr>
        <w:tc>
          <w:tcPr>
            <w:tcW w:w="3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ind w:left="1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w:t>
            </w:r>
          </w:p>
        </w:tc>
      </w:tr>
      <w:tr>
        <w:trPr>
          <w:trHeight w:val="215"/>
        </w:trPr>
        <w:tc>
          <w:tcPr>
            <w:tcW w:w="3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1,193.8</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1,185.1</w:t>
            </w:r>
          </w:p>
        </w:tc>
      </w:tr>
      <w:tr>
        <w:trPr>
          <w:trHeight w:val="215"/>
        </w:trPr>
        <w:tc>
          <w:tcPr>
            <w:tcW w:w="3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1,726.8</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1,718.1</w:t>
            </w:r>
          </w:p>
        </w:tc>
      </w:tr>
      <w:tr>
        <w:trPr>
          <w:trHeight w:val="20"/>
        </w:trPr>
        <w:tc>
          <w:tcPr>
            <w:tcW w:w="3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853"/>
        </w:trPr>
        <w:tc>
          <w:tcPr>
            <w:tcW w:w="3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11"/>
        </w:trPr>
        <w:tc>
          <w:tcPr>
            <w:tcW w:w="3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80" w:firstLine="430"/>
        <w:spacing w:after="0" w:line="294" w:lineRule="auto"/>
        <w:rPr>
          <w:sz w:val="20"/>
          <w:szCs w:val="20"/>
          <w:color w:val="auto"/>
        </w:rPr>
      </w:pPr>
      <w:r>
        <w:rPr>
          <w:rFonts w:ascii="Times New Roman" w:cs="Times New Roman" w:eastAsia="Times New Roman" w:hAnsi="Times New Roman"/>
          <w:sz w:val="17"/>
          <w:szCs w:val="17"/>
          <w:color w:val="auto"/>
        </w:rPr>
        <w:t>Included in cash and cash equivalents is cash in transit from payment processors for credit and debit card transactions of $8.6 million and $8.3 million as of March 31, 2022 and December 31, 2021, respectively.</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All short-term investments were designated as available-for-sale securities as of March 31, 2022 and December 31, 2021.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contractual maturities of the Company’s short-term investments as of March 31, 2022:</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4"/>
          </w:tcPr>
          <w:p>
            <w:pPr>
              <w:jc w:val="right"/>
              <w:ind w:right="1393"/>
              <w:spacing w:after="0"/>
              <w:rPr>
                <w:sz w:val="20"/>
                <w:szCs w:val="20"/>
                <w:color w:val="auto"/>
              </w:rPr>
            </w:pPr>
            <w:r>
              <w:rPr>
                <w:rFonts w:ascii="Times New Roman" w:cs="Times New Roman" w:eastAsia="Times New Roman" w:hAnsi="Times New Roman"/>
                <w:sz w:val="17"/>
                <w:szCs w:val="17"/>
                <w:b w:val="1"/>
                <w:bCs w:val="1"/>
                <w:color w:val="auto"/>
              </w:rPr>
              <w:t>As of March 31, 2022</w:t>
            </w:r>
          </w:p>
        </w:tc>
      </w:tr>
      <w:tr>
        <w:trPr>
          <w:trHeight w:val="215"/>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8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Amortized cost</w:t>
            </w:r>
          </w:p>
        </w:tc>
        <w:tc>
          <w:tcPr>
            <w:tcW w:w="240" w:type="dxa"/>
            <w:vAlign w:val="bottom"/>
          </w:tcPr>
          <w:p>
            <w:pPr>
              <w:spacing w:after="0"/>
              <w:rPr>
                <w:sz w:val="18"/>
                <w:szCs w:val="18"/>
                <w:color w:val="auto"/>
              </w:rPr>
            </w:pPr>
          </w:p>
        </w:tc>
        <w:tc>
          <w:tcPr>
            <w:tcW w:w="198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Estimated fair value</w:t>
            </w:r>
          </w:p>
        </w:tc>
      </w:tr>
      <w:tr>
        <w:trPr>
          <w:trHeight w:val="215"/>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within one year</w:t>
            </w: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304.2</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303.0</w:t>
            </w:r>
          </w:p>
        </w:tc>
      </w:tr>
      <w:tr>
        <w:trPr>
          <w:trHeight w:val="222"/>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Due between one to three years</w:t>
            </w:r>
          </w:p>
        </w:tc>
        <w:tc>
          <w:tcPr>
            <w:tcW w:w="3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453.0</w:t>
            </w:r>
          </w:p>
        </w:tc>
      </w:tr>
      <w:tr>
        <w:trPr>
          <w:trHeight w:val="222"/>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Due after three years</w:t>
            </w:r>
          </w:p>
        </w:tc>
        <w:tc>
          <w:tcPr>
            <w:tcW w:w="3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294.1</w:t>
            </w:r>
          </w:p>
        </w:tc>
      </w:tr>
      <w:tr>
        <w:trPr>
          <w:trHeight w:val="215"/>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1,083.1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1,050.1</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right="20" w:firstLine="430"/>
        <w:spacing w:after="0" w:line="275" w:lineRule="auto"/>
        <w:rPr>
          <w:sz w:val="20"/>
          <w:szCs w:val="20"/>
          <w:color w:val="auto"/>
        </w:rPr>
      </w:pPr>
      <w:r>
        <w:rPr>
          <w:rFonts w:ascii="Times New Roman" w:cs="Times New Roman" w:eastAsia="Times New Roman" w:hAnsi="Times New Roman"/>
          <w:sz w:val="17"/>
          <w:szCs w:val="17"/>
          <w:color w:val="auto"/>
        </w:rPr>
        <w:t>The Company had 706 short-term investments in unrealized loss positions as of March 31, 2022. There were no material unrealized losses from short-term investments and no material realized gains or losses from short-term investments that were reclassified out of accumulated other comprehensive loss for the three months ended March 31, 2022 and 2021.</w:t>
      </w:r>
    </w:p>
    <w:p>
      <w:pPr>
        <w:spacing w:after="0" w:line="189" w:lineRule="exact"/>
        <w:rPr>
          <w:sz w:val="20"/>
          <w:szCs w:val="20"/>
          <w:color w:val="auto"/>
        </w:rPr>
      </w:pPr>
    </w:p>
    <w:p>
      <w:pPr>
        <w:ind w:right="220" w:firstLine="430"/>
        <w:spacing w:after="0" w:line="268" w:lineRule="auto"/>
        <w:rPr>
          <w:sz w:val="20"/>
          <w:szCs w:val="20"/>
          <w:color w:val="auto"/>
        </w:rPr>
      </w:pPr>
      <w:r>
        <w:rPr>
          <w:rFonts w:ascii="Times New Roman" w:cs="Times New Roman" w:eastAsia="Times New Roman" w:hAnsi="Times New Roman"/>
          <w:sz w:val="17"/>
          <w:szCs w:val="17"/>
          <w:color w:val="auto"/>
        </w:rPr>
        <w:t>As of March 31, 2022, the Company’s short-term investments portfolio consisted of nine security types, seven of which were in an unrealized loss position. The Company’s short-term investments had unrealized losses of approximately $33.0 million as of March 31, 2022. The following tables present the breakdown of the short-term investments that have been in a continuous unrealized loss position aggregated by investment category, as of March 31, 2022 and December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7"/>
                <w:szCs w:val="17"/>
                <w:b w:val="1"/>
                <w:bCs w:val="1"/>
                <w:color w:val="auto"/>
              </w:rPr>
              <w:t>As of March 31, 2022</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More than 12 months</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3"/>
              <w:spacing w:after="0" w:line="163"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3"/>
              <w:spacing w:after="0" w:line="163"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00" w:type="dxa"/>
            <w:vAlign w:val="bottom"/>
          </w:tcPr>
          <w:p>
            <w:pPr>
              <w:spacing w:after="0"/>
              <w:rPr>
                <w:sz w:val="14"/>
                <w:szCs w:val="14"/>
                <w:color w:val="auto"/>
              </w:rPr>
            </w:pPr>
          </w:p>
        </w:tc>
        <w:tc>
          <w:tcPr>
            <w:tcW w:w="1100" w:type="dxa"/>
            <w:vAlign w:val="bottom"/>
          </w:tcPr>
          <w:p>
            <w:pPr>
              <w:jc w:val="center"/>
              <w:ind w:right="113"/>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35"/>
        </w:trPr>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0" w:type="dxa"/>
            <w:vAlign w:val="bottom"/>
          </w:tcPr>
          <w:p>
            <w:pPr>
              <w:spacing w:after="0"/>
              <w:rPr>
                <w:sz w:val="1"/>
                <w:szCs w:val="1"/>
                <w:color w:val="auto"/>
              </w:rPr>
            </w:pPr>
          </w:p>
        </w:tc>
      </w:tr>
      <w:tr>
        <w:trPr>
          <w:trHeight w:val="215"/>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backed securities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obligations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00" w:type="dxa"/>
            <w:vAlign w:val="bottom"/>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7"/>
                <w:szCs w:val="17"/>
                <w:b w:val="1"/>
                <w:bCs w:val="1"/>
                <w:color w:val="auto"/>
              </w:rPr>
              <w:t>As of December 31, 2021</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Less than 12 months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7"/>
                <w:szCs w:val="17"/>
                <w:b w:val="1"/>
                <w:bCs w:val="1"/>
                <w:color w:val="auto"/>
              </w:rPr>
              <w:t>More than 12 months</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3"/>
              <w:spacing w:after="0" w:line="163"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Gross Unrealized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3"/>
              <w:spacing w:after="0" w:line="163"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0" w:type="dxa"/>
            <w:vAlign w:val="bottom"/>
          </w:tcPr>
          <w:p>
            <w:pPr>
              <w:spacing w:after="0"/>
              <w:rPr>
                <w:sz w:val="1"/>
                <w:szCs w:val="1"/>
                <w:color w:val="auto"/>
              </w:rPr>
            </w:pPr>
          </w:p>
        </w:tc>
      </w:tr>
      <w:tr>
        <w:trPr>
          <w:trHeight w:val="170"/>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80" w:type="dxa"/>
            <w:vAlign w:val="bottom"/>
          </w:tcPr>
          <w:p>
            <w:pPr>
              <w:spacing w:after="0"/>
              <w:rPr>
                <w:sz w:val="14"/>
                <w:szCs w:val="14"/>
                <w:color w:val="auto"/>
              </w:rPr>
            </w:pPr>
          </w:p>
        </w:tc>
        <w:tc>
          <w:tcPr>
            <w:tcW w:w="1220" w:type="dxa"/>
            <w:vAlign w:val="bottom"/>
            <w:gridSpan w:val="2"/>
          </w:tcPr>
          <w:p>
            <w:pPr>
              <w:jc w:val="center"/>
              <w:ind w:right="280"/>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0" w:type="dxa"/>
            <w:vAlign w:val="bottom"/>
          </w:tcPr>
          <w:p>
            <w:pPr>
              <w:spacing w:after="0"/>
              <w:rPr>
                <w:sz w:val="14"/>
                <w:szCs w:val="14"/>
                <w:color w:val="auto"/>
              </w:rPr>
            </w:pPr>
          </w:p>
        </w:tc>
        <w:tc>
          <w:tcPr>
            <w:tcW w:w="1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14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200" w:type="dxa"/>
            <w:vAlign w:val="bottom"/>
          </w:tcPr>
          <w:p>
            <w:pPr>
              <w:spacing w:after="0"/>
              <w:rPr>
                <w:sz w:val="14"/>
                <w:szCs w:val="14"/>
                <w:color w:val="auto"/>
              </w:rPr>
            </w:pPr>
          </w:p>
        </w:tc>
        <w:tc>
          <w:tcPr>
            <w:tcW w:w="1100" w:type="dxa"/>
            <w:vAlign w:val="bottom"/>
          </w:tcPr>
          <w:p>
            <w:pPr>
              <w:jc w:val="center"/>
              <w:ind w:right="113"/>
              <w:spacing w:after="0" w:line="170"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0" w:type="dxa"/>
            <w:vAlign w:val="bottom"/>
          </w:tcPr>
          <w:p>
            <w:pPr>
              <w:spacing w:after="0"/>
              <w:rPr>
                <w:sz w:val="1"/>
                <w:szCs w:val="1"/>
                <w:color w:val="auto"/>
              </w:rPr>
            </w:pPr>
          </w:p>
        </w:tc>
      </w:tr>
      <w:tr>
        <w:trPr>
          <w:trHeight w:val="235"/>
        </w:trPr>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0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98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93"/>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0" w:type="dxa"/>
            <w:vAlign w:val="bottom"/>
          </w:tcPr>
          <w:p>
            <w:pPr>
              <w:spacing w:after="0"/>
              <w:rPr>
                <w:sz w:val="1"/>
                <w:szCs w:val="1"/>
                <w:color w:val="auto"/>
              </w:rPr>
            </w:pPr>
          </w:p>
        </w:tc>
      </w:tr>
      <w:tr>
        <w:trPr>
          <w:trHeight w:val="215"/>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 Treasury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 backed securities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Municipal securities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 agency obligations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22"/>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15"/>
        </w:trPr>
        <w:tc>
          <w:tcPr>
            <w:tcW w:w="29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941.0</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jc w:val="both"/>
        <w:ind w:right="140" w:firstLine="430"/>
        <w:spacing w:after="0" w:line="275" w:lineRule="auto"/>
        <w:rPr>
          <w:sz w:val="20"/>
          <w:szCs w:val="20"/>
          <w:color w:val="auto"/>
        </w:rPr>
      </w:pPr>
      <w:r>
        <w:rPr>
          <w:rFonts w:ascii="Times New Roman" w:cs="Times New Roman" w:eastAsia="Times New Roman" w:hAnsi="Times New Roman"/>
          <w:sz w:val="17"/>
          <w:szCs w:val="17"/>
          <w:color w:val="auto"/>
        </w:rPr>
        <w:t>Unrealized losses on short-term investments have not been recorded into income because management does not intend to sell nor will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spacing w:after="0" w:line="189" w:lineRule="exact"/>
        <w:rPr>
          <w:sz w:val="20"/>
          <w:szCs w:val="20"/>
          <w:color w:val="auto"/>
        </w:rPr>
      </w:pPr>
    </w:p>
    <w:p>
      <w:pPr>
        <w:ind w:right="500" w:firstLine="430"/>
        <w:spacing w:after="0" w:line="294" w:lineRule="auto"/>
        <w:rPr>
          <w:sz w:val="20"/>
          <w:szCs w:val="20"/>
          <w:color w:val="auto"/>
        </w:rPr>
      </w:pPr>
      <w:r>
        <w:rPr>
          <w:rFonts w:ascii="Times New Roman" w:cs="Times New Roman" w:eastAsia="Times New Roman" w:hAnsi="Times New Roman"/>
          <w:sz w:val="17"/>
          <w:szCs w:val="17"/>
          <w:color w:val="auto"/>
        </w:rPr>
        <w:t>The Company recorded interest income from its cash, cash equivalents, and short-term investments of $1.8 million and $1.9 million during the three months ended March 31, 2022 and 2021, respectively.</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Fair Value Measurements</w:t>
      </w:r>
    </w:p>
    <w:p>
      <w:pPr>
        <w:spacing w:after="0" w:line="250" w:lineRule="exact"/>
        <w:rPr>
          <w:sz w:val="20"/>
          <w:szCs w:val="20"/>
          <w:color w:val="auto"/>
        </w:rPr>
      </w:pPr>
    </w:p>
    <w:p>
      <w:pPr>
        <w:jc w:val="both"/>
        <w:ind w:right="20" w:firstLine="430"/>
        <w:spacing w:after="0" w:line="275" w:lineRule="auto"/>
        <w:rPr>
          <w:sz w:val="20"/>
          <w:szCs w:val="20"/>
          <w:color w:val="auto"/>
        </w:rPr>
      </w:pPr>
      <w:r>
        <w:rPr>
          <w:rFonts w:ascii="Times New Roman" w:cs="Times New Roman" w:eastAsia="Times New Roman" w:hAnsi="Times New Roman"/>
          <w:sz w:val="17"/>
          <w:szCs w:val="17"/>
          <w:color w:val="auto"/>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spacing w:after="0" w:line="189" w:lineRule="exact"/>
        <w:rPr>
          <w:sz w:val="20"/>
          <w:szCs w:val="20"/>
          <w:color w:val="auto"/>
        </w:rPr>
      </w:pPr>
    </w:p>
    <w:p>
      <w:pPr>
        <w:ind w:right="300" w:firstLine="430"/>
        <w:spacing w:after="0" w:line="294"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financial instruments that are measured at fair value on a recurring basis using the input categories discussed in Note 1:</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593"/>
              <w:spacing w:after="0"/>
              <w:rPr>
                <w:sz w:val="20"/>
                <w:szCs w:val="20"/>
                <w:color w:val="auto"/>
              </w:rPr>
            </w:pPr>
            <w:r>
              <w:rPr>
                <w:rFonts w:ascii="Times New Roman" w:cs="Times New Roman" w:eastAsia="Times New Roman" w:hAnsi="Times New Roman"/>
                <w:sz w:val="17"/>
                <w:szCs w:val="17"/>
                <w:b w:val="1"/>
                <w:bCs w:val="1"/>
                <w:color w:val="auto"/>
              </w:rPr>
              <w:t>As of March 31, 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215"/>
        </w:trPr>
        <w:tc>
          <w:tcPr>
            <w:tcW w:w="33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2"/>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100" w:type="dxa"/>
            <w:vAlign w:val="bottom"/>
          </w:tcPr>
          <w:p>
            <w:pPr>
              <w:spacing w:after="0"/>
              <w:rPr>
                <w:sz w:val="19"/>
                <w:szCs w:val="19"/>
                <w:color w:val="auto"/>
              </w:rPr>
            </w:pPr>
          </w:p>
        </w:tc>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349.7</w:t>
            </w:r>
          </w:p>
        </w:tc>
      </w:tr>
      <w:tr>
        <w:trPr>
          <w:trHeight w:val="222"/>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15"/>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equivalents</w:t>
            </w:r>
          </w:p>
        </w:tc>
        <w:tc>
          <w:tcPr>
            <w:tcW w:w="1300" w:type="dxa"/>
            <w:vAlign w:val="bottom"/>
            <w:tcBorders>
              <w:top w:val="single" w:sz="8" w:color="auto"/>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105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359.7</w:t>
            </w:r>
          </w:p>
        </w:tc>
      </w:tr>
      <w:tr>
        <w:trPr>
          <w:trHeight w:val="20"/>
        </w:trPr>
        <w:tc>
          <w:tcPr>
            <w:tcW w:w="33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8"/>
        </w:trPr>
        <w:tc>
          <w:tcPr>
            <w:tcW w:w="33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color w:val="auto"/>
              </w:rPr>
              <w:t>Short-term investments</w:t>
            </w:r>
          </w:p>
        </w:tc>
        <w:tc>
          <w:tcPr>
            <w:tcW w:w="1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2"/>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516.1</w:t>
            </w:r>
          </w:p>
        </w:tc>
      </w:tr>
      <w:tr>
        <w:trPr>
          <w:trHeight w:val="222"/>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w:t>
            </w:r>
          </w:p>
        </w:tc>
      </w:tr>
      <w:tr>
        <w:trPr>
          <w:trHeight w:val="222"/>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w:t>
            </w:r>
          </w:p>
        </w:tc>
      </w:tr>
      <w:tr>
        <w:trPr>
          <w:trHeight w:val="222"/>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r>
      <w:tr>
        <w:trPr>
          <w:trHeight w:val="222"/>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65.9</w:t>
            </w:r>
          </w:p>
        </w:tc>
      </w:tr>
      <w:tr>
        <w:trPr>
          <w:trHeight w:val="222"/>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Certificates of deposit</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w:t>
            </w:r>
          </w:p>
        </w:tc>
      </w:tr>
      <w:tr>
        <w:trPr>
          <w:trHeight w:val="222"/>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22"/>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22"/>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r>
      <w:tr>
        <w:trPr>
          <w:trHeight w:val="215"/>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1,050.1</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1,050.1</w:t>
            </w:r>
          </w:p>
        </w:tc>
      </w:tr>
      <w:tr>
        <w:trPr>
          <w:trHeight w:val="215"/>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0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105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1,060.1</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1,409.8</w:t>
            </w:r>
          </w:p>
        </w:tc>
      </w:tr>
      <w:tr>
        <w:trPr>
          <w:trHeight w:val="20"/>
        </w:trPr>
        <w:tc>
          <w:tcPr>
            <w:tcW w:w="3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3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4"/>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As of December 31, 2021</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38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1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300" w:type="dxa"/>
            <w:vAlign w:val="bottom"/>
          </w:tcPr>
          <w:p>
            <w:pPr>
              <w:jc w:val="right"/>
              <w:ind w:right="11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390.3</w:t>
            </w:r>
          </w:p>
        </w:tc>
        <w:tc>
          <w:tcPr>
            <w:tcW w:w="100" w:type="dxa"/>
            <w:vAlign w:val="bottom"/>
          </w:tcPr>
          <w:p>
            <w:pPr>
              <w:spacing w:after="0"/>
              <w:rPr>
                <w:sz w:val="19"/>
                <w:szCs w:val="19"/>
                <w:color w:val="auto"/>
              </w:rPr>
            </w:pPr>
          </w:p>
        </w:tc>
        <w:tc>
          <w:tcPr>
            <w:tcW w:w="1240" w:type="dxa"/>
            <w:vAlign w:val="bottom"/>
          </w:tcPr>
          <w:p>
            <w:pPr>
              <w:jc w:val="right"/>
              <w:ind w:right="105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390.3</w:t>
            </w:r>
          </w:p>
        </w:tc>
        <w:tc>
          <w:tcPr>
            <w:tcW w:w="0" w:type="dxa"/>
            <w:vAlign w:val="bottom"/>
          </w:tcPr>
          <w:p>
            <w:pPr>
              <w:spacing w:after="0"/>
              <w:rPr>
                <w:sz w:val="1"/>
                <w:szCs w:val="1"/>
                <w:color w:val="auto"/>
              </w:rPr>
            </w:pPr>
          </w:p>
        </w:tc>
      </w:tr>
      <w:tr>
        <w:trPr>
          <w:trHeight w:val="240"/>
        </w:trPr>
        <w:tc>
          <w:tcPr>
            <w:tcW w:w="3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equivalents</w:t>
            </w:r>
          </w:p>
        </w:tc>
        <w:tc>
          <w:tcPr>
            <w:tcW w:w="1300" w:type="dxa"/>
            <w:vAlign w:val="bottom"/>
            <w:tcBorders>
              <w:top w:val="single" w:sz="8" w:color="auto"/>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390.3</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Short-term investments</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380" w:type="dxa"/>
            <w:vAlign w:val="bottom"/>
            <w:vMerge w:val="continue"/>
          </w:tcPr>
          <w:p>
            <w:pPr>
              <w:spacing w:after="0"/>
              <w:rPr>
                <w:sz w:val="14"/>
                <w:szCs w:val="14"/>
                <w:color w:val="auto"/>
              </w:rPr>
            </w:pP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Corporate notes and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603.8</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603.8</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Treasury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237.5</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237.5</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Asset backed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139.6</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Municipal securities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Commercial paper</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Certificates of deposit</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government obligations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22"/>
        </w:trPr>
        <w:tc>
          <w:tcPr>
            <w:tcW w:w="3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agency obligations</w:t>
            </w:r>
          </w:p>
        </w:tc>
        <w:tc>
          <w:tcPr>
            <w:tcW w:w="130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0" w:type="dxa"/>
            <w:vAlign w:val="bottom"/>
          </w:tcPr>
          <w:p>
            <w:pPr>
              <w:spacing w:after="0"/>
              <w:rPr>
                <w:sz w:val="1"/>
                <w:szCs w:val="1"/>
                <w:color w:val="auto"/>
              </w:rPr>
            </w:pPr>
          </w:p>
        </w:tc>
      </w:tr>
      <w:tr>
        <w:trPr>
          <w:trHeight w:val="222"/>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Supranational securities</w:t>
            </w:r>
          </w:p>
        </w:tc>
        <w:tc>
          <w:tcPr>
            <w:tcW w:w="13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15"/>
        </w:trPr>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short-term investments</w:t>
            </w:r>
          </w:p>
        </w:tc>
        <w:tc>
          <w:tcPr>
            <w:tcW w:w="13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1,185.1</w:t>
            </w:r>
          </w:p>
        </w:tc>
        <w:tc>
          <w:tcPr>
            <w:tcW w:w="10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1,185.1</w:t>
            </w:r>
          </w:p>
        </w:tc>
        <w:tc>
          <w:tcPr>
            <w:tcW w:w="0" w:type="dxa"/>
            <w:vAlign w:val="bottom"/>
          </w:tcPr>
          <w:p>
            <w:pPr>
              <w:spacing w:after="0"/>
              <w:rPr>
                <w:sz w:val="1"/>
                <w:szCs w:val="1"/>
                <w:color w:val="auto"/>
              </w:rPr>
            </w:pPr>
          </w:p>
        </w:tc>
      </w:tr>
      <w:tr>
        <w:trPr>
          <w:trHeight w:val="240"/>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00" w:type="dxa"/>
            <w:vAlign w:val="bottom"/>
            <w:tcBorders>
              <w:bottom w:val="single" w:sz="8" w:color="auto"/>
            </w:tcBorders>
            <w:shd w:val="clear" w:color="auto" w:fill="CCEEFF"/>
          </w:tcPr>
          <w:p>
            <w:pPr>
              <w:jc w:val="right"/>
              <w:ind w:right="111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390.3</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1,185.1</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1,575.4</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right="560" w:firstLine="430"/>
        <w:spacing w:after="0" w:line="294" w:lineRule="auto"/>
        <w:rPr>
          <w:sz w:val="20"/>
          <w:szCs w:val="20"/>
          <w:color w:val="auto"/>
        </w:rPr>
      </w:pPr>
      <w:r>
        <w:rPr>
          <w:rFonts w:ascii="Times New Roman" w:cs="Times New Roman" w:eastAsia="Times New Roman" w:hAnsi="Times New Roman"/>
          <w:sz w:val="17"/>
          <w:szCs w:val="17"/>
          <w:color w:val="auto"/>
        </w:rPr>
        <w:t>The Company has an investment in a non-marketable equity security in a privately held company without a readily determinable market value. The investments had a carrying value of $5.6 million and was categorized as Level 3 as of March 31, 2022 and December 31, 2021.</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Company had no transfers between levels of the fair value hierarchy.</w:t>
      </w:r>
    </w:p>
    <w:p>
      <w:pPr>
        <w:spacing w:after="0" w:line="248" w:lineRule="exact"/>
        <w:rPr>
          <w:sz w:val="20"/>
          <w:szCs w:val="20"/>
          <w:color w:val="auto"/>
        </w:rPr>
      </w:pPr>
    </w:p>
    <w:p>
      <w:pPr>
        <w:ind w:right="120" w:firstLine="430"/>
        <w:spacing w:after="0" w:line="294" w:lineRule="auto"/>
        <w:rPr>
          <w:sz w:val="20"/>
          <w:szCs w:val="20"/>
          <w:color w:val="auto"/>
        </w:rPr>
      </w:pPr>
      <w:r>
        <w:rPr>
          <w:rFonts w:ascii="Times New Roman" w:cs="Times New Roman" w:eastAsia="Times New Roman" w:hAnsi="Times New Roman"/>
          <w:sz w:val="17"/>
          <w:szCs w:val="17"/>
          <w:color w:val="auto"/>
        </w:rPr>
        <w:t>The carrying amounts of certain financial instruments, including cash held in banks, accounts receivable and accounts payable approximate fair value due to their short-term maturities and are excluded from the fair value table above.</w:t>
      </w:r>
    </w:p>
    <w:p>
      <w:pPr>
        <w:spacing w:after="0" w:line="173" w:lineRule="exact"/>
        <w:rPr>
          <w:sz w:val="20"/>
          <w:szCs w:val="20"/>
          <w:color w:val="auto"/>
        </w:rPr>
      </w:pPr>
    </w:p>
    <w:p>
      <w:pPr>
        <w:jc w:val="both"/>
        <w:ind w:right="360" w:firstLine="430"/>
        <w:spacing w:after="0" w:line="275" w:lineRule="auto"/>
        <w:rPr>
          <w:sz w:val="20"/>
          <w:szCs w:val="20"/>
          <w:color w:val="auto"/>
        </w:rPr>
      </w:pPr>
      <w:r>
        <w:rPr>
          <w:rFonts w:ascii="Times New Roman" w:cs="Times New Roman" w:eastAsia="Times New Roman" w:hAnsi="Times New Roman"/>
          <w:sz w:val="17"/>
          <w:szCs w:val="17"/>
          <w:color w:val="auto"/>
        </w:rPr>
        <w:t>The Company had $695.8 million in aggregate principal amount of 0% convertible senior notes due in 2026 (the "2026 Notes"), and $693.3 million in aggregate principal amount of 0% convertible senior notes due in 2028 (the "2028 Notes" and together with the 2026 Notes, the "Notes"), outstanding as of March 31, 2022. Refer to Note 8 "Debt" for further details on the 2026 Notes and 2028 Notes.</w:t>
      </w:r>
    </w:p>
    <w:p>
      <w:pPr>
        <w:spacing w:after="0" w:line="189" w:lineRule="exact"/>
        <w:rPr>
          <w:sz w:val="20"/>
          <w:szCs w:val="20"/>
          <w:color w:val="auto"/>
        </w:rPr>
      </w:pPr>
    </w:p>
    <w:p>
      <w:pPr>
        <w:ind w:right="60" w:firstLine="430"/>
        <w:spacing w:after="0" w:line="275" w:lineRule="auto"/>
        <w:rPr>
          <w:sz w:val="20"/>
          <w:szCs w:val="20"/>
          <w:color w:val="auto"/>
        </w:rPr>
      </w:pPr>
      <w:r>
        <w:rPr>
          <w:rFonts w:ascii="Times New Roman" w:cs="Times New Roman" w:eastAsia="Times New Roman" w:hAnsi="Times New Roman"/>
          <w:sz w:val="17"/>
          <w:szCs w:val="17"/>
          <w:color w:val="auto"/>
        </w:rPr>
        <w:t>The estimated fair value of the 2026 Notes and the 2028 Notes, based on a market approach as of March 31, 2022 was approximately $659.5 million and $656.9 million, respectively. The Notes were categorized as Level 2 instruments as the estimated fair value was determined based on the estimated or actual bids and offers of the Notes in an over-the-counter market on the last business day of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4. Property and Equipment, Net</w:t>
            </w:r>
          </w:p>
        </w:tc>
        <w:tc>
          <w:tcPr>
            <w:tcW w:w="3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43"/>
        </w:trPr>
        <w:tc>
          <w:tcPr>
            <w:tcW w:w="40" w:type="dxa"/>
            <w:vAlign w:val="bottom"/>
          </w:tcPr>
          <w:p>
            <w:pPr>
              <w:spacing w:after="0"/>
              <w:rPr>
                <w:sz w:val="24"/>
                <w:szCs w:val="24"/>
                <w:color w:val="auto"/>
              </w:rPr>
            </w:pPr>
          </w:p>
        </w:tc>
        <w:tc>
          <w:tcPr>
            <w:tcW w:w="676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483"/>
        </w:trPr>
        <w:tc>
          <w:tcPr>
            <w:tcW w:w="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20" w:type="dxa"/>
            <w:vAlign w:val="bottom"/>
            <w:tcBorders>
              <w:bottom w:val="single" w:sz="8" w:color="auto"/>
            </w:tcBorders>
          </w:tcPr>
          <w:p>
            <w:pPr>
              <w:spacing w:after="0"/>
              <w:rPr>
                <w:sz w:val="24"/>
                <w:szCs w:val="24"/>
                <w:color w:val="auto"/>
              </w:rPr>
            </w:pPr>
          </w:p>
        </w:tc>
      </w:tr>
      <w:tr>
        <w:trPr>
          <w:trHeight w:val="215"/>
        </w:trPr>
        <w:tc>
          <w:tcPr>
            <w:tcW w:w="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60" w:type="dxa"/>
            <w:vAlign w:val="bottom"/>
          </w:tcPr>
          <w:p>
            <w:pPr>
              <w:spacing w:after="0"/>
              <w:rPr>
                <w:sz w:val="18"/>
                <w:szCs w:val="18"/>
                <w:color w:val="auto"/>
              </w:rPr>
            </w:pPr>
          </w:p>
        </w:tc>
        <w:tc>
          <w:tcPr>
            <w:tcW w:w="192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5"/>
        </w:trPr>
        <w:tc>
          <w:tcPr>
            <w:tcW w:w="40" w:type="dxa"/>
            <w:vAlign w:val="bottom"/>
          </w:tcPr>
          <w:p>
            <w:pPr>
              <w:spacing w:after="0"/>
              <w:rPr>
                <w:sz w:val="18"/>
                <w:szCs w:val="18"/>
                <w:color w:val="auto"/>
              </w:rPr>
            </w:pPr>
          </w:p>
        </w:tc>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Data center and other computer equipment</w:t>
            </w:r>
          </w:p>
        </w:tc>
        <w:tc>
          <w:tcPr>
            <w:tcW w:w="30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632.4</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634.5</w:t>
            </w:r>
          </w:p>
        </w:tc>
      </w:tr>
      <w:tr>
        <w:trPr>
          <w:trHeight w:val="222"/>
        </w:trPr>
        <w:tc>
          <w:tcPr>
            <w:tcW w:w="4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3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w:t>
            </w:r>
          </w:p>
        </w:tc>
      </w:tr>
      <w:tr>
        <w:trPr>
          <w:trHeight w:val="222"/>
        </w:trPr>
        <w:tc>
          <w:tcPr>
            <w:tcW w:w="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3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w:t>
            </w:r>
          </w:p>
        </w:tc>
      </w:tr>
      <w:tr>
        <w:trPr>
          <w:trHeight w:val="222"/>
        </w:trPr>
        <w:tc>
          <w:tcPr>
            <w:tcW w:w="40" w:type="dxa"/>
            <w:vAlign w:val="bottom"/>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15"/>
        </w:trPr>
        <w:tc>
          <w:tcPr>
            <w:tcW w:w="40" w:type="dxa"/>
            <w:vAlign w:val="bottom"/>
          </w:tcPr>
          <w:p>
            <w:pPr>
              <w:spacing w:after="0"/>
              <w:rPr>
                <w:sz w:val="18"/>
                <w:szCs w:val="18"/>
                <w:color w:val="auto"/>
              </w:rPr>
            </w:pPr>
          </w:p>
        </w:tc>
        <w:tc>
          <w:tcPr>
            <w:tcW w:w="6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3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774.6</w:t>
            </w:r>
          </w:p>
        </w:tc>
      </w:tr>
      <w:tr>
        <w:trPr>
          <w:trHeight w:val="222"/>
        </w:trPr>
        <w:tc>
          <w:tcPr>
            <w:tcW w:w="40" w:type="dxa"/>
            <w:vAlign w:val="bottom"/>
          </w:tcPr>
          <w:p>
            <w:pPr>
              <w:spacing w:after="0"/>
              <w:rPr>
                <w:sz w:val="19"/>
                <w:szCs w:val="19"/>
                <w:color w:val="auto"/>
              </w:rPr>
            </w:pPr>
          </w:p>
        </w:tc>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Accumulated depreciation and amortization</w:t>
            </w: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(452.6)</w:t>
            </w:r>
          </w:p>
        </w:tc>
      </w:tr>
      <w:tr>
        <w:trPr>
          <w:trHeight w:val="240"/>
        </w:trPr>
        <w:tc>
          <w:tcPr>
            <w:tcW w:w="40" w:type="dxa"/>
            <w:vAlign w:val="bottom"/>
          </w:tcPr>
          <w:p>
            <w:pPr>
              <w:spacing w:after="0"/>
              <w:rPr>
                <w:sz w:val="20"/>
                <w:szCs w:val="20"/>
                <w:color w:val="auto"/>
              </w:rPr>
            </w:pPr>
          </w:p>
        </w:tc>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322.0</w:t>
            </w:r>
          </w:p>
        </w:tc>
      </w:tr>
      <w:tr>
        <w:trPr>
          <w:trHeight w:val="20"/>
        </w:trPr>
        <w:tc>
          <w:tcPr>
            <w:tcW w:w="4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During the first quarter of 2022, the Company retired $24.5 million of fully depreciated data center assets that are no longer in use.</w:t>
      </w:r>
    </w:p>
    <w:p>
      <w:pPr>
        <w:spacing w:after="0" w:line="248" w:lineRule="exact"/>
        <w:rPr>
          <w:sz w:val="20"/>
          <w:szCs w:val="20"/>
          <w:color w:val="auto"/>
        </w:rPr>
      </w:pPr>
    </w:p>
    <w:p>
      <w:pPr>
        <w:ind w:firstLine="430"/>
        <w:spacing w:after="0" w:line="265" w:lineRule="auto"/>
        <w:rPr>
          <w:sz w:val="20"/>
          <w:szCs w:val="20"/>
          <w:color w:val="auto"/>
        </w:rPr>
      </w:pPr>
      <w:r>
        <w:rPr>
          <w:rFonts w:ascii="Times New Roman" w:cs="Times New Roman" w:eastAsia="Times New Roman" w:hAnsi="Times New Roman"/>
          <w:sz w:val="17"/>
          <w:szCs w:val="17"/>
          <w:color w:val="auto"/>
        </w:rPr>
        <w:t>The Company leases certain infrastructure, computer equipment, and furniture from various third parties, through equipment finance leases. Infrastructure assets as of March 31, 2022 and December 31, 2021, respectively, included a total of $451.7 million and $469.4 million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$230.7 million and $237.6 million as of March 31, 2022 and December 31, 2021, respectively.</w:t>
      </w:r>
    </w:p>
    <w:p>
      <w:pPr>
        <w:spacing w:after="0" w:line="199" w:lineRule="exact"/>
        <w:rPr>
          <w:sz w:val="20"/>
          <w:szCs w:val="20"/>
          <w:color w:val="auto"/>
        </w:rPr>
      </w:pPr>
    </w:p>
    <w:p>
      <w:pPr>
        <w:ind w:right="560" w:firstLine="430"/>
        <w:spacing w:after="0" w:line="294" w:lineRule="auto"/>
        <w:rPr>
          <w:sz w:val="20"/>
          <w:szCs w:val="20"/>
          <w:color w:val="auto"/>
        </w:rPr>
      </w:pPr>
      <w:r>
        <w:rPr>
          <w:rFonts w:ascii="Times New Roman" w:cs="Times New Roman" w:eastAsia="Times New Roman" w:hAnsi="Times New Roman"/>
          <w:sz w:val="17"/>
          <w:szCs w:val="17"/>
          <w:color w:val="auto"/>
        </w:rPr>
        <w:t>Depreciation expense related to property and equipment was $35.4 million and $31.5 million for the three months ended March 31, 2022 and 2021, respectively.</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Business Combinations</w:t>
      </w:r>
    </w:p>
    <w:p>
      <w:pPr>
        <w:spacing w:after="0" w:line="250" w:lineRule="exact"/>
        <w:rPr>
          <w:sz w:val="20"/>
          <w:szCs w:val="20"/>
          <w:color w:val="auto"/>
        </w:rPr>
      </w:pPr>
    </w:p>
    <w:p>
      <w:pPr>
        <w:ind w:right="180" w:firstLine="430"/>
        <w:spacing w:after="0" w:line="268" w:lineRule="auto"/>
        <w:rPr>
          <w:sz w:val="20"/>
          <w:szCs w:val="20"/>
          <w:color w:val="auto"/>
        </w:rPr>
      </w:pPr>
      <w:r>
        <w:rPr>
          <w:rFonts w:ascii="Times New Roman" w:cs="Times New Roman" w:eastAsia="Times New Roman" w:hAnsi="Times New Roman"/>
          <w:sz w:val="17"/>
          <w:szCs w:val="17"/>
          <w:color w:val="auto"/>
        </w:rPr>
        <w:t>On March 22, 2021, the Company acquired all outstanding stock of DocSend, a secure document sharing and analytics company. The Company believes the combination of Dropbox, HelloSign, and DocSend will help customers across industries manage end-to-end document workflows—from content collaboration to sharing and e-signature—giving them more control over their business results. The results of DocSend's operations have been included in the Company’s condensed consolidated results of operations since the date of acquisition.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200" w:type="dxa"/>
            <w:vAlign w:val="bottom"/>
          </w:tcPr>
          <w:p>
            <w:pPr>
              <w:spacing w:after="0"/>
              <w:rPr>
                <w:sz w:val="20"/>
                <w:szCs w:val="20"/>
                <w:color w:val="auto"/>
              </w:rPr>
            </w:pPr>
            <w:r>
              <w:rPr>
                <w:rFonts w:ascii="Times New Roman" w:cs="Times New Roman" w:eastAsia="Times New Roman" w:hAnsi="Times New Roman"/>
                <w:sz w:val="17"/>
                <w:szCs w:val="17"/>
                <w:color w:val="auto"/>
              </w:rPr>
              <w:t>The purchase consideration transferred consisted of the following:</w:t>
            </w:r>
          </w:p>
        </w:tc>
        <w:tc>
          <w:tcPr>
            <w:tcW w:w="380" w:type="dxa"/>
            <w:vAlign w:val="bottom"/>
          </w:tcPr>
          <w:p>
            <w:pPr>
              <w:spacing w:after="0"/>
              <w:rPr>
                <w:sz w:val="19"/>
                <w:szCs w:val="19"/>
                <w:color w:val="auto"/>
              </w:rPr>
            </w:pPr>
          </w:p>
        </w:tc>
        <w:tc>
          <w:tcPr>
            <w:tcW w:w="2660" w:type="dxa"/>
            <w:vAlign w:val="bottom"/>
          </w:tcPr>
          <w:p>
            <w:pPr>
              <w:spacing w:after="0"/>
              <w:rPr>
                <w:sz w:val="19"/>
                <w:szCs w:val="19"/>
                <w:color w:val="auto"/>
              </w:rPr>
            </w:pPr>
          </w:p>
        </w:tc>
      </w:tr>
      <w:tr>
        <w:trPr>
          <w:trHeight w:val="483"/>
        </w:trPr>
        <w:tc>
          <w:tcPr>
            <w:tcW w:w="82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7"/>
                <w:szCs w:val="17"/>
                <w:b w:val="1"/>
                <w:bCs w:val="1"/>
                <w:color w:val="auto"/>
              </w:rPr>
              <w:t>Purchase consideration</w:t>
            </w:r>
          </w:p>
        </w:tc>
      </w:tr>
      <w:tr>
        <w:trPr>
          <w:trHeight w:val="21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to common and preferred stockholders and vested option holders</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w:t>
            </w:r>
          </w:p>
        </w:tc>
      </w:tr>
      <w:tr>
        <w:trPr>
          <w:trHeight w:val="222"/>
        </w:trPr>
        <w:tc>
          <w:tcPr>
            <w:tcW w:w="8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Transaction costs paid by Dropbox on behalf of DocSend</w:t>
            </w:r>
          </w:p>
        </w:tc>
        <w:tc>
          <w:tcPr>
            <w:tcW w:w="38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22"/>
        </w:trPr>
        <w:tc>
          <w:tcPr>
            <w:tcW w:w="8200" w:type="dxa"/>
            <w:vAlign w:val="bottom"/>
            <w:shd w:val="clear" w:color="auto" w:fill="CCEEFF"/>
          </w:tcPr>
          <w:p>
            <w:pPr>
              <w:ind w:left="20"/>
              <w:spacing w:after="0" w:line="222" w:lineRule="exact"/>
              <w:rPr>
                <w:sz w:val="20"/>
                <w:szCs w:val="20"/>
                <w:color w:val="auto"/>
              </w:rPr>
            </w:pPr>
            <w:r>
              <w:rPr>
                <w:rFonts w:ascii="Times New Roman" w:cs="Times New Roman" w:eastAsia="Times New Roman" w:hAnsi="Times New Roman"/>
                <w:sz w:val="17"/>
                <w:szCs w:val="17"/>
                <w:color w:val="auto"/>
              </w:rPr>
              <w:t>Fair value of assumed DocSend options attributable to pre-combination services</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2"/>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Purchase price adjustments</w:t>
            </w:r>
          </w:p>
        </w:tc>
        <w:tc>
          <w:tcPr>
            <w:tcW w:w="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r>
      <w:tr>
        <w:trPr>
          <w:trHeight w:val="21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consideration</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w:t>
            </w:r>
          </w:p>
        </w:tc>
      </w:tr>
    </w:tbl>
    <w:p>
      <w:pPr>
        <w:spacing w:after="0" w:line="290" w:lineRule="exact"/>
        <w:rPr>
          <w:sz w:val="20"/>
          <w:szCs w:val="20"/>
          <w:color w:val="auto"/>
        </w:rPr>
      </w:pPr>
    </w:p>
    <w:p>
      <w:pPr>
        <w:ind w:left="140" w:hanging="136"/>
        <w:spacing w:after="0"/>
        <w:tabs>
          <w:tab w:leader="none" w:pos="140" w:val="left"/>
        </w:tabs>
        <w:numPr>
          <w:ilvl w:val="0"/>
          <w:numId w:val="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fair value of options assumed was based upon the Black-Scholes option-pricing model.</w:t>
      </w:r>
    </w:p>
    <w:p>
      <w:pPr>
        <w:spacing w:after="0" w:line="247" w:lineRule="exact"/>
        <w:rPr>
          <w:sz w:val="20"/>
          <w:szCs w:val="20"/>
          <w:color w:val="auto"/>
        </w:rPr>
      </w:pPr>
    </w:p>
    <w:p>
      <w:pPr>
        <w:ind w:right="60" w:firstLine="430"/>
        <w:spacing w:after="0" w:line="268" w:lineRule="auto"/>
        <w:rPr>
          <w:sz w:val="20"/>
          <w:szCs w:val="20"/>
          <w:color w:val="auto"/>
        </w:rPr>
      </w:pPr>
      <w:r>
        <w:rPr>
          <w:rFonts w:ascii="Times New Roman" w:cs="Times New Roman" w:eastAsia="Times New Roman" w:hAnsi="Times New Roman"/>
          <w:sz w:val="17"/>
          <w:szCs w:val="17"/>
          <w:color w:val="auto"/>
        </w:rPr>
        <w:t>In addition to the total purchase consideration above, the Company has compensation agreements with key DocSend personnel consisting of $30.7 million in future cash payments subject to ongoing employee service. The related expenses are recognized within sales and marketing and research and development expenses over the required service period of three years. The payments began in the first quarter of 2022, with $10.2 million paid during the three months ended March 31, 2022. The remaining balance of $20.5 million will be paid out over the next two years in accordance with the acquisition agreement.</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firstLine="430"/>
        <w:spacing w:after="0" w:line="294" w:lineRule="auto"/>
        <w:rPr>
          <w:sz w:val="20"/>
          <w:szCs w:val="20"/>
          <w:color w:val="auto"/>
        </w:rPr>
      </w:pPr>
      <w:r>
        <w:rPr>
          <w:rFonts w:ascii="Times New Roman" w:cs="Times New Roman" w:eastAsia="Times New Roman" w:hAnsi="Times New Roman"/>
          <w:sz w:val="17"/>
          <w:szCs w:val="17"/>
          <w:color w:val="auto"/>
        </w:rPr>
        <w:t>The purchase consideration was allocated to the tangible and intangible assets and liabilities acquired as of the acquisition date, with the excess recorded to goodwill as shown below.</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acquired: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2"/>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340" w:type="dxa"/>
            <w:vAlign w:val="bottom"/>
          </w:tcPr>
          <w:p>
            <w:pPr>
              <w:jc w:val="right"/>
              <w:ind w:right="115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2"/>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Acquisition-related intangible assets</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r>
      <w:tr>
        <w:trPr>
          <w:trHeight w:val="222"/>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Accounts receivable, prepaid and other assets</w:t>
            </w:r>
          </w:p>
        </w:tc>
        <w:tc>
          <w:tcPr>
            <w:tcW w:w="1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4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 acquired</w:t>
            </w:r>
          </w:p>
        </w:tc>
        <w:tc>
          <w:tcPr>
            <w:tcW w:w="1340" w:type="dxa"/>
            <w:vAlign w:val="bottom"/>
            <w:tcBorders>
              <w:bottom w:val="single" w:sz="8" w:color="auto"/>
            </w:tcBorders>
            <w:shd w:val="clear" w:color="auto" w:fill="CCEEFF"/>
          </w:tcPr>
          <w:p>
            <w:pPr>
              <w:jc w:val="right"/>
              <w:ind w:right="115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194"/>
        </w:trPr>
        <w:tc>
          <w:tcPr>
            <w:tcW w:w="8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2"/>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assumed:</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22"/>
        </w:trPr>
        <w:tc>
          <w:tcPr>
            <w:tcW w:w="8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accrued and other liabilities</w:t>
            </w:r>
          </w:p>
        </w:tc>
        <w:tc>
          <w:tcPr>
            <w:tcW w:w="1340" w:type="dxa"/>
            <w:vAlign w:val="bottom"/>
          </w:tcPr>
          <w:p>
            <w:pPr>
              <w:jc w:val="right"/>
              <w:ind w:right="115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2"/>
        </w:trPr>
        <w:tc>
          <w:tcPr>
            <w:tcW w:w="8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22"/>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Deferred tax liability</w:t>
            </w:r>
          </w:p>
        </w:tc>
        <w:tc>
          <w:tcPr>
            <w:tcW w:w="1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1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assumed</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15"/>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assets acquired, excluding goodwill</w:t>
            </w:r>
          </w:p>
        </w:tc>
        <w:tc>
          <w:tcPr>
            <w:tcW w:w="13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21.6</w:t>
            </w:r>
          </w:p>
        </w:tc>
      </w:tr>
      <w:tr>
        <w:trPr>
          <w:trHeight w:val="21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consideration</w:t>
            </w:r>
          </w:p>
        </w:tc>
        <w:tc>
          <w:tcPr>
            <w:tcW w:w="1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w:t>
            </w:r>
          </w:p>
        </w:tc>
      </w:tr>
      <w:tr>
        <w:trPr>
          <w:trHeight w:val="215"/>
        </w:trPr>
        <w:tc>
          <w:tcPr>
            <w:tcW w:w="8200" w:type="dxa"/>
            <w:vAlign w:val="bottom"/>
          </w:tcPr>
          <w:p>
            <w:pPr>
              <w:ind w:left="20"/>
              <w:spacing w:after="0" w:line="214" w:lineRule="exact"/>
              <w:rPr>
                <w:sz w:val="20"/>
                <w:szCs w:val="20"/>
                <w:color w:val="auto"/>
              </w:rPr>
            </w:pPr>
            <w:r>
              <w:rPr>
                <w:rFonts w:ascii="Times New Roman" w:cs="Times New Roman" w:eastAsia="Times New Roman" w:hAnsi="Times New Roman"/>
                <w:sz w:val="17"/>
                <w:szCs w:val="17"/>
                <w:color w:val="auto"/>
              </w:rPr>
              <w:t>Goodwill</w:t>
            </w:r>
            <w:r>
              <w:rPr>
                <w:rFonts w:ascii="Times New Roman" w:cs="Times New Roman" w:eastAsia="Times New Roman" w:hAnsi="Times New Roman"/>
                <w:sz w:val="22"/>
                <w:szCs w:val="22"/>
                <w:color w:val="auto"/>
                <w:vertAlign w:val="superscript"/>
              </w:rPr>
              <w:t>(2)</w:t>
            </w:r>
          </w:p>
        </w:tc>
        <w:tc>
          <w:tcPr>
            <w:tcW w:w="1340" w:type="dxa"/>
            <w:vAlign w:val="bottom"/>
            <w:tcBorders>
              <w:bottom w:val="single" w:sz="8" w:color="auto"/>
            </w:tcBorders>
          </w:tcPr>
          <w:p>
            <w:pPr>
              <w:jc w:val="right"/>
              <w:ind w:right="115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110.2</w:t>
            </w:r>
          </w:p>
        </w:tc>
      </w:tr>
      <w:tr>
        <w:trPr>
          <w:trHeight w:val="20"/>
        </w:trPr>
        <w:tc>
          <w:tcPr>
            <w:tcW w:w="8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140" w:hanging="136"/>
        <w:spacing w:after="0"/>
        <w:tabs>
          <w:tab w:leader="none" w:pos="14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goodwill recognized was primarily attributable to the opportunity to expand the user base of the Company's platform. The goodwill is not deductible for U.S. federal income tax purposes.</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fair value of the separately identifiable finite-lived intangible assets acquired and estimated weighted average useful lives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Estimated weighted average</w:t>
            </w:r>
          </w:p>
        </w:tc>
      </w:tr>
      <w:tr>
        <w:trPr>
          <w:trHeight w:val="177"/>
        </w:trPr>
        <w:tc>
          <w:tcPr>
            <w:tcW w:w="6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color w:val="auto"/>
              </w:rPr>
              <w:t>useful lives</w:t>
            </w:r>
          </w:p>
        </w:tc>
      </w:tr>
      <w:tr>
        <w:trPr>
          <w:trHeight w:val="227"/>
        </w:trPr>
        <w:tc>
          <w:tcPr>
            <w:tcW w:w="67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Estimated fair values</w:t>
            </w:r>
          </w:p>
        </w:tc>
        <w:tc>
          <w:tcPr>
            <w:tcW w:w="160" w:type="dxa"/>
            <w:vAlign w:val="bottom"/>
            <w:tcBorders>
              <w:bottom w:val="single" w:sz="8" w:color="CCEEFF"/>
            </w:tcBorders>
          </w:tcPr>
          <w:p>
            <w:pPr>
              <w:spacing w:after="0"/>
              <w:rPr>
                <w:sz w:val="19"/>
                <w:szCs w:val="19"/>
                <w:color w:val="auto"/>
              </w:rPr>
            </w:pPr>
          </w:p>
        </w:tc>
        <w:tc>
          <w:tcPr>
            <w:tcW w:w="21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7"/>
                <w:szCs w:val="17"/>
                <w:color w:val="auto"/>
              </w:rPr>
              <w:t>(In years)</w:t>
            </w:r>
          </w:p>
        </w:tc>
      </w:tr>
      <w:tr>
        <w:trPr>
          <w:trHeight w:val="21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6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w:t>
            </w:r>
          </w:p>
        </w:tc>
      </w:tr>
      <w:tr>
        <w:trPr>
          <w:trHeight w:val="222"/>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340" w:type="dxa"/>
            <w:vAlign w:val="bottom"/>
            <w:gridSpan w:val="2"/>
          </w:tcPr>
          <w:p>
            <w:pPr>
              <w:jc w:val="center"/>
              <w:ind w:left="73"/>
              <w:spacing w:after="0"/>
              <w:rPr>
                <w:sz w:val="20"/>
                <w:szCs w:val="20"/>
                <w:color w:val="auto"/>
              </w:rPr>
            </w:pPr>
            <w:r>
              <w:rPr>
                <w:rFonts w:ascii="Times New Roman" w:cs="Times New Roman" w:eastAsia="Times New Roman" w:hAnsi="Times New Roman"/>
                <w:sz w:val="17"/>
                <w:szCs w:val="17"/>
                <w:color w:val="auto"/>
              </w:rPr>
              <w:t>5.0</w:t>
            </w:r>
          </w:p>
        </w:tc>
      </w:tr>
      <w:tr>
        <w:trPr>
          <w:trHeight w:val="222"/>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name</w:t>
            </w: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340" w:type="dxa"/>
            <w:vAlign w:val="bottom"/>
            <w:gridSpan w:val="2"/>
            <w:shd w:val="clear" w:color="auto" w:fill="CCEEFF"/>
          </w:tcPr>
          <w:p>
            <w:pPr>
              <w:jc w:val="center"/>
              <w:ind w:left="73"/>
              <w:spacing w:after="0"/>
              <w:rPr>
                <w:sz w:val="20"/>
                <w:szCs w:val="20"/>
                <w:color w:val="auto"/>
              </w:rPr>
            </w:pPr>
            <w:r>
              <w:rPr>
                <w:rFonts w:ascii="Times New Roman" w:cs="Times New Roman" w:eastAsia="Times New Roman" w:hAnsi="Times New Roman"/>
                <w:sz w:val="17"/>
                <w:szCs w:val="17"/>
                <w:color w:val="auto"/>
              </w:rPr>
              <w:t>5.0</w:t>
            </w:r>
          </w:p>
        </w:tc>
      </w:tr>
      <w:tr>
        <w:trPr>
          <w:trHeight w:val="215"/>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acquisition-related intangible assets</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bl>
    <w:p>
      <w:pPr>
        <w:spacing w:after="0" w:line="73" w:lineRule="exact"/>
        <w:rPr>
          <w:sz w:val="20"/>
          <w:szCs w:val="20"/>
          <w:color w:val="auto"/>
        </w:rPr>
      </w:pPr>
    </w:p>
    <w:p>
      <w:pPr>
        <w:jc w:val="both"/>
        <w:ind w:right="200" w:firstLine="430"/>
        <w:spacing w:after="0" w:line="275" w:lineRule="auto"/>
        <w:rPr>
          <w:sz w:val="20"/>
          <w:szCs w:val="20"/>
          <w:color w:val="auto"/>
        </w:rPr>
      </w:pPr>
      <w:r>
        <w:rPr>
          <w:rFonts w:ascii="Times New Roman" w:cs="Times New Roman" w:eastAsia="Times New Roman" w:hAnsi="Times New Roman"/>
          <w:sz w:val="17"/>
          <w:szCs w:val="17"/>
          <w:color w:val="auto"/>
        </w:rPr>
        <w:t>The fair values of the acquisition-related intangible assets were determined using the following methodologies: the multi-period excess earnings method for customer relationships, and the relief from royalty method for developed technology, and the trade name, respectively. The valuation model inputs required the application of significant judgment by management. The acquired intangible assets have a total weighted average amortization period of 5.0 years.</w:t>
      </w:r>
    </w:p>
    <w:p>
      <w:pPr>
        <w:spacing w:after="0" w:line="189" w:lineRule="exact"/>
        <w:rPr>
          <w:sz w:val="20"/>
          <w:szCs w:val="20"/>
          <w:color w:val="auto"/>
        </w:rPr>
      </w:pPr>
    </w:p>
    <w:p>
      <w:pPr>
        <w:ind w:right="40" w:firstLine="430"/>
        <w:spacing w:after="0" w:line="294" w:lineRule="auto"/>
        <w:rPr>
          <w:sz w:val="20"/>
          <w:szCs w:val="20"/>
          <w:color w:val="auto"/>
        </w:rPr>
      </w:pPr>
      <w:r>
        <w:rPr>
          <w:rFonts w:ascii="Times New Roman" w:cs="Times New Roman" w:eastAsia="Times New Roman" w:hAnsi="Times New Roman"/>
          <w:sz w:val="17"/>
          <w:szCs w:val="17"/>
          <w:color w:val="auto"/>
        </w:rPr>
        <w:t>One-time acquisition-related diligence costs of $1.2 million were expensed within general and administrative expenses as incurred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6. Intangible Assets</w:t>
            </w:r>
          </w:p>
        </w:tc>
        <w:tc>
          <w:tcPr>
            <w:tcW w:w="2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50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Intangible assets consisted of the following:</w:t>
            </w: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average</w:t>
            </w:r>
          </w:p>
        </w:tc>
        <w:tc>
          <w:tcPr>
            <w:tcW w:w="0" w:type="dxa"/>
            <w:vAlign w:val="bottom"/>
          </w:tcPr>
          <w:p>
            <w:pPr>
              <w:spacing w:after="0"/>
              <w:rPr>
                <w:sz w:val="1"/>
                <w:szCs w:val="1"/>
                <w:color w:val="auto"/>
              </w:rPr>
            </w:pPr>
          </w:p>
        </w:tc>
      </w:tr>
      <w:tr>
        <w:trPr>
          <w:trHeight w:val="177"/>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77"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170"/>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b w:val="1"/>
                <w:bCs w:val="1"/>
                <w:color w:val="auto"/>
              </w:rPr>
              <w:t>useful life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As of March 31,</w:t>
            </w:r>
          </w:p>
        </w:tc>
        <w:tc>
          <w:tcPr>
            <w:tcW w:w="180" w:type="dxa"/>
            <w:vAlign w:val="bottom"/>
          </w:tcPr>
          <w:p>
            <w:pPr>
              <w:spacing w:after="0"/>
              <w:rPr>
                <w:sz w:val="15"/>
                <w:szCs w:val="15"/>
                <w:color w:val="auto"/>
              </w:rPr>
            </w:pPr>
          </w:p>
        </w:tc>
        <w:tc>
          <w:tcPr>
            <w:tcW w:w="1800" w:type="dxa"/>
            <w:vAlign w:val="bottom"/>
            <w:vMerge w:val="restart"/>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0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(In years)</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As of March 31,</w:t>
            </w:r>
          </w:p>
        </w:tc>
        <w:tc>
          <w:tcPr>
            <w:tcW w:w="0" w:type="dxa"/>
            <w:vAlign w:val="bottom"/>
          </w:tcPr>
          <w:p>
            <w:pPr>
              <w:spacing w:after="0"/>
              <w:rPr>
                <w:sz w:val="1"/>
                <w:szCs w:val="1"/>
                <w:color w:val="auto"/>
              </w:rPr>
            </w:pPr>
          </w:p>
        </w:tc>
      </w:tr>
      <w:tr>
        <w:trPr>
          <w:trHeight w:val="215"/>
        </w:trPr>
        <w:tc>
          <w:tcPr>
            <w:tcW w:w="50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9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technology</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3.5</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206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3"/>
              </w:rPr>
              <w:t>3.4</w:t>
            </w: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Patents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20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3"/>
              </w:rPr>
              <w:t>5.1</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06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3"/>
              </w:rPr>
              <w:t>1.1</w:t>
            </w: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Trademarks and trade names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2060" w:type="dxa"/>
            <w:vAlign w:val="bottom"/>
            <w:gridSpan w:val="2"/>
            <w:shd w:val="clear" w:color="auto" w:fill="CCEEFF"/>
          </w:tcPr>
          <w:p>
            <w:pPr>
              <w:jc w:val="center"/>
              <w:ind w:left="13"/>
              <w:spacing w:after="0"/>
              <w:rPr>
                <w:sz w:val="20"/>
                <w:szCs w:val="20"/>
                <w:color w:val="auto"/>
              </w:rPr>
            </w:pPr>
            <w:r>
              <w:rPr>
                <w:rFonts w:ascii="Times New Roman" w:cs="Times New Roman" w:eastAsia="Times New Roman" w:hAnsi="Times New Roman"/>
                <w:sz w:val="17"/>
                <w:szCs w:val="17"/>
                <w:color w:val="auto"/>
                <w:w w:val="93"/>
              </w:rPr>
              <w:t>2.5</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Licenses</w:t>
            </w:r>
          </w:p>
        </w:tc>
        <w:tc>
          <w:tcPr>
            <w:tcW w:w="2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Assembled workforce in asset acquisitions</w:t>
            </w:r>
          </w:p>
        </w:tc>
        <w:tc>
          <w:tcPr>
            <w:tcW w:w="2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shd w:val="clear" w:color="auto" w:fill="CCEEFF"/>
          </w:tcPr>
          <w:p>
            <w:pPr>
              <w:spacing w:after="0"/>
              <w:rPr>
                <w:sz w:val="19"/>
                <w:szCs w:val="19"/>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22"/>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0.8</w:t>
            </w:r>
          </w:p>
        </w:tc>
        <w:tc>
          <w:tcPr>
            <w:tcW w:w="2060" w:type="dxa"/>
            <w:vAlign w:val="bottom"/>
            <w:tcBorders>
              <w:bottom w:val="single" w:sz="8" w:color="CCEEFF"/>
            </w:tcBorders>
            <w:gridSpan w:val="2"/>
          </w:tcPr>
          <w:p>
            <w:pPr>
              <w:jc w:val="center"/>
              <w:ind w:left="13"/>
              <w:spacing w:after="0"/>
              <w:rPr>
                <w:sz w:val="20"/>
                <w:szCs w:val="20"/>
                <w:color w:val="auto"/>
              </w:rPr>
            </w:pPr>
            <w:r>
              <w:rPr>
                <w:rFonts w:ascii="Times New Roman" w:cs="Times New Roman" w:eastAsia="Times New Roman" w:hAnsi="Times New Roman"/>
                <w:sz w:val="17"/>
                <w:szCs w:val="17"/>
                <w:color w:val="auto"/>
                <w:w w:val="93"/>
              </w:rPr>
              <w:t>3.5</w:t>
            </w:r>
          </w:p>
        </w:tc>
        <w:tc>
          <w:tcPr>
            <w:tcW w:w="0" w:type="dxa"/>
            <w:vAlign w:val="bottom"/>
          </w:tcPr>
          <w:p>
            <w:pPr>
              <w:spacing w:after="0"/>
              <w:rPr>
                <w:sz w:val="1"/>
                <w:szCs w:val="1"/>
                <w:color w:val="auto"/>
              </w:rPr>
            </w:pPr>
          </w:p>
        </w:tc>
      </w:tr>
      <w:tr>
        <w:trPr>
          <w:trHeight w:val="215"/>
        </w:trPr>
        <w:tc>
          <w:tcPr>
            <w:tcW w:w="5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intangibles</w:t>
            </w: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1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Amortization expense was $4.0 million and $3.1 million for the three months ended March 31, 2022 and 2021, respectively.</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90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Expected future amortization expense for intangible assets as of March 31, 2022 is as follows:</w:t>
            </w:r>
          </w:p>
        </w:tc>
        <w:tc>
          <w:tcPr>
            <w:tcW w:w="9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1"/>
        </w:trPr>
        <w:tc>
          <w:tcPr>
            <w:tcW w:w="90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222"/>
        </w:trPr>
        <w:tc>
          <w:tcPr>
            <w:tcW w:w="9000" w:type="dxa"/>
            <w:vAlign w:val="bottom"/>
          </w:tcPr>
          <w:p>
            <w:pPr>
              <w:spacing w:after="0"/>
              <w:rPr>
                <w:sz w:val="20"/>
                <w:szCs w:val="20"/>
                <w:color w:val="auto"/>
              </w:rPr>
            </w:pPr>
            <w:r>
              <w:rPr>
                <w:rFonts w:ascii="Times New Roman" w:cs="Times New Roman" w:eastAsia="Times New Roman" w:hAnsi="Times New Roman"/>
                <w:sz w:val="17"/>
                <w:szCs w:val="17"/>
                <w:color w:val="auto"/>
              </w:rPr>
              <w:t>2025</w:t>
            </w:r>
          </w:p>
        </w:tc>
        <w:tc>
          <w:tcPr>
            <w:tcW w:w="9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22"/>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9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22"/>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9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40"/>
        </w:trPr>
        <w:tc>
          <w:tcPr>
            <w:tcW w:w="90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tcBorders>
              <w:bottom w:val="single" w:sz="8" w:color="auto"/>
            </w:tcBorders>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Goodwill</w:t>
      </w:r>
    </w:p>
    <w:p>
      <w:pPr>
        <w:spacing w:after="0" w:line="250" w:lineRule="exact"/>
        <w:rPr>
          <w:sz w:val="20"/>
          <w:szCs w:val="20"/>
          <w:color w:val="auto"/>
        </w:rPr>
      </w:pPr>
    </w:p>
    <w:p>
      <w:pPr>
        <w:ind w:right="460" w:firstLine="430"/>
        <w:spacing w:after="0" w:line="294" w:lineRule="auto"/>
        <w:rPr>
          <w:sz w:val="20"/>
          <w:szCs w:val="20"/>
          <w:color w:val="auto"/>
        </w:rPr>
      </w:pPr>
      <w:r>
        <w:rPr>
          <w:rFonts w:ascii="Times New Roman" w:cs="Times New Roman" w:eastAsia="Times New Roman" w:hAnsi="Times New Roman"/>
          <w:sz w:val="17"/>
          <w:szCs w:val="17"/>
          <w:color w:val="auto"/>
        </w:rPr>
        <w:t>Goodwill represents the excess of the purchase price in a business combination over the fair value of net tangible and intangible assets acquired. The changes in the carrying amounts of goodwill were as follows: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46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356.6</w:t>
            </w:r>
          </w:p>
        </w:tc>
      </w:tr>
      <w:tr>
        <w:trPr>
          <w:trHeight w:val="222"/>
        </w:trPr>
        <w:tc>
          <w:tcPr>
            <w:tcW w:w="7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Effect of foreign currency translation</w:t>
            </w:r>
          </w:p>
        </w:tc>
        <w:tc>
          <w:tcPr>
            <w:tcW w:w="146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40"/>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March 31, 2022</w:t>
            </w:r>
          </w:p>
        </w:tc>
        <w:tc>
          <w:tcPr>
            <w:tcW w:w="1460" w:type="dxa"/>
            <w:vAlign w:val="bottom"/>
            <w:tcBorders>
              <w:bottom w:val="single" w:sz="8" w:color="auto"/>
            </w:tcBorders>
            <w:shd w:val="clear" w:color="auto" w:fill="CCEEFF"/>
          </w:tcPr>
          <w:p>
            <w:pPr>
              <w:jc w:val="right"/>
              <w:ind w:right="1273"/>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540" w:firstLine="430"/>
        <w:spacing w:after="0" w:line="294" w:lineRule="auto"/>
        <w:rPr>
          <w:sz w:val="20"/>
          <w:szCs w:val="20"/>
          <w:color w:val="auto"/>
        </w:rPr>
      </w:pPr>
      <w:r>
        <w:rPr>
          <w:rFonts w:ascii="Times New Roman" w:cs="Times New Roman" w:eastAsia="Times New Roman" w:hAnsi="Times New Roman"/>
          <w:sz w:val="17"/>
          <w:szCs w:val="17"/>
          <w:color w:val="auto"/>
        </w:rPr>
        <w:t>Goodwill amounts are not amortized, but tested for impairment on an annual basis. There was no impairment of goodwill as of March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Debt</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facility</w:t>
      </w:r>
    </w:p>
    <w:p>
      <w:pPr>
        <w:spacing w:after="0" w:line="252" w:lineRule="exact"/>
        <w:rPr>
          <w:sz w:val="20"/>
          <w:szCs w:val="20"/>
          <w:color w:val="auto"/>
        </w:rPr>
      </w:pPr>
    </w:p>
    <w:p>
      <w:pPr>
        <w:ind w:right="200" w:firstLine="430"/>
        <w:spacing w:after="0" w:line="260" w:lineRule="auto"/>
        <w:rPr>
          <w:sz w:val="20"/>
          <w:szCs w:val="20"/>
          <w:color w:val="auto"/>
        </w:rPr>
      </w:pPr>
      <w:r>
        <w:rPr>
          <w:rFonts w:ascii="Times New Roman" w:cs="Times New Roman" w:eastAsia="Times New Roman" w:hAnsi="Times New Roman"/>
          <w:sz w:val="17"/>
          <w:szCs w:val="17"/>
          <w:color w:val="auto"/>
        </w:rPr>
        <w:t>In February 2018, the Company entered into an amendment to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and extended the term of the agreement through February 2026. The Company may from time to time request increases in its borrowing capacity under the revolving credit facility of up to</w:t>
      </w:r>
    </w:p>
    <w:p>
      <w:pPr>
        <w:spacing w:after="0" w:line="2" w:lineRule="exact"/>
        <w:rPr>
          <w:sz w:val="20"/>
          <w:szCs w:val="20"/>
          <w:color w:val="auto"/>
        </w:rPr>
      </w:pPr>
    </w:p>
    <w:p>
      <w:pPr>
        <w:ind w:right="580"/>
        <w:spacing w:after="0" w:line="264" w:lineRule="auto"/>
        <w:rPr>
          <w:sz w:val="20"/>
          <w:szCs w:val="20"/>
          <w:color w:val="auto"/>
        </w:rPr>
      </w:pPr>
      <w:r>
        <w:rPr>
          <w:rFonts w:ascii="Times New Roman" w:cs="Times New Roman" w:eastAsia="Times New Roman" w:hAnsi="Times New Roman"/>
          <w:sz w:val="17"/>
          <w:szCs w:val="17"/>
          <w:color w:val="auto"/>
        </w:rPr>
        <w:t>$250.0 million, provided no event of default has occurred or is continuing or would result from such increase. In conjunction with the February 2021 amendment, the Company paid upfront issuance fees of $1.7 million, which are being amortized over the remaining term of the agreement, and wrote-off $0.2 million in unamortized deferred debt issuance costs.</w:t>
      </w:r>
    </w:p>
    <w:p>
      <w:pPr>
        <w:spacing w:after="0" w:line="197" w:lineRule="exact"/>
        <w:rPr>
          <w:sz w:val="20"/>
          <w:szCs w:val="20"/>
          <w:color w:val="auto"/>
        </w:rPr>
      </w:pPr>
    </w:p>
    <w:p>
      <w:pPr>
        <w:ind w:right="40" w:firstLine="430"/>
        <w:spacing w:after="0" w:line="262" w:lineRule="auto"/>
        <w:rPr>
          <w:sz w:val="20"/>
          <w:szCs w:val="20"/>
          <w:color w:val="auto"/>
        </w:rPr>
      </w:pPr>
      <w:r>
        <w:rPr>
          <w:rFonts w:ascii="Times New Roman" w:cs="Times New Roman" w:eastAsia="Times New Roman" w:hAnsi="Times New Roman"/>
          <w:sz w:val="17"/>
          <w:szCs w:val="17"/>
          <w:color w:val="auto"/>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LIBOR plus a spread of 1.375% or at an alternative base rate plus a spread of 0.375%.</w:t>
      </w:r>
    </w:p>
    <w:p>
      <w:pPr>
        <w:spacing w:after="0" w:line="201" w:lineRule="exact"/>
        <w:rPr>
          <w:sz w:val="20"/>
          <w:szCs w:val="20"/>
          <w:color w:val="auto"/>
        </w:rPr>
      </w:pPr>
    </w:p>
    <w:p>
      <w:pPr>
        <w:ind w:firstLine="430"/>
        <w:spacing w:after="0" w:line="265" w:lineRule="auto"/>
        <w:rPr>
          <w:sz w:val="20"/>
          <w:szCs w:val="20"/>
          <w:color w:val="auto"/>
        </w:rPr>
      </w:pPr>
      <w:r>
        <w:rPr>
          <w:rFonts w:ascii="Times New Roman" w:cs="Times New Roman" w:eastAsia="Times New Roman" w:hAnsi="Times New Roman"/>
          <w:sz w:val="17"/>
          <w:szCs w:val="17"/>
          <w:color w:val="auto"/>
        </w:rPr>
        <w:t>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March 31, 2022 and December 31, 2021, respectively.</w:t>
      </w:r>
    </w:p>
    <w:p>
      <w:pPr>
        <w:spacing w:after="0" w:line="199" w:lineRule="exact"/>
        <w:rPr>
          <w:sz w:val="20"/>
          <w:szCs w:val="20"/>
          <w:color w:val="auto"/>
        </w:rPr>
      </w:pPr>
    </w:p>
    <w:p>
      <w:pPr>
        <w:ind w:right="80" w:firstLine="430"/>
        <w:spacing w:after="0" w:line="275" w:lineRule="auto"/>
        <w:rPr>
          <w:sz w:val="20"/>
          <w:szCs w:val="20"/>
          <w:color w:val="auto"/>
        </w:rPr>
      </w:pPr>
      <w:r>
        <w:rPr>
          <w:rFonts w:ascii="Times New Roman" w:cs="Times New Roman" w:eastAsia="Times New Roman" w:hAnsi="Times New Roman"/>
          <w:sz w:val="17"/>
          <w:szCs w:val="17"/>
          <w:color w:val="auto"/>
        </w:rPr>
        <w:t>The Company had an aggregate of $52.1 million of letters of credit outstanding under the revolving credit facility as of March 31, 2022, and the Company’s total available borrowing capacity under the revolving credit facility was $447.9 million as of March 31, 2022. The Company’s letters of credit have final expiration dates through 2036.</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w:t>
      </w:r>
    </w:p>
    <w:p>
      <w:pPr>
        <w:spacing w:after="0" w:line="252" w:lineRule="exact"/>
        <w:rPr>
          <w:sz w:val="20"/>
          <w:szCs w:val="20"/>
          <w:color w:val="auto"/>
        </w:rPr>
      </w:pPr>
    </w:p>
    <w:p>
      <w:pPr>
        <w:ind w:right="20" w:firstLine="430"/>
        <w:spacing w:after="0" w:line="268" w:lineRule="auto"/>
        <w:rPr>
          <w:sz w:val="20"/>
          <w:szCs w:val="20"/>
          <w:color w:val="auto"/>
        </w:rPr>
      </w:pPr>
      <w:r>
        <w:rPr>
          <w:rFonts w:ascii="Times New Roman" w:cs="Times New Roman" w:eastAsia="Times New Roman" w:hAnsi="Times New Roman"/>
          <w:sz w:val="17"/>
          <w:szCs w:val="17"/>
          <w:color w:val="auto"/>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spacing w:after="0" w:line="196" w:lineRule="exact"/>
        <w:rPr>
          <w:sz w:val="20"/>
          <w:szCs w:val="20"/>
          <w:color w:val="auto"/>
        </w:rPr>
      </w:pPr>
    </w:p>
    <w:p>
      <w:pPr>
        <w:jc w:val="both"/>
        <w:ind w:right="80" w:firstLine="430"/>
        <w:spacing w:after="0" w:line="275" w:lineRule="auto"/>
        <w:rPr>
          <w:sz w:val="20"/>
          <w:szCs w:val="20"/>
          <w:color w:val="auto"/>
        </w:rPr>
      </w:pPr>
      <w:r>
        <w:rPr>
          <w:rFonts w:ascii="Times New Roman" w:cs="Times New Roman" w:eastAsia="Times New Roman" w:hAnsi="Times New Roman"/>
          <w:sz w:val="17"/>
          <w:szCs w:val="17"/>
          <w:color w:val="auto"/>
        </w:rPr>
        <w:t>The Notes of each series do not bear regular interest. The Notes of each series may bear special interest as the remedy relating to the Company’s failure to comply with certain of its reporting obligations. The Company has complied with this reporting obligations from the issuance date through March 31, 2022. The 2026 Notes will mature on March 1, 2026, and the 2028 Notes will mature on March 1, 2028, in each case, unless earlier converted, redeemed or repurchased.</w:t>
      </w:r>
    </w:p>
    <w:p>
      <w:pPr>
        <w:spacing w:after="0" w:line="189" w:lineRule="exact"/>
        <w:rPr>
          <w:sz w:val="20"/>
          <w:szCs w:val="20"/>
          <w:color w:val="auto"/>
        </w:rPr>
      </w:pPr>
    </w:p>
    <w:p>
      <w:pPr>
        <w:ind w:firstLine="430"/>
        <w:spacing w:after="0" w:line="263" w:lineRule="auto"/>
        <w:rPr>
          <w:sz w:val="20"/>
          <w:szCs w:val="20"/>
          <w:color w:val="auto"/>
        </w:rPr>
      </w:pPr>
      <w:r>
        <w:rPr>
          <w:rFonts w:ascii="Times New Roman" w:cs="Times New Roman" w:eastAsia="Times New Roman" w:hAnsi="Times New Roman"/>
          <w:sz w:val="17"/>
          <w:szCs w:val="17"/>
          <w:color w:val="auto"/>
        </w:rPr>
        <w:t>The initial conversion rate for the 2026 Notes is 26.1458 shares of the Company’s Class A common stock per $1,000 principal amount of such Note, which is equivalent to an initial conversion price of approximately $38.25 per share. The initial 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6"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March 31, 2022.</w:t>
      </w:r>
    </w:p>
    <w:p>
      <w:pPr>
        <w:spacing w:after="0" w:line="200" w:lineRule="exact"/>
        <w:rPr>
          <w:sz w:val="20"/>
          <w:szCs w:val="20"/>
          <w:color w:val="auto"/>
        </w:rPr>
      </w:pPr>
    </w:p>
    <w:p>
      <w:pPr>
        <w:spacing w:after="0" w:line="208" w:lineRule="exact"/>
        <w:rPr>
          <w:sz w:val="20"/>
          <w:szCs w:val="20"/>
          <w:color w:val="auto"/>
        </w:rPr>
      </w:pPr>
    </w:p>
    <w:p>
      <w:pPr>
        <w:ind w:right="60" w:firstLine="430"/>
        <w:spacing w:after="0" w:line="265" w:lineRule="auto"/>
        <w:rPr>
          <w:sz w:val="20"/>
          <w:szCs w:val="20"/>
          <w:color w:val="auto"/>
        </w:rPr>
      </w:pPr>
      <w:r>
        <w:rPr>
          <w:rFonts w:ascii="Times New Roman" w:cs="Times New Roman" w:eastAsia="Times New Roman" w:hAnsi="Times New Roman"/>
          <w:sz w:val="17"/>
          <w:szCs w:val="17"/>
          <w:color w:val="auto"/>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March 31, 2022. In addition, during the three months ended March 31, 2022 and 2021 the conditions allowing holders of the Notes to convert were not met. As a result, the Notes were not convertible during the three months ended March 31, 2022 and 2021.</w:t>
      </w:r>
    </w:p>
    <w:p>
      <w:pPr>
        <w:spacing w:after="0" w:line="199" w:lineRule="exact"/>
        <w:rPr>
          <w:sz w:val="20"/>
          <w:szCs w:val="20"/>
          <w:color w:val="auto"/>
        </w:rPr>
      </w:pPr>
    </w:p>
    <w:p>
      <w:pPr>
        <w:ind w:right="100" w:firstLine="430"/>
        <w:spacing w:after="0" w:line="260" w:lineRule="auto"/>
        <w:rPr>
          <w:sz w:val="20"/>
          <w:szCs w:val="20"/>
          <w:color w:val="auto"/>
        </w:rPr>
      </w:pPr>
      <w:r>
        <w:rPr>
          <w:rFonts w:ascii="Times New Roman" w:cs="Times New Roman" w:eastAsia="Times New Roman" w:hAnsi="Times New Roman"/>
          <w:sz w:val="17"/>
          <w:szCs w:val="17"/>
          <w:color w:val="auto"/>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spacing w:after="0" w:line="203" w:lineRule="exact"/>
        <w:rPr>
          <w:sz w:val="20"/>
          <w:szCs w:val="20"/>
          <w:color w:val="auto"/>
        </w:rPr>
      </w:pPr>
    </w:p>
    <w:p>
      <w:pPr>
        <w:ind w:firstLine="430"/>
        <w:spacing w:after="0" w:line="275" w:lineRule="auto"/>
        <w:rPr>
          <w:sz w:val="20"/>
          <w:szCs w:val="20"/>
          <w:color w:val="auto"/>
        </w:rPr>
      </w:pPr>
      <w:r>
        <w:rPr>
          <w:rFonts w:ascii="Times New Roman" w:cs="Times New Roman" w:eastAsia="Times New Roman" w:hAnsi="Times New Roman"/>
          <w:sz w:val="17"/>
          <w:szCs w:val="17"/>
          <w:color w:val="auto"/>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spacing w:after="0" w:line="189" w:lineRule="exact"/>
        <w:rPr>
          <w:sz w:val="20"/>
          <w:szCs w:val="20"/>
          <w:color w:val="auto"/>
        </w:rPr>
      </w:pPr>
    </w:p>
    <w:p>
      <w:pPr>
        <w:ind w:right="40" w:firstLine="430"/>
        <w:spacing w:after="0" w:line="263" w:lineRule="auto"/>
        <w:rPr>
          <w:sz w:val="20"/>
          <w:szCs w:val="20"/>
          <w:color w:val="auto"/>
        </w:rPr>
      </w:pPr>
      <w:r>
        <w:rPr>
          <w:rFonts w:ascii="Times New Roman" w:cs="Times New Roman" w:eastAsia="Times New Roman" w:hAnsi="Times New Roman"/>
          <w:sz w:val="17"/>
          <w:szCs w:val="17"/>
          <w:color w:val="auto"/>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spacing w:after="0" w:line="201" w:lineRule="exact"/>
        <w:rPr>
          <w:sz w:val="20"/>
          <w:szCs w:val="20"/>
          <w:color w:val="auto"/>
        </w:rPr>
      </w:pPr>
    </w:p>
    <w:p>
      <w:pPr>
        <w:ind w:right="40" w:firstLine="430"/>
        <w:spacing w:after="0" w:line="268" w:lineRule="auto"/>
        <w:rPr>
          <w:sz w:val="20"/>
          <w:szCs w:val="20"/>
          <w:color w:val="auto"/>
        </w:rPr>
      </w:pPr>
      <w:r>
        <w:rPr>
          <w:rFonts w:ascii="Times New Roman" w:cs="Times New Roman" w:eastAsia="Times New Roman" w:hAnsi="Times New Roman"/>
          <w:sz w:val="17"/>
          <w:szCs w:val="17"/>
          <w:color w:val="auto"/>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spacing w:after="0" w:line="196" w:lineRule="exact"/>
        <w:rPr>
          <w:sz w:val="20"/>
          <w:szCs w:val="20"/>
          <w:color w:val="auto"/>
        </w:rPr>
      </w:pPr>
    </w:p>
    <w:p>
      <w:pPr>
        <w:ind w:right="40" w:firstLine="430"/>
        <w:spacing w:after="0" w:line="268" w:lineRule="auto"/>
        <w:rPr>
          <w:sz w:val="20"/>
          <w:szCs w:val="20"/>
          <w:color w:val="auto"/>
        </w:rPr>
      </w:pPr>
      <w:r>
        <w:rPr>
          <w:rFonts w:ascii="Times New Roman" w:cs="Times New Roman" w:eastAsia="Times New Roman" w:hAnsi="Times New Roman"/>
          <w:sz w:val="17"/>
          <w:szCs w:val="17"/>
          <w:color w:val="auto"/>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spacing w:after="0" w:line="196" w:lineRule="exact"/>
        <w:rPr>
          <w:sz w:val="20"/>
          <w:szCs w:val="20"/>
          <w:color w:val="auto"/>
        </w:rPr>
      </w:pPr>
    </w:p>
    <w:p>
      <w:pPr>
        <w:jc w:val="both"/>
        <w:ind w:right="300" w:firstLine="430"/>
        <w:spacing w:after="0" w:line="275" w:lineRule="auto"/>
        <w:rPr>
          <w:sz w:val="20"/>
          <w:szCs w:val="20"/>
          <w:color w:val="auto"/>
        </w:rPr>
      </w:pPr>
      <w:r>
        <w:rPr>
          <w:rFonts w:ascii="Times New Roman" w:cs="Times New Roman" w:eastAsia="Times New Roman" w:hAnsi="Times New Roman"/>
          <w:sz w:val="17"/>
          <w:szCs w:val="17"/>
          <w:color w:val="auto"/>
        </w:rPr>
        <w:t>In accounting for the Notes, issuance costs of $11.0 million and $11.0 million for the 2026 Notes and the 2028 Notes were deducted from the carrying value of the Notes in the consolidated balance sheet. Issuance costs will be recognized as interest expense over the five-year term and seven-year term for the 2026 Notes and the 2028 Notes, respectively.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is a summary of the Company’s convertible senior notes as of March 31, 2022 and December 31, 2021.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4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2026 Notes</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2028 Notes</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0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1500" w:type="dxa"/>
            <w:vAlign w:val="bottom"/>
          </w:tcPr>
          <w:p>
            <w:pPr>
              <w:jc w:val="right"/>
              <w:ind w:right="129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695.8</w:t>
            </w:r>
          </w:p>
        </w:tc>
        <w:tc>
          <w:tcPr>
            <w:tcW w:w="100" w:type="dxa"/>
            <w:vAlign w:val="bottom"/>
          </w:tcPr>
          <w:p>
            <w:pPr>
              <w:spacing w:after="0"/>
              <w:rPr>
                <w:sz w:val="19"/>
                <w:szCs w:val="19"/>
                <w:color w:val="auto"/>
              </w:rPr>
            </w:pPr>
          </w:p>
        </w:tc>
        <w:tc>
          <w:tcPr>
            <w:tcW w:w="1500" w:type="dxa"/>
            <w:vAlign w:val="bottom"/>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693.3</w:t>
            </w:r>
          </w:p>
        </w:tc>
        <w:tc>
          <w:tcPr>
            <w:tcW w:w="8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1,389.1</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w:t>
            </w: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1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687.2</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1,371.2</w:t>
            </w:r>
          </w:p>
        </w:tc>
      </w:tr>
      <w:tr>
        <w:trPr>
          <w:trHeight w:val="261"/>
        </w:trPr>
        <w:tc>
          <w:tcPr>
            <w:tcW w:w="49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balance</w:t>
            </w:r>
          </w:p>
        </w:tc>
        <w:tc>
          <w:tcPr>
            <w:tcW w:w="1500" w:type="dxa"/>
            <w:vAlign w:val="bottom"/>
            <w:shd w:val="clear" w:color="auto" w:fill="CCEEFF"/>
          </w:tcPr>
          <w:p>
            <w:pPr>
              <w:jc w:val="right"/>
              <w:ind w:right="1293"/>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1,389.1</w:t>
            </w:r>
          </w:p>
        </w:tc>
      </w:tr>
      <w:tr>
        <w:trPr>
          <w:trHeight w:val="222"/>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issuance costs</w:t>
            </w:r>
          </w:p>
        </w:tc>
        <w:tc>
          <w:tcPr>
            <w:tcW w:w="1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r>
      <w:tr>
        <w:trPr>
          <w:trHeight w:val="222"/>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 net</w:t>
            </w: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1,370.3</w:t>
            </w:r>
          </w:p>
        </w:tc>
      </w:tr>
    </w:tbl>
    <w:p>
      <w:pPr>
        <w:spacing w:after="0" w:line="308" w:lineRule="exact"/>
        <w:rPr>
          <w:sz w:val="20"/>
          <w:szCs w:val="20"/>
          <w:color w:val="auto"/>
        </w:rPr>
      </w:pPr>
    </w:p>
    <w:p>
      <w:pPr>
        <w:ind w:right="100" w:firstLine="626"/>
        <w:spacing w:after="0" w:line="275" w:lineRule="auto"/>
        <w:rPr>
          <w:sz w:val="20"/>
          <w:szCs w:val="20"/>
          <w:color w:val="auto"/>
        </w:rPr>
      </w:pPr>
      <w:r>
        <w:rPr>
          <w:rFonts w:ascii="Times New Roman" w:cs="Times New Roman" w:eastAsia="Times New Roman" w:hAnsi="Times New Roman"/>
          <w:sz w:val="17"/>
          <w:szCs w:val="17"/>
          <w:color w:val="auto"/>
        </w:rPr>
        <w:t>The Company recognized $0.5 million and $0.2 million in interest expense for the 2026 Notes and $0.4 million and $0.2 million in interest expense for the 2028 Notes during the three months ended March 31, 2022 and 2021, respectively, with such interest expense solely consisting of amortization of issuance costs. The effective interest rate for the 2026 Notes and the 2028 Notes was 0.32% and 0.22%, respectively, as of March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Maturities on the Company's long-term convertible debt are as follows: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3"/>
        </w:trPr>
        <w:tc>
          <w:tcPr>
            <w:tcW w:w="92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Convertible Debt</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April 1, 2022 through December 31, 2022</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695.8</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693.3</w:t>
            </w:r>
          </w:p>
        </w:tc>
      </w:tr>
      <w:tr>
        <w:trPr>
          <w:trHeight w:val="220"/>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1,389.1</w:t>
            </w:r>
          </w:p>
        </w:tc>
      </w:tr>
    </w:tbl>
    <w:p>
      <w:pPr>
        <w:spacing w:after="0" w:line="2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 Hedges and Warrants</w:t>
      </w:r>
    </w:p>
    <w:p>
      <w:pPr>
        <w:spacing w:after="0" w:line="252" w:lineRule="exact"/>
        <w:rPr>
          <w:sz w:val="20"/>
          <w:szCs w:val="20"/>
          <w:color w:val="auto"/>
        </w:rPr>
      </w:pPr>
    </w:p>
    <w:p>
      <w:pPr>
        <w:ind w:right="20" w:firstLine="430"/>
        <w:spacing w:after="0" w:line="268" w:lineRule="auto"/>
        <w:rPr>
          <w:sz w:val="20"/>
          <w:szCs w:val="20"/>
          <w:color w:val="auto"/>
        </w:rPr>
      </w:pPr>
      <w:r>
        <w:rPr>
          <w:rFonts w:ascii="Times New Roman" w:cs="Times New Roman" w:eastAsia="Times New Roman" w:hAnsi="Times New Roman"/>
          <w:sz w:val="17"/>
          <w:szCs w:val="17"/>
          <w:color w:val="auto"/>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common stock at a price of approximately $38.25 and $35.35 per share, respectively. The aggregate cost of the convertible note hedge transactions was $265.3 million.</w:t>
      </w:r>
    </w:p>
    <w:p>
      <w:pPr>
        <w:spacing w:after="0" w:line="196" w:lineRule="exact"/>
        <w:rPr>
          <w:sz w:val="20"/>
          <w:szCs w:val="20"/>
          <w:color w:val="auto"/>
        </w:rPr>
      </w:pPr>
    </w:p>
    <w:p>
      <w:pPr>
        <w:ind w:right="40" w:firstLine="430"/>
        <w:spacing w:after="0" w:line="267" w:lineRule="auto"/>
        <w:rPr>
          <w:sz w:val="20"/>
          <w:szCs w:val="20"/>
          <w:color w:val="auto"/>
        </w:rPr>
      </w:pPr>
      <w:r>
        <w:rPr>
          <w:rFonts w:ascii="Times New Roman" w:cs="Times New Roman" w:eastAsia="Times New Roman" w:hAnsi="Times New Roman"/>
          <w:sz w:val="17"/>
          <w:szCs w:val="17"/>
          <w:color w:val="auto"/>
        </w:rPr>
        <w:t>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the Company, and the settlement alternative will be the same as the settlement alternative of the conversion spread for the respective Notes.</w:t>
      </w:r>
    </w:p>
    <w:p>
      <w:pPr>
        <w:spacing w:after="0" w:line="200" w:lineRule="exact"/>
        <w:rPr>
          <w:sz w:val="20"/>
          <w:szCs w:val="20"/>
          <w:color w:val="auto"/>
        </w:rPr>
      </w:pPr>
    </w:p>
    <w:p>
      <w:pPr>
        <w:spacing w:after="0" w:line="208" w:lineRule="exact"/>
        <w:rPr>
          <w:sz w:val="20"/>
          <w:szCs w:val="20"/>
          <w:color w:val="auto"/>
        </w:rPr>
      </w:pPr>
    </w:p>
    <w:p>
      <w:pPr>
        <w:ind w:right="60" w:firstLine="430"/>
        <w:spacing w:after="0" w:line="268" w:lineRule="auto"/>
        <w:rPr>
          <w:sz w:val="20"/>
          <w:szCs w:val="20"/>
          <w:color w:val="auto"/>
        </w:rPr>
      </w:pPr>
      <w:r>
        <w:rPr>
          <w:rFonts w:ascii="Times New Roman" w:cs="Times New Roman" w:eastAsia="Times New Roman" w:hAnsi="Times New Roman"/>
          <w:sz w:val="17"/>
          <w:szCs w:val="17"/>
          <w:color w:val="auto"/>
        </w:rPr>
        <w:t>The convertible note hedge transactions are expected generally to reduce the potential dilution to the Class A common stock upon conversion of the relevant series of Notes and/or offset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6" w:lineRule="exact"/>
        <w:rPr>
          <w:sz w:val="20"/>
          <w:szCs w:val="20"/>
          <w:color w:val="auto"/>
        </w:rPr>
      </w:pPr>
    </w:p>
    <w:p>
      <w:pPr>
        <w:ind w:right="200"/>
        <w:spacing w:after="0" w:line="294" w:lineRule="auto"/>
        <w:rPr>
          <w:sz w:val="20"/>
          <w:szCs w:val="20"/>
          <w:color w:val="auto"/>
        </w:rPr>
      </w:pPr>
      <w:r>
        <w:rPr>
          <w:rFonts w:ascii="Times New Roman" w:cs="Times New Roman" w:eastAsia="Times New Roman" w:hAnsi="Times New Roman"/>
          <w:sz w:val="17"/>
          <w:szCs w:val="17"/>
          <w:color w:val="auto"/>
        </w:rPr>
        <w:t>strike price of those convertible note hedge transactions. As of March 31, 2022, the Company’s stock price was below the exercise price of the respective Note Hedges.</w:t>
      </w:r>
    </w:p>
    <w:p>
      <w:pPr>
        <w:spacing w:after="0" w:line="173" w:lineRule="exact"/>
        <w:rPr>
          <w:sz w:val="20"/>
          <w:szCs w:val="20"/>
          <w:color w:val="auto"/>
        </w:rPr>
      </w:pPr>
    </w:p>
    <w:p>
      <w:pPr>
        <w:ind w:right="200" w:firstLine="430"/>
        <w:spacing w:after="0" w:line="268" w:lineRule="auto"/>
        <w:rPr>
          <w:sz w:val="20"/>
          <w:szCs w:val="20"/>
          <w:color w:val="auto"/>
        </w:rPr>
      </w:pPr>
      <w:r>
        <w:rPr>
          <w:rFonts w:ascii="Times New Roman" w:cs="Times New Roman" w:eastAsia="Times New Roman" w:hAnsi="Times New Roman"/>
          <w:sz w:val="17"/>
          <w:szCs w:val="17"/>
          <w:color w:val="auto"/>
        </w:rPr>
        <w:t>In addition, the Company sold warrants to certain counterparties whereby the holders of the warrants had the option to purchase a total of approximately 18.1 million shares underlying warrants expiring in 2026 (the “2026 Warrants”) and 20.1 million shares underlying warrants expiring in 2028 (the “2028 Warrants”, together with the 2026 Warrants, the “Warrants”), respectively, of the Company’s Class A common stock at an initial strike price of $46.36 and $46.36 per share, respectively. The Company received aggregate cash proceeds of $202.9 million from the sale of these Warrants.</w:t>
      </w:r>
    </w:p>
    <w:p>
      <w:pPr>
        <w:spacing w:after="0" w:line="196" w:lineRule="exact"/>
        <w:rPr>
          <w:sz w:val="20"/>
          <w:szCs w:val="20"/>
          <w:color w:val="auto"/>
        </w:rPr>
      </w:pPr>
    </w:p>
    <w:p>
      <w:pPr>
        <w:ind w:right="20" w:firstLine="430"/>
        <w:spacing w:after="0" w:line="263" w:lineRule="auto"/>
        <w:rPr>
          <w:sz w:val="20"/>
          <w:szCs w:val="20"/>
          <w:color w:val="auto"/>
        </w:rPr>
      </w:pPr>
      <w:r>
        <w:rPr>
          <w:rFonts w:ascii="Times New Roman" w:cs="Times New Roman" w:eastAsia="Times New Roman" w:hAnsi="Times New Roman"/>
          <w:sz w:val="17"/>
          <w:szCs w:val="17"/>
          <w:color w:val="auto"/>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March 31, 2022, the Company’s Class A common stock price was below the exercise price of the Warrants.</w:t>
      </w:r>
    </w:p>
    <w:p>
      <w:pPr>
        <w:spacing w:after="0" w:line="201" w:lineRule="exact"/>
        <w:rPr>
          <w:sz w:val="20"/>
          <w:szCs w:val="20"/>
          <w:color w:val="auto"/>
        </w:rPr>
      </w:pPr>
    </w:p>
    <w:p>
      <w:pPr>
        <w:ind w:right="20" w:firstLine="430"/>
        <w:spacing w:after="0" w:line="275" w:lineRule="auto"/>
        <w:rPr>
          <w:sz w:val="20"/>
          <w:szCs w:val="20"/>
          <w:color w:val="auto"/>
        </w:rPr>
      </w:pPr>
      <w:r>
        <w:rPr>
          <w:rFonts w:ascii="Times New Roman" w:cs="Times New Roman" w:eastAsia="Times New Roman" w:hAnsi="Times New Roman"/>
          <w:sz w:val="17"/>
          <w:szCs w:val="17"/>
          <w:color w:val="auto"/>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spacing w:after="0" w:line="189" w:lineRule="exact"/>
        <w:rPr>
          <w:sz w:val="20"/>
          <w:szCs w:val="20"/>
          <w:color w:val="auto"/>
        </w:rPr>
      </w:pPr>
    </w:p>
    <w:p>
      <w:pPr>
        <w:ind w:right="60" w:firstLine="430"/>
        <w:spacing w:after="0" w:line="268" w:lineRule="auto"/>
        <w:rPr>
          <w:sz w:val="20"/>
          <w:szCs w:val="20"/>
          <w:color w:val="auto"/>
        </w:rPr>
      </w:pPr>
      <w:r>
        <w:rPr>
          <w:rFonts w:ascii="Times New Roman" w:cs="Times New Roman" w:eastAsia="Times New Roman" w:hAnsi="Times New Roman"/>
          <w:sz w:val="17"/>
          <w:szCs w:val="17"/>
          <w:color w:val="auto"/>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 Leases</w:t>
      </w:r>
    </w:p>
    <w:p>
      <w:pPr>
        <w:spacing w:after="0" w:line="250" w:lineRule="exact"/>
        <w:rPr>
          <w:sz w:val="20"/>
          <w:szCs w:val="20"/>
          <w:color w:val="auto"/>
        </w:rPr>
      </w:pPr>
    </w:p>
    <w:p>
      <w:pPr>
        <w:ind w:right="60" w:firstLine="391"/>
        <w:spacing w:after="0" w:line="294" w:lineRule="auto"/>
        <w:rPr>
          <w:sz w:val="20"/>
          <w:szCs w:val="20"/>
          <w:color w:val="auto"/>
        </w:rPr>
      </w:pPr>
      <w:r>
        <w:rPr>
          <w:rFonts w:ascii="Times New Roman" w:cs="Times New Roman" w:eastAsia="Times New Roman" w:hAnsi="Times New Roman"/>
          <w:sz w:val="17"/>
          <w:szCs w:val="17"/>
          <w:color w:val="auto"/>
        </w:rPr>
        <w:t>The Company has operating leases for corporate offices and data centers, and finance leases for infrastructure and office equipment. The Company’s leases have remaining lease terms of 1 year to 14 years, some of which include options to extend the leases for up to 5 years.</w:t>
      </w:r>
    </w:p>
    <w:p>
      <w:pPr>
        <w:spacing w:after="0" w:line="173" w:lineRule="exact"/>
        <w:rPr>
          <w:sz w:val="20"/>
          <w:szCs w:val="20"/>
          <w:color w:val="auto"/>
        </w:rPr>
      </w:pPr>
    </w:p>
    <w:p>
      <w:pPr>
        <w:jc w:val="both"/>
        <w:ind w:right="140" w:firstLine="391"/>
        <w:spacing w:after="0" w:line="275" w:lineRule="auto"/>
        <w:rPr>
          <w:sz w:val="20"/>
          <w:szCs w:val="20"/>
          <w:color w:val="auto"/>
        </w:rPr>
      </w:pPr>
      <w:r>
        <w:rPr>
          <w:rFonts w:ascii="Times New Roman" w:cs="Times New Roman" w:eastAsia="Times New Roman" w:hAnsi="Times New Roman"/>
          <w:sz w:val="17"/>
          <w:szCs w:val="17"/>
          <w:color w:val="auto"/>
        </w:rPr>
        <w:t>The Company also has subleases for several floors of its former corporate offices. The Company classifies its subleases as operating leases. The subleases have remaining lease terms of 1 year to 9 years. Sublease income, which is recorded as a reduction of rental expense, was $4.5 million and $3.9 million during the three months ended March 31, 2022 and 2021 respectively.</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Future minimum lease payments under non-cancellable leases as of March 31, 2022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2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Operating leases</w:t>
            </w:r>
            <w:r>
              <w:rPr>
                <w:rFonts w:ascii="Times New Roman" w:cs="Times New Roman" w:eastAsia="Times New Roman" w:hAnsi="Times New Roman"/>
                <w:sz w:val="22"/>
                <w:szCs w:val="22"/>
                <w:color w:val="auto"/>
                <w:vertAlign w:val="superscript"/>
              </w:rPr>
              <w:t>(1)</w:t>
            </w:r>
          </w:p>
        </w:tc>
        <w:tc>
          <w:tcPr>
            <w:tcW w:w="300" w:type="dxa"/>
            <w:vAlign w:val="bottom"/>
          </w:tcPr>
          <w:p>
            <w:pPr>
              <w:spacing w:after="0"/>
              <w:rPr>
                <w:sz w:val="21"/>
                <w:szCs w:val="21"/>
                <w:color w:val="auto"/>
              </w:rPr>
            </w:pPr>
          </w:p>
        </w:tc>
        <w:tc>
          <w:tcPr>
            <w:tcW w:w="174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Finance leases</w:t>
            </w:r>
          </w:p>
        </w:tc>
        <w:tc>
          <w:tcPr>
            <w:tcW w:w="0" w:type="dxa"/>
            <w:vAlign w:val="bottom"/>
          </w:tcPr>
          <w:p>
            <w:pPr>
              <w:spacing w:after="0"/>
              <w:rPr>
                <w:sz w:val="1"/>
                <w:szCs w:val="1"/>
                <w:color w:val="auto"/>
              </w:rPr>
            </w:pPr>
          </w:p>
        </w:tc>
      </w:tr>
      <w:tr>
        <w:trPr>
          <w:trHeight w:val="21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 (excluding the three months ended March 31, 2022)</w:t>
            </w:r>
          </w:p>
        </w:tc>
        <w:tc>
          <w:tcPr>
            <w:tcW w:w="2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0" w:type="dxa"/>
            <w:vAlign w:val="bottom"/>
          </w:tcPr>
          <w:p>
            <w:pPr>
              <w:spacing w:after="0"/>
              <w:rPr>
                <w:sz w:val="1"/>
                <w:szCs w:val="1"/>
                <w:color w:val="auto"/>
              </w:rPr>
            </w:pPr>
          </w:p>
        </w:tc>
      </w:tr>
      <w:tr>
        <w:trPr>
          <w:trHeight w:val="222"/>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0" w:type="dxa"/>
            <w:vAlign w:val="bottom"/>
          </w:tcPr>
          <w:p>
            <w:pPr>
              <w:spacing w:after="0"/>
              <w:rPr>
                <w:sz w:val="1"/>
                <w:szCs w:val="1"/>
                <w:color w:val="auto"/>
              </w:rPr>
            </w:pPr>
          </w:p>
        </w:tc>
      </w:tr>
      <w:tr>
        <w:trPr>
          <w:trHeight w:val="22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0" w:type="dxa"/>
            <w:vAlign w:val="bottom"/>
          </w:tcPr>
          <w:p>
            <w:pPr>
              <w:spacing w:after="0"/>
              <w:rPr>
                <w:sz w:val="1"/>
                <w:szCs w:val="1"/>
                <w:color w:val="auto"/>
              </w:rPr>
            </w:pPr>
          </w:p>
        </w:tc>
      </w:tr>
      <w:tr>
        <w:trPr>
          <w:trHeight w:val="222"/>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0" w:type="dxa"/>
            <w:vAlign w:val="bottom"/>
          </w:tcPr>
          <w:p>
            <w:pPr>
              <w:spacing w:after="0"/>
              <w:rPr>
                <w:sz w:val="1"/>
                <w:szCs w:val="1"/>
                <w:color w:val="auto"/>
              </w:rPr>
            </w:pPr>
          </w:p>
        </w:tc>
      </w:tr>
      <w:tr>
        <w:trPr>
          <w:trHeight w:val="22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2"/>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3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future minimum lease payments</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284.9</w:t>
            </w:r>
          </w:p>
        </w:tc>
        <w:tc>
          <w:tcPr>
            <w:tcW w:w="0" w:type="dxa"/>
            <w:vAlign w:val="bottom"/>
          </w:tcPr>
          <w:p>
            <w:pPr>
              <w:spacing w:after="0"/>
              <w:rPr>
                <w:sz w:val="1"/>
                <w:szCs w:val="1"/>
                <w:color w:val="auto"/>
              </w:rPr>
            </w:pPr>
          </w:p>
        </w:tc>
      </w:tr>
      <w:tr>
        <w:trPr>
          <w:trHeight w:val="222"/>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2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tenant improvement receivables</w:t>
            </w:r>
          </w:p>
        </w:tc>
        <w:tc>
          <w:tcPr>
            <w:tcW w:w="23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liability</w:t>
            </w:r>
          </w:p>
        </w:tc>
        <w:tc>
          <w:tcPr>
            <w:tcW w:w="23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714.9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275.5</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300" w:type="dxa"/>
            <w:vAlign w:val="bottom"/>
            <w:vMerge w:val="restart"/>
          </w:tcPr>
          <w:p>
            <w:pPr>
              <w:jc w:val="right"/>
              <w:ind w:right="1273"/>
              <w:spacing w:after="0"/>
              <w:rPr>
                <w:sz w:val="20"/>
                <w:szCs w:val="20"/>
                <w:color w:val="auto"/>
              </w:rPr>
            </w:pPr>
            <w:r>
              <w:rPr>
                <w:rFonts w:ascii="Times New Roman" w:cs="Times New Roman" w:eastAsia="Times New Roman" w:hAnsi="Times New Roman"/>
                <w:sz w:val="17"/>
                <w:szCs w:val="17"/>
                <w:color w:val="auto"/>
              </w:rPr>
              <w:t>29</w:t>
            </w: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6"/>
        </w:trPr>
        <w:tc>
          <w:tcPr>
            <w:tcW w:w="47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78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11" w:lineRule="exact"/>
        <w:rPr>
          <w:sz w:val="20"/>
          <w:szCs w:val="20"/>
          <w:color w:val="auto"/>
        </w:rPr>
      </w:pPr>
    </w:p>
    <w:p>
      <w:pPr>
        <w:ind w:right="240" w:firstLine="4"/>
        <w:spacing w:after="0" w:line="305" w:lineRule="auto"/>
        <w:tabs>
          <w:tab w:leader="none" w:pos="144"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Consists of future non-cancelable minimum rental payments under operating leases for the Company’s corporate offices and data centers where the Company has possession, excluding rent payments from the Company’s sub-tenants and variable operating expenses.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Future non-cancelable rent payments from the Company's subtenants as of March 31, 2022 were as follows:</w:t>
            </w:r>
          </w:p>
        </w:tc>
        <w:tc>
          <w:tcPr>
            <w:tcW w:w="26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83"/>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Year ending December 31,</w:t>
            </w: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Operating leases</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2022 (excluding the three months ended March 31, 2022)</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r>
      <w:tr>
        <w:trPr>
          <w:trHeight w:val="222"/>
        </w:trPr>
        <w:tc>
          <w:tcPr>
            <w:tcW w:w="9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w:t>
            </w:r>
          </w:p>
        </w:tc>
      </w:tr>
      <w:tr>
        <w:trPr>
          <w:trHeight w:val="222"/>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22"/>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future sublease rent payments</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80.8</w:t>
            </w:r>
          </w:p>
        </w:tc>
      </w:tr>
      <w:tr>
        <w:trPr>
          <w:trHeight w:val="222"/>
        </w:trPr>
        <w:tc>
          <w:tcPr>
            <w:tcW w:w="9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sub-tenant incentive</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r>
      <w:tr>
        <w:trPr>
          <w:trHeight w:val="215"/>
        </w:trPr>
        <w:tc>
          <w:tcPr>
            <w:tcW w:w="9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future sublease rent payments, net</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r>
    </w:tbl>
    <w:p>
      <w:pPr>
        <w:spacing w:after="0" w:line="295" w:lineRule="exact"/>
        <w:rPr>
          <w:sz w:val="20"/>
          <w:szCs w:val="20"/>
          <w:color w:val="auto"/>
        </w:rPr>
      </w:pPr>
    </w:p>
    <w:p>
      <w:pPr>
        <w:ind w:right="220" w:firstLine="391"/>
        <w:spacing w:after="0" w:line="275" w:lineRule="auto"/>
        <w:rPr>
          <w:sz w:val="20"/>
          <w:szCs w:val="20"/>
          <w:color w:val="auto"/>
        </w:rPr>
      </w:pPr>
      <w:r>
        <w:rPr>
          <w:rFonts w:ascii="Times New Roman" w:cs="Times New Roman" w:eastAsia="Times New Roman" w:hAnsi="Times New Roman"/>
          <w:sz w:val="17"/>
          <w:szCs w:val="17"/>
          <w:color w:val="auto"/>
        </w:rPr>
        <w:t>In 2017, the Company signed a 15 year lease agreement for office space in San Francisco, California, to serve as its corporate headquarters which commenced in 2018. The Company’s obligations under the lease are supported by a $34.2 million letter of credit, which reduced the borrowing capacity under the revolving credit facility. As of March 31, 2022, the Company's remaining minimum obligation for its headquarters was $590.7 million.</w:t>
      </w:r>
    </w:p>
    <w:p>
      <w:pPr>
        <w:spacing w:after="0" w:line="189" w:lineRule="exact"/>
        <w:rPr>
          <w:sz w:val="20"/>
          <w:szCs w:val="20"/>
          <w:color w:val="auto"/>
        </w:rPr>
      </w:pPr>
    </w:p>
    <w:p>
      <w:pPr>
        <w:ind w:right="20" w:firstLine="391"/>
        <w:spacing w:after="0" w:line="268" w:lineRule="auto"/>
        <w:rPr>
          <w:sz w:val="20"/>
          <w:szCs w:val="20"/>
          <w:color w:val="auto"/>
        </w:rPr>
      </w:pPr>
      <w:r>
        <w:rPr>
          <w:rFonts w:ascii="Times New Roman" w:cs="Times New Roman" w:eastAsia="Times New Roman" w:hAnsi="Times New Roman"/>
          <w:sz w:val="17"/>
          <w:szCs w:val="17"/>
          <w:color w:val="auto"/>
        </w:rPr>
        <w:t>In the fourth quarter of 2020, the Company announced a Virtual First work model pursuant to which remote work has become the primary experience for all of its employees. As part of the Virtual First strategy, Dropbox retained a portion of its office space to be used for the Company’s team collaboration use and a portion will be marketed for sublease. The Company evaluated certain of its right-of-use assets and other lease related assets including leasehold improvements, furniture and fixtures, and computer equipment for impairment under ASC 360.</w:t>
      </w:r>
    </w:p>
    <w:p>
      <w:pPr>
        <w:spacing w:after="0" w:line="196" w:lineRule="exact"/>
        <w:rPr>
          <w:sz w:val="20"/>
          <w:szCs w:val="20"/>
          <w:color w:val="auto"/>
        </w:rPr>
      </w:pPr>
    </w:p>
    <w:p>
      <w:pPr>
        <w:ind w:right="200" w:firstLine="391"/>
        <w:spacing w:after="0" w:line="275" w:lineRule="auto"/>
        <w:rPr>
          <w:sz w:val="20"/>
          <w:szCs w:val="20"/>
          <w:color w:val="auto"/>
        </w:rPr>
      </w:pPr>
      <w:r>
        <w:rPr>
          <w:rFonts w:ascii="Times New Roman" w:cs="Times New Roman" w:eastAsia="Times New Roman" w:hAnsi="Times New Roman"/>
          <w:sz w:val="17"/>
          <w:szCs w:val="17"/>
          <w:color w:val="auto"/>
        </w:rPr>
        <w:t>In connection with this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w:t>
      </w:r>
    </w:p>
    <w:p>
      <w:pPr>
        <w:spacing w:after="0" w:line="1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company recorded total impairment of $17.3 million for right-of-use and other lease related assets during the three months ended March 31, 2021.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three months ended March 31, 2022, the Company did not record impairment.</w:t>
      </w:r>
    </w:p>
    <w:p>
      <w:pPr>
        <w:spacing w:after="0" w:line="230" w:lineRule="exact"/>
        <w:rPr>
          <w:sz w:val="20"/>
          <w:szCs w:val="20"/>
          <w:color w:val="auto"/>
        </w:rPr>
      </w:pPr>
    </w:p>
    <w:p>
      <w:pPr>
        <w:ind w:right="140" w:firstLine="391"/>
        <w:spacing w:after="0" w:line="294" w:lineRule="auto"/>
        <w:rPr>
          <w:sz w:val="20"/>
          <w:szCs w:val="20"/>
          <w:color w:val="auto"/>
        </w:rPr>
      </w:pPr>
      <w:r>
        <w:rPr>
          <w:rFonts w:ascii="Times New Roman" w:cs="Times New Roman" w:eastAsia="Times New Roman" w:hAnsi="Times New Roman"/>
          <w:sz w:val="17"/>
          <w:szCs w:val="17"/>
          <w:color w:val="auto"/>
        </w:rPr>
        <w:t>As of March 31, 2022, the Company has sublease commitments of $32.8 million that have not yet commenced, with sublease terms of 10 to 11 years. The company has no other commitments for operating leases that have not commenced.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Commitments and Contingencies</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Legal matters</w:t>
      </w:r>
    </w:p>
    <w:p>
      <w:pPr>
        <w:spacing w:after="0" w:line="121" w:lineRule="exact"/>
        <w:rPr>
          <w:sz w:val="20"/>
          <w:szCs w:val="20"/>
          <w:color w:val="auto"/>
        </w:rPr>
      </w:pPr>
    </w:p>
    <w:p>
      <w:pPr>
        <w:ind w:right="40" w:firstLine="391"/>
        <w:spacing w:after="0" w:line="263" w:lineRule="auto"/>
        <w:rPr>
          <w:sz w:val="20"/>
          <w:szCs w:val="20"/>
          <w:color w:val="auto"/>
        </w:rPr>
      </w:pPr>
      <w:r>
        <w:rPr>
          <w:rFonts w:ascii="Times New Roman" w:cs="Times New Roman" w:eastAsia="Times New Roman" w:hAnsi="Times New Roman"/>
          <w:sz w:val="17"/>
          <w:szCs w:val="17"/>
          <w:color w:val="auto"/>
        </w:rPr>
        <w:t>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In its opinion, resolution of pending matters is not likely to have a material adverse impact on its condensed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spacing w:after="0" w:line="201" w:lineRule="exact"/>
        <w:rPr>
          <w:sz w:val="20"/>
          <w:szCs w:val="20"/>
          <w:color w:val="auto"/>
        </w:rPr>
      </w:pPr>
    </w:p>
    <w:p>
      <w:pPr>
        <w:ind w:right="200" w:firstLine="391"/>
        <w:spacing w:after="0" w:line="294" w:lineRule="auto"/>
        <w:rPr>
          <w:sz w:val="20"/>
          <w:szCs w:val="20"/>
          <w:color w:val="auto"/>
        </w:rPr>
      </w:pPr>
      <w:r>
        <w:rPr>
          <w:rFonts w:ascii="Times New Roman" w:cs="Times New Roman" w:eastAsia="Times New Roman" w:hAnsi="Times New Roman"/>
          <w:sz w:val="17"/>
          <w:szCs w:val="17"/>
          <w:color w:val="auto"/>
        </w:rPr>
        <w:t>The Company is currently involved in California state court litigation asserting violations of federal securities laws, for allegedly making materially false and misleading statements in, or omitting material information from, the Company's initial</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6"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color w:val="auto"/>
        </w:rPr>
        <w:t>public offering ("IPO") registration statement. Separate lawsuits making the same or similar allegations were filed in federal court in October 2019, and were resolved in a settlement approved by the federal court in December 2021.</w:t>
      </w:r>
    </w:p>
    <w:p>
      <w:pPr>
        <w:spacing w:after="0" w:line="173" w:lineRule="exact"/>
        <w:rPr>
          <w:sz w:val="20"/>
          <w:szCs w:val="20"/>
          <w:color w:val="auto"/>
        </w:rPr>
      </w:pPr>
    </w:p>
    <w:p>
      <w:pPr>
        <w:ind w:right="40" w:firstLine="391"/>
        <w:spacing w:after="0" w:line="262" w:lineRule="auto"/>
        <w:rPr>
          <w:sz w:val="20"/>
          <w:szCs w:val="20"/>
          <w:color w:val="auto"/>
        </w:rPr>
      </w:pPr>
      <w:r>
        <w:rPr>
          <w:rFonts w:ascii="Times New Roman" w:cs="Times New Roman" w:eastAsia="Times New Roman" w:hAnsi="Times New Roman"/>
          <w:sz w:val="17"/>
          <w:szCs w:val="17"/>
          <w:color w:val="auto"/>
        </w:rPr>
        <w:t>The California state court litigation consolidated four putative class action lawsuits that were filed on August 30, 2019, September 5, 2019, September 13, 2019, and October 3, 2019, in the Superior Court of the State of California, San Mateo County, against the Company, certain of its officers and directors, underwriters of its IPO, and Sequoia Capital XII, L.P. and certain of its affiliated entities (collectively, the “Dropbox Defendants”). On May 11, 2020, the Dropbox Defendants filed a motion to dismiss the consolidated state court case based on the exclusive federal forum provisions contained in the Company's amended and restated bylaws. On December 4, 2020, the state court issued an order granting the Company's motion to dismiss the consolidated state court case. On December 15, 2020, the state court plaintiffs filed a notice of appeal of this order. The appeal was fully briefed and an oral argument has been scheduled. The Company believes the appeal and claims are without merit and intends to vigorously defend against them.</w:t>
      </w:r>
    </w:p>
    <w:p>
      <w:pPr>
        <w:spacing w:after="0" w:line="19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w:t>
      </w:r>
    </w:p>
    <w:p>
      <w:pPr>
        <w:spacing w:after="0" w:line="121" w:lineRule="exact"/>
        <w:rPr>
          <w:sz w:val="20"/>
          <w:szCs w:val="20"/>
          <w:color w:val="auto"/>
        </w:rPr>
      </w:pPr>
    </w:p>
    <w:p>
      <w:pPr>
        <w:ind w:right="160" w:firstLine="391"/>
        <w:spacing w:after="0" w:line="275" w:lineRule="auto"/>
        <w:rPr>
          <w:sz w:val="20"/>
          <w:szCs w:val="20"/>
          <w:color w:val="auto"/>
        </w:rPr>
      </w:pPr>
      <w:r>
        <w:rPr>
          <w:rFonts w:ascii="Times New Roman" w:cs="Times New Roman" w:eastAsia="Times New Roman" w:hAnsi="Times New Roman"/>
          <w:sz w:val="17"/>
          <w:szCs w:val="17"/>
          <w:color w:val="auto"/>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w:t>
      </w:r>
    </w:p>
    <w:p>
      <w:pPr>
        <w:spacing w:after="0" w:line="121" w:lineRule="exact"/>
        <w:rPr>
          <w:sz w:val="20"/>
          <w:szCs w:val="20"/>
          <w:color w:val="auto"/>
        </w:rPr>
      </w:pPr>
    </w:p>
    <w:p>
      <w:pPr>
        <w:jc w:val="both"/>
        <w:ind w:right="320" w:firstLine="391"/>
        <w:spacing w:after="0" w:line="275" w:lineRule="auto"/>
        <w:rPr>
          <w:sz w:val="20"/>
          <w:szCs w:val="20"/>
          <w:color w:val="auto"/>
        </w:rPr>
      </w:pPr>
      <w:r>
        <w:rPr>
          <w:rFonts w:ascii="Times New Roman" w:cs="Times New Roman" w:eastAsia="Times New Roman" w:hAnsi="Times New Roman"/>
          <w:sz w:val="17"/>
          <w:szCs w:val="17"/>
          <w:color w:val="auto"/>
        </w:rPr>
        <w:t>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11. Accrued and Other Current Liabilities</w:t>
            </w:r>
          </w:p>
        </w:tc>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17"/>
        </w:trPr>
        <w:tc>
          <w:tcPr>
            <w:tcW w:w="68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Accrued and other current liabilities consisted of the following:</w:t>
            </w: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548"/>
        </w:trPr>
        <w:tc>
          <w:tcPr>
            <w:tcW w:w="6820" w:type="dxa"/>
            <w:vAlign w:val="bottom"/>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900" w:type="dxa"/>
            <w:vAlign w:val="bottom"/>
            <w:tcBorders>
              <w:bottom w:val="single" w:sz="8" w:color="auto"/>
            </w:tcBorders>
          </w:tcPr>
          <w:p>
            <w:pPr>
              <w:spacing w:after="0"/>
              <w:rPr>
                <w:sz w:val="24"/>
                <w:szCs w:val="24"/>
                <w:color w:val="auto"/>
              </w:rPr>
            </w:pPr>
          </w:p>
        </w:tc>
      </w:tr>
      <w:tr>
        <w:trPr>
          <w:trHeight w:val="215"/>
        </w:trPr>
        <w:tc>
          <w:tcPr>
            <w:tcW w:w="682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Non-income taxes payable</w:t>
            </w:r>
          </w:p>
        </w:tc>
        <w:tc>
          <w:tcPr>
            <w:tcW w:w="1680" w:type="dxa"/>
            <w:vAlign w:val="bottom"/>
            <w:shd w:val="clear" w:color="auto" w:fill="CCEEFF"/>
          </w:tcPr>
          <w:p>
            <w:pPr>
              <w:jc w:val="right"/>
              <w:ind w:right="149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77.4</w:t>
            </w:r>
          </w:p>
        </w:tc>
      </w:tr>
      <w:tr>
        <w:trPr>
          <w:trHeight w:val="222"/>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legal and other external fees</w:t>
            </w:r>
          </w:p>
        </w:tc>
        <w:tc>
          <w:tcPr>
            <w:tcW w:w="1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2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and current liabilities</w:t>
            </w:r>
          </w:p>
        </w:tc>
        <w:tc>
          <w:tcPr>
            <w:tcW w:w="16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w:t>
            </w:r>
          </w:p>
        </w:tc>
      </w:tr>
      <w:tr>
        <w:trPr>
          <w:trHeight w:val="215"/>
        </w:trPr>
        <w:tc>
          <w:tcPr>
            <w:tcW w:w="6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accrued and other current liabilities</w:t>
            </w:r>
          </w:p>
        </w:tc>
        <w:tc>
          <w:tcPr>
            <w:tcW w:w="1680" w:type="dxa"/>
            <w:vAlign w:val="bottom"/>
            <w:tcBorders>
              <w:bottom w:val="single" w:sz="8" w:color="auto"/>
            </w:tcBorders>
          </w:tcPr>
          <w:p>
            <w:pPr>
              <w:jc w:val="right"/>
              <w:ind w:right="149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155.2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140.8</w:t>
            </w:r>
          </w:p>
        </w:tc>
      </w:tr>
      <w:tr>
        <w:trPr>
          <w:trHeight w:val="20"/>
        </w:trPr>
        <w:tc>
          <w:tcPr>
            <w:tcW w:w="68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12.Stockholders’ Deficit</w:t>
      </w:r>
    </w:p>
    <w:p>
      <w:pPr>
        <w:spacing w:after="0" w:line="2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Common stock</w:t>
      </w:r>
    </w:p>
    <w:p>
      <w:pPr>
        <w:spacing w:after="0" w:line="121" w:lineRule="exact"/>
        <w:rPr>
          <w:sz w:val="20"/>
          <w:szCs w:val="20"/>
          <w:color w:val="auto"/>
        </w:rPr>
      </w:pPr>
    </w:p>
    <w:p>
      <w:pPr>
        <w:ind w:right="20" w:firstLine="391"/>
        <w:spacing w:after="0" w:line="267" w:lineRule="auto"/>
        <w:rPr>
          <w:sz w:val="20"/>
          <w:szCs w:val="20"/>
          <w:color w:val="auto"/>
        </w:rPr>
      </w:pPr>
      <w:r>
        <w:rPr>
          <w:rFonts w:ascii="Times New Roman" w:cs="Times New Roman" w:eastAsia="Times New Roman" w:hAnsi="Times New Roman"/>
          <w:sz w:val="17"/>
          <w:szCs w:val="17"/>
          <w:color w:val="auto"/>
        </w:rPr>
        <w:t>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w:t>
      </w:r>
    </w:p>
    <w:p>
      <w:pPr>
        <w:spacing w:after="0" w:line="200" w:lineRule="exact"/>
        <w:rPr>
          <w:sz w:val="20"/>
          <w:szCs w:val="20"/>
          <w:color w:val="auto"/>
        </w:rPr>
      </w:pPr>
    </w:p>
    <w:p>
      <w:pPr>
        <w:spacing w:after="0" w:line="208" w:lineRule="exact"/>
        <w:rPr>
          <w:sz w:val="20"/>
          <w:szCs w:val="20"/>
          <w:color w:val="auto"/>
        </w:rPr>
      </w:pPr>
    </w:p>
    <w:p>
      <w:pPr>
        <w:ind w:right="140" w:firstLine="391"/>
        <w:spacing w:after="0" w:line="265" w:lineRule="auto"/>
        <w:rPr>
          <w:sz w:val="20"/>
          <w:szCs w:val="20"/>
          <w:color w:val="auto"/>
        </w:rPr>
      </w:pPr>
      <w:r>
        <w:rPr>
          <w:rFonts w:ascii="Times New Roman" w:cs="Times New Roman" w:eastAsia="Times New Roman" w:hAnsi="Times New Roman"/>
          <w:sz w:val="17"/>
          <w:szCs w:val="17"/>
          <w:color w:val="auto"/>
        </w:rPr>
        <w:t>As of March 31, 2022, the Company had authorized 2,400.0 million shares of Class A common stock, 475.0 million shares of Class B common stock, and 800.0 million shares of Class C common stock, each at par value of $0.00001. Holders of Class B common stock voluntarily converted 0.2 million and 0.3 million shares into an equivalent number of shares of Class A common stock during the three months ended March 31, 2022 and 2021, respectively. As of March 31, 2022, 284.4 million shares of Class A common stock, 82.6 million shares of Class B common stock, and no shares of Class C common stock were issued and outstanding. As of December 31, 2021, 292.7 million shares of Class A common stock, 82.8 million shares of Class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6"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7"/>
          <w:szCs w:val="17"/>
          <w:color w:val="auto"/>
        </w:rPr>
        <w:t>B common stock, and no shares of Class C common stock were issued and outstanding. Class A shares issued and outstanding as of March 31, 2022 and December 31, 2021 exclude unvested restricted stock awards granted to certain executives. Class A shares issued and outstanding also excludes 8.2 million unvested restricted stock awards granted to one of the Company's co-founders as of March 31, 2022 and December 31, 2021, respectively. See "Co-Founder Grant" section below for further details.</w:t>
      </w:r>
    </w:p>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Preferred stock</w:t>
      </w:r>
    </w:p>
    <w:p>
      <w:pPr>
        <w:spacing w:after="0" w:line="252" w:lineRule="exact"/>
        <w:rPr>
          <w:sz w:val="20"/>
          <w:szCs w:val="20"/>
          <w:color w:val="auto"/>
        </w:rPr>
      </w:pPr>
    </w:p>
    <w:p>
      <w:pPr>
        <w:ind w:right="320" w:firstLine="391"/>
        <w:spacing w:after="0" w:line="294" w:lineRule="auto"/>
        <w:rPr>
          <w:sz w:val="20"/>
          <w:szCs w:val="20"/>
          <w:color w:val="auto"/>
        </w:rPr>
      </w:pPr>
      <w:r>
        <w:rPr>
          <w:rFonts w:ascii="Times New Roman" w:cs="Times New Roman" w:eastAsia="Times New Roman" w:hAnsi="Times New Roman"/>
          <w:sz w:val="17"/>
          <w:szCs w:val="17"/>
          <w:color w:val="auto"/>
        </w:rPr>
        <w:t>The Company's Board of Directors will have the authority, without further action by the Company's stockholders, to issue up to 240.0 million shares of undesignated preferred stock with rights and preferences, including voting rights, designated from time to time by the Board of Directors.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Stock repurchase program</w:t>
      </w:r>
    </w:p>
    <w:p>
      <w:pPr>
        <w:spacing w:after="0" w:line="252" w:lineRule="exact"/>
        <w:rPr>
          <w:sz w:val="20"/>
          <w:szCs w:val="20"/>
          <w:color w:val="auto"/>
        </w:rPr>
      </w:pPr>
    </w:p>
    <w:p>
      <w:pPr>
        <w:ind w:firstLine="391"/>
        <w:spacing w:after="0" w:line="268" w:lineRule="auto"/>
        <w:rPr>
          <w:sz w:val="20"/>
          <w:szCs w:val="20"/>
          <w:color w:val="auto"/>
        </w:rPr>
      </w:pPr>
      <w:r>
        <w:rPr>
          <w:rFonts w:ascii="Times New Roman" w:cs="Times New Roman" w:eastAsia="Times New Roman" w:hAnsi="Times New Roman"/>
          <w:sz w:val="17"/>
          <w:szCs w:val="17"/>
          <w:color w:val="auto"/>
        </w:rPr>
        <w:t>In February 2020, the Company's Board of Directors approved a stock repurchase program for the repurchase of up to $600 million of the Company’s outstanding shares of Class A common stock. In February 2021, the Board of Directors authorized the Company to repurchase up to an additional $1 billion of the Company's outstanding shares of Class A common stock. The Company completed the February 2020 stock repurchase program of up to $600 million during the three months ended March 31, 2021. In February 2022, the Board of Directors authorized the Company to repurchase up to an additional $1.2 billion of the</w:t>
      </w:r>
    </w:p>
    <w:p>
      <w:pPr>
        <w:ind w:right="80"/>
        <w:spacing w:after="0" w:line="275" w:lineRule="auto"/>
        <w:rPr>
          <w:sz w:val="20"/>
          <w:szCs w:val="20"/>
          <w:color w:val="auto"/>
        </w:rPr>
      </w:pPr>
      <w:r>
        <w:rPr>
          <w:rFonts w:ascii="Times New Roman" w:cs="Times New Roman" w:eastAsia="Times New Roman" w:hAnsi="Times New Roman"/>
          <w:sz w:val="17"/>
          <w:szCs w:val="17"/>
          <w:color w:val="auto"/>
        </w:rPr>
        <w:t>Company's outstanding shares of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spacing w:after="0" w:line="189" w:lineRule="exact"/>
        <w:rPr>
          <w:sz w:val="20"/>
          <w:szCs w:val="20"/>
          <w:color w:val="auto"/>
        </w:rPr>
      </w:pPr>
    </w:p>
    <w:p>
      <w:pPr>
        <w:jc w:val="both"/>
        <w:ind w:right="120" w:firstLine="391"/>
        <w:spacing w:after="0" w:line="268" w:lineRule="auto"/>
        <w:rPr>
          <w:sz w:val="20"/>
          <w:szCs w:val="20"/>
          <w:color w:val="auto"/>
        </w:rPr>
      </w:pPr>
      <w:r>
        <w:rPr>
          <w:rFonts w:ascii="Times New Roman" w:cs="Times New Roman" w:eastAsia="Times New Roman" w:hAnsi="Times New Roman"/>
          <w:sz w:val="17"/>
          <w:szCs w:val="17"/>
          <w:color w:val="auto"/>
        </w:rPr>
        <w:t>During the three months ended March 31, 2022 and 2021, respectively, the Company repurchased and subsequently retired 11.0 million and 18.6 million shares of its Class A common stock, respectively, for an aggregate amount of $259.9 million and $431.9 million, respectively. The amount for the three months ended March 31, 2021 includes $200.0 million in repurchases of 8.6 million shares of our Class A common stock in conjunction with the issuance of the Notes, which was outside of our stock repurchase program.</w:t>
      </w:r>
    </w:p>
    <w:p>
      <w:pPr>
        <w:spacing w:after="0" w:line="1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Equity incentive plans</w:t>
      </w:r>
    </w:p>
    <w:p>
      <w:pPr>
        <w:spacing w:after="0" w:line="252" w:lineRule="exact"/>
        <w:rPr>
          <w:sz w:val="20"/>
          <w:szCs w:val="20"/>
          <w:color w:val="auto"/>
        </w:rPr>
      </w:pPr>
    </w:p>
    <w:p>
      <w:pPr>
        <w:ind w:right="160" w:firstLine="391"/>
        <w:spacing w:after="0" w:line="265" w:lineRule="auto"/>
        <w:rPr>
          <w:sz w:val="20"/>
          <w:szCs w:val="20"/>
          <w:color w:val="auto"/>
        </w:rPr>
      </w:pPr>
      <w:r>
        <w:rPr>
          <w:rFonts w:ascii="Times New Roman" w:cs="Times New Roman" w:eastAsia="Times New Roman" w:hAnsi="Times New Roman"/>
          <w:sz w:val="17"/>
          <w:szCs w:val="17"/>
          <w:color w:val="auto"/>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spacing w:after="0" w:line="303" w:lineRule="exact"/>
        <w:rPr>
          <w:sz w:val="20"/>
          <w:szCs w:val="20"/>
          <w:color w:val="auto"/>
        </w:rPr>
      </w:pPr>
    </w:p>
    <w:p>
      <w:pPr>
        <w:ind w:right="160" w:firstLine="391"/>
        <w:spacing w:after="0" w:line="294" w:lineRule="auto"/>
        <w:rPr>
          <w:sz w:val="20"/>
          <w:szCs w:val="20"/>
          <w:color w:val="auto"/>
        </w:rPr>
      </w:pPr>
      <w:r>
        <w:rPr>
          <w:rFonts w:ascii="Times New Roman" w:cs="Times New Roman" w:eastAsia="Times New Roman" w:hAnsi="Times New Roman"/>
          <w:sz w:val="17"/>
          <w:szCs w:val="17"/>
          <w:color w:val="auto"/>
        </w:rPr>
        <w:t>In connection with the acquisition of DocSend, the Company assumed unvested stock options and an immaterial number of unvested RSUs that had been granted under DocSend's 2013 Stock Plan and DocSend's 2015 Stock Option and Grant Plan.</w:t>
      </w:r>
    </w:p>
    <w:p>
      <w:pPr>
        <w:spacing w:after="0" w:line="173" w:lineRule="exact"/>
        <w:rPr>
          <w:sz w:val="20"/>
          <w:szCs w:val="20"/>
          <w:color w:val="auto"/>
        </w:rPr>
      </w:pPr>
    </w:p>
    <w:p>
      <w:pPr>
        <w:ind w:right="540" w:firstLine="430"/>
        <w:spacing w:after="0" w:line="275" w:lineRule="auto"/>
        <w:rPr>
          <w:sz w:val="20"/>
          <w:szCs w:val="20"/>
          <w:color w:val="auto"/>
        </w:rPr>
      </w:pPr>
      <w:r>
        <w:rPr>
          <w:rFonts w:ascii="Times New Roman" w:cs="Times New Roman" w:eastAsia="Times New Roman" w:hAnsi="Times New Roman"/>
          <w:sz w:val="17"/>
          <w:szCs w:val="17"/>
          <w:color w:val="auto"/>
        </w:rPr>
        <w:t>As of March 31, 2022, there were 27.5 million stock-based awards issued and outstanding and 112.8 million shares available for issuance under the Dropbox Equity Incentive Plans, HelloSign's 2011 Equity Incentive Plan, DocSend's 2013 Stock Plan and DocSend's 2015 Stock Option and Grant Plan (collectively, the "Plans").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Stock option and restricted stock activity for the Plans was as follows for the three months ended March 31, 2022: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Options outstanding</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jc w:val="right"/>
              <w:ind w:right="539"/>
              <w:spacing w:after="0"/>
              <w:rPr>
                <w:sz w:val="20"/>
                <w:szCs w:val="20"/>
                <w:color w:val="auto"/>
              </w:rPr>
            </w:pPr>
            <w:r>
              <w:rPr>
                <w:rFonts w:ascii="Times New Roman" w:cs="Times New Roman" w:eastAsia="Times New Roman" w:hAnsi="Times New Roman"/>
                <w:sz w:val="17"/>
                <w:szCs w:val="17"/>
                <w:b w:val="1"/>
                <w:bCs w:val="1"/>
                <w:color w:val="auto"/>
              </w:rPr>
              <w:t>Restricted stock</w:t>
            </w:r>
          </w:p>
        </w:tc>
        <w:tc>
          <w:tcPr>
            <w:tcW w:w="0" w:type="dxa"/>
            <w:vAlign w:val="bottom"/>
          </w:tcPr>
          <w:p>
            <w:pPr>
              <w:spacing w:after="0"/>
              <w:rPr>
                <w:sz w:val="1"/>
                <w:szCs w:val="1"/>
                <w:color w:val="auto"/>
              </w:rPr>
            </w:pPr>
          </w:p>
        </w:tc>
      </w:tr>
      <w:tr>
        <w:trPr>
          <w:trHeight w:val="235"/>
        </w:trPr>
        <w:tc>
          <w:tcPr>
            <w:tcW w:w="2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0" w:type="dxa"/>
            <w:vAlign w:val="bottom"/>
          </w:tcPr>
          <w:p>
            <w:pPr>
              <w:spacing w:after="0"/>
              <w:rPr>
                <w:sz w:val="1"/>
                <w:szCs w:val="1"/>
                <w:color w:val="auto"/>
              </w:rPr>
            </w:pPr>
          </w:p>
        </w:tc>
      </w:tr>
      <w:tr>
        <w:trPr>
          <w:trHeight w:val="163"/>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63" w:lineRule="exact"/>
              <w:rPr>
                <w:sz w:val="20"/>
                <w:szCs w:val="20"/>
                <w:color w:val="auto"/>
              </w:rPr>
            </w:pPr>
            <w:r>
              <w:rPr>
                <w:rFonts w:ascii="Times New Roman" w:cs="Times New Roman" w:eastAsia="Times New Roman" w:hAnsi="Times New Roman"/>
                <w:sz w:val="17"/>
                <w:szCs w:val="17"/>
                <w:color w:val="auto"/>
              </w:rPr>
              <w:t>Number of</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Number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auto"/>
                <w:w w:val="97"/>
              </w:rPr>
              <w:t>Weighted-</w:t>
            </w:r>
          </w:p>
        </w:tc>
        <w:tc>
          <w:tcPr>
            <w:tcW w:w="1240" w:type="dxa"/>
            <w:vAlign w:val="bottom"/>
            <w:gridSpan w:val="2"/>
          </w:tcPr>
          <w:p>
            <w:pPr>
              <w:jc w:val="center"/>
              <w:ind w:right="120"/>
              <w:spacing w:after="0" w:line="163" w:lineRule="exact"/>
              <w:rPr>
                <w:sz w:val="20"/>
                <w:szCs w:val="20"/>
                <w:color w:val="auto"/>
              </w:rPr>
            </w:pPr>
            <w:r>
              <w:rPr>
                <w:rFonts w:ascii="Times New Roman" w:cs="Times New Roman" w:eastAsia="Times New Roman" w:hAnsi="Times New Roman"/>
                <w:sz w:val="17"/>
                <w:szCs w:val="17"/>
                <w:color w:val="auto"/>
              </w:rPr>
              <w:t>Weighted-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restart"/>
          </w:tcPr>
          <w:p>
            <w:pPr>
              <w:jc w:val="center"/>
              <w:ind w:right="79"/>
              <w:spacing w:after="0"/>
              <w:rPr>
                <w:sz w:val="20"/>
                <w:szCs w:val="20"/>
                <w:color w:val="auto"/>
              </w:rPr>
            </w:pPr>
            <w:r>
              <w:rPr>
                <w:rFonts w:ascii="Times New Roman" w:cs="Times New Roman" w:eastAsia="Times New Roman" w:hAnsi="Times New Roman"/>
                <w:sz w:val="17"/>
                <w:szCs w:val="17"/>
                <w:color w:val="auto"/>
              </w:rPr>
              <w:t>Weighted-</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shares</w:t>
            </w:r>
          </w:p>
        </w:tc>
        <w:tc>
          <w:tcPr>
            <w:tcW w:w="1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average</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80" w:type="dxa"/>
            <w:vAlign w:val="bottom"/>
          </w:tcPr>
          <w:p>
            <w:pPr>
              <w:spacing w:after="0"/>
              <w:rPr>
                <w:sz w:val="15"/>
                <w:szCs w:val="15"/>
                <w:color w:val="auto"/>
              </w:rPr>
            </w:pPr>
          </w:p>
        </w:tc>
        <w:tc>
          <w:tcPr>
            <w:tcW w:w="134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7"/>
                <w:szCs w:val="17"/>
                <w:color w:val="auto"/>
              </w:rPr>
              <w:t>available for</w:t>
            </w:r>
          </w:p>
        </w:tc>
        <w:tc>
          <w:tcPr>
            <w:tcW w:w="1160" w:type="dxa"/>
            <w:vAlign w:val="bottom"/>
          </w:tcPr>
          <w:p>
            <w:pPr>
              <w:jc w:val="center"/>
              <w:spacing w:after="0" w:line="183" w:lineRule="exact"/>
              <w:rPr>
                <w:sz w:val="20"/>
                <w:szCs w:val="20"/>
                <w:color w:val="auto"/>
              </w:rPr>
            </w:pPr>
            <w:r>
              <w:rPr>
                <w:rFonts w:ascii="Times New Roman" w:cs="Times New Roman" w:eastAsia="Times New Roman" w:hAnsi="Times New Roman"/>
                <w:sz w:val="17"/>
                <w:szCs w:val="17"/>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line="183" w:lineRule="exact"/>
              <w:rPr>
                <w:sz w:val="20"/>
                <w:szCs w:val="20"/>
                <w:color w:val="auto"/>
              </w:rPr>
            </w:pPr>
            <w:r>
              <w:rPr>
                <w:rFonts w:ascii="Times New Roman" w:cs="Times New Roman" w:eastAsia="Times New Roman" w:hAnsi="Times New Roman"/>
                <w:sz w:val="17"/>
                <w:szCs w:val="17"/>
                <w:color w:val="auto"/>
              </w:rPr>
              <w:t>average</w:t>
            </w:r>
          </w:p>
        </w:tc>
        <w:tc>
          <w:tcPr>
            <w:tcW w:w="1240" w:type="dxa"/>
            <w:vAlign w:val="bottom"/>
            <w:gridSpan w:val="2"/>
          </w:tcPr>
          <w:p>
            <w:pPr>
              <w:jc w:val="center"/>
              <w:ind w:right="100"/>
              <w:spacing w:after="0" w:line="183" w:lineRule="exact"/>
              <w:rPr>
                <w:sz w:val="20"/>
                <w:szCs w:val="20"/>
                <w:color w:val="auto"/>
              </w:rPr>
            </w:pPr>
            <w:r>
              <w:rPr>
                <w:rFonts w:ascii="Times New Roman" w:cs="Times New Roman" w:eastAsia="Times New Roman" w:hAnsi="Times New Roman"/>
                <w:sz w:val="17"/>
                <w:szCs w:val="17"/>
                <w:color w:val="auto"/>
              </w:rPr>
              <w:t>remaining</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Number of Plan</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99"/>
              <w:spacing w:after="0" w:line="183" w:lineRule="exact"/>
              <w:rPr>
                <w:sz w:val="20"/>
                <w:szCs w:val="20"/>
                <w:color w:val="auto"/>
              </w:rPr>
            </w:pPr>
            <w:r>
              <w:rPr>
                <w:rFonts w:ascii="Times New Roman" w:cs="Times New Roman" w:eastAsia="Times New Roman" w:hAnsi="Times New Roman"/>
                <w:sz w:val="17"/>
                <w:szCs w:val="17"/>
                <w:color w:val="auto"/>
              </w:rPr>
              <w:t>average</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issuance</w:t>
            </w:r>
          </w:p>
        </w:tc>
        <w:tc>
          <w:tcPr>
            <w:tcW w:w="11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7"/>
                <w:szCs w:val="17"/>
                <w:color w:val="auto"/>
              </w:rPr>
              <w:t>exercise</w:t>
            </w:r>
          </w:p>
        </w:tc>
        <w:tc>
          <w:tcPr>
            <w:tcW w:w="124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rPr>
              <w:t>contractual</w:t>
            </w:r>
          </w:p>
        </w:tc>
        <w:tc>
          <w:tcPr>
            <w:tcW w:w="140" w:type="dxa"/>
            <w:vAlign w:val="bottom"/>
          </w:tcPr>
          <w:p>
            <w:pPr>
              <w:spacing w:after="0"/>
              <w:rPr>
                <w:sz w:val="14"/>
                <w:szCs w:val="14"/>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color w:val="auto"/>
              </w:rPr>
              <w:t>Aggregate</w:t>
            </w:r>
          </w:p>
        </w:tc>
        <w:tc>
          <w:tcPr>
            <w:tcW w:w="1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79"/>
              <w:spacing w:after="0" w:line="170" w:lineRule="exact"/>
              <w:rPr>
                <w:sz w:val="20"/>
                <w:szCs w:val="20"/>
                <w:color w:val="auto"/>
              </w:rPr>
            </w:pPr>
            <w:r>
              <w:rPr>
                <w:rFonts w:ascii="Times New Roman" w:cs="Times New Roman" w:eastAsia="Times New Roman" w:hAnsi="Times New Roman"/>
                <w:sz w:val="17"/>
                <w:szCs w:val="17"/>
                <w:color w:val="auto"/>
              </w:rPr>
              <w:t>grant date</w:t>
            </w:r>
          </w:p>
        </w:tc>
        <w:tc>
          <w:tcPr>
            <w:tcW w:w="0" w:type="dxa"/>
            <w:vAlign w:val="bottom"/>
          </w:tcPr>
          <w:p>
            <w:pPr>
              <w:spacing w:after="0"/>
              <w:rPr>
                <w:sz w:val="1"/>
                <w:szCs w:val="1"/>
                <w:color w:val="auto"/>
              </w:rPr>
            </w:pPr>
          </w:p>
        </w:tc>
      </w:tr>
      <w:tr>
        <w:trPr>
          <w:trHeight w:val="170"/>
        </w:trPr>
        <w:tc>
          <w:tcPr>
            <w:tcW w:w="2480" w:type="dxa"/>
            <w:vAlign w:val="bottom"/>
          </w:tcPr>
          <w:p>
            <w:pPr>
              <w:spacing w:after="0"/>
              <w:rPr>
                <w:sz w:val="14"/>
                <w:szCs w:val="14"/>
                <w:color w:val="auto"/>
              </w:rPr>
            </w:pPr>
          </w:p>
        </w:tc>
        <w:tc>
          <w:tcPr>
            <w:tcW w:w="1340" w:type="dxa"/>
            <w:vAlign w:val="bottom"/>
            <w:gridSpan w:val="2"/>
          </w:tcPr>
          <w:p>
            <w:pPr>
              <w:jc w:val="center"/>
              <w:ind w:right="100"/>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160" w:type="dxa"/>
            <w:vAlign w:val="bottom"/>
          </w:tcPr>
          <w:p>
            <w:pPr>
              <w:jc w:val="center"/>
              <w:spacing w:after="0" w:line="170" w:lineRule="exact"/>
              <w:rPr>
                <w:sz w:val="20"/>
                <w:szCs w:val="20"/>
                <w:color w:val="auto"/>
              </w:rPr>
            </w:pPr>
            <w:r>
              <w:rPr>
                <w:rFonts w:ascii="Times New Roman" w:cs="Times New Roman" w:eastAsia="Times New Roman" w:hAnsi="Times New Roman"/>
                <w:sz w:val="17"/>
                <w:szCs w:val="17"/>
                <w:color w:val="auto"/>
              </w:rPr>
              <w:t>under the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Times New Roman" w:cs="Times New Roman" w:eastAsia="Times New Roman" w:hAnsi="Times New Roman"/>
                <w:sz w:val="17"/>
                <w:szCs w:val="17"/>
                <w:color w:val="auto"/>
                <w:w w:val="99"/>
              </w:rPr>
              <w:t>price</w:t>
            </w:r>
          </w:p>
        </w:tc>
        <w:tc>
          <w:tcPr>
            <w:tcW w:w="1240" w:type="dxa"/>
            <w:vAlign w:val="bottom"/>
            <w:gridSpan w:val="2"/>
          </w:tcPr>
          <w:p>
            <w:pPr>
              <w:jc w:val="center"/>
              <w:ind w:right="120"/>
              <w:spacing w:after="0" w:line="170" w:lineRule="exact"/>
              <w:rPr>
                <w:sz w:val="20"/>
                <w:szCs w:val="20"/>
                <w:color w:val="auto"/>
              </w:rPr>
            </w:pPr>
            <w:r>
              <w:rPr>
                <w:rFonts w:ascii="Times New Roman" w:cs="Times New Roman" w:eastAsia="Times New Roman" w:hAnsi="Times New Roman"/>
                <w:sz w:val="17"/>
                <w:szCs w:val="17"/>
                <w:color w:val="auto"/>
              </w:rPr>
              <w:t>term</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60" w:type="dxa"/>
            <w:vAlign w:val="bottom"/>
          </w:tcPr>
          <w:p>
            <w:pPr>
              <w:jc w:val="right"/>
              <w:ind w:right="279"/>
              <w:spacing w:after="0" w:line="170" w:lineRule="exact"/>
              <w:rPr>
                <w:sz w:val="20"/>
                <w:szCs w:val="20"/>
                <w:color w:val="auto"/>
              </w:rPr>
            </w:pPr>
            <w:r>
              <w:rPr>
                <w:rFonts w:ascii="Times New Roman" w:cs="Times New Roman" w:eastAsia="Times New Roman" w:hAnsi="Times New Roman"/>
                <w:sz w:val="17"/>
                <w:szCs w:val="17"/>
                <w:color w:val="auto"/>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jc w:val="center"/>
              <w:ind w:right="99"/>
              <w:spacing w:after="0" w:line="170" w:lineRule="exact"/>
              <w:rPr>
                <w:sz w:val="20"/>
                <w:szCs w:val="20"/>
                <w:color w:val="auto"/>
              </w:rPr>
            </w:pPr>
            <w:r>
              <w:rPr>
                <w:rFonts w:ascii="Times New Roman" w:cs="Times New Roman" w:eastAsia="Times New Roman" w:hAnsi="Times New Roman"/>
                <w:sz w:val="17"/>
                <w:szCs w:val="17"/>
                <w:color w:val="auto"/>
              </w:rPr>
              <w:t>fair value</w:t>
            </w:r>
          </w:p>
        </w:tc>
        <w:tc>
          <w:tcPr>
            <w:tcW w:w="0" w:type="dxa"/>
            <w:vAlign w:val="bottom"/>
          </w:tcPr>
          <w:p>
            <w:pPr>
              <w:spacing w:after="0"/>
              <w:rPr>
                <w:sz w:val="1"/>
                <w:szCs w:val="1"/>
                <w:color w:val="auto"/>
              </w:rPr>
            </w:pPr>
          </w:p>
        </w:tc>
      </w:tr>
      <w:tr>
        <w:trPr>
          <w:trHeight w:val="235"/>
        </w:trPr>
        <w:tc>
          <w:tcPr>
            <w:tcW w:w="248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Plans</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Plans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per share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 years)</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rPr>
              <w:t>intrinsic value</w:t>
            </w:r>
          </w:p>
        </w:tc>
        <w:tc>
          <w:tcPr>
            <w:tcW w:w="116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outstanding</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79"/>
              <w:spacing w:after="0"/>
              <w:rPr>
                <w:sz w:val="20"/>
                <w:szCs w:val="20"/>
                <w:color w:val="auto"/>
              </w:rPr>
            </w:pPr>
            <w:r>
              <w:rPr>
                <w:rFonts w:ascii="Times New Roman" w:cs="Times New Roman" w:eastAsia="Times New Roman" w:hAnsi="Times New Roman"/>
                <w:sz w:val="17"/>
                <w:szCs w:val="17"/>
                <w:color w:val="auto"/>
              </w:rPr>
              <w:t>per share</w:t>
            </w:r>
          </w:p>
        </w:tc>
        <w:tc>
          <w:tcPr>
            <w:tcW w:w="0" w:type="dxa"/>
            <w:vAlign w:val="bottom"/>
          </w:tcPr>
          <w:p>
            <w:pPr>
              <w:spacing w:after="0"/>
              <w:rPr>
                <w:sz w:val="1"/>
                <w:szCs w:val="1"/>
                <w:color w:val="auto"/>
              </w:rPr>
            </w:pPr>
          </w:p>
        </w:tc>
      </w:tr>
      <w:tr>
        <w:trPr>
          <w:trHeight w:val="202"/>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w w:val="89"/>
              </w:rPr>
              <w:t>5.4</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0" w:type="dxa"/>
            <w:vAlign w:val="bottom"/>
          </w:tcPr>
          <w:p>
            <w:pPr>
              <w:spacing w:after="0"/>
              <w:rPr>
                <w:sz w:val="1"/>
                <w:szCs w:val="1"/>
                <w:color w:val="auto"/>
              </w:rPr>
            </w:pPr>
          </w:p>
        </w:tc>
      </w:tr>
      <w:tr>
        <w:trPr>
          <w:trHeight w:val="222"/>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Additional shares authorized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0"/>
        </w:trPr>
        <w:tc>
          <w:tcPr>
            <w:tcW w:w="248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Options exercised and restricted</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units and awards released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Options and restricted stock units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 awards canceled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22.29</w:t>
            </w:r>
          </w:p>
        </w:tc>
        <w:tc>
          <w:tcPr>
            <w:tcW w:w="0" w:type="dxa"/>
            <w:vAlign w:val="bottom"/>
          </w:tcPr>
          <w:p>
            <w:pPr>
              <w:spacing w:after="0"/>
              <w:rPr>
                <w:sz w:val="1"/>
                <w:szCs w:val="1"/>
                <w:color w:val="auto"/>
              </w:rPr>
            </w:pPr>
          </w:p>
        </w:tc>
      </w:tr>
      <w:tr>
        <w:trPr>
          <w:trHeight w:val="173"/>
        </w:trPr>
        <w:tc>
          <w:tcPr>
            <w:tcW w:w="248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7"/>
                <w:szCs w:val="17"/>
                <w:color w:val="auto"/>
              </w:rPr>
              <w:t>Shares withheld related to net</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7"/>
                <w:szCs w:val="17"/>
                <w:color w:val="auto"/>
              </w:rPr>
              <w:t>share settlement of restricted stock</w:t>
            </w: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units and awards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Options and restricted stock units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and awards granted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bottom w:val="single" w:sz="8" w:color="CCEEFF"/>
            </w:tcBorders>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March 31,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w w:val="89"/>
              </w:rPr>
              <w:t>5.0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8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Vested at March 31, 2022</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48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0.5</w:t>
            </w:r>
          </w:p>
        </w:tc>
        <w:tc>
          <w:tcPr>
            <w:tcW w:w="26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17.53</w:t>
            </w:r>
          </w:p>
        </w:tc>
        <w:tc>
          <w:tcPr>
            <w:tcW w:w="100" w:type="dxa"/>
            <w:vAlign w:val="bottom"/>
          </w:tcPr>
          <w:p>
            <w:pPr>
              <w:spacing w:after="0"/>
              <w:rPr>
                <w:sz w:val="15"/>
                <w:szCs w:val="15"/>
                <w:color w:val="auto"/>
              </w:rPr>
            </w:pPr>
          </w:p>
        </w:tc>
        <w:tc>
          <w:tcPr>
            <w:tcW w:w="1120" w:type="dxa"/>
            <w:vAlign w:val="bottom"/>
          </w:tcPr>
          <w:p>
            <w:pPr>
              <w:ind w:left="920"/>
              <w:spacing w:after="0" w:line="181" w:lineRule="exact"/>
              <w:rPr>
                <w:sz w:val="20"/>
                <w:szCs w:val="20"/>
                <w:color w:val="auto"/>
              </w:rPr>
            </w:pPr>
            <w:r>
              <w:rPr>
                <w:rFonts w:ascii="Times New Roman" w:cs="Times New Roman" w:eastAsia="Times New Roman" w:hAnsi="Times New Roman"/>
                <w:sz w:val="16"/>
                <w:szCs w:val="16"/>
                <w:color w:val="auto"/>
                <w:w w:val="89"/>
              </w:rPr>
              <w:t>4.0</w:t>
            </w:r>
          </w:p>
        </w:tc>
        <w:tc>
          <w:tcPr>
            <w:tcW w:w="120" w:type="dxa"/>
            <w:vAlign w:val="bottom"/>
          </w:tcPr>
          <w:p>
            <w:pPr>
              <w:spacing w:after="0"/>
              <w:rPr>
                <w:sz w:val="15"/>
                <w:szCs w:val="15"/>
                <w:color w:val="auto"/>
              </w:rPr>
            </w:pPr>
          </w:p>
        </w:tc>
        <w:tc>
          <w:tcPr>
            <w:tcW w:w="14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2"/>
              <w:spacing w:after="0" w:line="181" w:lineRule="exact"/>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at March 31, 2022</w:t>
            </w: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8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following table summarizes information about the pre-tax intrinsic value of options exercised during the three months ended March 31, 2022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2021:</w:t>
      </w:r>
    </w:p>
    <w:p>
      <w:pPr>
        <w:spacing w:after="0" w:line="263"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4838065</wp:posOffset>
            </wp:positionH>
            <wp:positionV relativeFrom="paragraph">
              <wp:posOffset>15875</wp:posOffset>
            </wp:positionV>
            <wp:extent cx="23018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01875" cy="8255"/>
                    </a:xfrm>
                    <a:prstGeom prst="rect">
                      <a:avLst/>
                    </a:prstGeom>
                    <a:noFill/>
                  </pic:spPr>
                </pic:pic>
              </a:graphicData>
            </a:graphic>
          </wp:anchor>
        </w:drawing>
      </w:r>
    </w:p>
    <w:p>
      <w:pPr>
        <w:spacing w:after="0" w:line="10" w:lineRule="exact"/>
        <w:rPr>
          <w:sz w:val="20"/>
          <w:szCs w:val="20"/>
          <w:color w:val="auto"/>
        </w:rPr>
      </w:pPr>
    </w:p>
    <w:p>
      <w:pPr>
        <w:ind w:left="8320"/>
        <w:spacing w:after="0"/>
        <w:tabs>
          <w:tab w:leader="none" w:pos="10160" w:val="left"/>
        </w:tabs>
        <w:rPr>
          <w:sz w:val="20"/>
          <w:szCs w:val="20"/>
          <w:color w:val="auto"/>
        </w:rPr>
      </w:pP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p>
    <w:p>
      <w:pPr>
        <w:spacing w:after="0" w:line="33" w:lineRule="exact"/>
        <w:rPr>
          <w:sz w:val="20"/>
          <w:szCs w:val="20"/>
          <w:color w:val="auto"/>
        </w:rPr>
      </w:pPr>
    </w:p>
    <w:p>
      <w:pPr>
        <w:ind w:left="20"/>
        <w:spacing w:after="0"/>
        <w:tabs>
          <w:tab w:leader="none" w:pos="7620" w:val="left"/>
          <w:tab w:leader="none" w:pos="9080" w:val="left"/>
          <w:tab w:leader="none" w:pos="9480" w:val="left"/>
          <w:tab w:leader="none" w:pos="10940" w:val="left"/>
        </w:tabs>
        <w:rPr>
          <w:sz w:val="20"/>
          <w:szCs w:val="20"/>
          <w:color w:val="auto"/>
        </w:rPr>
      </w:pPr>
      <w:r>
        <w:rPr>
          <w:rFonts w:ascii="Times New Roman" w:cs="Times New Roman" w:eastAsia="Times New Roman" w:hAnsi="Times New Roman"/>
          <w:sz w:val="17"/>
          <w:szCs w:val="17"/>
          <w:color w:val="auto"/>
        </w:rPr>
        <w:t>Intrinsic value of options exercised</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1.4</w:t>
        <w:tab/>
        <w:t>$</w:t>
      </w:r>
      <w:r>
        <w:rPr>
          <w:sz w:val="20"/>
          <w:szCs w:val="20"/>
          <w:color w:val="auto"/>
        </w:rPr>
        <w:tab/>
      </w: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149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314" w:lineRule="exact"/>
        <w:rPr>
          <w:sz w:val="20"/>
          <w:szCs w:val="20"/>
          <w:color w:val="auto"/>
        </w:rPr>
      </w:pPr>
    </w:p>
    <w:p>
      <w:pPr>
        <w:ind w:right="520" w:firstLine="430"/>
        <w:spacing w:after="0" w:line="275" w:lineRule="auto"/>
        <w:rPr>
          <w:sz w:val="20"/>
          <w:szCs w:val="20"/>
          <w:color w:val="auto"/>
        </w:rPr>
      </w:pPr>
      <w:r>
        <w:rPr>
          <w:rFonts w:ascii="Times New Roman" w:cs="Times New Roman" w:eastAsia="Times New Roman" w:hAnsi="Times New Roman"/>
          <w:sz w:val="17"/>
          <w:szCs w:val="17"/>
          <w:color w:val="auto"/>
        </w:rPr>
        <w:t>As of March 31, 2022, unamortized stock-based compensation related to unvested stock options, restricted stock awards (excluding the Co-Founder Grant), and RSUs was $603.6 million. The weighted-average period over which such compensation expense will be recognized if the requisite service is provided is approximately 2.7 years as of March 31, 2022.</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Assumed stock options</w:t>
      </w:r>
    </w:p>
    <w:p>
      <w:pPr>
        <w:spacing w:after="0" w:line="119" w:lineRule="exact"/>
        <w:rPr>
          <w:sz w:val="20"/>
          <w:szCs w:val="20"/>
          <w:color w:val="auto"/>
        </w:rPr>
      </w:pPr>
    </w:p>
    <w:p>
      <w:pPr>
        <w:ind w:right="440" w:firstLine="430"/>
        <w:spacing w:after="0" w:line="294" w:lineRule="auto"/>
        <w:rPr>
          <w:sz w:val="20"/>
          <w:szCs w:val="20"/>
          <w:color w:val="auto"/>
        </w:rPr>
      </w:pPr>
      <w:r>
        <w:rPr>
          <w:rFonts w:ascii="Times New Roman" w:cs="Times New Roman" w:eastAsia="Times New Roman" w:hAnsi="Times New Roman"/>
          <w:sz w:val="17"/>
          <w:szCs w:val="17"/>
          <w:color w:val="auto"/>
        </w:rPr>
        <w:t>In connection with the acquisition of DocSend the Company assumed 0.4 million unvested stock options which were valued using the Black-Scholes option-pricing model. The fair value of stock options assumed were estimated using the following assumptions: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80" w:type="dxa"/>
            <w:vAlign w:val="bottom"/>
          </w:tcPr>
          <w:p>
            <w:pPr>
              <w:spacing w:after="0"/>
              <w:rPr>
                <w:sz w:val="17"/>
                <w:szCs w:val="17"/>
                <w:color w:val="auto"/>
              </w:rPr>
            </w:pPr>
          </w:p>
        </w:tc>
        <w:tc>
          <w:tcPr>
            <w:tcW w:w="9220" w:type="dxa"/>
            <w:vAlign w:val="bottom"/>
          </w:tcPr>
          <w:p>
            <w:pPr>
              <w:jc w:val="center"/>
              <w:ind w:right="1853"/>
              <w:spacing w:after="0"/>
              <w:rPr>
                <w:sz w:val="20"/>
                <w:szCs w:val="20"/>
                <w:color w:val="auto"/>
              </w:rPr>
            </w:pPr>
            <w:r>
              <w:rPr>
                <w:rFonts w:ascii="Times New Roman" w:cs="Times New Roman" w:eastAsia="Times New Roman" w:hAnsi="Times New Roman"/>
                <w:sz w:val="17"/>
                <w:szCs w:val="17"/>
                <w:b w:val="1"/>
                <w:bCs w:val="1"/>
                <w:color w:val="auto"/>
              </w:rPr>
              <w:t>DROPBOX, INC.</w:t>
            </w:r>
          </w:p>
        </w:tc>
      </w:tr>
      <w:tr>
        <w:trPr>
          <w:trHeight w:val="229"/>
        </w:trPr>
        <w:tc>
          <w:tcPr>
            <w:tcW w:w="1980" w:type="dxa"/>
            <w:vAlign w:val="bottom"/>
          </w:tcPr>
          <w:p>
            <w:pPr>
              <w:spacing w:after="0"/>
              <w:rPr>
                <w:sz w:val="19"/>
                <w:szCs w:val="19"/>
                <w:color w:val="auto"/>
              </w:rPr>
            </w:pPr>
          </w:p>
        </w:tc>
        <w:tc>
          <w:tcPr>
            <w:tcW w:w="9220" w:type="dxa"/>
            <w:vAlign w:val="bottom"/>
          </w:tcPr>
          <w:p>
            <w:pPr>
              <w:jc w:val="center"/>
              <w:ind w:right="1833"/>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tc>
      </w:tr>
      <w:tr>
        <w:trPr>
          <w:trHeight w:val="313"/>
        </w:trPr>
        <w:tc>
          <w:tcPr>
            <w:tcW w:w="1980" w:type="dxa"/>
            <w:vAlign w:val="bottom"/>
          </w:tcPr>
          <w:p>
            <w:pPr>
              <w:spacing w:after="0"/>
              <w:rPr>
                <w:sz w:val="24"/>
                <w:szCs w:val="24"/>
                <w:color w:val="auto"/>
              </w:rPr>
            </w:pPr>
          </w:p>
        </w:tc>
        <w:tc>
          <w:tcPr>
            <w:tcW w:w="9220" w:type="dxa"/>
            <w:vAlign w:val="bottom"/>
          </w:tcPr>
          <w:p>
            <w:pPr>
              <w:jc w:val="center"/>
              <w:ind w:right="1833"/>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tc>
      </w:tr>
      <w:tr>
        <w:trPr>
          <w:trHeight w:val="417"/>
        </w:trPr>
        <w:tc>
          <w:tcPr>
            <w:tcW w:w="198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222"/>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9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22"/>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9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2.0 - 6.8</w:t>
            </w:r>
          </w:p>
        </w:tc>
      </w:tr>
      <w:tr>
        <w:trPr>
          <w:trHeight w:val="222"/>
        </w:trPr>
        <w:tc>
          <w:tcPr>
            <w:tcW w:w="1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9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 - 1.29%</w:t>
            </w:r>
          </w:p>
        </w:tc>
      </w:tr>
      <w:tr>
        <w:trPr>
          <w:trHeight w:val="227"/>
        </w:trPr>
        <w:tc>
          <w:tcPr>
            <w:tcW w:w="1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9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bl>
    <w:p>
      <w:pPr>
        <w:spacing w:after="0" w:line="300" w:lineRule="exact"/>
        <w:rPr>
          <w:sz w:val="20"/>
          <w:szCs w:val="20"/>
          <w:color w:val="auto"/>
        </w:rPr>
      </w:pPr>
    </w:p>
    <w:p>
      <w:pPr>
        <w:ind w:right="220" w:firstLine="43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The expected volatility is based on the Company's historical volatility. Management believes this is the best estimate of the expected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volatility over the expected life of its stock options.</w:t>
      </w:r>
    </w:p>
    <w:p>
      <w:pPr>
        <w:spacing w:after="0" w:line="1" w:lineRule="exact"/>
        <w:rPr>
          <w:sz w:val="20"/>
          <w:szCs w:val="20"/>
          <w:color w:val="auto"/>
        </w:rPr>
      </w:pPr>
    </w:p>
    <w:p>
      <w:pPr>
        <w:ind w:right="240" w:firstLine="430"/>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The Company determines the expected term based on the average period the stock options are expected to remain outstanding, generally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calculated as the midpoint of the stock options’ remaining vesting term and contractual expiration period, as the Company does not have sufficient historical information to develop reasonable expectations about future exercise patterns and post-vesting employment termination behavior.</w:t>
      </w:r>
    </w:p>
    <w:p>
      <w:pPr>
        <w:spacing w:after="0" w:line="195" w:lineRule="exact"/>
        <w:rPr>
          <w:sz w:val="20"/>
          <w:szCs w:val="20"/>
          <w:color w:val="auto"/>
        </w:rPr>
      </w:pPr>
    </w:p>
    <w:p>
      <w:pPr>
        <w:ind w:right="580" w:firstLine="430"/>
        <w:spacing w:after="0" w:line="297" w:lineRule="auto"/>
        <w:rPr>
          <w:sz w:val="20"/>
          <w:szCs w:val="20"/>
          <w:color w:val="auto"/>
        </w:rPr>
      </w:pPr>
      <w:r>
        <w:rPr>
          <w:rFonts w:ascii="Times New Roman" w:cs="Times New Roman" w:eastAsia="Times New Roman" w:hAnsi="Times New Roman"/>
          <w:sz w:val="17"/>
          <w:szCs w:val="17"/>
          <w:i w:val="1"/>
          <w:iCs w:val="1"/>
          <w:color w:val="auto"/>
        </w:rPr>
        <w:t>Risk-free interest rate</w:t>
      </w:r>
      <w:r>
        <w:rPr>
          <w:rFonts w:ascii="Times New Roman" w:cs="Times New Roman" w:eastAsia="Times New Roman" w:hAnsi="Times New Roman"/>
          <w:sz w:val="17"/>
          <w:szCs w:val="17"/>
          <w:color w:val="auto"/>
        </w:rPr>
        <w:t>. The risk-free interest rate is based on the U.S. Treasury security in effect at the time the options were assumed for maturities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corresponding with the expected term of the option.</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Expected dividend yield</w:t>
      </w:r>
      <w:r>
        <w:rPr>
          <w:rFonts w:ascii="Times New Roman" w:cs="Times New Roman" w:eastAsia="Times New Roman" w:hAnsi="Times New Roman"/>
          <w:sz w:val="17"/>
          <w:szCs w:val="17"/>
          <w:color w:val="auto"/>
        </w:rPr>
        <w:t>. The Company has not paid and does not expect to pay dividends. Consequently, the Company uses an expected dividend yield of</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zero.</w:t>
      </w:r>
    </w:p>
    <w:p>
      <w:pPr>
        <w:spacing w:after="0" w:line="230" w:lineRule="exact"/>
        <w:rPr>
          <w:sz w:val="20"/>
          <w:szCs w:val="20"/>
          <w:color w:val="auto"/>
        </w:rPr>
      </w:pPr>
    </w:p>
    <w:p>
      <w:pPr>
        <w:ind w:right="60" w:firstLine="430"/>
        <w:spacing w:after="0" w:line="294" w:lineRule="auto"/>
        <w:rPr>
          <w:sz w:val="20"/>
          <w:szCs w:val="20"/>
          <w:color w:val="auto"/>
        </w:rPr>
      </w:pPr>
      <w:r>
        <w:rPr>
          <w:rFonts w:ascii="Times New Roman" w:cs="Times New Roman" w:eastAsia="Times New Roman" w:hAnsi="Times New Roman"/>
          <w:sz w:val="17"/>
          <w:szCs w:val="17"/>
          <w:color w:val="auto"/>
        </w:rPr>
        <w:t>In connection with the acquisition of DocSend, the estimated weighted-average grant date fair value for stock options assumed was $25.28 per share and a total fair value of $9.3 million, of which, $8.1 million will be recognized as post-combination stock-based compensation expense.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Co-Founder Grant</w:t>
      </w:r>
    </w:p>
    <w:p>
      <w:pPr>
        <w:spacing w:after="0" w:line="119" w:lineRule="exact"/>
        <w:rPr>
          <w:sz w:val="20"/>
          <w:szCs w:val="20"/>
          <w:color w:val="auto"/>
        </w:rPr>
      </w:pPr>
    </w:p>
    <w:p>
      <w:pPr>
        <w:ind w:firstLine="430"/>
        <w:spacing w:after="0" w:line="265" w:lineRule="auto"/>
        <w:rPr>
          <w:sz w:val="20"/>
          <w:szCs w:val="20"/>
          <w:color w:val="auto"/>
        </w:rPr>
      </w:pPr>
      <w:r>
        <w:rPr>
          <w:rFonts w:ascii="Times New Roman" w:cs="Times New Roman" w:eastAsia="Times New Roman" w:hAnsi="Times New Roman"/>
          <w:sz w:val="17"/>
          <w:szCs w:val="17"/>
          <w:color w:val="auto"/>
        </w:rPr>
        <w:t>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w:t>
      </w:r>
    </w:p>
    <w:p>
      <w:pPr>
        <w:spacing w:after="0" w:line="199" w:lineRule="exact"/>
        <w:rPr>
          <w:sz w:val="20"/>
          <w:szCs w:val="20"/>
          <w:color w:val="auto"/>
        </w:rPr>
      </w:pPr>
    </w:p>
    <w:p>
      <w:pPr>
        <w:jc w:val="both"/>
        <w:ind w:right="140" w:firstLine="430"/>
        <w:spacing w:after="0" w:line="268" w:lineRule="auto"/>
        <w:rPr>
          <w:sz w:val="20"/>
          <w:szCs w:val="20"/>
          <w:color w:val="auto"/>
        </w:rPr>
      </w:pPr>
      <w:r>
        <w:rPr>
          <w:rFonts w:ascii="Times New Roman" w:cs="Times New Roman" w:eastAsia="Times New Roman" w:hAnsi="Times New Roman"/>
          <w:sz w:val="17"/>
          <w:szCs w:val="17"/>
          <w:color w:val="auto"/>
        </w:rPr>
        <w:t>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w:t>
      </w:r>
    </w:p>
    <w:p>
      <w:pPr>
        <w:spacing w:after="0" w:line="196" w:lineRule="exact"/>
        <w:rPr>
          <w:sz w:val="20"/>
          <w:szCs w:val="20"/>
          <w:color w:val="auto"/>
        </w:rPr>
      </w:pPr>
    </w:p>
    <w:p>
      <w:pPr>
        <w:ind w:right="320" w:firstLine="430"/>
        <w:spacing w:after="0" w:line="294" w:lineRule="auto"/>
        <w:rPr>
          <w:sz w:val="20"/>
          <w:szCs w:val="20"/>
          <w:color w:val="auto"/>
        </w:rPr>
      </w:pPr>
      <w:r>
        <w:rPr>
          <w:rFonts w:ascii="Times New Roman" w:cs="Times New Roman" w:eastAsia="Times New Roman" w:hAnsi="Times New Roman"/>
          <w:sz w:val="17"/>
          <w:szCs w:val="17"/>
          <w:color w:val="auto"/>
        </w:rPr>
        <w:t>During the first four years of the Performance Period, no more than 20% of the shares subject to the Co-Founder Grant would be eligible to vest in any calendar year. After the first four years, all shares are eligible to vest based on the achievement of the Stock Price Targets.</w:t>
      </w:r>
    </w:p>
    <w:p>
      <w:pPr>
        <w:spacing w:after="0" w:line="173" w:lineRule="exact"/>
        <w:rPr>
          <w:sz w:val="20"/>
          <w:szCs w:val="20"/>
          <w:color w:val="auto"/>
        </w:rPr>
      </w:pPr>
    </w:p>
    <w:p>
      <w:pPr>
        <w:ind w:firstLine="430"/>
        <w:spacing w:after="0" w:line="260" w:lineRule="auto"/>
        <w:rPr>
          <w:sz w:val="20"/>
          <w:szCs w:val="20"/>
          <w:color w:val="auto"/>
        </w:rPr>
      </w:pPr>
      <w:r>
        <w:rPr>
          <w:rFonts w:ascii="Times New Roman" w:cs="Times New Roman" w:eastAsia="Times New Roman" w:hAnsi="Times New Roman"/>
          <w:sz w:val="17"/>
          <w:szCs w:val="17"/>
          <w:color w:val="auto"/>
        </w:rPr>
        <w:t>The first tranche of Mr. Houston's Co-Founder Grant, or 2.1 million shares of Class A common stock, vested in the fourth quarter of 2021. The stock-based compensation expense for Mr. Houston's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 From time to time, directors, officers, and employees of the Company enter into 10b5-1 plans. Mr. Houston adopted a 10b5-1 plan in June 2021, pursuant to which a portion of the shares issued upon achievement of the performance targets under his Co-Founder Award (the "vested shares") were sold to satisfy income taxes related to the vesting of the Co-Founder Award and, as the Company’s share price was below the share price established in Mr. Houston's 10b5-1 plan, the remainder of the vested shares were not sold. If the Company’s share price reaches or exceeds the share price established in Mr. Houston's 10b5-1 plan prior to the date on which the term of such 10b5-1 plan expires, the remainder of the vested shares will be sold.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6" w:lineRule="exact"/>
        <w:rPr>
          <w:sz w:val="20"/>
          <w:szCs w:val="20"/>
          <w:color w:val="auto"/>
        </w:rPr>
      </w:pPr>
    </w:p>
    <w:p>
      <w:pPr>
        <w:ind w:firstLine="430"/>
        <w:spacing w:after="0" w:line="287" w:lineRule="auto"/>
        <w:rPr>
          <w:sz w:val="20"/>
          <w:szCs w:val="20"/>
          <w:color w:val="auto"/>
        </w:rPr>
      </w:pPr>
      <w:r>
        <w:rPr>
          <w:rFonts w:ascii="Times New Roman" w:cs="Times New Roman" w:eastAsia="Times New Roman" w:hAnsi="Times New Roman"/>
          <w:sz w:val="17"/>
          <w:szCs w:val="17"/>
          <w:color w:val="auto"/>
        </w:rPr>
        <w:t>The Company recognized stock-based compensation expense related to the Co-Founder Grant of $3.6 million and $3.6 million during the three months ended March 31, 2022 and 2021, respectively. As of March 31, 2022, unamortized stock-based compensation expense related to the Co-Founder Grant was $17.5 million.</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Net Income Per Share</w:t>
      </w:r>
    </w:p>
    <w:p>
      <w:pPr>
        <w:spacing w:after="0" w:line="250" w:lineRule="exact"/>
        <w:rPr>
          <w:sz w:val="20"/>
          <w:szCs w:val="20"/>
          <w:color w:val="auto"/>
        </w:rPr>
      </w:pPr>
    </w:p>
    <w:p>
      <w:pPr>
        <w:ind w:firstLine="430"/>
        <w:spacing w:after="0" w:line="275" w:lineRule="auto"/>
        <w:rPr>
          <w:sz w:val="20"/>
          <w:szCs w:val="20"/>
          <w:color w:val="auto"/>
        </w:rPr>
      </w:pPr>
      <w:r>
        <w:rPr>
          <w:rFonts w:ascii="Times New Roman" w:cs="Times New Roman" w:eastAsia="Times New Roman" w:hAnsi="Times New Roman"/>
          <w:sz w:val="17"/>
          <w:szCs w:val="17"/>
          <w:color w:val="auto"/>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spacing w:after="0" w:line="189" w:lineRule="exact"/>
        <w:rPr>
          <w:sz w:val="20"/>
          <w:szCs w:val="20"/>
          <w:color w:val="auto"/>
        </w:rPr>
      </w:pPr>
    </w:p>
    <w:p>
      <w:pPr>
        <w:ind w:right="380" w:firstLine="430"/>
        <w:spacing w:after="0" w:line="294" w:lineRule="auto"/>
        <w:rPr>
          <w:sz w:val="20"/>
          <w:szCs w:val="20"/>
          <w:color w:val="auto"/>
        </w:rPr>
      </w:pPr>
      <w:r>
        <w:rPr>
          <w:rFonts w:ascii="Times New Roman" w:cs="Times New Roman" w:eastAsia="Times New Roman" w:hAnsi="Times New Roman"/>
          <w:sz w:val="17"/>
          <w:szCs w:val="17"/>
          <w:color w:val="auto"/>
        </w:rPr>
        <w:t>Basic net income per share is computed by dividing net income attributable to common stockholders by the weighted-average number of shares of the Class A and Class B common stock outstanding.</w:t>
      </w:r>
    </w:p>
    <w:p>
      <w:pPr>
        <w:spacing w:after="0" w:line="173" w:lineRule="exact"/>
        <w:rPr>
          <w:sz w:val="20"/>
          <w:szCs w:val="20"/>
          <w:color w:val="auto"/>
        </w:rPr>
      </w:pPr>
    </w:p>
    <w:p>
      <w:pPr>
        <w:ind w:right="20" w:firstLine="391"/>
        <w:spacing w:after="0" w:line="265" w:lineRule="auto"/>
        <w:rPr>
          <w:sz w:val="20"/>
          <w:szCs w:val="20"/>
          <w:color w:val="auto"/>
        </w:rPr>
      </w:pPr>
      <w:r>
        <w:rPr>
          <w:rFonts w:ascii="Times New Roman" w:cs="Times New Roman" w:eastAsia="Times New Roman" w:hAnsi="Times New Roman"/>
          <w:sz w:val="17"/>
          <w:szCs w:val="17"/>
          <w:color w:val="auto"/>
        </w:rPr>
        <w:t>Diluted net income per share is computed by dividing net income attributable to common stockholders by the weighted-average number of diluted common shares outstanding. The computation of the diluted net income per share of Class A common stock assumes the conversion of our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spacing w:after="0" w:line="199" w:lineRule="exact"/>
        <w:rPr>
          <w:sz w:val="20"/>
          <w:szCs w:val="20"/>
          <w:color w:val="auto"/>
        </w:rPr>
      </w:pPr>
    </w:p>
    <w:p>
      <w:pPr>
        <w:ind w:right="240" w:firstLine="391"/>
        <w:spacing w:after="0" w:line="294" w:lineRule="auto"/>
        <w:rPr>
          <w:sz w:val="20"/>
          <w:szCs w:val="20"/>
          <w:color w:val="auto"/>
        </w:rPr>
      </w:pPr>
      <w:r>
        <w:rPr>
          <w:rFonts w:ascii="Times New Roman" w:cs="Times New Roman" w:eastAsia="Times New Roman" w:hAnsi="Times New Roman"/>
          <w:sz w:val="17"/>
          <w:szCs w:val="17"/>
          <w:color w:val="auto"/>
        </w:rPr>
        <w:t>The numerators and denominators of the basic and diluted EPS computations for our common stock are calculated as follows (in millions, except for per share amounts):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60" w:type="dxa"/>
            <w:vAlign w:val="bottom"/>
            <w:gridSpan w:val="5"/>
          </w:tcPr>
          <w:p>
            <w:pPr>
              <w:ind w:left="5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Pr>
          <w:p>
            <w:pPr>
              <w:spacing w:after="0"/>
              <w:rPr>
                <w:sz w:val="17"/>
                <w:szCs w:val="17"/>
                <w:color w:val="auto"/>
              </w:rPr>
            </w:pPr>
          </w:p>
        </w:tc>
        <w:tc>
          <w:tcPr>
            <w:tcW w:w="2600" w:type="dxa"/>
            <w:vAlign w:val="bottom"/>
            <w:gridSpan w:val="4"/>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0" w:type="dxa"/>
            <w:vAlign w:val="bottom"/>
          </w:tcPr>
          <w:p>
            <w:pPr>
              <w:spacing w:after="0"/>
              <w:rPr>
                <w:sz w:val="1"/>
                <w:szCs w:val="1"/>
                <w:color w:val="auto"/>
              </w:rPr>
            </w:pPr>
          </w:p>
        </w:tc>
      </w:tr>
      <w:tr>
        <w:trPr>
          <w:trHeight w:val="232"/>
        </w:trPr>
        <w:tc>
          <w:tcPr>
            <w:tcW w:w="5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Class A</w:t>
            </w:r>
          </w:p>
        </w:tc>
        <w:tc>
          <w:tcPr>
            <w:tcW w:w="400" w:type="dxa"/>
            <w:vAlign w:val="bottom"/>
          </w:tcPr>
          <w:p>
            <w:pPr>
              <w:spacing w:after="0"/>
              <w:rPr>
                <w:sz w:val="18"/>
                <w:szCs w:val="18"/>
                <w:color w:val="auto"/>
              </w:rPr>
            </w:pPr>
          </w:p>
        </w:tc>
        <w:tc>
          <w:tcPr>
            <w:tcW w:w="100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Class B</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Class A</w:t>
            </w:r>
          </w:p>
        </w:tc>
        <w:tc>
          <w:tcPr>
            <w:tcW w:w="380" w:type="dxa"/>
            <w:vAlign w:val="bottom"/>
          </w:tcPr>
          <w:p>
            <w:pPr>
              <w:spacing w:after="0"/>
              <w:rPr>
                <w:sz w:val="18"/>
                <w:szCs w:val="18"/>
                <w:color w:val="auto"/>
              </w:rPr>
            </w:pPr>
          </w:p>
        </w:tc>
        <w:tc>
          <w:tcPr>
            <w:tcW w:w="1000" w:type="dxa"/>
            <w:vAlign w:val="bottom"/>
          </w:tcPr>
          <w:p>
            <w:pPr>
              <w:jc w:val="right"/>
              <w:ind w:right="333"/>
              <w:spacing w:after="0"/>
              <w:rPr>
                <w:sz w:val="20"/>
                <w:szCs w:val="20"/>
                <w:color w:val="auto"/>
              </w:rPr>
            </w:pPr>
            <w:r>
              <w:rPr>
                <w:rFonts w:ascii="Times New Roman" w:cs="Times New Roman" w:eastAsia="Times New Roman" w:hAnsi="Times New Roman"/>
                <w:sz w:val="17"/>
                <w:szCs w:val="17"/>
                <w:color w:val="auto"/>
              </w:rPr>
              <w:t>Class B</w:t>
            </w:r>
          </w:p>
        </w:tc>
        <w:tc>
          <w:tcPr>
            <w:tcW w:w="0" w:type="dxa"/>
            <w:vAlign w:val="bottom"/>
          </w:tcPr>
          <w:p>
            <w:pPr>
              <w:spacing w:after="0"/>
              <w:rPr>
                <w:sz w:val="1"/>
                <w:szCs w:val="1"/>
                <w:color w:val="auto"/>
              </w:rPr>
            </w:pPr>
          </w:p>
        </w:tc>
      </w:tr>
      <w:tr>
        <w:trPr>
          <w:trHeight w:val="202"/>
        </w:trPr>
        <w:tc>
          <w:tcPr>
            <w:tcW w:w="5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income per share:</w:t>
            </w: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1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 per common share, basic</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0.22</w:t>
            </w:r>
          </w:p>
        </w:tc>
        <w:tc>
          <w:tcPr>
            <w:tcW w:w="100" w:type="dxa"/>
            <w:vAlign w:val="bottom"/>
          </w:tcPr>
          <w:p>
            <w:pPr>
              <w:spacing w:after="0"/>
              <w:rPr>
                <w:sz w:val="16"/>
                <w:szCs w:val="16"/>
                <w:color w:val="auto"/>
              </w:rPr>
            </w:pPr>
          </w:p>
        </w:tc>
        <w:tc>
          <w:tcPr>
            <w:tcW w:w="400" w:type="dxa"/>
            <w:vAlign w:val="bottom"/>
          </w:tcPr>
          <w:p>
            <w:pPr>
              <w:jc w:val="right"/>
              <w:ind w:right="19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0.22</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0.12</w:t>
            </w:r>
          </w:p>
        </w:tc>
        <w:tc>
          <w:tcPr>
            <w:tcW w:w="100" w:type="dxa"/>
            <w:vAlign w:val="bottom"/>
          </w:tcPr>
          <w:p>
            <w:pPr>
              <w:spacing w:after="0"/>
              <w:rPr>
                <w:sz w:val="16"/>
                <w:szCs w:val="16"/>
                <w:color w:val="auto"/>
              </w:rPr>
            </w:pPr>
          </w:p>
        </w:tc>
        <w:tc>
          <w:tcPr>
            <w:tcW w:w="380" w:type="dxa"/>
            <w:vAlign w:val="bottom"/>
          </w:tcPr>
          <w:p>
            <w:pPr>
              <w:jc w:val="right"/>
              <w:ind w:right="1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income per share: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Reallocation of net income as a result of conversion of Class B to Class A</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2"/>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Reallocation of net income to Class B common stock</w:t>
            </w:r>
          </w:p>
        </w:tc>
        <w:tc>
          <w:tcPr>
            <w:tcW w:w="1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attributable to common stockholders for diluted EPS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1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79.7</w:t>
            </w:r>
          </w:p>
        </w:tc>
        <w:tc>
          <w:tcPr>
            <w:tcW w:w="100" w:type="dxa"/>
            <w:vAlign w:val="bottom"/>
          </w:tcPr>
          <w:p>
            <w:pPr>
              <w:spacing w:after="0"/>
              <w:rPr>
                <w:sz w:val="16"/>
                <w:szCs w:val="16"/>
                <w:color w:val="auto"/>
              </w:rPr>
            </w:pPr>
          </w:p>
        </w:tc>
        <w:tc>
          <w:tcPr>
            <w:tcW w:w="400" w:type="dxa"/>
            <w:vAlign w:val="bottom"/>
          </w:tcPr>
          <w:p>
            <w:pPr>
              <w:jc w:val="right"/>
              <w:ind w:right="19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17.7</w:t>
            </w:r>
          </w:p>
        </w:tc>
        <w:tc>
          <w:tcPr>
            <w:tcW w:w="100" w:type="dxa"/>
            <w:vAlign w:val="bottom"/>
          </w:tcPr>
          <w:p>
            <w:pPr>
              <w:spacing w:after="0"/>
              <w:rPr>
                <w:sz w:val="16"/>
                <w:szCs w:val="16"/>
                <w:color w:val="auto"/>
              </w:rPr>
            </w:pPr>
          </w:p>
        </w:tc>
        <w:tc>
          <w:tcPr>
            <w:tcW w:w="260" w:type="dxa"/>
            <w:vAlign w:val="bottom"/>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47.6</w:t>
            </w:r>
          </w:p>
        </w:tc>
        <w:tc>
          <w:tcPr>
            <w:tcW w:w="100" w:type="dxa"/>
            <w:vAlign w:val="bottom"/>
          </w:tcPr>
          <w:p>
            <w:pPr>
              <w:spacing w:after="0"/>
              <w:rPr>
                <w:sz w:val="16"/>
                <w:szCs w:val="16"/>
                <w:color w:val="auto"/>
              </w:rPr>
            </w:pPr>
          </w:p>
        </w:tc>
        <w:tc>
          <w:tcPr>
            <w:tcW w:w="380" w:type="dxa"/>
            <w:vAlign w:val="bottom"/>
          </w:tcPr>
          <w:p>
            <w:pPr>
              <w:jc w:val="right"/>
              <w:ind w:right="1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9.7</w:t>
            </w:r>
          </w:p>
        </w:tc>
        <w:tc>
          <w:tcPr>
            <w:tcW w:w="0" w:type="dxa"/>
            <w:vAlign w:val="bottom"/>
          </w:tcPr>
          <w:p>
            <w:pPr>
              <w:spacing w:after="0"/>
              <w:rPr>
                <w:sz w:val="1"/>
                <w:szCs w:val="1"/>
                <w:color w:val="auto"/>
              </w:rPr>
            </w:pPr>
          </w:p>
        </w:tc>
      </w:tr>
      <w:tr>
        <w:trPr>
          <w:trHeight w:val="222"/>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380" w:type="dxa"/>
            <w:vAlign w:val="bottom"/>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number of common shares outstanding used in</w:t>
            </w: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computing basic net income per share</w:t>
            </w: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0" w:type="dxa"/>
            <w:vAlign w:val="bottom"/>
          </w:tcPr>
          <w:p>
            <w:pPr>
              <w:spacing w:after="0"/>
              <w:rPr>
                <w:sz w:val="1"/>
                <w:szCs w:val="1"/>
                <w:color w:val="auto"/>
              </w:rPr>
            </w:pPr>
          </w:p>
        </w:tc>
      </w:tr>
      <w:tr>
        <w:trPr>
          <w:trHeight w:val="170"/>
        </w:trPr>
        <w:tc>
          <w:tcPr>
            <w:tcW w:w="538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7"/>
                <w:szCs w:val="17"/>
                <w:color w:val="auto"/>
              </w:rPr>
              <w:t>Weighted-average effect of dilutive restricted stock units and awards and</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employee stock options</w:t>
            </w: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2"/>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Conversion of Class B to Class A common stock</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5380" w:type="dxa"/>
            <w:vAlign w:val="bottom"/>
            <w:shd w:val="clear" w:color="auto" w:fill="CCEEFF"/>
          </w:tcPr>
          <w:p>
            <w:pPr>
              <w:ind w:left="140"/>
              <w:spacing w:after="0" w:line="136" w:lineRule="exact"/>
              <w:rPr>
                <w:sz w:val="20"/>
                <w:szCs w:val="20"/>
                <w:color w:val="auto"/>
              </w:rPr>
            </w:pPr>
            <w:r>
              <w:rPr>
                <w:rFonts w:ascii="Times New Roman" w:cs="Times New Roman" w:eastAsia="Times New Roman" w:hAnsi="Times New Roman"/>
                <w:sz w:val="15"/>
                <w:szCs w:val="15"/>
                <w:color w:val="auto"/>
              </w:rPr>
              <w:t>Weighted-average number of common shares outstanding used in</w:t>
            </w:r>
          </w:p>
        </w:tc>
        <w:tc>
          <w:tcPr>
            <w:tcW w:w="140" w:type="dxa"/>
            <w:vAlign w:val="bottom"/>
            <w:shd w:val="clear" w:color="auto" w:fill="CCEEFF"/>
          </w:tcPr>
          <w:p>
            <w:pPr>
              <w:spacing w:after="0"/>
              <w:rPr>
                <w:sz w:val="11"/>
                <w:szCs w:val="11"/>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372.9</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405.4</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83.5</w:t>
            </w:r>
          </w:p>
        </w:tc>
        <w:tc>
          <w:tcPr>
            <w:tcW w:w="0" w:type="dxa"/>
            <w:vAlign w:val="bottom"/>
          </w:tcPr>
          <w:p>
            <w:pPr>
              <w:spacing w:after="0"/>
              <w:rPr>
                <w:sz w:val="1"/>
                <w:szCs w:val="1"/>
                <w:color w:val="auto"/>
              </w:rPr>
            </w:pPr>
          </w:p>
        </w:tc>
      </w:tr>
      <w:tr>
        <w:trPr>
          <w:trHeight w:val="229"/>
        </w:trPr>
        <w:tc>
          <w:tcPr>
            <w:tcW w:w="5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computing diluted net income per share</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Net income per common share, diluted</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380" w:type="dxa"/>
            <w:vAlign w:val="bottom"/>
            <w:vMerge w:val="continue"/>
          </w:tcPr>
          <w:p>
            <w:pPr>
              <w:spacing w:after="0"/>
              <w:rPr>
                <w:sz w:val="16"/>
                <w:szCs w:val="16"/>
                <w:color w:val="auto"/>
              </w:rPr>
            </w:pPr>
          </w:p>
        </w:tc>
        <w:tc>
          <w:tcPr>
            <w:tcW w:w="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0.21</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193"/>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0.21</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0.12</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0.12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6"/>
        </w:trPr>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973"/>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3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6" w:lineRule="exact"/>
        <w:rPr>
          <w:sz w:val="20"/>
          <w:szCs w:val="20"/>
          <w:color w:val="auto"/>
        </w:rPr>
      </w:pPr>
    </w:p>
    <w:p>
      <w:pPr>
        <w:ind w:right="400" w:firstLine="430"/>
        <w:spacing w:after="0" w:line="294" w:lineRule="auto"/>
        <w:rPr>
          <w:sz w:val="20"/>
          <w:szCs w:val="20"/>
          <w:color w:val="auto"/>
        </w:rPr>
      </w:pPr>
      <w:r>
        <w:rPr>
          <w:rFonts w:ascii="Times New Roman" w:cs="Times New Roman" w:eastAsia="Times New Roman" w:hAnsi="Times New Roman"/>
          <w:sz w:val="17"/>
          <w:szCs w:val="17"/>
          <w:color w:val="auto"/>
        </w:rPr>
        <w:t>The weighted-average impact of potentially dilutive securities that were not included in the diluted per share calculations because they would be anti-dilutive was as follows:</w:t>
      </w:r>
    </w:p>
    <w:p>
      <w:pPr>
        <w:spacing w:after="0" w:line="206"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and awards</w:t>
            </w: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2"/>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Options to purchase shares of common stock</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w:t>
            </w:r>
          </w:p>
        </w:tc>
      </w:tr>
      <w:tr>
        <w:trPr>
          <w:trHeight w:val="222"/>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Co-Founder Grant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r>
      <w:tr>
        <w:trPr>
          <w:trHeight w:val="222"/>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22"/>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r>
      <w:tr>
        <w:trPr>
          <w:trHeight w:val="21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100" w:type="dxa"/>
            <w:vAlign w:val="bottom"/>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0"/>
        </w:trPr>
        <w:tc>
          <w:tcPr>
            <w:tcW w:w="76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Income Taxes</w:t>
      </w:r>
    </w:p>
    <w:p>
      <w:pPr>
        <w:spacing w:after="0" w:line="250" w:lineRule="exact"/>
        <w:rPr>
          <w:sz w:val="20"/>
          <w:szCs w:val="20"/>
          <w:color w:val="auto"/>
        </w:rPr>
      </w:pPr>
    </w:p>
    <w:p>
      <w:pPr>
        <w:ind w:firstLine="430"/>
        <w:spacing w:after="0" w:line="275" w:lineRule="auto"/>
        <w:rPr>
          <w:sz w:val="20"/>
          <w:szCs w:val="20"/>
          <w:color w:val="auto"/>
        </w:rPr>
      </w:pPr>
      <w:r>
        <w:rPr>
          <w:rFonts w:ascii="Times New Roman" w:cs="Times New Roman" w:eastAsia="Times New Roman" w:hAnsi="Times New Roman"/>
          <w:sz w:val="17"/>
          <w:szCs w:val="17"/>
          <w:color w:val="auto"/>
        </w:rPr>
        <w:t>The Company computed the year-to-date income tax provision by applying the estimated annual effective tax rate to the year-to-date pre-tax income and adjusted for discrete tax items in the period. The Company's provision for income taxes was $14.1 million and a benefit from income taxes of $1.2 million for the three months ended March 31, 2022 and 2021, respectively.</w:t>
      </w:r>
    </w:p>
    <w:p>
      <w:pPr>
        <w:spacing w:after="0" w:line="176" w:lineRule="exact"/>
        <w:rPr>
          <w:sz w:val="20"/>
          <w:szCs w:val="20"/>
          <w:color w:val="auto"/>
        </w:rPr>
      </w:pPr>
    </w:p>
    <w:p>
      <w:pPr>
        <w:jc w:val="both"/>
        <w:ind w:right="580" w:firstLine="430"/>
        <w:spacing w:after="0" w:line="259" w:lineRule="auto"/>
        <w:rPr>
          <w:sz w:val="20"/>
          <w:szCs w:val="20"/>
          <w:color w:val="auto"/>
        </w:rPr>
      </w:pPr>
      <w:r>
        <w:rPr>
          <w:rFonts w:ascii="Times New Roman" w:cs="Times New Roman" w:eastAsia="Times New Roman" w:hAnsi="Times New Roman"/>
          <w:sz w:val="17"/>
          <w:szCs w:val="17"/>
          <w:color w:val="auto"/>
        </w:rPr>
        <w:t>The provision for income taxes for the three months ended March 31, 2022 was primarily attributable to federal, state and foreign income taxes. In addition, a requirement of the Tax Cuts and Jobs Act of 2017 (TCJA) to capitalize certain research expenditures became effective January 1, 2022, which resulted in an increase in the federal and state income tax liability.</w:t>
      </w:r>
    </w:p>
    <w:p>
      <w:pPr>
        <w:spacing w:after="0" w:line="189" w:lineRule="exact"/>
        <w:rPr>
          <w:sz w:val="20"/>
          <w:szCs w:val="20"/>
          <w:color w:val="auto"/>
        </w:rPr>
      </w:pPr>
    </w:p>
    <w:p>
      <w:pPr>
        <w:jc w:val="both"/>
        <w:ind w:right="200" w:firstLine="430"/>
        <w:spacing w:after="0" w:line="275" w:lineRule="auto"/>
        <w:rPr>
          <w:sz w:val="20"/>
          <w:szCs w:val="20"/>
          <w:color w:val="auto"/>
        </w:rPr>
      </w:pPr>
      <w:r>
        <w:rPr>
          <w:rFonts w:ascii="Times New Roman" w:cs="Times New Roman" w:eastAsia="Times New Roman" w:hAnsi="Times New Roman"/>
          <w:sz w:val="17"/>
          <w:szCs w:val="17"/>
          <w:color w:val="auto"/>
        </w:rPr>
        <w:t>For the three months ended March 31, 2022, the difference between the U.S. statutory rate and the Company's effective tax rate was primarily due to the requirement to capitalize research expenditures in accordance with TCJA, which was partially offset by the utilization of U.S. deferred tax assets which have a full valuation allowance.</w:t>
      </w:r>
    </w:p>
    <w:p>
      <w:pPr>
        <w:spacing w:after="0" w:line="189" w:lineRule="exact"/>
        <w:rPr>
          <w:sz w:val="20"/>
          <w:szCs w:val="20"/>
          <w:color w:val="auto"/>
        </w:rPr>
      </w:pPr>
    </w:p>
    <w:p>
      <w:pPr>
        <w:jc w:val="both"/>
        <w:ind w:right="220" w:firstLine="430"/>
        <w:spacing w:after="0" w:line="275" w:lineRule="auto"/>
        <w:rPr>
          <w:sz w:val="20"/>
          <w:szCs w:val="20"/>
          <w:color w:val="auto"/>
        </w:rPr>
      </w:pPr>
      <w:r>
        <w:rPr>
          <w:rFonts w:ascii="Times New Roman" w:cs="Times New Roman" w:eastAsia="Times New Roman" w:hAnsi="Times New Roman"/>
          <w:sz w:val="17"/>
          <w:szCs w:val="17"/>
          <w:color w:val="auto"/>
        </w:rPr>
        <w:t>For the three months ended March 31, 2021, the difference between the U.S. statutory rate and the Company's effective tax rate was primarily due to the full valuation allowance on its U.S. and Irish deferred tax assets and a one-time benefit resulting for the acquisition of DocSend. For the periods presented, the effective tax rate was also impacted by earnings realized in foreign jurisdictions with statutory tax rates lower than the federal statutory tax rate.</w:t>
      </w:r>
    </w:p>
    <w:p>
      <w:pPr>
        <w:spacing w:after="0" w:line="189" w:lineRule="exact"/>
        <w:rPr>
          <w:sz w:val="20"/>
          <w:szCs w:val="20"/>
          <w:color w:val="auto"/>
        </w:rPr>
      </w:pPr>
    </w:p>
    <w:p>
      <w:pPr>
        <w:ind w:right="160" w:firstLine="430"/>
        <w:spacing w:after="0" w:line="268" w:lineRule="auto"/>
        <w:rPr>
          <w:sz w:val="20"/>
          <w:szCs w:val="20"/>
          <w:color w:val="auto"/>
        </w:rPr>
      </w:pPr>
      <w:r>
        <w:rPr>
          <w:rFonts w:ascii="Times New Roman" w:cs="Times New Roman" w:eastAsia="Times New Roman" w:hAnsi="Times New Roman"/>
          <w:sz w:val="17"/>
          <w:szCs w:val="17"/>
          <w:color w:val="auto"/>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March 31, 2022, the Company continues to maintain valuation allowances on all of its deferred tax assets in the U.S. and on a portion of its deferred tax assets in one of its foreign jurisdictions.</w:t>
      </w:r>
    </w:p>
    <w:p>
      <w:pPr>
        <w:spacing w:after="0" w:line="196" w:lineRule="exact"/>
        <w:rPr>
          <w:sz w:val="20"/>
          <w:szCs w:val="20"/>
          <w:color w:val="auto"/>
        </w:rPr>
      </w:pPr>
    </w:p>
    <w:p>
      <w:pPr>
        <w:ind w:right="100" w:firstLine="430"/>
        <w:spacing w:after="0" w:line="265" w:lineRule="auto"/>
        <w:rPr>
          <w:sz w:val="20"/>
          <w:szCs w:val="20"/>
          <w:color w:val="auto"/>
        </w:rPr>
      </w:pPr>
      <w:r>
        <w:rPr>
          <w:rFonts w:ascii="Times New Roman" w:cs="Times New Roman" w:eastAsia="Times New Roman" w:hAnsi="Times New Roman"/>
          <w:sz w:val="17"/>
          <w:szCs w:val="17"/>
          <w:color w:val="auto"/>
        </w:rPr>
        <w:t>Given the Company’s recent history of earnings, management believes that there is a reasonable possibility that, within the next twelve months, sufficient positive evidence may become available to allow management to reach a conclusion that a significant portion of all of the valuation allowance recorded against the U.S. deferred tax assets will be reversed. The reversal would result in an income tax benefit for the quarterly and annual fiscal period in which the Company releases the valuation allowance. However, the exact timing and amount of the valuation allowance release are subject to change on the basis of the level of profitability that the Company actually achieves.</w:t>
      </w:r>
    </w:p>
    <w:p>
      <w:pPr>
        <w:spacing w:after="0" w:line="199" w:lineRule="exact"/>
        <w:rPr>
          <w:sz w:val="20"/>
          <w:szCs w:val="20"/>
          <w:color w:val="auto"/>
        </w:rPr>
      </w:pPr>
    </w:p>
    <w:p>
      <w:pPr>
        <w:ind w:right="220" w:firstLine="430"/>
        <w:spacing w:after="0" w:line="294" w:lineRule="auto"/>
        <w:rPr>
          <w:sz w:val="20"/>
          <w:szCs w:val="20"/>
          <w:color w:val="auto"/>
        </w:rPr>
      </w:pPr>
      <w:r>
        <w:rPr>
          <w:rFonts w:ascii="Times New Roman" w:cs="Times New Roman" w:eastAsia="Times New Roman" w:hAnsi="Times New Roman"/>
          <w:sz w:val="17"/>
          <w:szCs w:val="17"/>
          <w:color w:val="auto"/>
        </w:rPr>
        <w:t>The Company is subject to income tax audits in the U.S. and foreign jurisdictions. The Company records liabilities related to uncertain tax positions and believes that it has provided adequate reserves for income tax uncertainties in all open tax years.</w:t>
      </w:r>
    </w:p>
    <w:p>
      <w:pPr>
        <w:spacing w:after="0" w:line="173" w:lineRule="exact"/>
        <w:rPr>
          <w:sz w:val="20"/>
          <w:szCs w:val="20"/>
          <w:color w:val="auto"/>
        </w:rPr>
      </w:pPr>
    </w:p>
    <w:p>
      <w:pPr>
        <w:ind w:right="440" w:firstLine="430"/>
        <w:spacing w:after="0" w:line="294" w:lineRule="auto"/>
        <w:rPr>
          <w:sz w:val="20"/>
          <w:szCs w:val="20"/>
          <w:color w:val="auto"/>
        </w:rPr>
      </w:pPr>
      <w:r>
        <w:rPr>
          <w:rFonts w:ascii="Times New Roman" w:cs="Times New Roman" w:eastAsia="Times New Roman" w:hAnsi="Times New Roman"/>
          <w:sz w:val="17"/>
          <w:szCs w:val="17"/>
          <w:color w:val="auto"/>
        </w:rPr>
        <w:t>Unrecognized tax benefits increased by approximately $4.8 million for the three months ended March 31, 2022, of which $0.8 million, if recognized, would affect the Company's effective tax rate. Additionally, unrecognized tax benefits decreased by</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DROPBOX,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(Amounts in tables are in millions except per share data, or as otherwise noted)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approximately $0.4 million for the three months ended March 31, 2022, due to a statute of limitations lapse related to prior period tax positions.</w:t>
      </w:r>
    </w:p>
    <w:p>
      <w:pPr>
        <w:spacing w:after="0" w:line="248" w:lineRule="exact"/>
        <w:rPr>
          <w:sz w:val="20"/>
          <w:szCs w:val="20"/>
          <w:color w:val="auto"/>
        </w:rPr>
      </w:pPr>
    </w:p>
    <w:p>
      <w:pPr>
        <w:jc w:val="both"/>
        <w:ind w:right="160" w:firstLine="430"/>
        <w:spacing w:after="0" w:line="275" w:lineRule="auto"/>
        <w:rPr>
          <w:sz w:val="20"/>
          <w:szCs w:val="20"/>
          <w:color w:val="auto"/>
        </w:rPr>
      </w:pPr>
      <w:r>
        <w:rPr>
          <w:rFonts w:ascii="Times New Roman" w:cs="Times New Roman" w:eastAsia="Times New Roman" w:hAnsi="Times New Roman"/>
          <w:sz w:val="17"/>
          <w:szCs w:val="17"/>
          <w:color w:val="auto"/>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Note 15. Geographic Areas</w:t>
            </w:r>
          </w:p>
        </w:tc>
        <w:tc>
          <w:tcPr>
            <w:tcW w:w="2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43"/>
        </w:trPr>
        <w:tc>
          <w:tcPr>
            <w:tcW w:w="7140" w:type="dxa"/>
            <w:vAlign w:val="bottom"/>
          </w:tcPr>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Long-lived assets</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3"/>
        </w:trPr>
        <w:tc>
          <w:tcPr>
            <w:tcW w:w="7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following table sets forth long-lived assets by geographic area:</w:t>
            </w:r>
          </w:p>
        </w:tc>
        <w:tc>
          <w:tcPr>
            <w:tcW w:w="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83"/>
        </w:trPr>
        <w:tc>
          <w:tcPr>
            <w:tcW w:w="7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780" w:type="dxa"/>
            <w:vAlign w:val="bottom"/>
            <w:tcBorders>
              <w:bottom w:val="single" w:sz="8" w:color="auto"/>
            </w:tcBorders>
          </w:tcPr>
          <w:p>
            <w:pPr>
              <w:spacing w:after="0"/>
              <w:rPr>
                <w:sz w:val="24"/>
                <w:szCs w:val="24"/>
                <w:color w:val="auto"/>
              </w:rPr>
            </w:pPr>
          </w:p>
        </w:tc>
      </w:tr>
      <w:tr>
        <w:trPr>
          <w:trHeight w:val="215"/>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20" w:type="dxa"/>
            <w:vAlign w:val="bottom"/>
          </w:tcPr>
          <w:p>
            <w:pPr>
              <w:spacing w:after="0"/>
              <w:rPr>
                <w:sz w:val="18"/>
                <w:szCs w:val="18"/>
                <w:color w:val="auto"/>
              </w:rPr>
            </w:pPr>
          </w:p>
        </w:tc>
        <w:tc>
          <w:tcPr>
            <w:tcW w:w="1780" w:type="dxa"/>
            <w:vAlign w:val="bottom"/>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December 31, 2021</w:t>
            </w:r>
          </w:p>
        </w:tc>
      </w:tr>
      <w:tr>
        <w:trPr>
          <w:trHeight w:val="215"/>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316.6</w:t>
            </w:r>
          </w:p>
        </w:tc>
      </w:tr>
      <w:tr>
        <w:trPr>
          <w:trHeight w:val="222"/>
        </w:trPr>
        <w:tc>
          <w:tcPr>
            <w:tcW w:w="714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40"/>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8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ind w:right="680" w:firstLine="4"/>
        <w:spacing w:after="0" w:line="249" w:lineRule="auto"/>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 single country other than the United States had a property and equipment balance greater than 10% of total property and equipment, net, as of March 31, 2022 and December 31, 2021.</w:t>
      </w:r>
    </w:p>
    <w:p>
      <w:pPr>
        <w:spacing w:after="0" w:line="30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1" w:lineRule="exact"/>
        <w:rPr>
          <w:sz w:val="20"/>
          <w:szCs w:val="20"/>
          <w:color w:val="auto"/>
        </w:rPr>
      </w:pPr>
    </w:p>
    <w:p>
      <w:pPr>
        <w:ind w:right="320" w:firstLine="430"/>
        <w:spacing w:after="0" w:line="294" w:lineRule="auto"/>
        <w:rPr>
          <w:sz w:val="20"/>
          <w:szCs w:val="20"/>
          <w:color w:val="auto"/>
        </w:rPr>
      </w:pPr>
      <w:r>
        <w:rPr>
          <w:rFonts w:ascii="Times New Roman" w:cs="Times New Roman" w:eastAsia="Times New Roman" w:hAnsi="Times New Roman"/>
          <w:sz w:val="17"/>
          <w:szCs w:val="17"/>
          <w:color w:val="auto"/>
        </w:rPr>
        <w:t xml:space="preserve">Revenue by geography is generally based on the address of the customer </w:t>
      </w:r>
      <w:r>
        <w:rPr>
          <w:rFonts w:ascii="Times New Roman" w:cs="Times New Roman" w:eastAsia="Times New Roman" w:hAnsi="Times New Roman"/>
          <w:sz w:val="15"/>
          <w:szCs w:val="15"/>
          <w:color w:val="auto"/>
        </w:rPr>
        <w:t>as</w:t>
      </w:r>
      <w:r>
        <w:rPr>
          <w:rFonts w:ascii="Times New Roman" w:cs="Times New Roman" w:eastAsia="Times New Roman" w:hAnsi="Times New Roman"/>
          <w:sz w:val="17"/>
          <w:szCs w:val="17"/>
          <w:color w:val="auto"/>
        </w:rPr>
        <w:t xml:space="preserve"> defined in the Company’s subscription agreement. The following table sets forth revenue by geographic area for the three months ended March 31, 2022 and 2021.</w:t>
      </w:r>
    </w:p>
    <w:p>
      <w:pPr>
        <w:spacing w:after="0" w:line="21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9"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20" w:type="dxa"/>
            <w:vAlign w:val="bottom"/>
            <w:tcBorders>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180" w:type="dxa"/>
            <w:vAlign w:val="bottom"/>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266.9</w:t>
            </w:r>
          </w:p>
        </w:tc>
      </w:tr>
      <w:tr>
        <w:trPr>
          <w:trHeight w:val="222"/>
        </w:trPr>
        <w:tc>
          <w:tcPr>
            <w:tcW w:w="7620" w:type="dxa"/>
            <w:vAlign w:val="bottom"/>
            <w:tcBorders>
              <w:bottom w:val="single" w:sz="8" w:color="CCEEFF"/>
            </w:tcBorders>
          </w:tcPr>
          <w:p>
            <w:pPr>
              <w:ind w:left="20"/>
              <w:spacing w:after="0" w:line="222"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2"/>
                <w:szCs w:val="22"/>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244.7</w:t>
            </w:r>
          </w:p>
        </w:tc>
      </w:tr>
      <w:tr>
        <w:trPr>
          <w:trHeight w:val="240"/>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511.6</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ind w:left="160" w:hanging="156"/>
        <w:spacing w:after="0"/>
        <w:tabs>
          <w:tab w:leader="none" w:pos="1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No single country outside of the United States accounted for more than 10% of total revenue during the three months ended March 31, 2022 and 2021.</w:t>
      </w:r>
    </w:p>
    <w:p>
      <w:pPr>
        <w:spacing w:after="0" w:line="200" w:lineRule="exact"/>
        <w:rPr>
          <w:rFonts w:ascii="Times New Roman" w:cs="Times New Roman" w:eastAsia="Times New Roman" w:hAnsi="Times New Roman"/>
          <w:sz w:val="19"/>
          <w:szCs w:val="19"/>
          <w:color w:val="auto"/>
          <w:vertAlign w:val="superscript"/>
        </w:rPr>
      </w:pPr>
    </w:p>
    <w:p>
      <w:pPr>
        <w:spacing w:after="0" w:line="348" w:lineRule="exact"/>
        <w:rPr>
          <w:rFonts w:ascii="Times New Roman" w:cs="Times New Roman" w:eastAsia="Times New Roman" w:hAnsi="Times New Roman"/>
          <w:sz w:val="19"/>
          <w:szCs w:val="19"/>
          <w:color w:val="auto"/>
          <w:vertAlign w:val="superscript"/>
        </w:rPr>
      </w:pPr>
    </w:p>
    <w:p>
      <w:pPr>
        <w:ind w:left="554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48" w:lineRule="exact"/>
        <w:rPr>
          <w:sz w:val="20"/>
          <w:szCs w:val="20"/>
          <w:color w:val="auto"/>
        </w:rPr>
      </w:pPr>
    </w:p>
    <w:p>
      <w:pPr>
        <w:ind w:firstLine="430"/>
        <w:spacing w:after="0" w:line="262"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9" w:lineRule="exact"/>
        <w:rPr>
          <w:sz w:val="20"/>
          <w:szCs w:val="20"/>
          <w:color w:val="auto"/>
        </w:rPr>
      </w:pPr>
    </w:p>
    <w:p>
      <w:pPr>
        <w:ind w:right="1380" w:firstLine="430"/>
        <w:spacing w:after="0" w:line="294" w:lineRule="auto"/>
        <w:rPr>
          <w:sz w:val="20"/>
          <w:szCs w:val="20"/>
          <w:color w:val="auto"/>
        </w:rPr>
      </w:pPr>
      <w:r>
        <w:rPr>
          <w:rFonts w:ascii="Times New Roman" w:cs="Times New Roman" w:eastAsia="Times New Roman" w:hAnsi="Times New Roman"/>
          <w:sz w:val="17"/>
          <w:szCs w:val="17"/>
          <w:color w:val="auto"/>
        </w:rPr>
        <w:t>Our modern economy runs on knowledge. Today, knowledge lives in the cloud as digital content, and Dropbox is where businesses and individuals can create, access, and share this content globally. We serve more than 700 million registered users across 180 countries.</w:t>
      </w:r>
    </w:p>
    <w:p>
      <w:pPr>
        <w:spacing w:after="0" w:line="173" w:lineRule="exact"/>
        <w:rPr>
          <w:sz w:val="20"/>
          <w:szCs w:val="20"/>
          <w:color w:val="auto"/>
        </w:rPr>
      </w:pPr>
    </w:p>
    <w:p>
      <w:pPr>
        <w:ind w:right="160" w:firstLine="430"/>
        <w:spacing w:after="0" w:line="294" w:lineRule="auto"/>
        <w:rPr>
          <w:sz w:val="20"/>
          <w:szCs w:val="20"/>
          <w:color w:val="auto"/>
        </w:rPr>
      </w:pPr>
      <w:r>
        <w:rPr>
          <w:rFonts w:ascii="Times New Roman" w:cs="Times New Roman" w:eastAsia="Times New Roman" w:hAnsi="Times New Roman"/>
          <w:sz w:val="17"/>
          <w:szCs w:val="17"/>
          <w:color w:val="auto"/>
        </w:rPr>
        <w:t>Since our founding in 2007, our market opportunity has grown as we’ve expanded from keeping files in sync to keeping teams in sync. In a world where using technology at work can be fragmented and distracting, Dropbox makes it easy to focus on the work that matters.</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By solving these universal problems, we’ve become invaluable to our users. The popularity of our platform allows us to scale rapidly and efficiently.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We’ve built a thriving global business with 17.09 million paying users.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Subscription Plans</w:t>
      </w:r>
    </w:p>
    <w:p>
      <w:pPr>
        <w:spacing w:after="0" w:line="106" w:lineRule="exact"/>
        <w:rPr>
          <w:sz w:val="20"/>
          <w:szCs w:val="20"/>
          <w:color w:val="auto"/>
        </w:rPr>
      </w:pPr>
    </w:p>
    <w:p>
      <w:pPr>
        <w:ind w:right="60" w:firstLine="430"/>
        <w:spacing w:after="0" w:line="243" w:lineRule="auto"/>
        <w:rPr>
          <w:sz w:val="20"/>
          <w:szCs w:val="20"/>
          <w:color w:val="auto"/>
        </w:rPr>
      </w:pPr>
      <w:r>
        <w:rPr>
          <w:rFonts w:ascii="Times New Roman" w:cs="Times New Roman" w:eastAsia="Times New Roman" w:hAnsi="Times New Roman"/>
          <w:sz w:val="17"/>
          <w:szCs w:val="17"/>
          <w:color w:val="auto"/>
        </w:rPr>
        <w:t>We generate revenue from individuals, families, teams, and organizations by selling subscriptions to our platform, which serve the varying needs of our diverse customer base. Subscribers can purchase individual licenses through our Plus and Professional plans, or purchase multiple licenses through our Family plan or our Standard, Advanced,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spacing w:after="0" w:line="216" w:lineRule="exact"/>
        <w:rPr>
          <w:sz w:val="20"/>
          <w:szCs w:val="20"/>
          <w:color w:val="auto"/>
        </w:rPr>
      </w:pPr>
    </w:p>
    <w:p>
      <w:pPr>
        <w:ind w:right="40" w:firstLine="430"/>
        <w:spacing w:after="0" w:line="268" w:lineRule="auto"/>
        <w:rPr>
          <w:sz w:val="20"/>
          <w:szCs w:val="20"/>
          <w:color w:val="auto"/>
        </w:rPr>
      </w:pPr>
      <w:r>
        <w:rPr>
          <w:rFonts w:ascii="Times New Roman" w:cs="Times New Roman" w:eastAsia="Times New Roman" w:hAnsi="Times New Roman"/>
          <w:sz w:val="17"/>
          <w:szCs w:val="17"/>
          <w:color w:val="auto"/>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spacing w:after="0" w:line="196" w:lineRule="exact"/>
        <w:rPr>
          <w:sz w:val="20"/>
          <w:szCs w:val="20"/>
          <w:color w:val="auto"/>
        </w:rPr>
      </w:pPr>
    </w:p>
    <w:p>
      <w:pPr>
        <w:ind w:right="40" w:firstLine="469"/>
        <w:spacing w:after="0" w:line="265" w:lineRule="auto"/>
        <w:rPr>
          <w:sz w:val="20"/>
          <w:szCs w:val="20"/>
          <w:color w:val="auto"/>
        </w:rPr>
      </w:pPr>
      <w:r>
        <w:rPr>
          <w:rFonts w:ascii="Times New Roman" w:cs="Times New Roman" w:eastAsia="Times New Roman" w:hAnsi="Times New Roman"/>
          <w:sz w:val="17"/>
          <w:szCs w:val="17"/>
          <w:color w:val="auto"/>
        </w:rPr>
        <w:t>We offer DocSend as our secure document sharing and analytics solution. DocSend offers paid subscription plans, including a personal plan designed for individuals and Standard, Advanced,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spacing w:after="0" w:line="199" w:lineRule="exact"/>
        <w:rPr>
          <w:sz w:val="20"/>
          <w:szCs w:val="20"/>
          <w:color w:val="auto"/>
        </w:rPr>
      </w:pPr>
    </w:p>
    <w:p>
      <w:pPr>
        <w:ind w:right="140" w:firstLine="469"/>
        <w:spacing w:after="0" w:line="263" w:lineRule="auto"/>
        <w:rPr>
          <w:sz w:val="20"/>
          <w:szCs w:val="20"/>
          <w:color w:val="auto"/>
        </w:rPr>
      </w:pPr>
      <w:r>
        <w:rPr>
          <w:rFonts w:ascii="Times New Roman" w:cs="Times New Roman" w:eastAsia="Times New Roman" w:hAnsi="Times New Roman"/>
          <w:sz w:val="17"/>
          <w:szCs w:val="17"/>
          <w:color w:val="auto"/>
        </w:rPr>
        <w:t>We also offer HelloSign, as our e-signature solution. HelloSign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purchased, teams must have a minimum number of licenses, but can also have hundreds of users. Customers can choose between an annual or monthly plan, with a small number of large organizations on multi-year plans. We typically bill HelloSign customers at the beginning of their respective terms and recognize revenue ratably over the subscription period. We sell HelloSign products globally and sell primarily in U.S. dollars</w:t>
      </w: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Customers</w:t>
      </w:r>
    </w:p>
    <w:p>
      <w:pPr>
        <w:spacing w:after="0" w:line="119" w:lineRule="exact"/>
        <w:rPr>
          <w:sz w:val="20"/>
          <w:szCs w:val="20"/>
          <w:color w:val="auto"/>
        </w:rPr>
      </w:pPr>
    </w:p>
    <w:p>
      <w:pPr>
        <w:ind w:firstLine="469"/>
        <w:spacing w:after="0" w:line="268" w:lineRule="auto"/>
        <w:rPr>
          <w:sz w:val="20"/>
          <w:szCs w:val="20"/>
          <w:color w:val="auto"/>
        </w:rPr>
      </w:pPr>
      <w:r>
        <w:rPr>
          <w:rFonts w:ascii="Times New Roman" w:cs="Times New Roman" w:eastAsia="Times New Roman" w:hAnsi="Times New Roman"/>
          <w:sz w:val="17"/>
          <w:szCs w:val="17"/>
          <w:color w:val="auto"/>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Business Model</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Drive new signups</w:t>
      </w:r>
    </w:p>
    <w:p>
      <w:pPr>
        <w:spacing w:after="0" w:line="252" w:lineRule="exact"/>
        <w:rPr>
          <w:sz w:val="20"/>
          <w:szCs w:val="20"/>
          <w:color w:val="auto"/>
        </w:rPr>
      </w:pPr>
    </w:p>
    <w:p>
      <w:pPr>
        <w:ind w:right="240" w:firstLine="430"/>
        <w:spacing w:after="0" w:line="275" w:lineRule="auto"/>
        <w:rPr>
          <w:sz w:val="20"/>
          <w:szCs w:val="20"/>
          <w:color w:val="auto"/>
        </w:rPr>
      </w:pPr>
      <w:r>
        <w:rPr>
          <w:rFonts w:ascii="Times New Roman" w:cs="Times New Roman" w:eastAsia="Times New Roman" w:hAnsi="Times New Roman"/>
          <w:sz w:val="17"/>
          <w:szCs w:val="17"/>
          <w:color w:val="auto"/>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Increase conversion of registered users to our paid subscription plans</w:t>
      </w:r>
    </w:p>
    <w:p>
      <w:pPr>
        <w:spacing w:after="0" w:line="252" w:lineRule="exact"/>
        <w:rPr>
          <w:sz w:val="20"/>
          <w:szCs w:val="20"/>
          <w:color w:val="auto"/>
        </w:rPr>
      </w:pPr>
    </w:p>
    <w:p>
      <w:pPr>
        <w:ind w:right="120" w:firstLine="430"/>
        <w:spacing w:after="0" w:line="268" w:lineRule="auto"/>
        <w:rPr>
          <w:sz w:val="20"/>
          <w:szCs w:val="20"/>
          <w:color w:val="auto"/>
        </w:rPr>
      </w:pPr>
      <w:r>
        <w:rPr>
          <w:rFonts w:ascii="Times New Roman" w:cs="Times New Roman" w:eastAsia="Times New Roman" w:hAnsi="Times New Roman"/>
          <w:sz w:val="17"/>
          <w:szCs w:val="17"/>
          <w:color w:val="auto"/>
        </w:rPr>
        <w:t>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Upgrade and expand existing customers</w:t>
      </w:r>
    </w:p>
    <w:p>
      <w:pPr>
        <w:spacing w:after="0" w:line="252" w:lineRule="exact"/>
        <w:rPr>
          <w:sz w:val="20"/>
          <w:szCs w:val="20"/>
          <w:color w:val="auto"/>
        </w:rPr>
      </w:pPr>
    </w:p>
    <w:p>
      <w:pPr>
        <w:ind w:right="60" w:firstLine="430"/>
        <w:spacing w:after="0" w:line="265" w:lineRule="auto"/>
        <w:rPr>
          <w:sz w:val="20"/>
          <w:szCs w:val="20"/>
          <w:color w:val="auto"/>
        </w:rPr>
      </w:pPr>
      <w:r>
        <w:rPr>
          <w:rFonts w:ascii="Times New Roman" w:cs="Times New Roman" w:eastAsia="Times New Roman" w:hAnsi="Times New Roman"/>
          <w:sz w:val="17"/>
          <w:szCs w:val="17"/>
          <w:color w:val="auto"/>
        </w:rPr>
        <w:t>We offer a range of paid subscription plans, from Plus, Professional, and Family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HelloSign and DocSend.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COVID-19 update</w:t>
      </w:r>
    </w:p>
    <w:p>
      <w:pPr>
        <w:spacing w:after="0" w:line="239" w:lineRule="exact"/>
        <w:rPr>
          <w:sz w:val="20"/>
          <w:szCs w:val="20"/>
          <w:color w:val="auto"/>
        </w:rPr>
      </w:pPr>
    </w:p>
    <w:p>
      <w:pPr>
        <w:jc w:val="both"/>
        <w:ind w:right="240" w:firstLine="391"/>
        <w:spacing w:after="0" w:line="249" w:lineRule="auto"/>
        <w:rPr>
          <w:sz w:val="20"/>
          <w:szCs w:val="20"/>
          <w:color w:val="auto"/>
        </w:rPr>
      </w:pPr>
      <w:r>
        <w:rPr>
          <w:rFonts w:ascii="Times New Roman" w:cs="Times New Roman" w:eastAsia="Times New Roman" w:hAnsi="Times New Roman"/>
          <w:sz w:val="17"/>
          <w:szCs w:val="17"/>
          <w:color w:val="auto"/>
        </w:rPr>
        <w:t>Although we did not experience material impacts to our financial condition and results of operations during the three months ended March 31, 2022 and 2021 as a result of the on-going COVID-19 pandemic, we have seen and may continue to see impacts to certain components of results of operations. The full extent to which the COVID-19 pandemic may impact our business, financial condition or results of operations remains uncertain, but may include, without limitation, impacts to our paying user growth as well as disruptions to our business operations as a result of travel restrictions, shutdown of workplaces and potential impacts to our vendors.</w:t>
      </w:r>
    </w:p>
    <w:p>
      <w:pPr>
        <w:spacing w:after="0" w:line="212" w:lineRule="exact"/>
        <w:rPr>
          <w:sz w:val="20"/>
          <w:szCs w:val="20"/>
          <w:color w:val="auto"/>
        </w:rPr>
      </w:pPr>
    </w:p>
    <w:p>
      <w:pPr>
        <w:ind w:firstLine="391"/>
        <w:spacing w:after="0" w:line="263" w:lineRule="auto"/>
        <w:rPr>
          <w:sz w:val="20"/>
          <w:szCs w:val="20"/>
          <w:color w:val="auto"/>
        </w:rPr>
      </w:pPr>
      <w:r>
        <w:rPr>
          <w:rFonts w:ascii="Times New Roman" w:cs="Times New Roman" w:eastAsia="Times New Roman" w:hAnsi="Times New Roman"/>
          <w:sz w:val="17"/>
          <w:szCs w:val="17"/>
          <w:color w:val="auto"/>
        </w:rPr>
        <w:t>Additionally, our results of operations and cash flows are subject to fluctuations due to changes in foreign currency exchange rates relative to U.S. dollars, our reporting currency, as well as changes in interest rates. Volatile market conditions related to the COVID-19 pandemic has, at times, and may in the future negatively impact our results of operations and cash flows. Conversely, we have seen and may continue to see cost savings from the shift to remote work for all of our employees in areas including events, travel, utilities, and other benefits. We may continue to experience certain of these cost savings beyond the resolution of the COVID-19 pandemic in connection with our Virtual First work model, as described below. Due to our subscription-based business model, the effect of the COVID-19 pandemic may not be fully reflected in our results of operations until future periods, if at all.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Virtual First</w:t>
      </w:r>
    </w:p>
    <w:p>
      <w:pPr>
        <w:spacing w:after="0" w:line="252" w:lineRule="exact"/>
        <w:rPr>
          <w:sz w:val="20"/>
          <w:szCs w:val="20"/>
          <w:color w:val="auto"/>
        </w:rPr>
      </w:pPr>
    </w:p>
    <w:p>
      <w:pPr>
        <w:ind w:right="60" w:firstLine="391"/>
        <w:spacing w:after="0" w:line="263" w:lineRule="auto"/>
        <w:rPr>
          <w:sz w:val="20"/>
          <w:szCs w:val="20"/>
          <w:color w:val="auto"/>
        </w:rPr>
      </w:pPr>
      <w:r>
        <w:rPr>
          <w:rFonts w:ascii="Times New Roman" w:cs="Times New Roman" w:eastAsia="Times New Roman" w:hAnsi="Times New Roman"/>
          <w:sz w:val="17"/>
          <w:szCs w:val="17"/>
          <w:color w:val="auto"/>
        </w:rPr>
        <w:t>The effects of the COVID-19 pandemic have led us to reimagine the way we work, resulting in our announcement in October 2020 of our shift to a Virtual First work model pursuant to which remote work has become the primary experience for all of our employees. As a result, we expect that our workforce will continue to become more distributed over time, although we will continue to offer our employees opportunities for in-person collaboration in all locations we currently have offices, either through our existing real-estate, or new on-demand, flexible spaces, which are known as "Dropbox Studios". Consistent with this strategy, we have retained a portion of our office space while the remainder will be subleased. We have recorded no impairment charges during the three months ended March 31, 2022 as a result of the Company's decision to adopt a Virtual</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240"/>
        <w:spacing w:after="0" w:line="263" w:lineRule="auto"/>
        <w:rPr>
          <w:sz w:val="20"/>
          <w:szCs w:val="20"/>
          <w:color w:val="auto"/>
        </w:rPr>
      </w:pPr>
      <w:r>
        <w:rPr>
          <w:rFonts w:ascii="Times New Roman" w:cs="Times New Roman" w:eastAsia="Times New Roman" w:hAnsi="Times New Roman"/>
          <w:sz w:val="17"/>
          <w:szCs w:val="17"/>
          <w:color w:val="auto"/>
        </w:rPr>
        <w:t>First work model. We recorded an impairment charge of $17.3 million in the three months ended March 31, 2021 related to the continued adoption of Virtual First, including impairment related to real estate assets acquired as part of our acquisition of DocSend. See Note 9, "Leases" to our condensed consolidated financial statements included elsewhere in this Quarterly Report on Form 10-Q for additional information. We may incur additional charges depending on the continued recovery of the global real estate market. In addition to generating sublease income, we expect that as a result of our shift to Virtual First we will continue to see certain savings that we experienced as a result of the COVID-19 pandemic in areas, including reductions in facilities related costs and depreciation expense due to the impairment charges related to the continued adoption of Virtual First.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 in Ukraine</w:t>
      </w:r>
    </w:p>
    <w:p>
      <w:pPr>
        <w:spacing w:after="0" w:line="252" w:lineRule="exact"/>
        <w:rPr>
          <w:sz w:val="20"/>
          <w:szCs w:val="20"/>
          <w:color w:val="auto"/>
        </w:rPr>
      </w:pPr>
    </w:p>
    <w:p>
      <w:pPr>
        <w:ind w:right="220" w:firstLine="391"/>
        <w:spacing w:after="0" w:line="275" w:lineRule="auto"/>
        <w:rPr>
          <w:sz w:val="20"/>
          <w:szCs w:val="20"/>
          <w:color w:val="auto"/>
        </w:rPr>
      </w:pPr>
      <w:r>
        <w:rPr>
          <w:rFonts w:ascii="Times New Roman" w:cs="Times New Roman" w:eastAsia="Times New Roman" w:hAnsi="Times New Roman"/>
          <w:sz w:val="17"/>
          <w:szCs w:val="17"/>
          <w:color w:val="auto"/>
        </w:rPr>
        <w:t>In February 2022, the Russian Federation commenced a military action with the country of Ukraine. As a result of this action, various nations, including the United States, have instituted economic sanctions against the Russian Federation. We did not experience material impacts to our financial condition and results of operations during the three months ended March 31, 2022 as a result of the war in Ukraine or the related sanctions.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250" w:lineRule="exact"/>
        <w:rPr>
          <w:sz w:val="20"/>
          <w:szCs w:val="20"/>
          <w:color w:val="auto"/>
        </w:rPr>
      </w:pPr>
    </w:p>
    <w:p>
      <w:pPr>
        <w:ind w:right="180" w:firstLine="430"/>
        <w:spacing w:after="0" w:line="294" w:lineRule="auto"/>
        <w:rPr>
          <w:sz w:val="20"/>
          <w:szCs w:val="20"/>
          <w:color w:val="auto"/>
        </w:rPr>
      </w:pPr>
      <w:r>
        <w:rPr>
          <w:rFonts w:ascii="Times New Roman" w:cs="Times New Roman" w:eastAsia="Times New Roman" w:hAnsi="Times New Roman"/>
          <w:sz w:val="17"/>
          <w:szCs w:val="17"/>
          <w:color w:val="auto"/>
        </w:rPr>
        <w:t>We review a number of operating and financial metrics, including the following key metrics to evaluate our business, measure our performance, identify trends affecting our business, formulate business plans, and make strategic decisions.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Total annual recurring revenue</w:t>
      </w:r>
    </w:p>
    <w:p>
      <w:pPr>
        <w:spacing w:after="0" w:line="121" w:lineRule="exact"/>
        <w:rPr>
          <w:sz w:val="20"/>
          <w:szCs w:val="20"/>
          <w:color w:val="auto"/>
        </w:rPr>
      </w:pPr>
    </w:p>
    <w:p>
      <w:pPr>
        <w:ind w:right="100" w:firstLine="391"/>
        <w:spacing w:after="0" w:line="265" w:lineRule="auto"/>
        <w:rPr>
          <w:sz w:val="20"/>
          <w:szCs w:val="20"/>
          <w:color w:val="auto"/>
        </w:rPr>
      </w:pPr>
      <w:r>
        <w:rPr>
          <w:rFonts w:ascii="Times New Roman" w:cs="Times New Roman" w:eastAsia="Times New Roman" w:hAnsi="Times New Roman"/>
          <w:sz w:val="17"/>
          <w:szCs w:val="17"/>
          <w:color w:val="auto"/>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spacing w:after="0" w:line="199" w:lineRule="exact"/>
        <w:rPr>
          <w:sz w:val="20"/>
          <w:szCs w:val="20"/>
          <w:color w:val="auto"/>
        </w:rPr>
      </w:pPr>
    </w:p>
    <w:p>
      <w:pPr>
        <w:ind w:right="20" w:firstLine="430"/>
        <w:spacing w:after="0" w:line="268" w:lineRule="auto"/>
        <w:rPr>
          <w:sz w:val="20"/>
          <w:szCs w:val="20"/>
          <w:color w:val="auto"/>
        </w:rPr>
      </w:pPr>
      <w:r>
        <w:rPr>
          <w:rFonts w:ascii="Times New Roman" w:cs="Times New Roman" w:eastAsia="Times New Roman" w:hAnsi="Times New Roman"/>
          <w:sz w:val="17"/>
          <w:szCs w:val="17"/>
          <w:color w:val="auto"/>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to our platform. We include ARR related to acquired companies in our total ARR in the period of the acquisition. We adjust the exchange rates used to calculate Total ARR on an annual basis at the beginning of each fiscal year.</w:t>
      </w:r>
    </w:p>
    <w:p>
      <w:pPr>
        <w:spacing w:after="0" w:line="196" w:lineRule="exact"/>
        <w:rPr>
          <w:sz w:val="20"/>
          <w:szCs w:val="20"/>
          <w:color w:val="auto"/>
        </w:rPr>
      </w:pPr>
    </w:p>
    <w:p>
      <w:pPr>
        <w:ind w:right="100" w:firstLine="430"/>
        <w:spacing w:after="0" w:line="294" w:lineRule="auto"/>
        <w:rPr>
          <w:sz w:val="20"/>
          <w:szCs w:val="20"/>
          <w:color w:val="auto"/>
        </w:rPr>
      </w:pPr>
      <w:r>
        <w:rPr>
          <w:rFonts w:ascii="Times New Roman" w:cs="Times New Roman" w:eastAsia="Times New Roman" w:hAnsi="Times New Roman"/>
          <w:sz w:val="17"/>
          <w:szCs w:val="17"/>
          <w:color w:val="auto"/>
        </w:rPr>
        <w:t>We experienced an increase in ARR for the period ended March 31, 2022, compared to the period ended March 31, 2021, primarily driven by an increase in paying users across our product portfolio, as well as an increased mix of sales going to our higher-priced subscription plans.</w:t>
      </w:r>
    </w:p>
    <w:p>
      <w:pPr>
        <w:spacing w:after="0" w:line="173" w:lineRule="exact"/>
        <w:rPr>
          <w:sz w:val="20"/>
          <w:szCs w:val="20"/>
          <w:color w:val="auto"/>
        </w:rPr>
      </w:pPr>
    </w:p>
    <w:p>
      <w:pPr>
        <w:ind w:right="100" w:firstLine="430"/>
        <w:spacing w:after="0" w:line="294" w:lineRule="auto"/>
        <w:rPr>
          <w:sz w:val="20"/>
          <w:szCs w:val="20"/>
          <w:color w:val="auto"/>
        </w:rPr>
      </w:pPr>
      <w:r>
        <w:rPr>
          <w:rFonts w:ascii="Times New Roman" w:cs="Times New Roman" w:eastAsia="Times New Roman" w:hAnsi="Times New Roman"/>
          <w:sz w:val="17"/>
          <w:szCs w:val="17"/>
          <w:color w:val="auto"/>
        </w:rPr>
        <w:t>The below tables set forth our Total ARR using the exchange rates set at the beginning of each year, as well as on a constant currency basis relative to the exchange rates used in 2022.</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06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20" w:type="dxa"/>
            <w:vAlign w:val="bottom"/>
            <w:tcBorders>
              <w:bottom w:val="single" w:sz="8" w:color="auto"/>
            </w:tcBorders>
          </w:tcPr>
          <w:p>
            <w:pPr>
              <w:spacing w:after="0"/>
              <w:rPr>
                <w:sz w:val="19"/>
                <w:szCs w:val="19"/>
                <w:color w:val="auto"/>
              </w:rPr>
            </w:pPr>
          </w:p>
        </w:tc>
      </w:tr>
      <w:tr>
        <w:trPr>
          <w:trHeight w:val="215"/>
        </w:trPr>
        <w:tc>
          <w:tcPr>
            <w:tcW w:w="5060" w:type="dxa"/>
            <w:vAlign w:val="bottom"/>
          </w:tcPr>
          <w:p>
            <w:pPr>
              <w:spacing w:after="0"/>
              <w:rPr>
                <w:sz w:val="18"/>
                <w:szCs w:val="18"/>
                <w:color w:val="auto"/>
              </w:rPr>
            </w:pPr>
          </w:p>
        </w:tc>
        <w:tc>
          <w:tcPr>
            <w:tcW w:w="2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March 31, 2021</w:t>
            </w:r>
          </w:p>
        </w:tc>
      </w:tr>
      <w:tr>
        <w:trPr>
          <w:trHeight w:val="215"/>
        </w:trPr>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jc w:val="center"/>
              <w:ind w:right="23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820" w:type="dxa"/>
            <w:vAlign w:val="bottom"/>
          </w:tcPr>
          <w:p>
            <w:pPr>
              <w:spacing w:after="0"/>
              <w:rPr>
                <w:sz w:val="18"/>
                <w:szCs w:val="18"/>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ARR</w:t>
            </w:r>
          </w:p>
        </w:tc>
        <w:tc>
          <w:tcPr>
            <w:tcW w:w="2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$2,290</w:t>
            </w:r>
          </w:p>
        </w:tc>
        <w:tc>
          <w:tcPr>
            <w:tcW w:w="21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$2,261</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w:t>
            </w:r>
          </w:p>
        </w:tc>
      </w:tr>
      <w:tr>
        <w:trPr>
          <w:trHeight w:val="574"/>
        </w:trPr>
        <w:tc>
          <w:tcPr>
            <w:tcW w:w="5060" w:type="dxa"/>
            <w:vAlign w:val="bottom"/>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center"/>
              <w:ind w:right="23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20" w:type="dxa"/>
            <w:vAlign w:val="bottom"/>
            <w:tcBorders>
              <w:bottom w:val="single" w:sz="8" w:color="auto"/>
            </w:tcBorders>
          </w:tcPr>
          <w:p>
            <w:pPr>
              <w:spacing w:after="0"/>
              <w:rPr>
                <w:sz w:val="24"/>
                <w:szCs w:val="24"/>
                <w:color w:val="auto"/>
              </w:rPr>
            </w:pPr>
          </w:p>
        </w:tc>
      </w:tr>
      <w:tr>
        <w:trPr>
          <w:trHeight w:val="215"/>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Constant Currency</w:t>
            </w:r>
          </w:p>
        </w:tc>
        <w:tc>
          <w:tcPr>
            <w:tcW w:w="2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14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March 31, 2021</w:t>
            </w:r>
          </w:p>
        </w:tc>
      </w:tr>
      <w:tr>
        <w:trPr>
          <w:trHeight w:val="215"/>
        </w:trPr>
        <w:tc>
          <w:tcPr>
            <w:tcW w:w="50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jc w:val="center"/>
              <w:ind w:right="23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820" w:type="dxa"/>
            <w:vAlign w:val="bottom"/>
          </w:tcPr>
          <w:p>
            <w:pPr>
              <w:spacing w:after="0"/>
              <w:rPr>
                <w:sz w:val="18"/>
                <w:szCs w:val="18"/>
                <w:color w:val="auto"/>
              </w:rPr>
            </w:pPr>
          </w:p>
        </w:tc>
      </w:tr>
      <w:tr>
        <w:trPr>
          <w:trHeight w:val="22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ARR</w:t>
            </w:r>
          </w:p>
        </w:tc>
        <w:tc>
          <w:tcPr>
            <w:tcW w:w="21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$2,290</w:t>
            </w:r>
          </w:p>
        </w:tc>
        <w:tc>
          <w:tcPr>
            <w:tcW w:w="21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$2,250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w:t>
            </w:r>
          </w:p>
        </w:tc>
      </w:tr>
    </w:tbl>
    <w:p>
      <w:pPr>
        <w:spacing w:after="0" w:line="200" w:lineRule="exact"/>
        <w:rPr>
          <w:sz w:val="20"/>
          <w:szCs w:val="20"/>
          <w:color w:val="auto"/>
        </w:rPr>
      </w:pP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Paying users</w:t>
      </w:r>
    </w:p>
    <w:p>
      <w:pPr>
        <w:spacing w:after="0" w:line="121" w:lineRule="exact"/>
        <w:rPr>
          <w:sz w:val="20"/>
          <w:szCs w:val="20"/>
          <w:color w:val="auto"/>
        </w:rPr>
      </w:pPr>
    </w:p>
    <w:p>
      <w:pPr>
        <w:ind w:right="380" w:firstLine="430"/>
        <w:spacing w:after="0" w:line="294" w:lineRule="auto"/>
        <w:rPr>
          <w:sz w:val="20"/>
          <w:szCs w:val="20"/>
          <w:color w:val="auto"/>
        </w:rPr>
      </w:pPr>
      <w:r>
        <w:rPr>
          <w:rFonts w:ascii="Times New Roman" w:cs="Times New Roman" w:eastAsia="Times New Roman" w:hAnsi="Times New Roman"/>
          <w:sz w:val="17"/>
          <w:szCs w:val="17"/>
          <w:color w:val="auto"/>
        </w:rPr>
        <w:t>We define paying users as the number of users who have active paid licenses for access to our platform as of the end of the period. One person would count as multiple paying users if the person had more than one active license. For example, a 50-</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color w:val="auto"/>
        </w:rPr>
        <w:t>person Dropbox Business team would count as 50 paying users, and an individual Dropbox Plus user would count as one paying user. If that individual Dropbox Plus user was also part of the 50-person Dropbox Business team, we would count the individual as two paying users.</w:t>
      </w:r>
    </w:p>
    <w:p>
      <w:pPr>
        <w:spacing w:after="0" w:line="173" w:lineRule="exact"/>
        <w:rPr>
          <w:sz w:val="20"/>
          <w:szCs w:val="20"/>
          <w:color w:val="auto"/>
        </w:rPr>
      </w:pPr>
    </w:p>
    <w:p>
      <w:pPr>
        <w:ind w:right="140" w:firstLine="430"/>
        <w:spacing w:after="0" w:line="294" w:lineRule="auto"/>
        <w:rPr>
          <w:sz w:val="20"/>
          <w:szCs w:val="20"/>
          <w:color w:val="auto"/>
        </w:rPr>
      </w:pPr>
      <w:r>
        <w:rPr>
          <w:rFonts w:ascii="Times New Roman" w:cs="Times New Roman" w:eastAsia="Times New Roman" w:hAnsi="Times New Roman"/>
          <w:sz w:val="17"/>
          <w:szCs w:val="17"/>
          <w:color w:val="auto"/>
        </w:rPr>
        <w:t>We have experienced growth in the number of paying users across our products, with the majority of paying users for the periods presented coming from our self-serve channels.</w:t>
      </w:r>
    </w:p>
    <w:p>
      <w:pPr>
        <w:spacing w:after="0" w:line="160" w:lineRule="exact"/>
        <w:rPr>
          <w:sz w:val="20"/>
          <w:szCs w:val="20"/>
          <w:color w:val="auto"/>
        </w:rPr>
      </w:pPr>
    </w:p>
    <w:p>
      <w:pPr>
        <w:ind w:right="340" w:firstLine="430"/>
        <w:spacing w:after="0" w:line="278" w:lineRule="auto"/>
        <w:rPr>
          <w:sz w:val="20"/>
          <w:szCs w:val="20"/>
          <w:color w:val="auto"/>
        </w:rPr>
      </w:pPr>
      <w:r>
        <w:rPr>
          <w:rFonts w:ascii="Times New Roman" w:cs="Times New Roman" w:eastAsia="Times New Roman" w:hAnsi="Times New Roman"/>
          <w:sz w:val="17"/>
          <w:szCs w:val="17"/>
          <w:color w:val="auto"/>
        </w:rPr>
        <w:t>We define DocSend paying users as the number of users who have active paid licenses for access to our platform as of the end of the period. DocSend users have been included as paying users since our acquisition of DocSend in the first quarter of 2021.</w:t>
      </w:r>
    </w:p>
    <w:p>
      <w:pPr>
        <w:spacing w:after="0" w:line="186" w:lineRule="exact"/>
        <w:rPr>
          <w:sz w:val="20"/>
          <w:szCs w:val="20"/>
          <w:color w:val="auto"/>
        </w:rPr>
      </w:pPr>
    </w:p>
    <w:p>
      <w:pPr>
        <w:ind w:right="120" w:firstLine="430"/>
        <w:spacing w:after="0" w:line="265" w:lineRule="auto"/>
        <w:rPr>
          <w:sz w:val="20"/>
          <w:szCs w:val="20"/>
          <w:color w:val="auto"/>
        </w:rPr>
      </w:pPr>
      <w:r>
        <w:rPr>
          <w:rFonts w:ascii="Times New Roman" w:cs="Times New Roman" w:eastAsia="Times New Roman" w:hAnsi="Times New Roman"/>
          <w:sz w:val="17"/>
          <w:szCs w:val="17"/>
          <w:color w:val="auto"/>
        </w:rPr>
        <w:t>HelloSign has several product lines and the pricing and revenue generated from each product line varies, with some product lines priced based on the number of licenses purchased (similar to Dropbox plans), while others are priced based on a customer’s transaction volume. For purposes of HelloSign results, we include as paying users either (i) the number of users who have active paid licenses for access to the HelloSign platform as of the period end for those products that are priced based on the number of licenses purchased (which is the same method we use to evaluate existing Dropbox plans) or (ii) the number of customers for those products that are priced based on transaction volumes.</w:t>
      </w:r>
    </w:p>
    <w:p>
      <w:pPr>
        <w:spacing w:after="0" w:line="1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below table sets forth the number of paying users as of March 31, 2022, December 31, 2021, and March 31, 2021.</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center"/>
              <w:ind w:right="193"/>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840" w:type="dxa"/>
            <w:vAlign w:val="bottom"/>
            <w:tcBorders>
              <w:bottom w:val="single" w:sz="8" w:color="auto"/>
            </w:tcBorders>
          </w:tcPr>
          <w:p>
            <w:pPr>
              <w:spacing w:after="0"/>
              <w:rPr>
                <w:sz w:val="19"/>
                <w:szCs w:val="19"/>
                <w:color w:val="auto"/>
              </w:rPr>
            </w:pPr>
          </w:p>
        </w:tc>
      </w:tr>
      <w:tr>
        <w:trPr>
          <w:trHeight w:val="215"/>
        </w:trPr>
        <w:tc>
          <w:tcPr>
            <w:tcW w:w="5080" w:type="dxa"/>
            <w:vAlign w:val="bottom"/>
          </w:tcPr>
          <w:p>
            <w:pPr>
              <w:spacing w:after="0"/>
              <w:rPr>
                <w:sz w:val="18"/>
                <w:szCs w:val="18"/>
                <w:color w:val="auto"/>
              </w:rPr>
            </w:pPr>
          </w:p>
        </w:tc>
        <w:tc>
          <w:tcPr>
            <w:tcW w:w="214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March 31, 2022</w:t>
            </w:r>
          </w:p>
        </w:tc>
        <w:tc>
          <w:tcPr>
            <w:tcW w:w="214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7"/>
                <w:szCs w:val="17"/>
                <w:b w:val="1"/>
                <w:bCs w:val="1"/>
                <w:color w:val="auto"/>
              </w:rPr>
              <w:t>December 31, 2021</w:t>
            </w:r>
          </w:p>
        </w:tc>
        <w:tc>
          <w:tcPr>
            <w:tcW w:w="18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March 31, 2021</w:t>
            </w:r>
          </w:p>
        </w:tc>
      </w:tr>
      <w:tr>
        <w:trPr>
          <w:trHeight w:val="215"/>
        </w:trPr>
        <w:tc>
          <w:tcPr>
            <w:tcW w:w="50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140" w:type="dxa"/>
            <w:vAlign w:val="bottom"/>
          </w:tcPr>
          <w:p>
            <w:pPr>
              <w:jc w:val="center"/>
              <w:ind w:right="19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840" w:type="dxa"/>
            <w:vAlign w:val="bottom"/>
          </w:tcPr>
          <w:p>
            <w:pPr>
              <w:spacing w:after="0"/>
              <w:rPr>
                <w:sz w:val="18"/>
                <w:szCs w:val="18"/>
                <w:color w:val="auto"/>
              </w:rPr>
            </w:pPr>
          </w:p>
        </w:tc>
      </w:tr>
      <w:tr>
        <w:trPr>
          <w:trHeight w:val="22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Paying users</w:t>
            </w:r>
          </w:p>
        </w:tc>
        <w:tc>
          <w:tcPr>
            <w:tcW w:w="21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17.09</w:t>
            </w:r>
          </w:p>
        </w:tc>
        <w:tc>
          <w:tcPr>
            <w:tcW w:w="214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rPr>
              <w:t>16.79</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15.83</w:t>
            </w:r>
          </w:p>
        </w:tc>
      </w:tr>
    </w:tbl>
    <w:p>
      <w:pPr>
        <w:spacing w:after="0" w:line="3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Average revenue per paying user</w:t>
      </w:r>
    </w:p>
    <w:p>
      <w:pPr>
        <w:spacing w:after="0" w:line="121" w:lineRule="exact"/>
        <w:rPr>
          <w:sz w:val="20"/>
          <w:szCs w:val="20"/>
          <w:color w:val="auto"/>
        </w:rPr>
      </w:pPr>
    </w:p>
    <w:p>
      <w:pPr>
        <w:ind w:right="20" w:firstLine="430"/>
        <w:spacing w:after="0" w:line="268" w:lineRule="auto"/>
        <w:rPr>
          <w:sz w:val="20"/>
          <w:szCs w:val="20"/>
          <w:color w:val="auto"/>
        </w:rPr>
      </w:pPr>
      <w:r>
        <w:rPr>
          <w:rFonts w:ascii="Times New Roman" w:cs="Times New Roman" w:eastAsia="Times New Roman" w:hAnsi="Times New Roman"/>
          <w:sz w:val="17"/>
          <w:szCs w:val="17"/>
          <w:color w:val="auto"/>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spacing w:after="0" w:line="196" w:lineRule="exact"/>
        <w:rPr>
          <w:sz w:val="20"/>
          <w:szCs w:val="20"/>
          <w:color w:val="auto"/>
        </w:rPr>
      </w:pPr>
    </w:p>
    <w:p>
      <w:pPr>
        <w:ind w:right="420" w:firstLine="430"/>
        <w:spacing w:after="0" w:line="294" w:lineRule="auto"/>
        <w:rPr>
          <w:sz w:val="20"/>
          <w:szCs w:val="20"/>
          <w:color w:val="auto"/>
        </w:rPr>
      </w:pPr>
      <w:r>
        <w:rPr>
          <w:rFonts w:ascii="Times New Roman" w:cs="Times New Roman" w:eastAsia="Times New Roman" w:hAnsi="Times New Roman"/>
          <w:sz w:val="17"/>
          <w:szCs w:val="17"/>
          <w:color w:val="auto"/>
        </w:rPr>
        <w:t>We experienced an increase in our average revenue per paying user for the three months ended March 31, 2022, compared to the three months ended March 31, 2021 primarily due to an increased mix of sales toward our higher-priced subscription plans and the acquisition of DocSend.</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below table sets forth our ARPU for the three months ended March 31, 2022 and 2021.</w:t>
      </w:r>
    </w:p>
    <w:p>
      <w:pPr>
        <w:spacing w:after="0" w:line="28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4838065</wp:posOffset>
            </wp:positionH>
            <wp:positionV relativeFrom="paragraph">
              <wp:posOffset>15875</wp:posOffset>
            </wp:positionV>
            <wp:extent cx="23018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301875" cy="8255"/>
                    </a:xfrm>
                    <a:prstGeom prst="rect">
                      <a:avLst/>
                    </a:prstGeom>
                    <a:noFill/>
                  </pic:spPr>
                </pic:pic>
              </a:graphicData>
            </a:graphic>
          </wp:anchor>
        </w:drawing>
      </w:r>
    </w:p>
    <w:p>
      <w:pPr>
        <w:spacing w:after="0" w:line="10" w:lineRule="exact"/>
        <w:rPr>
          <w:sz w:val="20"/>
          <w:szCs w:val="20"/>
          <w:color w:val="auto"/>
        </w:rPr>
      </w:pPr>
    </w:p>
    <w:p>
      <w:pPr>
        <w:ind w:left="8320"/>
        <w:spacing w:after="0"/>
        <w:tabs>
          <w:tab w:leader="none" w:pos="10160" w:val="left"/>
        </w:tabs>
        <w:rPr>
          <w:sz w:val="20"/>
          <w:szCs w:val="20"/>
          <w:color w:val="auto"/>
        </w:rPr>
      </w:pPr>
      <w:r>
        <w:rPr>
          <w:rFonts w:ascii="Times New Roman" w:cs="Times New Roman" w:eastAsia="Times New Roman" w:hAnsi="Times New Roman"/>
          <w:sz w:val="17"/>
          <w:szCs w:val="17"/>
          <w:b w:val="1"/>
          <w:bCs w:val="1"/>
          <w:color w:val="auto"/>
        </w:rPr>
        <w:t>2022</w:t>
      </w:r>
      <w:r>
        <w:rPr>
          <w:sz w:val="20"/>
          <w:szCs w:val="20"/>
          <w:color w:val="auto"/>
        </w:rPr>
        <w:tab/>
      </w:r>
      <w:r>
        <w:rPr>
          <w:rFonts w:ascii="Times New Roman" w:cs="Times New Roman" w:eastAsia="Times New Roman" w:hAnsi="Times New Roman"/>
          <w:sz w:val="17"/>
          <w:szCs w:val="17"/>
          <w:b w:val="1"/>
          <w:bCs w:val="1"/>
          <w:color w:val="auto"/>
        </w:rPr>
        <w:t>2021</w:t>
      </w:r>
    </w:p>
    <w:p>
      <w:pPr>
        <w:spacing w:after="0" w:line="33" w:lineRule="exact"/>
        <w:rPr>
          <w:sz w:val="20"/>
          <w:szCs w:val="20"/>
          <w:color w:val="auto"/>
        </w:rPr>
      </w:pPr>
    </w:p>
    <w:p>
      <w:pPr>
        <w:ind w:left="20"/>
        <w:spacing w:after="0"/>
        <w:tabs>
          <w:tab w:leader="none" w:pos="7620" w:val="left"/>
          <w:tab w:leader="none" w:pos="8820" w:val="left"/>
          <w:tab w:leader="none" w:pos="9480" w:val="left"/>
          <w:tab w:leader="none" w:pos="10680" w:val="left"/>
        </w:tabs>
        <w:rPr>
          <w:sz w:val="20"/>
          <w:szCs w:val="20"/>
          <w:color w:val="auto"/>
        </w:rPr>
      </w:pPr>
      <w:r>
        <w:rPr>
          <w:rFonts w:ascii="Times New Roman" w:cs="Times New Roman" w:eastAsia="Times New Roman" w:hAnsi="Times New Roman"/>
          <w:sz w:val="17"/>
          <w:szCs w:val="17"/>
          <w:color w:val="auto"/>
        </w:rPr>
        <w:t>ARPU</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134.63</w:t>
        <w:tab/>
        <w:t>$</w:t>
      </w:r>
      <w:r>
        <w:rPr>
          <w:sz w:val="20"/>
          <w:szCs w:val="20"/>
          <w:color w:val="auto"/>
        </w:rPr>
        <w:tab/>
      </w:r>
      <w:r>
        <w:rPr>
          <w:rFonts w:ascii="Times New Roman" w:cs="Times New Roman" w:eastAsia="Times New Roman" w:hAnsi="Times New Roman"/>
          <w:sz w:val="17"/>
          <w:szCs w:val="17"/>
          <w:color w:val="auto"/>
        </w:rPr>
        <w:t>132.55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149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w:t>
      </w:r>
    </w:p>
    <w:p>
      <w:pPr>
        <w:spacing w:after="0" w:line="250" w:lineRule="exact"/>
        <w:rPr>
          <w:sz w:val="20"/>
          <w:szCs w:val="20"/>
          <w:color w:val="auto"/>
        </w:rPr>
      </w:pPr>
    </w:p>
    <w:p>
      <w:pPr>
        <w:ind w:right="60" w:firstLine="430"/>
        <w:spacing w:after="0" w:line="294" w:lineRule="auto"/>
        <w:rPr>
          <w:sz w:val="20"/>
          <w:szCs w:val="20"/>
          <w:color w:val="auto"/>
        </w:rPr>
      </w:pPr>
      <w:r>
        <w:rPr>
          <w:rFonts w:ascii="Times New Roman" w:cs="Times New Roman" w:eastAsia="Times New Roman" w:hAnsi="Times New Roman"/>
          <w:sz w:val="17"/>
          <w:szCs w:val="17"/>
          <w:color w:val="auto"/>
        </w:rPr>
        <w:t>In addition to our results determined in accordance with U.S. generally accepted accounting principles, or GAAP, we believe that free cash flow, or FCF, a non-GAAP financial measure, is useful in evaluating our liquidity.</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Free cash flow</w:t>
      </w:r>
    </w:p>
    <w:p>
      <w:pPr>
        <w:spacing w:after="0" w:line="121" w:lineRule="exact"/>
        <w:rPr>
          <w:sz w:val="20"/>
          <w:szCs w:val="20"/>
          <w:color w:val="auto"/>
        </w:rPr>
      </w:pPr>
    </w:p>
    <w:p>
      <w:pPr>
        <w:ind w:right="20" w:firstLine="430"/>
        <w:spacing w:after="0" w:line="262" w:lineRule="auto"/>
        <w:rPr>
          <w:sz w:val="20"/>
          <w:szCs w:val="20"/>
          <w:color w:val="auto"/>
        </w:rPr>
      </w:pPr>
      <w:r>
        <w:rPr>
          <w:rFonts w:ascii="Times New Roman" w:cs="Times New Roman" w:eastAsia="Times New Roman" w:hAnsi="Times New Roman"/>
          <w:sz w:val="17"/>
          <w:szCs w:val="17"/>
          <w:color w:val="auto"/>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spacing w:after="0" w:line="201" w:lineRule="exact"/>
        <w:rPr>
          <w:sz w:val="20"/>
          <w:szCs w:val="20"/>
          <w:color w:val="auto"/>
        </w:rPr>
      </w:pPr>
    </w:p>
    <w:p>
      <w:pPr>
        <w:ind w:right="120" w:firstLine="430"/>
        <w:spacing w:after="0" w:line="275" w:lineRule="auto"/>
        <w:rPr>
          <w:sz w:val="20"/>
          <w:szCs w:val="20"/>
          <w:color w:val="auto"/>
        </w:rPr>
      </w:pPr>
      <w:r>
        <w:rPr>
          <w:rFonts w:ascii="Times New Roman" w:cs="Times New Roman" w:eastAsia="Times New Roman" w:hAnsi="Times New Roman"/>
          <w:sz w:val="17"/>
          <w:szCs w:val="17"/>
          <w:color w:val="auto"/>
        </w:rPr>
        <w:t>Our FCF increased for the three months ended March 31, 2022, compared to the three months ended March 31, 2021, primarily due to an increase in cash provided by operating activities, which was driven by increased subscription sales, as a majority of our paying users are invoiced in advance, and operating efficiencies.</w:t>
      </w:r>
    </w:p>
    <w:p>
      <w:pPr>
        <w:spacing w:after="0" w:line="189" w:lineRule="exact"/>
        <w:rPr>
          <w:sz w:val="20"/>
          <w:szCs w:val="20"/>
          <w:color w:val="auto"/>
        </w:rPr>
      </w:pPr>
    </w:p>
    <w:p>
      <w:pPr>
        <w:ind w:right="120" w:firstLine="430"/>
        <w:spacing w:after="0" w:line="268" w:lineRule="auto"/>
        <w:rPr>
          <w:sz w:val="20"/>
          <w:szCs w:val="20"/>
          <w:color w:val="auto"/>
        </w:rPr>
      </w:pPr>
      <w:r>
        <w:rPr>
          <w:rFonts w:ascii="Times New Roman" w:cs="Times New Roman" w:eastAsia="Times New Roman" w:hAnsi="Times New Roman"/>
          <w:sz w:val="17"/>
          <w:szCs w:val="17"/>
          <w:color w:val="auto"/>
        </w:rPr>
        <w:t>We expect our FCF to generally increase in future periods as we increase subscription sales and drive operating efficiencies. We expect to continue to purchase infrastructure equipment to support our user base and anticipate that our capital expenditures will remain approximately consistent in future periods as we operate in a Virtual First environment. The timing of our operating expenses as described below, may result in FCF to vary from period to period as a percentage of revenue.</w:t>
      </w:r>
    </w:p>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is a reconciliation of FCF to the most comparable GAAP measure, net cash provided by operating activities:</w:t>
      </w:r>
    </w:p>
    <w:p>
      <w:pPr>
        <w:spacing w:after="0" w:line="372"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4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2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gridSpan w:val="3"/>
          </w:tcPr>
          <w:p>
            <w:pPr>
              <w:ind w:left="200"/>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3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141.4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33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Free cash flow</w:t>
            </w:r>
          </w:p>
        </w:tc>
        <w:tc>
          <w:tcPr>
            <w:tcW w:w="3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93"/>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130.7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jc w:val="right"/>
              <w:ind w:right="1713"/>
              <w:spacing w:after="0"/>
              <w:rPr>
                <w:sz w:val="20"/>
                <w:szCs w:val="20"/>
                <w:color w:val="auto"/>
              </w:rPr>
            </w:pPr>
            <w:r>
              <w:rPr>
                <w:rFonts w:ascii="Times New Roman" w:cs="Times New Roman" w:eastAsia="Times New Roman" w:hAnsi="Times New Roman"/>
                <w:sz w:val="17"/>
                <w:szCs w:val="17"/>
                <w:color w:val="auto"/>
              </w:rPr>
              <w:t>42</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3"/>
        </w:trPr>
        <w:tc>
          <w:tcPr>
            <w:tcW w:w="420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20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generate revenue from sales of subscriptions to our platform.</w:t>
      </w:r>
    </w:p>
    <w:p>
      <w:pPr>
        <w:spacing w:after="0" w:line="248" w:lineRule="exact"/>
        <w:rPr>
          <w:sz w:val="20"/>
          <w:szCs w:val="20"/>
          <w:color w:val="auto"/>
        </w:rPr>
      </w:pPr>
    </w:p>
    <w:p>
      <w:pPr>
        <w:ind w:right="20" w:firstLine="430"/>
        <w:spacing w:after="0" w:line="268" w:lineRule="auto"/>
        <w:rPr>
          <w:sz w:val="20"/>
          <w:szCs w:val="20"/>
          <w:color w:val="auto"/>
        </w:rPr>
      </w:pPr>
      <w:r>
        <w:rPr>
          <w:rFonts w:ascii="Times New Roman" w:cs="Times New Roman" w:eastAsia="Times New Roman" w:hAnsi="Times New Roman"/>
          <w:sz w:val="17"/>
          <w:szCs w:val="17"/>
          <w:color w:val="auto"/>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spacing w:after="0" w:line="196" w:lineRule="exact"/>
        <w:rPr>
          <w:sz w:val="20"/>
          <w:szCs w:val="20"/>
          <w:color w:val="auto"/>
        </w:rPr>
      </w:pPr>
    </w:p>
    <w:p>
      <w:pPr>
        <w:ind w:firstLine="430"/>
        <w:spacing w:after="0" w:line="275" w:lineRule="auto"/>
        <w:rPr>
          <w:sz w:val="20"/>
          <w:szCs w:val="20"/>
          <w:color w:val="auto"/>
        </w:rPr>
      </w:pPr>
      <w:r>
        <w:rPr>
          <w:rFonts w:ascii="Times New Roman" w:cs="Times New Roman" w:eastAsia="Times New Roman" w:hAnsi="Times New Roman"/>
          <w:sz w:val="17"/>
          <w:szCs w:val="17"/>
          <w:color w:val="auto"/>
        </w:rPr>
        <w:t>Our revenue is driven primarily by conversions and upsells to our paid plans. We also generate revenue from transaction-based products and fees from the referral of users to our partners. We generate over 90% of our revenue from self-serve channels. No customer represented more than 1% of our revenue in the periods presented.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 and gross margin</w:t>
      </w:r>
    </w:p>
    <w:p>
      <w:pPr>
        <w:spacing w:after="0" w:line="119" w:lineRule="exact"/>
        <w:rPr>
          <w:sz w:val="20"/>
          <w:szCs w:val="20"/>
          <w:color w:val="auto"/>
        </w:rPr>
      </w:pPr>
    </w:p>
    <w:p>
      <w:pPr>
        <w:ind w:right="20" w:firstLine="430"/>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Our cost of revenue consists primarily of expenses associated with the storage, delivery, and distribution of our platform for both paying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costs, such as salaries, bonuses, employer payroll taxes and benefits, travel-related expenses, 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spacing w:after="0" w:line="201" w:lineRule="exact"/>
        <w:rPr>
          <w:sz w:val="20"/>
          <w:szCs w:val="20"/>
          <w:color w:val="auto"/>
        </w:rPr>
      </w:pPr>
    </w:p>
    <w:p>
      <w:pPr>
        <w:ind w:right="140" w:firstLine="430"/>
        <w:spacing w:after="0" w:line="294" w:lineRule="auto"/>
        <w:rPr>
          <w:sz w:val="20"/>
          <w:szCs w:val="20"/>
          <w:color w:val="auto"/>
        </w:rPr>
      </w:pPr>
      <w:r>
        <w:rPr>
          <w:rFonts w:ascii="Times New Roman" w:cs="Times New Roman" w:eastAsia="Times New Roman" w:hAnsi="Times New Roman"/>
          <w:sz w:val="17"/>
          <w:szCs w:val="17"/>
          <w:color w:val="auto"/>
        </w:rPr>
        <w:t>We plan to continue increasing the capacity and enhancing the capability and reliability of our infrastructure to support user growth and increased use of our platform. We expect that cost of revenue will increase in absolute dollars in future periods.</w:t>
      </w:r>
    </w:p>
    <w:p>
      <w:pPr>
        <w:spacing w:after="0" w:line="171" w:lineRule="exact"/>
        <w:rPr>
          <w:sz w:val="20"/>
          <w:szCs w:val="20"/>
          <w:color w:val="auto"/>
        </w:rPr>
      </w:pPr>
    </w:p>
    <w:p>
      <w:pPr>
        <w:ind w:right="100" w:firstLine="43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Gross margin. </w:t>
      </w:r>
      <w:r>
        <w:rPr>
          <w:rFonts w:ascii="Times New Roman" w:cs="Times New Roman" w:eastAsia="Times New Roman" w:hAnsi="Times New Roman"/>
          <w:sz w:val="17"/>
          <w:szCs w:val="17"/>
          <w:color w:val="auto"/>
        </w:rPr>
        <w:t>Gross margin is gross profit expressed as a percentage of revenue. Our gross margin may fluctuate from period to period based on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timing of additional capital expenditures and the related depreciation expense, or other increases in our infrastructure costs, as well as revenue fluctuations. We generally expect our gross margin to remain relatively constant in both the near term and the long term.</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19" w:lineRule="exact"/>
        <w:rPr>
          <w:sz w:val="20"/>
          <w:szCs w:val="20"/>
          <w:color w:val="auto"/>
        </w:rPr>
      </w:pPr>
    </w:p>
    <w:p>
      <w:pPr>
        <w:ind w:firstLine="430"/>
        <w:spacing w:after="0" w:line="266" w:lineRule="auto"/>
        <w:rPr>
          <w:sz w:val="20"/>
          <w:szCs w:val="20"/>
          <w:color w:val="auto"/>
        </w:rPr>
      </w:pPr>
      <w:r>
        <w:rPr>
          <w:rFonts w:ascii="Times New Roman" w:cs="Times New Roman" w:eastAsia="Times New Roman" w:hAnsi="Times New Roman"/>
          <w:sz w:val="17"/>
          <w:szCs w:val="17"/>
          <w:i w:val="1"/>
          <w:iCs w:val="1"/>
          <w:color w:val="auto"/>
        </w:rPr>
        <w:t>Research and development</w:t>
      </w:r>
      <w:r>
        <w:rPr>
          <w:rFonts w:ascii="Times New Roman" w:cs="Times New Roman" w:eastAsia="Times New Roman" w:hAnsi="Times New Roman"/>
          <w:sz w:val="17"/>
          <w:szCs w:val="17"/>
          <w:color w:val="auto"/>
        </w:rPr>
        <w:t>. Our research and development expenses consist primarily of employee-related costs for our engineering, product, and design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teams,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spacing w:after="0" w:line="196" w:lineRule="exact"/>
        <w:rPr>
          <w:sz w:val="20"/>
          <w:szCs w:val="20"/>
          <w:color w:val="auto"/>
        </w:rPr>
      </w:pPr>
    </w:p>
    <w:p>
      <w:pPr>
        <w:ind w:right="320" w:firstLine="430"/>
        <w:spacing w:after="0" w:line="294" w:lineRule="auto"/>
        <w:rPr>
          <w:sz w:val="20"/>
          <w:szCs w:val="20"/>
          <w:color w:val="auto"/>
        </w:rPr>
      </w:pPr>
      <w:r>
        <w:rPr>
          <w:rFonts w:ascii="Times New Roman" w:cs="Times New Roman" w:eastAsia="Times New Roman" w:hAnsi="Times New Roman"/>
          <w:sz w:val="17"/>
          <w:szCs w:val="17"/>
          <w:color w:val="auto"/>
        </w:rPr>
        <w:t>We plan to continue hiring employees for our engineering, product, and design teams to support our research and development efforts. We expect that research and development costs will increase in absolute dollars in future periods and fluctuate from period to period as a percentage of revenue.</w:t>
      </w:r>
    </w:p>
    <w:p>
      <w:pPr>
        <w:spacing w:after="0" w:line="171" w:lineRule="exact"/>
        <w:rPr>
          <w:sz w:val="20"/>
          <w:szCs w:val="20"/>
          <w:color w:val="auto"/>
        </w:rPr>
      </w:pPr>
    </w:p>
    <w:p>
      <w:pPr>
        <w:ind w:right="80" w:firstLine="430"/>
        <w:spacing w:after="0" w:line="266" w:lineRule="auto"/>
        <w:rPr>
          <w:sz w:val="20"/>
          <w:szCs w:val="20"/>
          <w:color w:val="auto"/>
        </w:rPr>
      </w:pPr>
      <w:r>
        <w:rPr>
          <w:rFonts w:ascii="Times New Roman" w:cs="Times New Roman" w:eastAsia="Times New Roman" w:hAnsi="Times New Roman"/>
          <w:sz w:val="17"/>
          <w:szCs w:val="17"/>
          <w:i w:val="1"/>
          <w:iCs w:val="1"/>
          <w:color w:val="auto"/>
        </w:rPr>
        <w:t>Sales and marketing</w:t>
      </w:r>
      <w:r>
        <w:rPr>
          <w:rFonts w:ascii="Times New Roman" w:cs="Times New Roman" w:eastAsia="Times New Roman" w:hAnsi="Times New Roman"/>
          <w:sz w:val="17"/>
          <w:szCs w:val="17"/>
          <w:color w:val="auto"/>
        </w:rPr>
        <w:t>. Our sales and marketing expenses relate to both self-serve and outbound sales activities, and consist primarily of employee-related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00" w:firstLine="430"/>
        <w:spacing w:after="0" w:line="275" w:lineRule="auto"/>
        <w:rPr>
          <w:sz w:val="20"/>
          <w:szCs w:val="20"/>
          <w:color w:val="auto"/>
        </w:rPr>
      </w:pPr>
      <w:r>
        <w:rPr>
          <w:rFonts w:ascii="Times New Roman" w:cs="Times New Roman" w:eastAsia="Times New Roman" w:hAnsi="Times New Roman"/>
          <w:sz w:val="17"/>
          <w:szCs w:val="17"/>
          <w:color w:val="auto"/>
        </w:rPr>
        <w:t>We plan to continue to invest in sales and marketing to grow our user base and increase our brand awareness, including marketing efforts to continue to drive our self-serve business model. We expect that sales and marketing expenses will generally increase in absolute dollars in future periods and fluctuate from period to period as a percentage of revenue. The trend and timing of sales and marketing expenses will depend in part on the timing of marketing campaigns.</w:t>
      </w:r>
    </w:p>
    <w:p>
      <w:pPr>
        <w:spacing w:after="0" w:line="187" w:lineRule="exact"/>
        <w:rPr>
          <w:sz w:val="20"/>
          <w:szCs w:val="20"/>
          <w:color w:val="auto"/>
        </w:rPr>
      </w:pPr>
    </w:p>
    <w:p>
      <w:pPr>
        <w:ind w:right="100" w:firstLine="430"/>
        <w:spacing w:after="0" w:line="276"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Our general and administrative expenses consist primarily of employee-related costs for our legal, finance, human resources,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other administrative teams, as well as certain executives. In addition, general and administrative expenses include allocated overhead, outside legal, accounting and other professional fees, and non income-based taxes.</w:t>
      </w:r>
    </w:p>
    <w:p>
      <w:pPr>
        <w:spacing w:after="0" w:line="188" w:lineRule="exact"/>
        <w:rPr>
          <w:sz w:val="20"/>
          <w:szCs w:val="20"/>
          <w:color w:val="auto"/>
        </w:rPr>
      </w:pPr>
    </w:p>
    <w:p>
      <w:pPr>
        <w:ind w:right="40" w:firstLine="430"/>
        <w:spacing w:after="0" w:line="275" w:lineRule="auto"/>
        <w:rPr>
          <w:sz w:val="20"/>
          <w:szCs w:val="20"/>
          <w:color w:val="auto"/>
        </w:rPr>
      </w:pPr>
      <w:r>
        <w:rPr>
          <w:rFonts w:ascii="Times New Roman" w:cs="Times New Roman" w:eastAsia="Times New Roman" w:hAnsi="Times New Roman"/>
          <w:sz w:val="17"/>
          <w:szCs w:val="17"/>
          <w:color w:val="auto"/>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fluctuate in absolute dollars in future periods and remain relatively constant in both the near term and the long term as a percentage of revenue.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121" w:lineRule="exact"/>
        <w:rPr>
          <w:sz w:val="20"/>
          <w:szCs w:val="20"/>
          <w:color w:val="auto"/>
        </w:rPr>
      </w:pPr>
    </w:p>
    <w:p>
      <w:pPr>
        <w:ind w:firstLine="430"/>
        <w:spacing w:after="0" w:line="294" w:lineRule="auto"/>
        <w:rPr>
          <w:sz w:val="20"/>
          <w:szCs w:val="20"/>
          <w:color w:val="auto"/>
        </w:rPr>
      </w:pPr>
      <w:r>
        <w:rPr>
          <w:rFonts w:ascii="Times New Roman" w:cs="Times New Roman" w:eastAsia="Times New Roman" w:hAnsi="Times New Roman"/>
          <w:sz w:val="17"/>
          <w:szCs w:val="17"/>
          <w:color w:val="auto"/>
        </w:rPr>
        <w:t>Interest expense, net consists primarily of interest expense related to our finance lease obligations for infrastructure and amortization of debt issuance costs partially offset by interest income earned on our money market funds classified as cash and cash equivalents and short-term investments.</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Other income, net</w:t>
      </w:r>
    </w:p>
    <w:p>
      <w:pPr>
        <w:spacing w:after="0" w:line="121" w:lineRule="exact"/>
        <w:rPr>
          <w:sz w:val="20"/>
          <w:szCs w:val="20"/>
          <w:color w:val="auto"/>
        </w:rPr>
      </w:pPr>
    </w:p>
    <w:p>
      <w:pPr>
        <w:ind w:right="160" w:firstLine="430"/>
        <w:spacing w:after="0" w:line="294" w:lineRule="auto"/>
        <w:rPr>
          <w:sz w:val="20"/>
          <w:szCs w:val="20"/>
          <w:color w:val="auto"/>
        </w:rPr>
      </w:pPr>
      <w:r>
        <w:rPr>
          <w:rFonts w:ascii="Times New Roman" w:cs="Times New Roman" w:eastAsia="Times New Roman" w:hAnsi="Times New Roman"/>
          <w:sz w:val="17"/>
          <w:szCs w:val="17"/>
          <w:color w:val="auto"/>
        </w:rPr>
        <w:t>Other income, net consists of other non-operating gains or losses, including those related to gains or losses on sale of assets, foreign currency transaction gains and losses, lease arrangements, which include sublease income, and realized gains and losses related to our short-term investments.</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(Provision for) benefit from income taxes</w:t>
      </w:r>
    </w:p>
    <w:p>
      <w:pPr>
        <w:spacing w:after="0" w:line="121" w:lineRule="exact"/>
        <w:rPr>
          <w:sz w:val="20"/>
          <w:szCs w:val="20"/>
          <w:color w:val="auto"/>
        </w:rPr>
      </w:pPr>
    </w:p>
    <w:p>
      <w:pPr>
        <w:ind w:right="140" w:firstLine="430"/>
        <w:spacing w:after="0" w:line="263" w:lineRule="auto"/>
        <w:rPr>
          <w:sz w:val="20"/>
          <w:szCs w:val="20"/>
          <w:color w:val="auto"/>
        </w:rPr>
      </w:pPr>
      <w:r>
        <w:rPr>
          <w:rFonts w:ascii="Times New Roman" w:cs="Times New Roman" w:eastAsia="Times New Roman" w:hAnsi="Times New Roman"/>
          <w:sz w:val="17"/>
          <w:szCs w:val="17"/>
          <w:color w:val="auto"/>
        </w:rPr>
        <w:t>(Provision for) benefit from income taxes consists primarily of U.S. federal and state income taxes and income taxes in certain foreign jurisdictions in which we conduct business. For 2022, the difference between the U.S. statutory rate and our effective tax rate is primarily due to the impact of capitalization of research and experimental expenditures and the changes to the valuation allowance on deferred tax assets. For 2021, the difference between the U.S. statutory rate and our effective tax rate is primarily due to the valuation allowance on deferred tax assets. Our effective tax rate is also impacted by earnings realized in foreign jurisdictions with statutory tax rates lower than the federal statutory tax rate. We maintain a full valuation allowance on our net deferred tax assets for federal and state as we have concluded that it is not more likely than not that the deferred assets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tables set forth our results of operations for the periods presented:</w:t>
      </w:r>
    </w:p>
    <w:p>
      <w:pPr>
        <w:spacing w:after="0" w:line="190"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2022</w:t>
            </w:r>
          </w:p>
        </w:tc>
        <w:tc>
          <w:tcPr>
            <w:tcW w:w="6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5"/>
        </w:trPr>
        <w:tc>
          <w:tcPr>
            <w:tcW w:w="7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160" w:type="dxa"/>
            <w:vAlign w:val="bottom"/>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511.6</w:t>
            </w:r>
          </w:p>
        </w:tc>
      </w:tr>
      <w:tr>
        <w:trPr>
          <w:trHeight w:val="222"/>
        </w:trPr>
        <w:tc>
          <w:tcPr>
            <w:tcW w:w="7640" w:type="dxa"/>
            <w:vAlign w:val="bottom"/>
            <w:tcBorders>
              <w:bottom w:val="single" w:sz="8" w:color="CCEEFF"/>
            </w:tcBorders>
          </w:tcPr>
          <w:p>
            <w:pPr>
              <w:ind w:left="38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112.9</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109.3</w:t>
            </w:r>
          </w:p>
        </w:tc>
      </w:tr>
      <w:tr>
        <w:trPr>
          <w:trHeight w:val="21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449.5</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402.3</w:t>
            </w:r>
          </w:p>
        </w:tc>
      </w:tr>
      <w:tr>
        <w:trPr>
          <w:trHeight w:val="222"/>
        </w:trPr>
        <w:tc>
          <w:tcPr>
            <w:tcW w:w="7640" w:type="dxa"/>
            <w:vAlign w:val="bottom"/>
          </w:tcPr>
          <w:p>
            <w:pPr>
              <w:ind w:left="20"/>
              <w:spacing w:after="0" w:line="222"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1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2"/>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210.8</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w:t>
            </w:r>
          </w:p>
        </w:tc>
      </w:tr>
      <w:tr>
        <w:trPr>
          <w:trHeight w:val="222"/>
        </w:trPr>
        <w:tc>
          <w:tcPr>
            <w:tcW w:w="7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w:t>
            </w:r>
          </w:p>
        </w:tc>
      </w:tr>
      <w:tr>
        <w:trPr>
          <w:trHeight w:val="222"/>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r>
      <w:tr>
        <w:trPr>
          <w:trHeight w:val="222"/>
        </w:trPr>
        <w:tc>
          <w:tcPr>
            <w:tcW w:w="7640" w:type="dxa"/>
            <w:vAlign w:val="bottom"/>
          </w:tcPr>
          <w:p>
            <w:pPr>
              <w:ind w:left="340"/>
              <w:spacing w:after="0" w:line="222" w:lineRule="exact"/>
              <w:rPr>
                <w:sz w:val="20"/>
                <w:szCs w:val="20"/>
                <w:color w:val="auto"/>
              </w:rPr>
            </w:pPr>
            <w:r>
              <w:rPr>
                <w:rFonts w:ascii="Times New Roman" w:cs="Times New Roman" w:eastAsia="Times New Roman" w:hAnsi="Times New Roman"/>
                <w:sz w:val="17"/>
                <w:szCs w:val="17"/>
                <w:color w:val="auto"/>
              </w:rPr>
              <w:t>Impairment related to real estate assets</w:t>
            </w:r>
            <w:r>
              <w:rPr>
                <w:rFonts w:ascii="Times New Roman" w:cs="Times New Roman" w:eastAsia="Times New Roman" w:hAnsi="Times New Roman"/>
                <w:sz w:val="22"/>
                <w:szCs w:val="22"/>
                <w:color w:val="auto"/>
                <w:vertAlign w:val="superscript"/>
              </w:rPr>
              <w:t>(2)</w:t>
            </w:r>
          </w:p>
        </w:tc>
        <w:tc>
          <w:tcPr>
            <w:tcW w:w="11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r>
      <w:tr>
        <w:trPr>
          <w:trHeight w:val="215"/>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359.8</w:t>
            </w:r>
          </w:p>
        </w:tc>
      </w:tr>
      <w:tr>
        <w:trPr>
          <w:trHeight w:val="222"/>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w:t>
            </w:r>
          </w:p>
        </w:tc>
      </w:tr>
      <w:tr>
        <w:trPr>
          <w:trHeight w:val="222"/>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2"/>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15"/>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r>
      <w:tr>
        <w:trPr>
          <w:trHeight w:val="222"/>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4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60" w:type="dxa"/>
            <w:vAlign w:val="bottom"/>
            <w:tcBorders>
              <w:bottom w:val="single" w:sz="8" w:color="auto"/>
            </w:tcBorders>
            <w:shd w:val="clear" w:color="auto" w:fill="CCEEFF"/>
          </w:tcPr>
          <w:p>
            <w:pPr>
              <w:jc w:val="right"/>
              <w:ind w:right="973"/>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40" w:hanging="136"/>
        <w:spacing w:after="0"/>
        <w:tabs>
          <w:tab w:leader="none" w:pos="140" w:val="left"/>
        </w:tabs>
        <w:numPr>
          <w:ilvl w:val="0"/>
          <w:numId w:val="1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follows:</w:t>
      </w:r>
    </w:p>
    <w:p>
      <w:pPr>
        <w:spacing w:after="0" w:line="264"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5"/>
        </w:trPr>
        <w:tc>
          <w:tcPr>
            <w:tcW w:w="7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gridSpan w:val="3"/>
          </w:tcPr>
          <w:p>
            <w:pPr>
              <w:jc w:val="right"/>
              <w:ind w:right="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w:t>
            </w:r>
          </w:p>
        </w:tc>
        <w:tc>
          <w:tcPr>
            <w:tcW w:w="1200" w:type="dxa"/>
            <w:vAlign w:val="bottom"/>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22"/>
        </w:trPr>
        <w:tc>
          <w:tcPr>
            <w:tcW w:w="76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222"/>
        </w:trPr>
        <w:tc>
          <w:tcPr>
            <w:tcW w:w="7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r>
      <w:tr>
        <w:trPr>
          <w:trHeight w:val="222"/>
        </w:trPr>
        <w:tc>
          <w:tcPr>
            <w:tcW w:w="7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4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200" w:type="dxa"/>
            <w:vAlign w:val="bottom"/>
            <w:tcBorders>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ind w:left="160" w:hanging="156"/>
        <w:spacing w:after="0"/>
        <w:tabs>
          <w:tab w:leader="none" w:pos="16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Includes impairment charges related to real estate assets as a result of our decision to shift to a Virtual First work model. See Note 9 "Leases" for further information.</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following table sets forth our results of operations for each of the periods presented as a percentage of revenue:</w:t>
      </w:r>
    </w:p>
    <w:p>
      <w:pPr>
        <w:spacing w:after="0" w:line="190"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4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5"/>
        </w:trPr>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7"/>
                <w:szCs w:val="17"/>
                <w:i w:val="1"/>
                <w:iCs w:val="1"/>
                <w:color w:val="auto"/>
              </w:rPr>
              <w:t>(As a % of revenue)</w:t>
            </w:r>
          </w:p>
        </w:tc>
        <w:tc>
          <w:tcPr>
            <w:tcW w:w="1160" w:type="dxa"/>
            <w:vAlign w:val="bottom"/>
          </w:tcPr>
          <w:p>
            <w:pPr>
              <w:spacing w:after="0"/>
              <w:rPr>
                <w:sz w:val="18"/>
                <w:szCs w:val="18"/>
                <w:color w:val="auto"/>
              </w:rPr>
            </w:pPr>
          </w:p>
        </w:tc>
      </w:tr>
      <w:tr>
        <w:trPr>
          <w:trHeight w:val="222"/>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22"/>
        </w:trPr>
        <w:tc>
          <w:tcPr>
            <w:tcW w:w="8580" w:type="dxa"/>
            <w:vAlign w:val="bottom"/>
            <w:gridSpan w:val="2"/>
          </w:tcPr>
          <w:p>
            <w:pPr>
              <w:ind w:left="380"/>
              <w:spacing w:after="0" w:line="222"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2"/>
                <w:szCs w:val="22"/>
                <w:color w:val="auto"/>
                <w:vertAlign w:val="superscript"/>
              </w:rPr>
              <w:t>(1)</w:t>
            </w: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21</w:t>
            </w:r>
          </w:p>
        </w:tc>
      </w:tr>
      <w:tr>
        <w:trPr>
          <w:trHeight w:val="215"/>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79</w:t>
            </w:r>
          </w:p>
        </w:tc>
      </w:tr>
      <w:tr>
        <w:trPr>
          <w:trHeight w:val="222"/>
        </w:trPr>
        <w:tc>
          <w:tcPr>
            <w:tcW w:w="8580" w:type="dxa"/>
            <w:vAlign w:val="bottom"/>
            <w:gridSpan w:val="2"/>
          </w:tcPr>
          <w:p>
            <w:pPr>
              <w:ind w:left="20"/>
              <w:spacing w:after="0" w:line="222" w:lineRule="exact"/>
              <w:rPr>
                <w:sz w:val="20"/>
                <w:szCs w:val="20"/>
                <w:color w:val="auto"/>
              </w:rPr>
            </w:pPr>
            <w:r>
              <w:rPr>
                <w:rFonts w:ascii="Times New Roman" w:cs="Times New Roman" w:eastAsia="Times New Roman" w:hAnsi="Times New Roman"/>
                <w:sz w:val="17"/>
                <w:szCs w:val="17"/>
                <w:color w:val="auto"/>
              </w:rPr>
              <w:t>Operating expenses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2"/>
        </w:trPr>
        <w:tc>
          <w:tcPr>
            <w:tcW w:w="8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35</w:t>
            </w:r>
          </w:p>
        </w:tc>
      </w:tr>
      <w:tr>
        <w:trPr>
          <w:trHeight w:val="222"/>
        </w:trPr>
        <w:tc>
          <w:tcPr>
            <w:tcW w:w="85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20</w:t>
            </w:r>
          </w:p>
        </w:tc>
      </w:tr>
      <w:tr>
        <w:trPr>
          <w:trHeight w:val="222"/>
        </w:trPr>
        <w:tc>
          <w:tcPr>
            <w:tcW w:w="8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11</w:t>
            </w:r>
          </w:p>
        </w:tc>
      </w:tr>
      <w:tr>
        <w:trPr>
          <w:trHeight w:val="222"/>
        </w:trPr>
        <w:tc>
          <w:tcPr>
            <w:tcW w:w="85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Impairment related to real estate assets</w:t>
            </w:r>
          </w:p>
        </w:tc>
        <w:tc>
          <w:tcPr>
            <w:tcW w:w="1500" w:type="dxa"/>
            <w:vAlign w:val="bottom"/>
            <w:gridSpan w:val="3"/>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3</w:t>
            </w:r>
          </w:p>
        </w:tc>
      </w:tr>
      <w:tr>
        <w:trPr>
          <w:trHeight w:val="215"/>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70</w:t>
            </w:r>
          </w:p>
        </w:tc>
      </w:tr>
      <w:tr>
        <w:trPr>
          <w:trHeight w:val="222"/>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8</w:t>
            </w:r>
          </w:p>
        </w:tc>
      </w:tr>
      <w:tr>
        <w:trPr>
          <w:trHeight w:val="222"/>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1500" w:type="dxa"/>
            <w:vAlign w:val="bottom"/>
            <w:gridSpan w:val="3"/>
            <w:shd w:val="clear" w:color="auto" w:fill="CCEEFF"/>
          </w:tcPr>
          <w:p>
            <w:pPr>
              <w:jc w:val="right"/>
              <w:ind w:right="10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7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r>
      <w:tr>
        <w:trPr>
          <w:trHeight w:val="215"/>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1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r>
      <w:tr>
        <w:trPr>
          <w:trHeight w:val="222"/>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116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9 %</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40" w:hanging="136"/>
        <w:spacing w:after="0"/>
        <w:tabs>
          <w:tab w:leader="none" w:pos="14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stock-based compensation as a percentage of revenue as follows:</w:t>
      </w:r>
    </w:p>
    <w:p>
      <w:pPr>
        <w:spacing w:after="0" w:line="264"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4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5"/>
        </w:trPr>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7"/>
                <w:szCs w:val="17"/>
                <w:i w:val="1"/>
                <w:iCs w:val="1"/>
                <w:color w:val="auto"/>
              </w:rPr>
              <w:t>(As a % of revenue)</w:t>
            </w:r>
          </w:p>
        </w:tc>
        <w:tc>
          <w:tcPr>
            <w:tcW w:w="1160" w:type="dxa"/>
            <w:vAlign w:val="bottom"/>
          </w:tcPr>
          <w:p>
            <w:pPr>
              <w:spacing w:after="0"/>
              <w:rPr>
                <w:sz w:val="18"/>
                <w:szCs w:val="18"/>
                <w:color w:val="auto"/>
              </w:rPr>
            </w:pPr>
          </w:p>
        </w:tc>
      </w:tr>
      <w:tr>
        <w:trPr>
          <w:trHeight w:val="222"/>
        </w:trPr>
        <w:tc>
          <w:tcPr>
            <w:tcW w:w="8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1 %</w:t>
            </w:r>
          </w:p>
        </w:tc>
      </w:tr>
      <w:tr>
        <w:trPr>
          <w:trHeight w:val="222"/>
        </w:trPr>
        <w:tc>
          <w:tcPr>
            <w:tcW w:w="85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9</w:t>
            </w:r>
          </w:p>
        </w:tc>
      </w:tr>
      <w:tr>
        <w:trPr>
          <w:trHeight w:val="222"/>
        </w:trPr>
        <w:tc>
          <w:tcPr>
            <w:tcW w:w="85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7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w:t>
            </w:r>
          </w:p>
        </w:tc>
      </w:tr>
      <w:tr>
        <w:trPr>
          <w:trHeight w:val="222"/>
        </w:trPr>
        <w:tc>
          <w:tcPr>
            <w:tcW w:w="85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2</w:t>
            </w:r>
          </w:p>
        </w:tc>
      </w:tr>
      <w:tr>
        <w:trPr>
          <w:trHeight w:val="240"/>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w:t>
            </w:r>
          </w:p>
        </w:tc>
        <w:tc>
          <w:tcPr>
            <w:tcW w:w="1160" w:type="dxa"/>
            <w:vAlign w:val="bottom"/>
            <w:tcBorders>
              <w:top w:val="single" w:sz="8" w:color="auto"/>
              <w:bottom w:val="single" w:sz="8" w:color="auto"/>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2022 and 2021</w:t>
      </w:r>
    </w:p>
    <w:p>
      <w:pPr>
        <w:spacing w:after="0" w:line="15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Revenue</w:t>
      </w:r>
    </w:p>
    <w:p>
      <w:pPr>
        <w:spacing w:after="0" w:line="183"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9"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562.4</w:t>
            </w:r>
          </w:p>
        </w:tc>
        <w:tc>
          <w:tcPr>
            <w:tcW w:w="5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9.9 %</w:t>
            </w:r>
          </w:p>
        </w:tc>
      </w:tr>
    </w:tbl>
    <w:p>
      <w:pPr>
        <w:spacing w:after="0" w:line="308" w:lineRule="exact"/>
        <w:rPr>
          <w:sz w:val="20"/>
          <w:szCs w:val="20"/>
          <w:color w:val="auto"/>
        </w:rPr>
      </w:pPr>
    </w:p>
    <w:p>
      <w:pPr>
        <w:ind w:right="340" w:firstLine="391"/>
        <w:spacing w:after="0" w:line="294" w:lineRule="auto"/>
        <w:rPr>
          <w:sz w:val="20"/>
          <w:szCs w:val="20"/>
          <w:color w:val="auto"/>
        </w:rPr>
      </w:pPr>
      <w:r>
        <w:rPr>
          <w:rFonts w:ascii="Times New Roman" w:cs="Times New Roman" w:eastAsia="Times New Roman" w:hAnsi="Times New Roman"/>
          <w:sz w:val="17"/>
          <w:szCs w:val="17"/>
          <w:color w:val="auto"/>
        </w:rPr>
        <w:t>Revenue increased $50.8 million or 9.9% during the three months ended March 31, 2022, as compared to the three months ended March 31, 2021. The increase in revenue was driven primarily by an increase in paying users and an increased mix of sales towards our higher-priced subscription plans.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0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Cost of revenue, gross profit, and gross margin</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4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49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2"/>
          </w:tcPr>
          <w:p>
            <w:pPr>
              <w:jc w:val="center"/>
              <w:ind w:left="59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4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53"/>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Pr>
          <w:p>
            <w:pPr>
              <w:spacing w:after="0"/>
              <w:rPr>
                <w:sz w:val="19"/>
                <w:szCs w:val="19"/>
                <w:color w:val="auto"/>
              </w:rPr>
            </w:pPr>
          </w:p>
        </w:tc>
        <w:tc>
          <w:tcPr>
            <w:tcW w:w="104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49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center"/>
              <w:ind w:left="6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112.9</w:t>
            </w:r>
          </w:p>
        </w:tc>
        <w:tc>
          <w:tcPr>
            <w:tcW w:w="5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109.3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222"/>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tcPr>
          <w:p>
            <w:pPr>
              <w:spacing w:after="0"/>
              <w:rPr>
                <w:sz w:val="19"/>
                <w:szCs w:val="19"/>
                <w:color w:val="auto"/>
              </w:rPr>
            </w:pPr>
          </w:p>
        </w:tc>
        <w:tc>
          <w:tcPr>
            <w:tcW w:w="122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449.5</w:t>
            </w:r>
          </w:p>
        </w:tc>
        <w:tc>
          <w:tcPr>
            <w:tcW w:w="54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402.3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11.7 %</w:t>
            </w:r>
          </w:p>
        </w:tc>
      </w:tr>
      <w:tr>
        <w:trPr>
          <w:trHeight w:val="22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80 %</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bl>
    <w:p>
      <w:pPr>
        <w:spacing w:after="0" w:line="295" w:lineRule="exact"/>
        <w:rPr>
          <w:sz w:val="20"/>
          <w:szCs w:val="20"/>
          <w:color w:val="auto"/>
        </w:rPr>
      </w:pPr>
    </w:p>
    <w:p>
      <w:pPr>
        <w:jc w:val="both"/>
        <w:ind w:right="240" w:firstLine="391"/>
        <w:spacing w:after="0" w:line="275" w:lineRule="auto"/>
        <w:rPr>
          <w:sz w:val="20"/>
          <w:szCs w:val="20"/>
          <w:color w:val="auto"/>
        </w:rPr>
      </w:pPr>
      <w:r>
        <w:rPr>
          <w:rFonts w:ascii="Times New Roman" w:cs="Times New Roman" w:eastAsia="Times New Roman" w:hAnsi="Times New Roman"/>
          <w:sz w:val="17"/>
          <w:szCs w:val="17"/>
          <w:color w:val="auto"/>
        </w:rPr>
        <w:t>Cost of revenue increased $3.6 million or 3.3% during the three months ended March 31, 2022, as compared to the three months ended March 31, 2021, primarily due to increases of $2.4 million in infrastructure costs due to an increase in depreciation expense, $1.6 million in credit card transaction fees due to higher sales and $0.8 million in outside services. These increases were offset by a decrease of $1.8 million in employee-related costs.</w:t>
      </w:r>
    </w:p>
    <w:p>
      <w:pPr>
        <w:spacing w:after="0" w:line="97" w:lineRule="exact"/>
        <w:rPr>
          <w:sz w:val="20"/>
          <w:szCs w:val="20"/>
          <w:color w:val="auto"/>
        </w:rPr>
      </w:pPr>
    </w:p>
    <w:p>
      <w:pPr>
        <w:ind w:right="160" w:firstLine="391"/>
        <w:spacing w:after="0" w:line="294" w:lineRule="auto"/>
        <w:rPr>
          <w:sz w:val="20"/>
          <w:szCs w:val="20"/>
          <w:color w:val="auto"/>
        </w:rPr>
      </w:pPr>
      <w:r>
        <w:rPr>
          <w:rFonts w:ascii="Times New Roman" w:cs="Times New Roman" w:eastAsia="Times New Roman" w:hAnsi="Times New Roman"/>
          <w:sz w:val="17"/>
          <w:szCs w:val="17"/>
          <w:color w:val="auto"/>
        </w:rPr>
        <w:t>Our gross margin increased during the three months ended March 31, 2022 compared to the three months ended March 31, 2021, primarily due to a 9.9% increase in revenue during the period and a lower percentage increase in our cost of revenue described above.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Research and development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4"/>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left="5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540" w:type="dxa"/>
            <w:vAlign w:val="bottom"/>
          </w:tcPr>
          <w:p>
            <w:pPr>
              <w:spacing w:after="0"/>
              <w:rPr>
                <w:sz w:val="19"/>
                <w:szCs w:val="19"/>
                <w:color w:val="auto"/>
              </w:rPr>
            </w:pPr>
          </w:p>
        </w:tc>
        <w:tc>
          <w:tcPr>
            <w:tcW w:w="940" w:type="dxa"/>
            <w:vAlign w:val="bottom"/>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jc w:val="center"/>
              <w:ind w:left="5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210.8</w:t>
            </w:r>
          </w:p>
        </w:tc>
        <w:tc>
          <w:tcPr>
            <w:tcW w:w="54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16.3 %</w:t>
            </w:r>
          </w:p>
        </w:tc>
      </w:tr>
    </w:tbl>
    <w:p>
      <w:pPr>
        <w:spacing w:after="0" w:line="295" w:lineRule="exact"/>
        <w:rPr>
          <w:sz w:val="20"/>
          <w:szCs w:val="20"/>
          <w:color w:val="auto"/>
        </w:rPr>
      </w:pPr>
    </w:p>
    <w:p>
      <w:pPr>
        <w:ind w:right="280" w:firstLine="391"/>
        <w:spacing w:after="0" w:line="275" w:lineRule="auto"/>
        <w:rPr>
          <w:sz w:val="20"/>
          <w:szCs w:val="20"/>
          <w:color w:val="auto"/>
        </w:rPr>
      </w:pPr>
      <w:r>
        <w:rPr>
          <w:rFonts w:ascii="Times New Roman" w:cs="Times New Roman" w:eastAsia="Times New Roman" w:hAnsi="Times New Roman"/>
          <w:sz w:val="17"/>
          <w:szCs w:val="17"/>
          <w:color w:val="auto"/>
        </w:rPr>
        <w:t>Research and development expenses increased $29.6 million or 16.3% during the three months ended March 31, 2022, as compared to the three months ended March 31, 2021, primarily due to increases of $25.1 million in employee-related costs driven by an increase in headcount and $1.4 million related to software license subscriptions.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Sales and marketing</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20" w:type="dxa"/>
            <w:vAlign w:val="bottom"/>
            <w:gridSpan w:val="3"/>
          </w:tcPr>
          <w:p>
            <w:pPr>
              <w:jc w:val="center"/>
              <w:ind w:left="43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37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center"/>
              <w:ind w:right="35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95.7</w:t>
            </w:r>
          </w:p>
        </w:tc>
        <w:tc>
          <w:tcPr>
            <w:tcW w:w="98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r>
    </w:tbl>
    <w:p>
      <w:pPr>
        <w:spacing w:after="0" w:line="308" w:lineRule="exact"/>
        <w:rPr>
          <w:sz w:val="20"/>
          <w:szCs w:val="20"/>
          <w:color w:val="auto"/>
        </w:rPr>
      </w:pPr>
    </w:p>
    <w:p>
      <w:pPr>
        <w:ind w:right="420" w:firstLine="391"/>
        <w:spacing w:after="0" w:line="294" w:lineRule="auto"/>
        <w:rPr>
          <w:sz w:val="20"/>
          <w:szCs w:val="20"/>
          <w:color w:val="auto"/>
        </w:rPr>
      </w:pPr>
      <w:r>
        <w:rPr>
          <w:rFonts w:ascii="Times New Roman" w:cs="Times New Roman" w:eastAsia="Times New Roman" w:hAnsi="Times New Roman"/>
          <w:sz w:val="17"/>
          <w:szCs w:val="17"/>
          <w:color w:val="auto"/>
        </w:rPr>
        <w:t>Sales and marketing expenses decreased $7.0 million or 6.8% during the three months ended March 31, 2022, as compared to the three months ended March 31, 2021, primarily due to a decrease of $10.8 million in employee-related costs.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decrease was offset by an increase of $3.9 million related to brand and other marketing campaigns during the three months ended March 31,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00" w:type="dxa"/>
            <w:vAlign w:val="bottom"/>
          </w:tcPr>
          <w:p>
            <w:pPr>
              <w:ind w:left="40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87"/>
        </w:trPr>
        <w:tc>
          <w:tcPr>
            <w:tcW w:w="5100" w:type="dxa"/>
            <w:vAlign w:val="bottom"/>
          </w:tcPr>
          <w:p>
            <w:pPr>
              <w:spacing w:after="0"/>
              <w:rPr>
                <w:sz w:val="24"/>
                <w:szCs w:val="24"/>
                <w:color w:val="auto"/>
              </w:rPr>
            </w:pPr>
          </w:p>
        </w:tc>
        <w:tc>
          <w:tcPr>
            <w:tcW w:w="2480" w:type="dxa"/>
            <w:vAlign w:val="bottom"/>
            <w:gridSpan w:val="3"/>
          </w:tcPr>
          <w:p>
            <w:pPr>
              <w:jc w:val="center"/>
              <w:ind w:left="373"/>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29"/>
        </w:trPr>
        <w:tc>
          <w:tcPr>
            <w:tcW w:w="5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433"/>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1"/>
        </w:trPr>
        <w:tc>
          <w:tcPr>
            <w:tcW w:w="5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center"/>
              <w:ind w:right="41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53.5</w:t>
            </w:r>
          </w:p>
        </w:tc>
        <w:tc>
          <w:tcPr>
            <w:tcW w:w="10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w:t>
            </w:r>
          </w:p>
        </w:tc>
      </w:tr>
    </w:tbl>
    <w:p>
      <w:pPr>
        <w:spacing w:after="0" w:line="200" w:lineRule="exact"/>
        <w:rPr>
          <w:sz w:val="20"/>
          <w:szCs w:val="20"/>
          <w:color w:val="auto"/>
        </w:rPr>
      </w:pPr>
    </w:p>
    <w:p>
      <w:pPr>
        <w:spacing w:after="0" w:line="238" w:lineRule="exact"/>
        <w:rPr>
          <w:sz w:val="20"/>
          <w:szCs w:val="20"/>
          <w:color w:val="auto"/>
        </w:rPr>
      </w:pPr>
    </w:p>
    <w:p>
      <w:pPr>
        <w:ind w:right="220" w:firstLine="391"/>
        <w:spacing w:after="0" w:line="275" w:lineRule="auto"/>
        <w:rPr>
          <w:sz w:val="20"/>
          <w:szCs w:val="20"/>
          <w:color w:val="auto"/>
        </w:rPr>
      </w:pPr>
      <w:r>
        <w:rPr>
          <w:rFonts w:ascii="Times New Roman" w:cs="Times New Roman" w:eastAsia="Times New Roman" w:hAnsi="Times New Roman"/>
          <w:sz w:val="17"/>
          <w:szCs w:val="17"/>
          <w:color w:val="auto"/>
        </w:rPr>
        <w:t>General and administrative expenses decreased $5.1 million or 8.7% during the three months ended March 31, 2022, as compared to the three months ended March 31, 2021, primarily due to decreases of $2.2 million in allocated overhead driven by our reduction in force during the three months ended March 31, 2021, which includes facilities-related costs for our corporate headquarters, $1.3 million in employee-related costs and $1.0 million in outside services.</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Impairment related to real estate assets</w:t>
      </w:r>
    </w:p>
    <w:p>
      <w:pPr>
        <w:spacing w:after="0" w:line="283"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0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56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5"/>
        </w:trPr>
        <w:tc>
          <w:tcPr>
            <w:tcW w:w="5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r>
      <w:tr>
        <w:trPr>
          <w:trHeight w:val="222"/>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related to real estate assets</w:t>
            </w: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308" w:lineRule="exact"/>
        <w:rPr>
          <w:sz w:val="20"/>
          <w:szCs w:val="20"/>
          <w:color w:val="auto"/>
        </w:rPr>
      </w:pPr>
    </w:p>
    <w:p>
      <w:pPr>
        <w:ind w:right="40" w:firstLine="391"/>
        <w:spacing w:after="0" w:line="275" w:lineRule="auto"/>
        <w:rPr>
          <w:sz w:val="20"/>
          <w:szCs w:val="20"/>
          <w:color w:val="auto"/>
        </w:rPr>
      </w:pPr>
      <w:r>
        <w:rPr>
          <w:rFonts w:ascii="Times New Roman" w:cs="Times New Roman" w:eastAsia="Times New Roman" w:hAnsi="Times New Roman"/>
          <w:sz w:val="17"/>
          <w:szCs w:val="17"/>
          <w:color w:val="auto"/>
        </w:rPr>
        <w:t>Impairment related to real estate assets was $17.3 million during the three months ended March 31, 2021, due to an impairment charge as a result of our adoption of our Virtual First strategy, including the acquisition of DocSend. We did not incur any impairment related to real estate assets during the three months ended March 31, 2022.</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Interest expense, net</w:t>
      </w:r>
    </w:p>
    <w:p>
      <w:pPr>
        <w:spacing w:after="0" w:line="250" w:lineRule="exact"/>
        <w:rPr>
          <w:sz w:val="20"/>
          <w:szCs w:val="20"/>
          <w:color w:val="auto"/>
        </w:rPr>
      </w:pPr>
    </w:p>
    <w:p>
      <w:pPr>
        <w:ind w:right="300" w:firstLine="391"/>
        <w:spacing w:after="0" w:line="275" w:lineRule="auto"/>
        <w:rPr>
          <w:sz w:val="20"/>
          <w:szCs w:val="20"/>
          <w:color w:val="auto"/>
        </w:rPr>
      </w:pPr>
      <w:r>
        <w:rPr>
          <w:rFonts w:ascii="Times New Roman" w:cs="Times New Roman" w:eastAsia="Times New Roman" w:hAnsi="Times New Roman"/>
          <w:sz w:val="17"/>
          <w:szCs w:val="17"/>
          <w:color w:val="auto"/>
        </w:rPr>
        <w:t>Interest expense, net increased $0.2 million during the three months ended March 31, 2022, as compared to the three months ended March 31, 2021, primarily due to an increase in interest expense due to the amortization of debt issuance costs related to our convertible debt offering during the three months ended March 31, 2021.</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Other income, net</w:t>
      </w:r>
    </w:p>
    <w:p>
      <w:pPr>
        <w:spacing w:after="0" w:line="250" w:lineRule="exact"/>
        <w:rPr>
          <w:sz w:val="20"/>
          <w:szCs w:val="20"/>
          <w:color w:val="auto"/>
        </w:rPr>
      </w:pPr>
    </w:p>
    <w:p>
      <w:pPr>
        <w:ind w:firstLine="391"/>
        <w:spacing w:after="0" w:line="275" w:lineRule="auto"/>
        <w:rPr>
          <w:sz w:val="20"/>
          <w:szCs w:val="20"/>
          <w:color w:val="auto"/>
        </w:rPr>
      </w:pPr>
      <w:r>
        <w:rPr>
          <w:rFonts w:ascii="Times New Roman" w:cs="Times New Roman" w:eastAsia="Times New Roman" w:hAnsi="Times New Roman"/>
          <w:sz w:val="17"/>
          <w:szCs w:val="17"/>
          <w:color w:val="auto"/>
        </w:rPr>
        <w:t>Other income, net increased $0.6 million during the three months ended March 31, 2022, as compared to the three months ended March 31, 2021, primarily due to an increase of $2.7 million in foreign currency transaction gains. This increase was offset by decreases of $1.0 million in losses related to the disposal of infrastructure assets and $1.0 million in losses related to short-term investments.</w:t>
      </w:r>
    </w:p>
    <w:p>
      <w:pPr>
        <w:spacing w:after="0" w:line="1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i w:val="1"/>
          <w:iCs w:val="1"/>
          <w:color w:val="auto"/>
        </w:rPr>
        <w:t>(Provision for) benefit from income taxes</w:t>
      </w:r>
    </w:p>
    <w:p>
      <w:pPr>
        <w:spacing w:after="0" w:line="250" w:lineRule="exact"/>
        <w:rPr>
          <w:sz w:val="20"/>
          <w:szCs w:val="20"/>
          <w:color w:val="auto"/>
        </w:rPr>
      </w:pPr>
    </w:p>
    <w:p>
      <w:pPr>
        <w:ind w:right="140" w:firstLine="391"/>
        <w:spacing w:after="0" w:line="268" w:lineRule="auto"/>
        <w:rPr>
          <w:sz w:val="20"/>
          <w:szCs w:val="20"/>
          <w:color w:val="auto"/>
        </w:rPr>
      </w:pPr>
      <w:r>
        <w:rPr>
          <w:rFonts w:ascii="Times New Roman" w:cs="Times New Roman" w:eastAsia="Times New Roman" w:hAnsi="Times New Roman"/>
          <w:sz w:val="17"/>
          <w:szCs w:val="17"/>
          <w:color w:val="auto"/>
        </w:rPr>
        <w:t>(Provision for) benefit from income taxes increased $15.3 million during the three months ended March 31, 2022, as compared to the three months ended March 31, 2021, primarily due to the impact of capitalization of research and experimental expenditures, tax expense for our Irish subsidiary, which no longer maintains a valuation allowance on deferred tax assets, and a $1.9 million benefit recorded during the three months ended March 31, 2021 as a result of the DocSend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0" w:lineRule="exact"/>
        <w:rPr>
          <w:sz w:val="20"/>
          <w:szCs w:val="20"/>
          <w:color w:val="auto"/>
        </w:rPr>
      </w:pPr>
    </w:p>
    <w:p>
      <w:pPr>
        <w:ind w:right="200" w:firstLine="391"/>
        <w:spacing w:after="0" w:line="265" w:lineRule="auto"/>
        <w:rPr>
          <w:sz w:val="20"/>
          <w:szCs w:val="20"/>
          <w:color w:val="auto"/>
        </w:rPr>
      </w:pPr>
      <w:r>
        <w:rPr>
          <w:rFonts w:ascii="Times New Roman" w:cs="Times New Roman" w:eastAsia="Times New Roman" w:hAnsi="Times New Roman"/>
          <w:sz w:val="17"/>
          <w:szCs w:val="17"/>
          <w:color w:val="auto"/>
        </w:rPr>
        <w:t>As of March 31, 2022, we had cash and cash equivalents of $445.5 million and short-term investments of $1,050.1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March 31, 2022, we had $189.7 million of our cash and cash equivalents held by our foreign subsidiaries. We do not expect to incur material taxes in the event we repatriate any of these amounts.</w:t>
      </w:r>
    </w:p>
    <w:p>
      <w:pPr>
        <w:spacing w:after="0" w:line="107" w:lineRule="exact"/>
        <w:rPr>
          <w:sz w:val="20"/>
          <w:szCs w:val="20"/>
          <w:color w:val="auto"/>
        </w:rPr>
      </w:pPr>
    </w:p>
    <w:p>
      <w:pPr>
        <w:ind w:firstLine="391"/>
        <w:spacing w:after="0" w:line="267" w:lineRule="auto"/>
        <w:rPr>
          <w:sz w:val="20"/>
          <w:szCs w:val="20"/>
          <w:color w:val="auto"/>
        </w:rPr>
      </w:pPr>
      <w:r>
        <w:rPr>
          <w:rFonts w:ascii="Times New Roman" w:cs="Times New Roman" w:eastAsia="Times New Roman" w:hAnsi="Times New Roman"/>
          <w:sz w:val="17"/>
          <w:szCs w:val="17"/>
          <w:color w:val="auto"/>
        </w:rPr>
        <w:t>Since our inception, we have financed our operations primarily through cash generated from our operations, the issuance of the Notes,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w:t>
      </w:r>
    </w:p>
    <w:p>
      <w:pPr>
        <w:spacing w:after="0" w:line="304" w:lineRule="exact"/>
        <w:rPr>
          <w:sz w:val="20"/>
          <w:szCs w:val="20"/>
          <w:color w:val="auto"/>
        </w:rPr>
      </w:pPr>
    </w:p>
    <w:p>
      <w:pPr>
        <w:ind w:firstLine="391"/>
        <w:spacing w:after="0" w:line="263" w:lineRule="auto"/>
        <w:rPr>
          <w:sz w:val="20"/>
          <w:szCs w:val="20"/>
          <w:color w:val="auto"/>
        </w:rPr>
      </w:pPr>
      <w:r>
        <w:rPr>
          <w:rFonts w:ascii="Times New Roman" w:cs="Times New Roman" w:eastAsia="Times New Roman" w:hAnsi="Times New Roman"/>
          <w:sz w:val="17"/>
          <w:szCs w:val="17"/>
          <w:color w:val="auto"/>
        </w:rPr>
        <w:t>In February 2021, we issued approximately $1.4 billion in aggregate principal amount of convertible senior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will not bear regular interest and the principal will not accrete. The Notes of each series may bear special interest as the remedy relating to the Company’s failure to comply with certain of its reporting obligations. These Notes can be converted or repurchased prior to maturity if certain conditions are met.</w:t>
      </w:r>
    </w:p>
    <w:p>
      <w:pPr>
        <w:spacing w:after="0" w:line="110" w:lineRule="exact"/>
        <w:rPr>
          <w:sz w:val="20"/>
          <w:szCs w:val="20"/>
          <w:color w:val="auto"/>
        </w:rPr>
      </w:pPr>
    </w:p>
    <w:p>
      <w:pPr>
        <w:ind w:firstLine="391"/>
        <w:spacing w:after="0" w:line="261" w:lineRule="auto"/>
        <w:rPr>
          <w:sz w:val="20"/>
          <w:szCs w:val="20"/>
          <w:color w:val="auto"/>
        </w:rPr>
      </w:pPr>
      <w:r>
        <w:rPr>
          <w:rFonts w:ascii="Times New Roman" w:cs="Times New Roman" w:eastAsia="Times New Roman" w:hAnsi="Times New Roman"/>
          <w:sz w:val="17"/>
          <w:szCs w:val="17"/>
          <w:color w:val="auto"/>
        </w:rPr>
        <w:t>Our principal uses of cash in recent periods have been funding our operations, repurchases of our Class A common stock, purchases of short-term investments, the satisfaction of tax withholdings in connection with the settlement of restricted stock units and awards, making principal payments on our finance lease obligations, and capital expenditures. In February 2020, our Board of Directors approved a stock repurchase program for the repurchase of up to $600 million of the outstanding shares of our Class A common stock. In February 2021, our Board of Directors authorized the repurchase of up to an additional</w:t>
      </w:r>
    </w:p>
    <w:p>
      <w:pPr>
        <w:spacing w:after="0" w:line="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$1 billion of the outstanding shares of our Class A common stock. In February 2022, our Board of Directors authorized the repurchase of up to an additional $1.2 billion of the outstanding shares of our Class A common stock. Share repurchases will be made from time to 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three months ended March 31, 2022, we repurchased and subsequently retired 11.0 million share of our Class A common stock for an aggregate amount of $259.9 million. The pace of our share repurchases may vary due to various circumstances, including market conditions and our stock price.</w:t>
      </w:r>
    </w:p>
    <w:p>
      <w:pPr>
        <w:spacing w:after="0" w:line="202" w:lineRule="exact"/>
        <w:rPr>
          <w:sz w:val="20"/>
          <w:szCs w:val="20"/>
          <w:color w:val="auto"/>
        </w:rPr>
      </w:pPr>
    </w:p>
    <w:p>
      <w:pPr>
        <w:ind w:right="40" w:firstLine="391"/>
        <w:spacing w:after="0" w:line="261" w:lineRule="auto"/>
        <w:rPr>
          <w:sz w:val="20"/>
          <w:szCs w:val="20"/>
          <w:color w:val="auto"/>
        </w:rPr>
      </w:pPr>
      <w:r>
        <w:rPr>
          <w:rFonts w:ascii="Times New Roman" w:cs="Times New Roman" w:eastAsia="Times New Roman" w:hAnsi="Times New Roman"/>
          <w:sz w:val="17"/>
          <w:szCs w:val="17"/>
          <w:color w:val="auto"/>
        </w:rPr>
        <w:t>In April 2017, we entered into a $600.0 million credit facility with a syndicate of financial institutions, which we subsequently amended in February 2018 and February 2021. Pursuant to the terms of the revolving credit facility, we may issue letters of credit under the revolving credit facility, which reduce the total amount available for borrowing under such facility.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In February 2021, we amended our revolving credit facility to decrease our borrowing capacity from $725.0 million to $500.0 million. We may from time to time request increases in the borrowing capacity under the revolving credit facility of up to $250.0 million, provided no event of default has occurred or is continuing or would result from such increase. The revolving credit facility terminates on February 23, 2026.</w:t>
      </w:r>
    </w:p>
    <w:p>
      <w:pPr>
        <w:spacing w:after="0" w:line="112" w:lineRule="exact"/>
        <w:rPr>
          <w:sz w:val="20"/>
          <w:szCs w:val="20"/>
          <w:color w:val="auto"/>
        </w:rPr>
      </w:pPr>
    </w:p>
    <w:p>
      <w:pPr>
        <w:ind w:right="400" w:firstLine="391"/>
        <w:spacing w:after="0" w:line="267" w:lineRule="auto"/>
        <w:rPr>
          <w:sz w:val="20"/>
          <w:szCs w:val="20"/>
          <w:color w:val="auto"/>
        </w:rPr>
      </w:pPr>
      <w:r>
        <w:rPr>
          <w:rFonts w:ascii="Times New Roman" w:cs="Times New Roman" w:eastAsia="Times New Roman" w:hAnsi="Times New Roman"/>
          <w:sz w:val="17"/>
          <w:szCs w:val="17"/>
          <w:color w:val="auto"/>
        </w:rPr>
        <w:t>Interest on borrowings under the revolving credit facility accrues at a variable rate tied to LIBOR or an alternative base rate, at our election. Interest is payable quarterly in arrears. Pursuant to the terms of the revolving credit facility, we are required to pay an annual commitment fee that accrues at a rate of</w:t>
      </w:r>
    </w:p>
    <w:p>
      <w:pPr>
        <w:spacing w:after="0" w:line="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0.20% per annum on the unused portion of the borrowing commitments under the revolving credit facility. In addition, we are required to pay a fee in connection with letters of credit issued under the revolving credit facility that accrues at a rate of 1.375% per annum on the amount of such letters of credit outstanding. There is an additional fronting fee of 0.125% per annum multiplied by the average aggregate daily maximum amount available under all letters of credit.</w:t>
      </w:r>
    </w:p>
    <w:p>
      <w:pPr>
        <w:spacing w:after="0" w:line="93" w:lineRule="exact"/>
        <w:rPr>
          <w:sz w:val="20"/>
          <w:szCs w:val="20"/>
          <w:color w:val="auto"/>
        </w:rPr>
      </w:pPr>
    </w:p>
    <w:p>
      <w:pPr>
        <w:ind w:right="220" w:firstLine="391"/>
        <w:spacing w:after="0" w:line="275" w:lineRule="auto"/>
        <w:rPr>
          <w:sz w:val="20"/>
          <w:szCs w:val="20"/>
          <w:color w:val="auto"/>
        </w:rPr>
      </w:pPr>
      <w:r>
        <w:rPr>
          <w:rFonts w:ascii="Times New Roman" w:cs="Times New Roman" w:eastAsia="Times New Roman" w:hAnsi="Times New Roman"/>
          <w:sz w:val="17"/>
          <w:szCs w:val="17"/>
          <w:color w:val="auto"/>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280"/>
        <w:spacing w:after="0" w:line="294" w:lineRule="auto"/>
        <w:rPr>
          <w:sz w:val="20"/>
          <w:szCs w:val="20"/>
          <w:color w:val="auto"/>
        </w:rPr>
      </w:pPr>
      <w:r>
        <w:rPr>
          <w:rFonts w:ascii="Times New Roman" w:cs="Times New Roman" w:eastAsia="Times New Roman" w:hAnsi="Times New Roman"/>
          <w:sz w:val="17"/>
          <w:szCs w:val="17"/>
          <w:color w:val="auto"/>
        </w:rPr>
        <w:t>financial covenants, including a consolidated leverage ratio incurrence covenant and a minimum liquidity balance. We were in compliance with all covenants under the revolving credit facility as of March 31, 2022.</w:t>
      </w:r>
    </w:p>
    <w:p>
      <w:pPr>
        <w:spacing w:after="0" w:line="82" w:lineRule="exact"/>
        <w:rPr>
          <w:sz w:val="20"/>
          <w:szCs w:val="20"/>
          <w:color w:val="auto"/>
        </w:rPr>
      </w:pPr>
    </w:p>
    <w:p>
      <w:pPr>
        <w:ind w:right="40" w:firstLine="391"/>
        <w:spacing w:after="0" w:line="294" w:lineRule="auto"/>
        <w:rPr>
          <w:sz w:val="20"/>
          <w:szCs w:val="20"/>
          <w:color w:val="auto"/>
        </w:rPr>
      </w:pPr>
      <w:r>
        <w:rPr>
          <w:rFonts w:ascii="Times New Roman" w:cs="Times New Roman" w:eastAsia="Times New Roman" w:hAnsi="Times New Roman"/>
          <w:sz w:val="17"/>
          <w:szCs w:val="17"/>
          <w:color w:val="auto"/>
        </w:rPr>
        <w:t>As of March 31, 2022, we had no amounts outstanding under the revolving credit facility and an aggregate of $52.1 million in letters of credit issued under the revolving credit facility. Our total available borrowing capacity under the revolving credit facility was $447.9 million as of March 31, 2022.</w:t>
      </w:r>
    </w:p>
    <w:p>
      <w:pPr>
        <w:spacing w:after="0" w:line="56" w:lineRule="exact"/>
        <w:rPr>
          <w:sz w:val="20"/>
          <w:szCs w:val="20"/>
          <w:color w:val="auto"/>
        </w:rPr>
      </w:pPr>
    </w:p>
    <w:p>
      <w:pPr>
        <w:ind w:right="40" w:firstLine="391"/>
        <w:spacing w:after="0" w:line="247" w:lineRule="auto"/>
        <w:rPr>
          <w:sz w:val="20"/>
          <w:szCs w:val="20"/>
          <w:color w:val="auto"/>
        </w:rPr>
      </w:pPr>
      <w:r>
        <w:rPr>
          <w:rFonts w:ascii="Times New Roman" w:cs="Times New Roman" w:eastAsia="Times New Roman" w:hAnsi="Times New Roman"/>
          <w:sz w:val="17"/>
          <w:szCs w:val="17"/>
          <w:color w:val="auto"/>
        </w:rPr>
        <w:t>We believe our existing cash and cash equivalents, together with our short-term investments, cash provided by operations and amounts available under the revolving credit facility, will be sufficient to meet our needs for the foreseeable future. Our principal commitments consist of obligations under the Notes, operating leases for office space and data center operations, and finance leases for data center and office equipment. For additional information on the Notes, operating leases for office space and data center operations, and finance leases for data center and office equipment, see Note 8 "Debt" and Note 9 "Leases" to our condensed consolidated financial statements included elsewhere in this Quarterly Report on Form 10-Q for further information. There have been no material changes in our contractual obligations and commitments, as disclosed in our Annual Report on Form 10-K for the year ended December 31, 2021.</w:t>
      </w:r>
    </w:p>
    <w:p>
      <w:pPr>
        <w:spacing w:after="0" w:line="201" w:lineRule="exact"/>
        <w:rPr>
          <w:sz w:val="20"/>
          <w:szCs w:val="20"/>
          <w:color w:val="auto"/>
        </w:rPr>
      </w:pPr>
    </w:p>
    <w:p>
      <w:pPr>
        <w:ind w:right="60" w:firstLine="391"/>
        <w:spacing w:after="0" w:line="242" w:lineRule="auto"/>
        <w:rPr>
          <w:sz w:val="20"/>
          <w:szCs w:val="20"/>
          <w:color w:val="auto"/>
        </w:rPr>
      </w:pPr>
      <w:r>
        <w:rPr>
          <w:rFonts w:ascii="Times New Roman" w:cs="Times New Roman" w:eastAsia="Times New Roman" w:hAnsi="Times New Roman"/>
          <w:sz w:val="17"/>
          <w:szCs w:val="17"/>
          <w:color w:val="auto"/>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Our cash flow activities were as follows for the periods presented:</w:t>
      </w:r>
    </w:p>
    <w:p>
      <w:pPr>
        <w:spacing w:after="0" w:line="190"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jc w:val="center"/>
        <w:ind w:left="74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5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2021</w:t>
            </w:r>
          </w:p>
        </w:tc>
      </w:tr>
      <w:tr>
        <w:trPr>
          <w:trHeight w:val="215"/>
        </w:trPr>
        <w:tc>
          <w:tcPr>
            <w:tcW w:w="7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i w:val="1"/>
                <w:iCs w:val="1"/>
                <w:color w:val="auto"/>
              </w:rPr>
              <w:t>(In millions)</w:t>
            </w:r>
          </w:p>
        </w:tc>
        <w:tc>
          <w:tcPr>
            <w:tcW w:w="1220" w:type="dxa"/>
            <w:vAlign w:val="bottom"/>
          </w:tcPr>
          <w:p>
            <w:pPr>
              <w:spacing w:after="0"/>
              <w:rPr>
                <w:sz w:val="18"/>
                <w:szCs w:val="18"/>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115.7</w:t>
            </w:r>
          </w:p>
        </w:tc>
      </w:tr>
      <w:tr>
        <w:trPr>
          <w:trHeight w:val="222"/>
        </w:trPr>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(398.8)</w:t>
            </w:r>
          </w:p>
        </w:tc>
      </w:tr>
      <w:tr>
        <w:trPr>
          <w:trHeight w:val="222"/>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financing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814.6</w:t>
            </w:r>
          </w:p>
        </w:tc>
      </w:tr>
      <w:tr>
        <w:trPr>
          <w:trHeight w:val="222"/>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and cash equivalents</w:t>
            </w:r>
          </w:p>
        </w:tc>
        <w:tc>
          <w:tcPr>
            <w:tcW w:w="1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(0.9)</w:t>
            </w:r>
          </w:p>
        </w:tc>
      </w:tr>
      <w:tr>
        <w:trPr>
          <w:trHeight w:val="24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530.6</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161" w:lineRule="exact"/>
        <w:rPr>
          <w:sz w:val="20"/>
          <w:szCs w:val="20"/>
          <w:color w:val="auto"/>
        </w:rPr>
      </w:pPr>
    </w:p>
    <w:p>
      <w:pPr>
        <w:ind w:right="60" w:firstLine="391"/>
        <w:spacing w:after="0" w:line="268" w:lineRule="auto"/>
        <w:rPr>
          <w:sz w:val="20"/>
          <w:szCs w:val="20"/>
          <w:color w:val="auto"/>
        </w:rPr>
      </w:pPr>
      <w:r>
        <w:rPr>
          <w:rFonts w:ascii="Times New Roman" w:cs="Times New Roman" w:eastAsia="Times New Roman" w:hAnsi="Times New Roman"/>
          <w:sz w:val="17"/>
          <w:szCs w:val="17"/>
          <w:color w:val="auto"/>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depreciation and amortization expenses, stock-based compensation, and impairment related to real estate assets, as well as the effect of changes in operating assets and liabilities.</w:t>
      </w:r>
    </w:p>
    <w:p>
      <w:pPr>
        <w:spacing w:after="0" w:line="105" w:lineRule="exact"/>
        <w:rPr>
          <w:sz w:val="20"/>
          <w:szCs w:val="20"/>
          <w:color w:val="auto"/>
        </w:rPr>
      </w:pPr>
    </w:p>
    <w:p>
      <w:pPr>
        <w:ind w:firstLine="391"/>
        <w:spacing w:after="0" w:line="265" w:lineRule="auto"/>
        <w:rPr>
          <w:sz w:val="20"/>
          <w:szCs w:val="20"/>
          <w:color w:val="auto"/>
        </w:rPr>
      </w:pPr>
      <w:r>
        <w:rPr>
          <w:rFonts w:ascii="Times New Roman" w:cs="Times New Roman" w:eastAsia="Times New Roman" w:hAnsi="Times New Roman"/>
          <w:sz w:val="17"/>
          <w:szCs w:val="17"/>
          <w:color w:val="auto"/>
        </w:rPr>
        <w:t>For the three months ended March 31, 2022, net cash provided by operating activities was $141.4 million, which primarily consisted of our net income of $79.7 million, adjusted for stock-based compensation expense of $72.3 million, depreciation and amortization expenses of $39.4 million, and net cash outflow of $61.8 million from operating assets and liabilities. The outflow from operating assets and liabilities was primarily due to the payment of our corporate bonus and key employee holdback payments related to acquisitions, offset by an increase in deferred revenue from increased subscription sales, as a majority of our paying users are invoiced in advance.</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161" w:lineRule="exact"/>
        <w:rPr>
          <w:sz w:val="20"/>
          <w:szCs w:val="20"/>
          <w:color w:val="auto"/>
        </w:rPr>
      </w:pPr>
    </w:p>
    <w:p>
      <w:pPr>
        <w:ind w:right="420" w:firstLine="391"/>
        <w:spacing w:after="0" w:line="294" w:lineRule="auto"/>
        <w:rPr>
          <w:sz w:val="20"/>
          <w:szCs w:val="20"/>
          <w:color w:val="auto"/>
        </w:rPr>
      </w:pPr>
      <w:r>
        <w:rPr>
          <w:rFonts w:ascii="Times New Roman" w:cs="Times New Roman" w:eastAsia="Times New Roman" w:hAnsi="Times New Roman"/>
          <w:sz w:val="17"/>
          <w:szCs w:val="17"/>
          <w:color w:val="auto"/>
        </w:rPr>
        <w:t>Net cash provided by (used in) investing activities is primarily impacted by net investment activity, which includes sales, maturities, and purchases of short-term investments, purchases of property and equipment to make improvements or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modifications to existing and new office spaces, and for purchasing infrastructure equipment in co-location facilities that we directly lease and operate.</w:t>
      </w:r>
    </w:p>
    <w:p>
      <w:pPr>
        <w:spacing w:after="0" w:line="157" w:lineRule="exact"/>
        <w:rPr>
          <w:sz w:val="20"/>
          <w:szCs w:val="20"/>
          <w:color w:val="auto"/>
        </w:rPr>
      </w:pPr>
    </w:p>
    <w:p>
      <w:pPr>
        <w:ind w:right="120" w:firstLine="391"/>
        <w:spacing w:after="0" w:line="275" w:lineRule="auto"/>
        <w:rPr>
          <w:sz w:val="20"/>
          <w:szCs w:val="20"/>
          <w:color w:val="auto"/>
        </w:rPr>
      </w:pPr>
      <w:r>
        <w:rPr>
          <w:rFonts w:ascii="Times New Roman" w:cs="Times New Roman" w:eastAsia="Times New Roman" w:hAnsi="Times New Roman"/>
          <w:sz w:val="17"/>
          <w:szCs w:val="17"/>
          <w:color w:val="auto"/>
        </w:rPr>
        <w:t>For the three months ended March 31, 2022, net cash provided by investing activities was $101.0 million, which primarily related to $107.7 million in net investment activity inflows, driven by the sales and maturities of short-term investments, net of purchases. The increase was partially offset by cash paid for capital expenditures of $10.7 million related to our office build-outs and work required to prepare spaces for sublease.</w:t>
      </w:r>
    </w:p>
    <w:p>
      <w:pPr>
        <w:spacing w:after="0" w:line="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61" w:lineRule="exact"/>
        <w:rPr>
          <w:sz w:val="20"/>
          <w:szCs w:val="20"/>
          <w:color w:val="auto"/>
        </w:rPr>
      </w:pPr>
    </w:p>
    <w:p>
      <w:pPr>
        <w:ind w:firstLine="391"/>
        <w:spacing w:after="0" w:line="294" w:lineRule="auto"/>
        <w:rPr>
          <w:sz w:val="20"/>
          <w:szCs w:val="20"/>
          <w:color w:val="auto"/>
        </w:rPr>
      </w:pPr>
      <w:r>
        <w:rPr>
          <w:rFonts w:ascii="Times New Roman" w:cs="Times New Roman" w:eastAsia="Times New Roman" w:hAnsi="Times New Roman"/>
          <w:sz w:val="17"/>
          <w:szCs w:val="17"/>
          <w:color w:val="auto"/>
        </w:rPr>
        <w:t>Net cash (used in) provided by financing activities is primarily impacted by cash used for repurchases of common stock, tax withholding obligations for the release of RSUs and RSAs, and principal payments on finance lease obligations for our infrastructure equipment.</w:t>
      </w:r>
    </w:p>
    <w:p>
      <w:pPr>
        <w:spacing w:after="0" w:line="82" w:lineRule="exact"/>
        <w:rPr>
          <w:sz w:val="20"/>
          <w:szCs w:val="20"/>
          <w:color w:val="auto"/>
        </w:rPr>
      </w:pPr>
    </w:p>
    <w:p>
      <w:pPr>
        <w:jc w:val="both"/>
        <w:ind w:right="140" w:firstLine="391"/>
        <w:spacing w:after="0" w:line="275" w:lineRule="auto"/>
        <w:rPr>
          <w:sz w:val="20"/>
          <w:szCs w:val="20"/>
          <w:color w:val="auto"/>
        </w:rPr>
      </w:pPr>
      <w:r>
        <w:rPr>
          <w:rFonts w:ascii="Times New Roman" w:cs="Times New Roman" w:eastAsia="Times New Roman" w:hAnsi="Times New Roman"/>
          <w:sz w:val="17"/>
          <w:szCs w:val="17"/>
          <w:color w:val="auto"/>
        </w:rPr>
        <w:t>For the three months ended March 31, 2022, net cash used in financing activities was $328.8 million, which primarily consisted of $259.9 million for the repurchase of our common stock, $36.7 million for the satisfaction of tax withholding obligations for the release of restricted stock units and awards, and $32.4 million in principal payments on finance lease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250" w:lineRule="exact"/>
        <w:rPr>
          <w:sz w:val="20"/>
          <w:szCs w:val="20"/>
          <w:color w:val="auto"/>
        </w:rPr>
      </w:pPr>
    </w:p>
    <w:p>
      <w:pPr>
        <w:ind w:firstLine="313"/>
        <w:spacing w:after="0" w:line="294" w:lineRule="auto"/>
        <w:rPr>
          <w:sz w:val="20"/>
          <w:szCs w:val="20"/>
          <w:color w:val="auto"/>
        </w:rPr>
      </w:pPr>
      <w:r>
        <w:rPr>
          <w:rFonts w:ascii="Times New Roman" w:cs="Times New Roman" w:eastAsia="Times New Roman" w:hAnsi="Times New Roman"/>
          <w:sz w:val="17"/>
          <w:szCs w:val="17"/>
          <w:color w:val="auto"/>
        </w:rPr>
        <w:t>See Part II, Item 7, “Critical Accounting Estimates” in our Annual Report on Form 10-K for the year ended December 31, 2021. There have been no material changes to our critical accounting policies and estimates since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640"/>
          </w:cols>
          <w:pgMar w:left="320" w:top="119" w:right="9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50" w:lineRule="exact"/>
        <w:rPr>
          <w:sz w:val="20"/>
          <w:szCs w:val="20"/>
          <w:color w:val="auto"/>
        </w:rPr>
      </w:pPr>
    </w:p>
    <w:p>
      <w:pPr>
        <w:ind w:firstLine="391"/>
        <w:spacing w:after="0" w:line="294" w:lineRule="auto"/>
        <w:rPr>
          <w:sz w:val="20"/>
          <w:szCs w:val="20"/>
          <w:color w:val="auto"/>
        </w:rPr>
      </w:pPr>
      <w:r>
        <w:rPr>
          <w:rFonts w:ascii="Times New Roman" w:cs="Times New Roman" w:eastAsia="Times New Roman" w:hAnsi="Times New Roman"/>
          <w:sz w:val="17"/>
          <w:szCs w:val="17"/>
          <w:color w:val="auto"/>
        </w:rPr>
        <w:t>See Note 1 “Description of the Business and Summary of Significant Accounting Policies” to our condensed consolidated financial statements included elsewhere in this Quarterly Report on Form 10-Q for recently adopted accounting pronouncements as of the date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960"/>
          </w:cols>
          <w:pgMar w:left="320" w:top="119" w:right="6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3. QUANTITATIVE AND QUALITATIVE DISCLOSURES ABOUT MARKET RISK</w:t>
      </w:r>
    </w:p>
    <w:p>
      <w:pPr>
        <w:spacing w:after="0" w:line="2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Interest rate risk</w:t>
      </w:r>
    </w:p>
    <w:p>
      <w:pPr>
        <w:spacing w:after="0" w:line="161" w:lineRule="exact"/>
        <w:rPr>
          <w:sz w:val="20"/>
          <w:szCs w:val="20"/>
          <w:color w:val="auto"/>
        </w:rPr>
      </w:pPr>
    </w:p>
    <w:p>
      <w:pPr>
        <w:ind w:right="20" w:firstLine="391"/>
        <w:spacing w:after="0" w:line="263" w:lineRule="auto"/>
        <w:rPr>
          <w:sz w:val="20"/>
          <w:szCs w:val="20"/>
          <w:color w:val="auto"/>
        </w:rPr>
      </w:pPr>
      <w:r>
        <w:rPr>
          <w:rFonts w:ascii="Times New Roman" w:cs="Times New Roman" w:eastAsia="Times New Roman" w:hAnsi="Times New Roman"/>
          <w:sz w:val="17"/>
          <w:szCs w:val="17"/>
          <w:color w:val="auto"/>
        </w:rPr>
        <w:t>We had cash and cash equivalents of $445.5 million and short-term investments of $1,050.1 million as of March 31, 2022.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w:t>
      </w:r>
    </w:p>
    <w:p>
      <w:pPr>
        <w:spacing w:after="0" w:line="110" w:lineRule="exact"/>
        <w:rPr>
          <w:sz w:val="20"/>
          <w:szCs w:val="20"/>
          <w:color w:val="auto"/>
        </w:rPr>
      </w:pPr>
    </w:p>
    <w:p>
      <w:pPr>
        <w:jc w:val="both"/>
        <w:ind w:right="80" w:firstLine="391"/>
        <w:spacing w:after="0" w:line="275" w:lineRule="auto"/>
        <w:rPr>
          <w:sz w:val="20"/>
          <w:szCs w:val="20"/>
          <w:color w:val="auto"/>
        </w:rPr>
      </w:pPr>
      <w:r>
        <w:rPr>
          <w:rFonts w:ascii="Times New Roman" w:cs="Times New Roman" w:eastAsia="Times New Roman" w:hAnsi="Times New Roman"/>
          <w:sz w:val="17"/>
          <w:szCs w:val="17"/>
          <w:color w:val="auto"/>
        </w:rPr>
        <w:t>Any borrowings under the revolving credit facility bear interest at a variable rate tied to LIBOR or an alternative base rate. As of March 31, 2022, we had no amounts outstanding under the revolving credit facility. We do not have any other long-term debt or financial liabilities with floating interest rates that would subject us to interest rate fluctuations.</w:t>
      </w:r>
    </w:p>
    <w:p>
      <w:pPr>
        <w:spacing w:after="0" w:line="84" w:lineRule="exact"/>
        <w:rPr>
          <w:sz w:val="20"/>
          <w:szCs w:val="20"/>
          <w:color w:val="auto"/>
        </w:rPr>
      </w:pPr>
    </w:p>
    <w:p>
      <w:pPr>
        <w:ind w:firstLine="391"/>
        <w:spacing w:after="0" w:line="294" w:lineRule="auto"/>
        <w:rPr>
          <w:sz w:val="20"/>
          <w:szCs w:val="20"/>
          <w:color w:val="auto"/>
        </w:rPr>
      </w:pPr>
      <w:r>
        <w:rPr>
          <w:rFonts w:ascii="Times New Roman" w:cs="Times New Roman" w:eastAsia="Times New Roman" w:hAnsi="Times New Roman"/>
          <w:sz w:val="17"/>
          <w:szCs w:val="17"/>
          <w:color w:val="auto"/>
        </w:rPr>
        <w:t>As of March 31, 2022, a hypothetical increase in interest rates by 100 basis points would have resulted in a $17 million reduction in the market value of our investment portfolio. This estimate is based on a sensitivity model that measures market value changes when changes in interest rates occur.</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148" w:lineRule="exact"/>
        <w:rPr>
          <w:sz w:val="20"/>
          <w:szCs w:val="20"/>
          <w:color w:val="auto"/>
        </w:rPr>
      </w:pPr>
    </w:p>
    <w:p>
      <w:pPr>
        <w:ind w:right="60" w:firstLine="391"/>
        <w:spacing w:after="0" w:line="294" w:lineRule="auto"/>
        <w:rPr>
          <w:sz w:val="20"/>
          <w:szCs w:val="20"/>
          <w:color w:val="auto"/>
        </w:rPr>
      </w:pPr>
      <w:r>
        <w:rPr>
          <w:rFonts w:ascii="Times New Roman" w:cs="Times New Roman" w:eastAsia="Times New Roman" w:hAnsi="Times New Roman"/>
          <w:sz w:val="17"/>
          <w:szCs w:val="17"/>
          <w:color w:val="auto"/>
        </w:rPr>
        <w:t>Our results of operations and cash flows are subject to fluctuations due to changes in foreign currency exchange rates relative to U.S. dollars, our reporting currency.</w:t>
      </w:r>
    </w:p>
    <w:p>
      <w:pPr>
        <w:spacing w:after="0" w:line="82" w:lineRule="exact"/>
        <w:rPr>
          <w:sz w:val="20"/>
          <w:szCs w:val="20"/>
          <w:color w:val="auto"/>
        </w:rPr>
      </w:pPr>
    </w:p>
    <w:p>
      <w:pPr>
        <w:ind w:right="140" w:firstLine="391"/>
        <w:spacing w:after="0" w:line="294" w:lineRule="auto"/>
        <w:rPr>
          <w:sz w:val="20"/>
          <w:szCs w:val="20"/>
          <w:color w:val="auto"/>
        </w:rPr>
      </w:pPr>
      <w:r>
        <w:rPr>
          <w:rFonts w:ascii="Times New Roman" w:cs="Times New Roman" w:eastAsia="Times New Roman" w:hAnsi="Times New Roman"/>
          <w:sz w:val="17"/>
          <w:szCs w:val="17"/>
          <w:color w:val="auto"/>
        </w:rPr>
        <w:t>Most of our revenue is generated in U.S. dollars, with the remainder generated in Euros, British pounds sterling, Australian dollars, Canadian dollars, and Japanese yen.</w:t>
      </w:r>
    </w:p>
    <w:p>
      <w:pPr>
        <w:spacing w:after="0" w:line="82" w:lineRule="exact"/>
        <w:rPr>
          <w:sz w:val="20"/>
          <w:szCs w:val="20"/>
          <w:color w:val="auto"/>
        </w:rPr>
      </w:pPr>
    </w:p>
    <w:p>
      <w:pPr>
        <w:ind w:right="40" w:firstLine="391"/>
        <w:spacing w:after="0" w:line="268" w:lineRule="auto"/>
        <w:rPr>
          <w:sz w:val="20"/>
          <w:szCs w:val="20"/>
          <w:color w:val="auto"/>
        </w:rPr>
      </w:pPr>
      <w:r>
        <w:rPr>
          <w:rFonts w:ascii="Times New Roman" w:cs="Times New Roman" w:eastAsia="Times New Roman" w:hAnsi="Times New Roman"/>
          <w:sz w:val="17"/>
          <w:szCs w:val="17"/>
          <w:color w:val="auto"/>
        </w:rPr>
        <w:t>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w:t>
      </w:r>
    </w:p>
    <w:p>
      <w:pPr>
        <w:spacing w:after="0" w:line="92" w:lineRule="exact"/>
        <w:rPr>
          <w:sz w:val="20"/>
          <w:szCs w:val="20"/>
          <w:color w:val="auto"/>
        </w:rPr>
      </w:pPr>
    </w:p>
    <w:p>
      <w:pPr>
        <w:ind w:right="20" w:firstLine="391"/>
        <w:spacing w:after="0" w:line="261" w:lineRule="auto"/>
        <w:rPr>
          <w:sz w:val="20"/>
          <w:szCs w:val="20"/>
          <w:color w:val="auto"/>
        </w:rPr>
      </w:pPr>
      <w:r>
        <w:rPr>
          <w:rFonts w:ascii="Times New Roman" w:cs="Times New Roman" w:eastAsia="Times New Roman" w:hAnsi="Times New Roman"/>
          <w:sz w:val="17"/>
          <w:szCs w:val="17"/>
          <w:color w:val="auto"/>
        </w:rPr>
        <w:t>As exchange rates may fluctuate significantly between periods, revenue and operating expenses, when converted into U.S. dollars, may also experience significant fluctuations between periods. Volatile market conditions arising from the COVID-19 pandemic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three months ended March 31, 2022, 29%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spacing w:after="0" w:line="3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recorded net foreign currency transactions gains of $2.8 million and $0.2 million during the three months ended March 31, 2022 and 2021, respectively.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hypothetical 10% change in foreign currency rates would not have resulted in material gains or losses for the three months ended March 31, 2022 and 2021.</w:t>
      </w:r>
    </w:p>
    <w:p>
      <w:pPr>
        <w:spacing w:after="0" w:line="138" w:lineRule="exact"/>
        <w:rPr>
          <w:sz w:val="20"/>
          <w:szCs w:val="20"/>
          <w:color w:val="auto"/>
        </w:rPr>
      </w:pPr>
    </w:p>
    <w:p>
      <w:pPr>
        <w:ind w:right="120" w:firstLine="391"/>
        <w:spacing w:after="0" w:line="294" w:lineRule="auto"/>
        <w:rPr>
          <w:sz w:val="20"/>
          <w:szCs w:val="20"/>
          <w:color w:val="auto"/>
        </w:rPr>
      </w:pPr>
      <w:r>
        <w:rPr>
          <w:rFonts w:ascii="Times New Roman" w:cs="Times New Roman" w:eastAsia="Times New Roman" w:hAnsi="Times New Roman"/>
          <w:sz w:val="17"/>
          <w:szCs w:val="17"/>
          <w:color w:val="auto"/>
        </w:rPr>
        <w:t>To date, we have not engaged in any hedging activities. As our international operations grow, we will continue to reassess our approach to managing risks relating to fluctuations in currency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4. CONTROLS AND PROCEDURES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0" w:lineRule="exact"/>
        <w:rPr>
          <w:sz w:val="20"/>
          <w:szCs w:val="20"/>
          <w:color w:val="auto"/>
        </w:rPr>
      </w:pPr>
    </w:p>
    <w:p>
      <w:pPr>
        <w:jc w:val="both"/>
        <w:ind w:right="80" w:firstLine="391"/>
        <w:spacing w:after="0" w:line="268" w:lineRule="auto"/>
        <w:rPr>
          <w:sz w:val="20"/>
          <w:szCs w:val="20"/>
          <w:color w:val="auto"/>
        </w:rPr>
      </w:pPr>
      <w:r>
        <w:rPr>
          <w:rFonts w:ascii="Times New Roman" w:cs="Times New Roman" w:eastAsia="Times New Roman" w:hAnsi="Times New Roman"/>
          <w:sz w:val="17"/>
          <w:szCs w:val="17"/>
          <w:color w:val="auto"/>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50" w:lineRule="exact"/>
        <w:rPr>
          <w:sz w:val="20"/>
          <w:szCs w:val="20"/>
          <w:color w:val="auto"/>
        </w:rPr>
      </w:pPr>
    </w:p>
    <w:p>
      <w:pPr>
        <w:ind w:right="120" w:firstLine="391"/>
        <w:spacing w:after="0" w:line="275" w:lineRule="auto"/>
        <w:rPr>
          <w:sz w:val="20"/>
          <w:szCs w:val="20"/>
          <w:color w:val="auto"/>
        </w:rPr>
      </w:pPr>
      <w:r>
        <w:rPr>
          <w:rFonts w:ascii="Times New Roman" w:cs="Times New Roman" w:eastAsia="Times New Roman" w:hAnsi="Times New Roman"/>
          <w:sz w:val="17"/>
          <w:szCs w:val="17"/>
          <w:color w:val="auto"/>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Inherent Limitations on Effectiveness of Disclosure Controls and Procedures</w:t>
      </w:r>
    </w:p>
    <w:p>
      <w:pPr>
        <w:spacing w:after="0" w:line="250" w:lineRule="exact"/>
        <w:rPr>
          <w:sz w:val="20"/>
          <w:szCs w:val="20"/>
          <w:color w:val="auto"/>
        </w:rPr>
      </w:pPr>
    </w:p>
    <w:p>
      <w:pPr>
        <w:ind w:firstLine="391"/>
        <w:spacing w:after="0" w:line="260" w:lineRule="auto"/>
        <w:rPr>
          <w:sz w:val="20"/>
          <w:szCs w:val="20"/>
          <w:color w:val="auto"/>
        </w:rPr>
      </w:pPr>
      <w:r>
        <w:rPr>
          <w:rFonts w:ascii="Times New Roman" w:cs="Times New Roman" w:eastAsia="Times New Roman" w:hAnsi="Times New Roman"/>
          <w:sz w:val="17"/>
          <w:szCs w:val="17"/>
          <w:color w:val="auto"/>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PART II. 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 LEGAL PROCEEDINGS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19" w:lineRule="exact"/>
        <w:rPr>
          <w:sz w:val="20"/>
          <w:szCs w:val="20"/>
          <w:color w:val="auto"/>
        </w:rPr>
      </w:pPr>
    </w:p>
    <w:p>
      <w:pPr>
        <w:ind w:right="420" w:firstLine="391"/>
        <w:spacing w:after="0" w:line="294" w:lineRule="auto"/>
        <w:rPr>
          <w:sz w:val="20"/>
          <w:szCs w:val="20"/>
          <w:color w:val="auto"/>
        </w:rPr>
      </w:pPr>
      <w:r>
        <w:rPr>
          <w:rFonts w:ascii="Times New Roman" w:cs="Times New Roman" w:eastAsia="Times New Roman" w:hAnsi="Times New Roman"/>
          <w:sz w:val="17"/>
          <w:szCs w:val="17"/>
          <w:color w:val="auto"/>
        </w:rPr>
        <w:t>We are currently involved in, and may in the future be involved in, legal proceedings, claims, and government investigations in the ordinary course of business, including legal proceedings with third parties asserting infringement of their intellectual property rights.</w:t>
      </w:r>
    </w:p>
    <w:p>
      <w:pPr>
        <w:spacing w:after="0" w:line="69" w:lineRule="exact"/>
        <w:rPr>
          <w:sz w:val="20"/>
          <w:szCs w:val="20"/>
          <w:color w:val="auto"/>
        </w:rPr>
      </w:pPr>
    </w:p>
    <w:p>
      <w:pPr>
        <w:jc w:val="both"/>
        <w:ind w:right="200" w:firstLine="391"/>
        <w:spacing w:after="0" w:line="275" w:lineRule="auto"/>
        <w:rPr>
          <w:sz w:val="20"/>
          <w:szCs w:val="20"/>
          <w:color w:val="auto"/>
        </w:rPr>
      </w:pPr>
      <w:r>
        <w:rPr>
          <w:rFonts w:ascii="Times New Roman" w:cs="Times New Roman" w:eastAsia="Times New Roman" w:hAnsi="Times New Roman"/>
          <w:sz w:val="17"/>
          <w:szCs w:val="17"/>
          <w:color w:val="auto"/>
        </w:rPr>
        <w:t>The Company is currently involved in California state court litigation asserting violations of federal securities laws, for allegedly making materially false and misleading statements in, or omitting material information from, the Company's IPO registration statement. Separate lawsuits making the same or similar allegations were filed in federal court in October 2019, and were resolved in a settlement approved by the federal court in December 2021.</w:t>
      </w:r>
    </w:p>
    <w:p>
      <w:pPr>
        <w:spacing w:after="0" w:line="189" w:lineRule="exact"/>
        <w:rPr>
          <w:sz w:val="20"/>
          <w:szCs w:val="20"/>
          <w:color w:val="auto"/>
        </w:rPr>
      </w:pPr>
    </w:p>
    <w:p>
      <w:pPr>
        <w:ind w:right="40" w:firstLine="391"/>
        <w:spacing w:after="0" w:line="262" w:lineRule="auto"/>
        <w:rPr>
          <w:sz w:val="20"/>
          <w:szCs w:val="20"/>
          <w:color w:val="auto"/>
        </w:rPr>
      </w:pPr>
      <w:r>
        <w:rPr>
          <w:rFonts w:ascii="Times New Roman" w:cs="Times New Roman" w:eastAsia="Times New Roman" w:hAnsi="Times New Roman"/>
          <w:sz w:val="17"/>
          <w:szCs w:val="17"/>
          <w:color w:val="auto"/>
        </w:rPr>
        <w:t>The California state court litigation consolidated four putative class action lawsuits that were filed on August 30, 2019, September 5, 2019, September 13, 2019, and October 3, 2019, in the Superior Court of the State of California, San Mateo County, against the Company, certain of its officers and directors, underwriters of its IPO, and Sequoia Capital XII, L.P. and certain of its affiliated entities (collectively, the “Dropbox Defendants”). On May 11, 2020, the Dropbox Defendants filed a motion to dismiss the consolidated state court case based on the exclusive federal forum provisions contained in the Company's amended and restated bylaws. On December 4, 2020, the state court issued an order granting the Company's motion to dismiss the consolidated state court case. On December 15, 2020, the state court plaintiffs filed a notice of appeal of this order. The appeal was fully briefed and an oral argument has been scheduled. The Company believes the appeal and claims are without merit and intends to vigorously defend against them.</w:t>
      </w:r>
    </w:p>
    <w:p>
      <w:pPr>
        <w:spacing w:after="0" w:line="201" w:lineRule="exact"/>
        <w:rPr>
          <w:sz w:val="20"/>
          <w:szCs w:val="20"/>
          <w:color w:val="auto"/>
        </w:rPr>
      </w:pPr>
    </w:p>
    <w:p>
      <w:pPr>
        <w:ind w:firstLine="391"/>
        <w:spacing w:after="0" w:line="275" w:lineRule="auto"/>
        <w:rPr>
          <w:sz w:val="20"/>
          <w:szCs w:val="20"/>
          <w:color w:val="auto"/>
        </w:rPr>
      </w:pPr>
      <w:r>
        <w:rPr>
          <w:rFonts w:ascii="Times New Roman" w:cs="Times New Roman" w:eastAsia="Times New Roman" w:hAnsi="Times New Roman"/>
          <w:sz w:val="17"/>
          <w:szCs w:val="17"/>
          <w:color w:val="auto"/>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1A. RISK FACTORS</w:t>
      </w:r>
    </w:p>
    <w:p>
      <w:pPr>
        <w:spacing w:after="0" w:line="241" w:lineRule="exact"/>
        <w:rPr>
          <w:sz w:val="20"/>
          <w:szCs w:val="20"/>
          <w:color w:val="auto"/>
        </w:rPr>
      </w:pPr>
    </w:p>
    <w:p>
      <w:pPr>
        <w:ind w:right="100" w:firstLine="391"/>
        <w:spacing w:after="0" w:line="260" w:lineRule="auto"/>
        <w:rPr>
          <w:sz w:val="20"/>
          <w:szCs w:val="20"/>
          <w:color w:val="auto"/>
        </w:rPr>
      </w:pPr>
      <w:r>
        <w:rPr>
          <w:rFonts w:ascii="Times New Roman" w:cs="Times New Roman" w:eastAsia="Times New Roman" w:hAnsi="Times New Roman"/>
          <w:sz w:val="17"/>
          <w:szCs w:val="17"/>
          <w:color w:val="auto"/>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the impacts of COVID-19 and any worsening of the economic environment may exacerbate the risks described below, any of which could have a material impact on us. This situation is changing rapidly and additional impacts may arise that we are not currently aware of.</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Risks Related to Our Business and Operations</w:t>
      </w:r>
    </w:p>
    <w:p>
      <w:pPr>
        <w:spacing w:after="0" w:line="246"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our ability to retain and upgrade paying users, and any decline in renewals or upgrades could adversely affect our future results of operations.</w:t>
      </w:r>
    </w:p>
    <w:p>
      <w:pPr>
        <w:spacing w:after="0" w:line="1" w:lineRule="exact"/>
        <w:rPr>
          <w:sz w:val="20"/>
          <w:szCs w:val="20"/>
          <w:color w:val="auto"/>
        </w:rPr>
      </w:pPr>
    </w:p>
    <w:p>
      <w:pPr>
        <w:ind w:firstLine="391"/>
        <w:spacing w:after="0" w:line="259" w:lineRule="auto"/>
        <w:rPr>
          <w:sz w:val="20"/>
          <w:szCs w:val="20"/>
          <w:color w:val="auto"/>
        </w:rPr>
      </w:pPr>
      <w:r>
        <w:rPr>
          <w:rFonts w:ascii="Times New Roman" w:cs="Times New Roman" w:eastAsia="Times New Roman" w:hAnsi="Times New Roman"/>
          <w:sz w:val="17"/>
          <w:szCs w:val="17"/>
          <w:color w:val="auto"/>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of subscriptions to our platform may decline or fluctuate because of several factors, such as dissatisfaction with our products, support, pricing, or mix of features, a user no longer having a need for our products, the availability of competitive products that are, or are perceived to be, less expensive, shifts in the mix of monthly and annual subscriptions or the impact of catastrophic events, such as the ongoing COVID-19 pandemic, on our paying users. In addition, some paying users downgrade or do not renew their subscriptions.</w:t>
      </w:r>
    </w:p>
    <w:p>
      <w:pPr>
        <w:spacing w:after="0" w:line="200" w:lineRule="exact"/>
        <w:rPr>
          <w:sz w:val="20"/>
          <w:szCs w:val="20"/>
          <w:color w:val="auto"/>
        </w:rPr>
      </w:pPr>
    </w:p>
    <w:p>
      <w:pPr>
        <w:spacing w:after="0" w:line="211" w:lineRule="exact"/>
        <w:rPr>
          <w:sz w:val="20"/>
          <w:szCs w:val="20"/>
          <w:color w:val="auto"/>
        </w:rPr>
      </w:pPr>
    </w:p>
    <w:p>
      <w:pPr>
        <w:ind w:right="60" w:firstLine="391"/>
        <w:spacing w:after="0" w:line="260" w:lineRule="auto"/>
        <w:rPr>
          <w:sz w:val="20"/>
          <w:szCs w:val="20"/>
          <w:color w:val="auto"/>
        </w:rPr>
      </w:pPr>
      <w:r>
        <w:rPr>
          <w:rFonts w:ascii="Times New Roman" w:cs="Times New Roman" w:eastAsia="Times New Roman" w:hAnsi="Times New Roman"/>
          <w:sz w:val="17"/>
          <w:szCs w:val="17"/>
          <w:color w:val="auto"/>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If our paying users cancel their subscriptions or fail to renew, or if we fail to upgrade our paying users to premium offerings or expand within organizations, our business, results of operations, and financial condition may be harmed. Furthermore, we have and may continue to see an increase in customers opting for our monthly plans rather than our annual plans, including from users who upgrade to paid plans using mobile devices. As a result, if more of our users subscribe to our paid plans through mobile devices or otherwise opt for monthly plans, subscription renewals may fluctuate or decline.</w:t>
      </w:r>
    </w:p>
    <w:p>
      <w:pPr>
        <w:spacing w:after="0" w:line="206" w:lineRule="exact"/>
        <w:rPr>
          <w:sz w:val="20"/>
          <w:szCs w:val="20"/>
          <w:color w:val="auto"/>
        </w:rPr>
      </w:pPr>
    </w:p>
    <w:p>
      <w:pPr>
        <w:ind w:right="20" w:firstLine="391"/>
        <w:spacing w:after="0" w:line="275" w:lineRule="auto"/>
        <w:rPr>
          <w:sz w:val="20"/>
          <w:szCs w:val="20"/>
          <w:color w:val="auto"/>
        </w:rPr>
      </w:pPr>
      <w:r>
        <w:rPr>
          <w:rFonts w:ascii="Times New Roman" w:cs="Times New Roman" w:eastAsia="Times New Roman" w:hAnsi="Times New Roman"/>
          <w:sz w:val="17"/>
          <w:szCs w:val="17"/>
          <w:color w:val="auto"/>
        </w:rPr>
        <w:t>Although it is important to our business that our users renew their subscriptions after their existing subscriptions expire and that we expand our commercial relationships with our users, given the volume of our users, we do not actively monitor the retention rates of our individual users. As a result, we may be unable to address any retention issues with specific users in a timely manner, which could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growth could be harmed if we fail to attract new users or convert registered users to paying users.</w:t>
      </w:r>
    </w:p>
    <w:p>
      <w:pPr>
        <w:spacing w:after="0" w:line="35" w:lineRule="exact"/>
        <w:rPr>
          <w:sz w:val="20"/>
          <w:szCs w:val="20"/>
          <w:color w:val="auto"/>
        </w:rPr>
      </w:pPr>
    </w:p>
    <w:p>
      <w:pPr>
        <w:jc w:val="both"/>
        <w:ind w:right="20" w:firstLine="391"/>
        <w:spacing w:after="0" w:line="264" w:lineRule="auto"/>
        <w:rPr>
          <w:sz w:val="20"/>
          <w:szCs w:val="20"/>
          <w:color w:val="auto"/>
        </w:rPr>
      </w:pPr>
      <w:r>
        <w:rPr>
          <w:rFonts w:ascii="Times New Roman" w:cs="Times New Roman" w:eastAsia="Times New Roman" w:hAnsi="Times New Roman"/>
          <w:sz w:val="17"/>
          <w:szCs w:val="17"/>
          <w:color w:val="auto"/>
        </w:rPr>
        <w:t>We must continually add new users to grow our business beyond our current user base and to replace users who choose not to continue to use our platform. Historically, our revenue has been driven by our self-serve model, and we generate more than 90% of our revenue from self-serve channels. Any decrease in user satisfaction with our products or support could harm our brand, word-of-mouth referrals, and ability to grow.</w:t>
      </w:r>
    </w:p>
    <w:p>
      <w:pPr>
        <w:spacing w:after="0" w:line="197" w:lineRule="exact"/>
        <w:rPr>
          <w:sz w:val="20"/>
          <w:szCs w:val="20"/>
          <w:color w:val="auto"/>
        </w:rPr>
      </w:pPr>
    </w:p>
    <w:p>
      <w:pPr>
        <w:ind w:right="160" w:firstLine="391"/>
        <w:spacing w:after="0" w:line="263" w:lineRule="auto"/>
        <w:rPr>
          <w:sz w:val="20"/>
          <w:szCs w:val="20"/>
          <w:color w:val="auto"/>
        </w:rPr>
      </w:pPr>
      <w:r>
        <w:rPr>
          <w:rFonts w:ascii="Times New Roman" w:cs="Times New Roman" w:eastAsia="Times New Roman" w:hAnsi="Times New Roman"/>
          <w:sz w:val="17"/>
          <w:szCs w:val="17"/>
          <w:color w:val="auto"/>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March 31, 2022, we served over 700 million registered users but only 17.09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firstLine="391"/>
        <w:spacing w:after="0" w:line="263" w:lineRule="auto"/>
        <w:rPr>
          <w:sz w:val="20"/>
          <w:szCs w:val="20"/>
          <w:color w:val="auto"/>
        </w:rPr>
      </w:pPr>
      <w:r>
        <w:rPr>
          <w:rFonts w:ascii="Times New Roman" w:cs="Times New Roman" w:eastAsia="Times New Roman" w:hAnsi="Times New Roman"/>
          <w:sz w:val="17"/>
          <w:szCs w:val="17"/>
          <w:color w:val="auto"/>
        </w:rPr>
        <w:t>In addition, our user growth rate has and may continue to slow in the future as our market penetration rates increase and we turn our focus to converting registered users to paying users rather than growing the total number of registered users. The availability of less expensive and bundled competitive products also has and may continue to slow our user growth rate and negatively impact our ability to convert registered users to paying users. If we are not able to continue to expand our user base or fail to convert our registered users to paying users, demand for our paid services and our revenue may grow more slowly than expected or decline. Furthermore, catastrophic events that financially impact our registered users and other prospective paying users, may cause these users to delay or reduce technology spending, which may impact our ability to convert registered users or otherwise attract new paying users.</w:t>
      </w:r>
    </w:p>
    <w:p>
      <w:pPr>
        <w:spacing w:after="0" w:line="197"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business could be damaged, and we could be subject to liability, if there is any unauthorized access to our data or our users’ content, including through privacy and data security breaches or incidents.</w:t>
      </w:r>
    </w:p>
    <w:p>
      <w:pPr>
        <w:spacing w:after="0" w:line="169" w:lineRule="exact"/>
        <w:rPr>
          <w:sz w:val="20"/>
          <w:szCs w:val="20"/>
          <w:color w:val="auto"/>
        </w:rPr>
      </w:pPr>
    </w:p>
    <w:p>
      <w:pPr>
        <w:ind w:firstLine="391"/>
        <w:spacing w:after="0" w:line="259" w:lineRule="auto"/>
        <w:rPr>
          <w:sz w:val="20"/>
          <w:szCs w:val="20"/>
          <w:color w:val="auto"/>
        </w:rPr>
      </w:pPr>
      <w:r>
        <w:rPr>
          <w:rFonts w:ascii="Times New Roman" w:cs="Times New Roman" w:eastAsia="Times New Roman" w:hAnsi="Times New Roman"/>
          <w:sz w:val="17"/>
          <w:szCs w:val="17"/>
          <w:color w:val="auto"/>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face security threats from malicious third parties that could obtain unauthorized access to our systems, infrastructure, and networks. We anticipate that these threats will continue to grow in scope and complexity over time. For example, in 2016, we learned that an old set of Dropbox user credentials for approximately 68 million accounts was released. These credentials consisted of email addresses and passwords protected by cryptographic techniques known as hashing and salting. Hashing and salting can make it more difficult to obtain the original password, but may not fully protect the original password from being obtained. We believe these Dropbox user credentials were obtained in 2012 and related to a security incident we disclosed to users. In response, we notified all existing users we believed to be affected and completed a password reset for anyone who had not updated their password since mid-2012. We responded to this event by expanding our security team and data monitoring capabilities and continuing to work on features such as two-factor authentication to increase protection of user information. While we believe our corrective actions will reduce the likelihood of similar incidents occurring in the future, third parties might use techniques that we are unable to defend against to compromise and infiltrate our systems, infrastructure, and networks.</w:t>
      </w:r>
    </w:p>
    <w:p>
      <w:pPr>
        <w:spacing w:after="0" w:line="200" w:lineRule="exact"/>
        <w:rPr>
          <w:sz w:val="20"/>
          <w:szCs w:val="20"/>
          <w:color w:val="auto"/>
        </w:rPr>
      </w:pPr>
    </w:p>
    <w:p>
      <w:pPr>
        <w:spacing w:after="0" w:line="218" w:lineRule="exact"/>
        <w:rPr>
          <w:sz w:val="20"/>
          <w:szCs w:val="20"/>
          <w:color w:val="auto"/>
        </w:rPr>
      </w:pPr>
    </w:p>
    <w:p>
      <w:pPr>
        <w:ind w:right="40" w:firstLine="391"/>
        <w:spacing w:after="0" w:line="258" w:lineRule="auto"/>
        <w:rPr>
          <w:sz w:val="20"/>
          <w:szCs w:val="20"/>
          <w:color w:val="auto"/>
        </w:rPr>
      </w:pPr>
      <w:r>
        <w:rPr>
          <w:rFonts w:ascii="Times New Roman" w:cs="Times New Roman" w:eastAsia="Times New Roman" w:hAnsi="Times New Roman"/>
          <w:sz w:val="17"/>
          <w:szCs w:val="17"/>
          <w:color w:val="auto"/>
        </w:rPr>
        <w:t>Emerging and evolving cybersecurity threats such as the attack on SolarWinds and the Log4j vulnerability reported in December 2021 pose unique challenges and involve sophisticated threat actors. Computer malware, ransomware, cyber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we are actively taking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 of user content, and be unable to prevent unauthorized access to user content.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the conflict between Russia and Ukraine. If our security measures are breached or compromised or we, our systems or networks, or those of third parties on which we rely otherwise are subject to a security breach or incident, or our users’ content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p>
    <w:p>
      <w:pPr>
        <w:spacing w:after="0" w:line="209" w:lineRule="exact"/>
        <w:rPr>
          <w:sz w:val="20"/>
          <w:szCs w:val="20"/>
          <w:color w:val="auto"/>
        </w:rPr>
      </w:pPr>
    </w:p>
    <w:p>
      <w:pPr>
        <w:ind w:right="80" w:firstLine="391"/>
        <w:spacing w:after="0" w:line="275" w:lineRule="auto"/>
        <w:rPr>
          <w:sz w:val="20"/>
          <w:szCs w:val="20"/>
          <w:color w:val="auto"/>
        </w:rPr>
      </w:pPr>
      <w:r>
        <w:rPr>
          <w:rFonts w:ascii="Times New Roman" w:cs="Times New Roman" w:eastAsia="Times New Roman" w:hAnsi="Times New Roman"/>
          <w:sz w:val="17"/>
          <w:szCs w:val="17"/>
          <w:color w:val="auto"/>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shift to Virtual First.</w:t>
      </w:r>
    </w:p>
    <w:p>
      <w:pPr>
        <w:spacing w:after="0" w:line="189" w:lineRule="exact"/>
        <w:rPr>
          <w:sz w:val="20"/>
          <w:szCs w:val="20"/>
          <w:color w:val="auto"/>
        </w:rPr>
      </w:pPr>
    </w:p>
    <w:p>
      <w:pPr>
        <w:ind w:firstLine="391"/>
        <w:spacing w:after="0" w:line="294" w:lineRule="auto"/>
        <w:rPr>
          <w:sz w:val="20"/>
          <w:szCs w:val="20"/>
          <w:color w:val="auto"/>
        </w:rPr>
      </w:pPr>
      <w:r>
        <w:rPr>
          <w:rFonts w:ascii="Times New Roman" w:cs="Times New Roman" w:eastAsia="Times New Roman" w:hAnsi="Times New Roman"/>
          <w:sz w:val="17"/>
          <w:szCs w:val="17"/>
          <w:color w:val="auto"/>
        </w:rPr>
        <w:t>In addition, certain developers or other partners who create applications that integrate with our platform, may receive or store information provided by us or by our users through these applications. If these third parties or developers fail to adopt or</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520"/>
        <w:spacing w:after="0" w:line="294" w:lineRule="auto"/>
        <w:rPr>
          <w:sz w:val="20"/>
          <w:szCs w:val="20"/>
          <w:color w:val="auto"/>
        </w:rPr>
      </w:pPr>
      <w:r>
        <w:rPr>
          <w:rFonts w:ascii="Times New Roman" w:cs="Times New Roman" w:eastAsia="Times New Roman" w:hAnsi="Times New Roman"/>
          <w:sz w:val="17"/>
          <w:szCs w:val="17"/>
          <w:color w:val="auto"/>
        </w:rPr>
        <w:t>adhere to adequate data security practices, or in the event of a breach or other compromise of their networks or systems, our data or our users' data may be improperly accessed, used, or disclosed.</w:t>
      </w:r>
    </w:p>
    <w:p>
      <w:pPr>
        <w:spacing w:after="0" w:line="173" w:lineRule="exact"/>
        <w:rPr>
          <w:sz w:val="20"/>
          <w:szCs w:val="20"/>
          <w:color w:val="auto"/>
        </w:rPr>
      </w:pPr>
    </w:p>
    <w:p>
      <w:pPr>
        <w:ind w:right="80" w:firstLine="391"/>
        <w:spacing w:after="0" w:line="265" w:lineRule="auto"/>
        <w:rPr>
          <w:sz w:val="20"/>
          <w:szCs w:val="20"/>
          <w:color w:val="auto"/>
        </w:rPr>
      </w:pPr>
      <w:r>
        <w:rPr>
          <w:rFonts w:ascii="Times New Roman" w:cs="Times New Roman" w:eastAsia="Times New Roman" w:hAnsi="Times New Roman"/>
          <w:sz w:val="17"/>
          <w:szCs w:val="17"/>
          <w:color w:val="auto"/>
        </w:rPr>
        <w:t>Third parties may attempt to compromise our employees and their privileged access into internal systems to gain access to accounts, our information, our networks, or our systems or those of third parties on which we rely. Employee error, malfeasance, or other errors in the storage, use, transmission, or other processing of personal information could result in an actual or perceived breach of user privacy. These risks may be heightened in connection with our transition to a Virtual First and increasingly distributed workforce. In addition, our users may also disclose or lose control of their passwords, or use the same or similar passwords on third parties’ systems, which could lead to unauthorized access to their accounts on our platform.</w:t>
      </w:r>
    </w:p>
    <w:p>
      <w:pPr>
        <w:spacing w:after="0" w:line="199" w:lineRule="exact"/>
        <w:rPr>
          <w:sz w:val="20"/>
          <w:szCs w:val="20"/>
          <w:color w:val="auto"/>
        </w:rPr>
      </w:pPr>
    </w:p>
    <w:p>
      <w:pPr>
        <w:ind w:right="40" w:firstLine="391"/>
        <w:spacing w:after="0" w:line="259" w:lineRule="auto"/>
        <w:rPr>
          <w:sz w:val="20"/>
          <w:szCs w:val="20"/>
          <w:color w:val="auto"/>
        </w:rPr>
      </w:pPr>
      <w:r>
        <w:rPr>
          <w:rFonts w:ascii="Times New Roman" w:cs="Times New Roman" w:eastAsia="Times New Roman" w:hAnsi="Times New Roman"/>
          <w:sz w:val="17"/>
          <w:szCs w:val="17"/>
          <w:color w:val="auto"/>
        </w:rPr>
        <w:t>Any unauthorized or inadvertent access to, or an actual or perceived security breach of or incident impacting, our systems, infrastructure, or networks or of third parties on which we rely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spacing w:after="0" w:line="203" w:lineRule="exact"/>
        <w:rPr>
          <w:sz w:val="20"/>
          <w:szCs w:val="20"/>
          <w:color w:val="auto"/>
        </w:rPr>
      </w:pPr>
    </w:p>
    <w:p>
      <w:pPr>
        <w:ind w:right="7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have a limited history of operating with a Virtual First workforce and the long-term impact on our financial results and business operations are uncertain.</w:t>
      </w:r>
    </w:p>
    <w:p>
      <w:pPr>
        <w:spacing w:after="0" w:line="169" w:lineRule="exact"/>
        <w:rPr>
          <w:sz w:val="20"/>
          <w:szCs w:val="20"/>
          <w:color w:val="auto"/>
        </w:rPr>
      </w:pPr>
    </w:p>
    <w:p>
      <w:pPr>
        <w:ind w:firstLine="391"/>
        <w:spacing w:after="0" w:line="265" w:lineRule="auto"/>
        <w:rPr>
          <w:sz w:val="20"/>
          <w:szCs w:val="20"/>
          <w:color w:val="auto"/>
        </w:rPr>
      </w:pPr>
      <w:r>
        <w:rPr>
          <w:rFonts w:ascii="Times New Roman" w:cs="Times New Roman" w:eastAsia="Times New Roman" w:hAnsi="Times New Roman"/>
          <w:sz w:val="17"/>
          <w:szCs w:val="17"/>
          <w:color w:val="auto"/>
        </w:rPr>
        <w:t>In October 2020, we announced a Virtual First work model pursuant to which remote work has become the primary experience for all of our employees and our intention is for our workforce continue being more distributed over time. However, we have a limited history of operating with a Virtual First workforce and, although we anticipate that our shift to a Virtual First work model will have a long-term positive impact on our financial results and business operations, the impact remains uncertain. Additionally, there is no guarantee that we will realize any anticipated benefits to our business, including any cost savings, operational efficiencies, or productivity.</w:t>
      </w:r>
    </w:p>
    <w:p>
      <w:pPr>
        <w:spacing w:after="0" w:line="199" w:lineRule="exact"/>
        <w:rPr>
          <w:sz w:val="20"/>
          <w:szCs w:val="20"/>
          <w:color w:val="auto"/>
        </w:rPr>
      </w:pPr>
    </w:p>
    <w:p>
      <w:pPr>
        <w:ind w:right="20" w:firstLine="391"/>
        <w:spacing w:after="0" w:line="268" w:lineRule="auto"/>
        <w:rPr>
          <w:sz w:val="20"/>
          <w:szCs w:val="20"/>
          <w:color w:val="auto"/>
        </w:rPr>
      </w:pPr>
      <w:r>
        <w:rPr>
          <w:rFonts w:ascii="Times New Roman" w:cs="Times New Roman" w:eastAsia="Times New Roman" w:hAnsi="Times New Roman"/>
          <w:sz w:val="17"/>
          <w:szCs w:val="17"/>
          <w:color w:val="auto"/>
        </w:rPr>
        <w:t>Our continuing shift to Virtual First could make it increasingly difficult to manage our business and adequately oversee our employees and business functions,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spacing w:after="0" w:line="196" w:lineRule="exact"/>
        <w:rPr>
          <w:sz w:val="20"/>
          <w:szCs w:val="20"/>
          <w:color w:val="auto"/>
        </w:rPr>
      </w:pPr>
    </w:p>
    <w:p>
      <w:pPr>
        <w:ind w:right="40" w:firstLine="391"/>
        <w:spacing w:after="0" w:line="261" w:lineRule="auto"/>
        <w:rPr>
          <w:sz w:val="20"/>
          <w:szCs w:val="20"/>
          <w:color w:val="auto"/>
        </w:rPr>
      </w:pPr>
      <w:r>
        <w:rPr>
          <w:rFonts w:ascii="Times New Roman" w:cs="Times New Roman" w:eastAsia="Times New Roman" w:hAnsi="Times New Roman"/>
          <w:sz w:val="17"/>
          <w:szCs w:val="17"/>
          <w:color w:val="auto"/>
        </w:rPr>
        <w:t>In addition, as we continue our shift to Virtual First, we will need less office space than we are currently contractually committed to leasing and as a result, we have recorded and may in the future record impairment charges related to the office spaces we no longer expect to need, which has impacted and may in the future impact our ability to achieve GAAP profitability. Furthermore, any prolonged recessionary period and industry shifts towards remote work, including as a result of the ongoing COVID-19 pandemic,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operate in competitive markets, and we must continue to compete effectively.</w:t>
      </w:r>
    </w:p>
    <w:p>
      <w:pPr>
        <w:spacing w:after="0" w:line="35" w:lineRule="exact"/>
        <w:rPr>
          <w:sz w:val="20"/>
          <w:szCs w:val="20"/>
          <w:color w:val="auto"/>
        </w:rPr>
      </w:pPr>
    </w:p>
    <w:p>
      <w:pPr>
        <w:ind w:right="100" w:firstLine="469"/>
        <w:spacing w:after="0" w:line="261" w:lineRule="auto"/>
        <w:rPr>
          <w:sz w:val="20"/>
          <w:szCs w:val="20"/>
          <w:color w:val="auto"/>
        </w:rPr>
      </w:pPr>
      <w:r>
        <w:rPr>
          <w:rFonts w:ascii="Times New Roman" w:cs="Times New Roman" w:eastAsia="Times New Roman" w:hAnsi="Times New Roman"/>
          <w:sz w:val="17"/>
          <w:szCs w:val="17"/>
          <w:color w:val="auto"/>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and with Adobe and DocuSign in the 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color w:val="auto"/>
        </w:rPr>
        <w:t>signature market. We also compete with smaller private companies that offer point solutions in the cloud storage market or the content collaboration market. We believe the principal competitive factors in our markets include the following:</w:t>
      </w:r>
    </w:p>
    <w:p>
      <w:pPr>
        <w:spacing w:after="0" w:line="173" w:lineRule="exact"/>
        <w:rPr>
          <w:sz w:val="20"/>
          <w:szCs w:val="20"/>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user-centric design;</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adoption and use;</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scale of user network;</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and platform experience;</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and privacy;</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accessibility across several devices, operating system, and applications;</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integration;</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support;</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innovation; and</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248" w:lineRule="exact"/>
        <w:rPr>
          <w:sz w:val="20"/>
          <w:szCs w:val="20"/>
          <w:color w:val="auto"/>
        </w:rPr>
      </w:pPr>
    </w:p>
    <w:p>
      <w:pPr>
        <w:ind w:right="20" w:firstLine="391"/>
        <w:spacing w:after="0" w:line="263" w:lineRule="auto"/>
        <w:rPr>
          <w:sz w:val="20"/>
          <w:szCs w:val="20"/>
          <w:color w:val="auto"/>
        </w:rPr>
      </w:pPr>
      <w:r>
        <w:rPr>
          <w:rFonts w:ascii="Times New Roman" w:cs="Times New Roman" w:eastAsia="Times New Roman" w:hAnsi="Times New Roman"/>
          <w:sz w:val="17"/>
          <w:szCs w:val="17"/>
          <w:color w:val="auto"/>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201" w:lineRule="exact"/>
        <w:rPr>
          <w:sz w:val="20"/>
          <w:szCs w:val="20"/>
          <w:color w:val="auto"/>
        </w:rPr>
      </w:pPr>
    </w:p>
    <w:p>
      <w:pPr>
        <w:ind w:right="20" w:firstLine="391"/>
        <w:spacing w:after="0" w:line="275" w:lineRule="auto"/>
        <w:rPr>
          <w:sz w:val="20"/>
          <w:szCs w:val="20"/>
          <w:color w:val="auto"/>
        </w:rPr>
      </w:pPr>
      <w:r>
        <w:rPr>
          <w:rFonts w:ascii="Times New Roman" w:cs="Times New Roman" w:eastAsia="Times New Roman" w:hAnsi="Times New Roman"/>
          <w:sz w:val="17"/>
          <w:szCs w:val="17"/>
          <w:color w:val="auto"/>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spacing w:after="0" w:line="189" w:lineRule="exact"/>
        <w:rPr>
          <w:sz w:val="20"/>
          <w:szCs w:val="20"/>
          <w:color w:val="auto"/>
        </w:rPr>
      </w:pPr>
    </w:p>
    <w:p>
      <w:pPr>
        <w:jc w:val="both"/>
        <w:ind w:firstLine="391"/>
        <w:spacing w:after="0" w:line="275" w:lineRule="auto"/>
        <w:rPr>
          <w:sz w:val="20"/>
          <w:szCs w:val="20"/>
          <w:color w:val="auto"/>
        </w:rPr>
      </w:pPr>
      <w:r>
        <w:rPr>
          <w:rFonts w:ascii="Times New Roman" w:cs="Times New Roman" w:eastAsia="Times New Roman" w:hAnsi="Times New Roman"/>
          <w:sz w:val="17"/>
          <w:szCs w:val="17"/>
          <w:color w:val="auto"/>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upon the interoperability of our platform across devices, operating systems, and third-party applications that we do not control.</w:t>
      </w:r>
    </w:p>
    <w:p>
      <w:pPr>
        <w:spacing w:after="0" w:line="252" w:lineRule="exact"/>
        <w:rPr>
          <w:sz w:val="20"/>
          <w:szCs w:val="20"/>
          <w:color w:val="auto"/>
        </w:rPr>
      </w:pPr>
    </w:p>
    <w:p>
      <w:pPr>
        <w:ind w:right="240" w:firstLine="391"/>
        <w:spacing w:after="0" w:line="261" w:lineRule="auto"/>
        <w:rPr>
          <w:sz w:val="20"/>
          <w:szCs w:val="20"/>
          <w:color w:val="auto"/>
        </w:rPr>
      </w:pPr>
      <w:r>
        <w:rPr>
          <w:rFonts w:ascii="Times New Roman" w:cs="Times New Roman" w:eastAsia="Times New Roman" w:hAnsi="Times New Roman"/>
          <w:sz w:val="17"/>
          <w:szCs w:val="17"/>
          <w:color w:val="auto"/>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Moreover, some of these competitors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440"/>
        <w:spacing w:after="0" w:line="294" w:lineRule="auto"/>
        <w:rPr>
          <w:sz w:val="20"/>
          <w:szCs w:val="20"/>
          <w:color w:val="auto"/>
        </w:rPr>
      </w:pPr>
      <w:r>
        <w:rPr>
          <w:rFonts w:ascii="Times New Roman" w:cs="Times New Roman" w:eastAsia="Times New Roman" w:hAnsi="Times New Roman"/>
          <w:sz w:val="17"/>
          <w:szCs w:val="17"/>
          <w:color w:val="auto"/>
        </w:rPr>
        <w:t>have inherent advantages developing products and services that more tightly integrate with their software and hardware platforms or those of their business partners.</w:t>
      </w:r>
    </w:p>
    <w:p>
      <w:pPr>
        <w:spacing w:after="0" w:line="173" w:lineRule="exact"/>
        <w:rPr>
          <w:sz w:val="20"/>
          <w:szCs w:val="20"/>
          <w:color w:val="auto"/>
        </w:rPr>
      </w:pPr>
    </w:p>
    <w:p>
      <w:pPr>
        <w:ind w:right="20" w:firstLine="391"/>
        <w:spacing w:after="0" w:line="261" w:lineRule="auto"/>
        <w:rPr>
          <w:sz w:val="20"/>
          <w:szCs w:val="20"/>
          <w:color w:val="auto"/>
        </w:rPr>
      </w:pPr>
      <w:r>
        <w:rPr>
          <w:rFonts w:ascii="Times New Roman" w:cs="Times New Roman" w:eastAsia="Times New Roman" w:hAnsi="Times New Roman"/>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harmed by any significant disruption of service on our platform or loss of content.</w:t>
      </w:r>
    </w:p>
    <w:p>
      <w:pPr>
        <w:spacing w:after="0" w:line="252" w:lineRule="exact"/>
        <w:rPr>
          <w:sz w:val="20"/>
          <w:szCs w:val="20"/>
          <w:color w:val="auto"/>
        </w:rPr>
      </w:pPr>
    </w:p>
    <w:p>
      <w:pPr>
        <w:ind w:right="160" w:firstLine="391"/>
        <w:spacing w:after="0" w:line="263" w:lineRule="auto"/>
        <w:rPr>
          <w:sz w:val="20"/>
          <w:szCs w:val="20"/>
          <w:color w:val="auto"/>
        </w:rPr>
      </w:pPr>
      <w:r>
        <w:rPr>
          <w:rFonts w:ascii="Times New Roman" w:cs="Times New Roman" w:eastAsia="Times New Roman" w:hAnsi="Times New Roman"/>
          <w:sz w:val="17"/>
          <w:szCs w:val="17"/>
          <w:color w:val="auto"/>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spacing w:after="0" w:line="201" w:lineRule="exact"/>
        <w:rPr>
          <w:sz w:val="20"/>
          <w:szCs w:val="20"/>
          <w:color w:val="auto"/>
        </w:rPr>
      </w:pPr>
    </w:p>
    <w:p>
      <w:pPr>
        <w:ind w:right="40" w:firstLine="391"/>
        <w:spacing w:after="0" w:line="268" w:lineRule="auto"/>
        <w:rPr>
          <w:sz w:val="20"/>
          <w:szCs w:val="20"/>
          <w:color w:val="auto"/>
        </w:rPr>
      </w:pPr>
      <w:r>
        <w:rPr>
          <w:rFonts w:ascii="Times New Roman" w:cs="Times New Roman" w:eastAsia="Times New Roman" w:hAnsi="Times New Roman"/>
          <w:sz w:val="17"/>
          <w:szCs w:val="17"/>
          <w:color w:val="auto"/>
        </w:rPr>
        <w:t>As our user base and the amount and types of information stored, synced, and shared on our platform continues to grow, we will need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add to our infrastructure, we may move or transfer additional content.</w:t>
      </w:r>
    </w:p>
    <w:p>
      <w:pPr>
        <w:spacing w:after="0" w:line="196" w:lineRule="exact"/>
        <w:rPr>
          <w:sz w:val="20"/>
          <w:szCs w:val="20"/>
          <w:color w:val="auto"/>
        </w:rPr>
      </w:pPr>
    </w:p>
    <w:p>
      <w:pPr>
        <w:ind w:firstLine="391"/>
        <w:spacing w:after="0" w:line="259" w:lineRule="auto"/>
        <w:rPr>
          <w:sz w:val="20"/>
          <w:szCs w:val="20"/>
          <w:color w:val="auto"/>
        </w:rPr>
      </w:pPr>
      <w:r>
        <w:rPr>
          <w:rFonts w:ascii="Times New Roman" w:cs="Times New Roman" w:eastAsia="Times New Roman" w:hAnsi="Times New Roman"/>
          <w:sz w:val="17"/>
          <w:szCs w:val="17"/>
          <w:color w:val="auto"/>
        </w:rPr>
        <w:t>Further, as we continue to grow and scale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effects of the COVID-19 pandemic, in addition to competition for a limited supply of such equipment, our global supply chain for datacenter equipment has experienced challenges, and such challenges could impact our infrastructure capacity. Our datacenter equipment is primarily manufactured by third-party manufacturers, some of which utilize certain components for which there are few qualified suppliers.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spacing w:after="0" w:line="202" w:lineRule="exact"/>
        <w:rPr>
          <w:sz w:val="20"/>
          <w:szCs w:val="20"/>
          <w:color w:val="auto"/>
        </w:rPr>
      </w:pPr>
    </w:p>
    <w:p>
      <w:pPr>
        <w:ind w:firstLine="391"/>
        <w:spacing w:after="0" w:line="263" w:lineRule="auto"/>
        <w:rPr>
          <w:sz w:val="20"/>
          <w:szCs w:val="20"/>
          <w:color w:val="auto"/>
        </w:rPr>
      </w:pPr>
      <w:r>
        <w:rPr>
          <w:rFonts w:ascii="Times New Roman" w:cs="Times New Roman" w:eastAsia="Times New Roman" w:hAnsi="Times New Roman"/>
          <w:sz w:val="17"/>
          <w:szCs w:val="17"/>
          <w:color w:val="auto"/>
        </w:rPr>
        <w:t>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generate revenue from sales of subscriptions to our platform, and any decline in demand for our platform or for content collaboration solutions in general could negatively impact our business.</w:t>
      </w:r>
    </w:p>
    <w:p>
      <w:pPr>
        <w:spacing w:after="0" w:line="1" w:lineRule="exact"/>
        <w:rPr>
          <w:sz w:val="20"/>
          <w:szCs w:val="20"/>
          <w:color w:val="auto"/>
        </w:rPr>
      </w:pPr>
    </w:p>
    <w:p>
      <w:pPr>
        <w:ind w:right="140" w:firstLine="391"/>
        <w:spacing w:after="0" w:line="261" w:lineRule="auto"/>
        <w:rPr>
          <w:sz w:val="20"/>
          <w:szCs w:val="20"/>
          <w:color w:val="auto"/>
        </w:rPr>
      </w:pPr>
      <w:r>
        <w:rPr>
          <w:rFonts w:ascii="Times New Roman" w:cs="Times New Roman" w:eastAsia="Times New Roman" w:hAnsi="Times New Roman"/>
          <w:sz w:val="17"/>
          <w:szCs w:val="17"/>
          <w:color w:val="auto"/>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 current shift to remote or distributed work does not materialize into a longer-term trend, demand for our platform could be negatively affected.</w:t>
      </w:r>
    </w:p>
    <w:p>
      <w:pPr>
        <w:spacing w:after="0" w:line="201" w:lineRule="exact"/>
        <w:rPr>
          <w:sz w:val="20"/>
          <w:szCs w:val="20"/>
          <w:color w:val="auto"/>
        </w:rPr>
      </w:pPr>
    </w:p>
    <w:p>
      <w:pPr>
        <w:jc w:val="both"/>
        <w:ind w:firstLine="391"/>
        <w:spacing w:after="0" w:line="275" w:lineRule="auto"/>
        <w:rPr>
          <w:sz w:val="20"/>
          <w:szCs w:val="20"/>
          <w:color w:val="auto"/>
        </w:rPr>
      </w:pPr>
      <w:r>
        <w:rPr>
          <w:rFonts w:ascii="Times New Roman" w:cs="Times New Roman" w:eastAsia="Times New Roman" w:hAnsi="Times New Roman"/>
          <w:sz w:val="17"/>
          <w:szCs w:val="17"/>
          <w:color w:val="auto"/>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spacing w:after="0" w:line="189" w:lineRule="exact"/>
        <w:rPr>
          <w:sz w:val="20"/>
          <w:szCs w:val="20"/>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awareness of the content collaboration category generally;</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products and services that compete with ours;</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scale, and duration, of trends towards or away from remote or distributed work;</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ease of adoption and use;</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features and platform experience;</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performance;</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brand;</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security and privacy;</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customer support; and</w:t>
      </w:r>
    </w:p>
    <w:p>
      <w:pPr>
        <w:spacing w:after="0" w:line="24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pricing.</w:t>
      </w:r>
    </w:p>
    <w:p>
      <w:pPr>
        <w:spacing w:after="0" w:line="248" w:lineRule="exact"/>
        <w:rPr>
          <w:sz w:val="20"/>
          <w:szCs w:val="20"/>
          <w:color w:val="auto"/>
        </w:rPr>
      </w:pPr>
    </w:p>
    <w:p>
      <w:pPr>
        <w:ind w:right="140" w:firstLine="391"/>
        <w:spacing w:after="0" w:line="275" w:lineRule="auto"/>
        <w:rPr>
          <w:sz w:val="20"/>
          <w:szCs w:val="20"/>
          <w:color w:val="auto"/>
        </w:rPr>
      </w:pPr>
      <w:r>
        <w:rPr>
          <w:rFonts w:ascii="Times New Roman" w:cs="Times New Roman" w:eastAsia="Times New Roman" w:hAnsi="Times New Roman"/>
          <w:sz w:val="17"/>
          <w:szCs w:val="17"/>
          <w:color w:val="auto"/>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spacing w:after="0" w:line="185" w:lineRule="exact"/>
        <w:rPr>
          <w:sz w:val="20"/>
          <w:szCs w:val="20"/>
          <w:color w:val="auto"/>
        </w:rPr>
      </w:pPr>
    </w:p>
    <w:p>
      <w:pPr>
        <w:ind w:right="36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Failure to respond to rapid technological changes, extend our platform, or develop new features or products may harm our ability to compete effectively which would adversely affect our business.</w:t>
      </w:r>
    </w:p>
    <w:p>
      <w:pPr>
        <w:spacing w:after="0" w:line="1" w:lineRule="exact"/>
        <w:rPr>
          <w:sz w:val="20"/>
          <w:szCs w:val="20"/>
          <w:color w:val="auto"/>
        </w:rPr>
      </w:pPr>
    </w:p>
    <w:p>
      <w:pPr>
        <w:ind w:right="20" w:firstLine="391"/>
        <w:spacing w:after="0" w:line="257" w:lineRule="auto"/>
        <w:rPr>
          <w:sz w:val="20"/>
          <w:szCs w:val="20"/>
          <w:color w:val="auto"/>
        </w:rPr>
      </w:pPr>
      <w:r>
        <w:rPr>
          <w:rFonts w:ascii="Times New Roman" w:cs="Times New Roman" w:eastAsia="Times New Roman" w:hAnsi="Times New Roman"/>
          <w:sz w:val="17"/>
          <w:szCs w:val="17"/>
          <w:color w:val="auto"/>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In addition, while we believe current trends towards remote or distributed work will prove to be significant and long lasting, and that these trends will open up increased market opportunities for us,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For example, in 2020, we introduced Dropbox Passwords and Vault to provide additional security features for our users to safely store and access content on our platform. More recently, in 2021 we launched Dropbox Transfer as a way for users to safely and securely send large files, Dropbox Shop which allows creators to easily sell content directly to their customers, Dropbox Replay, which allows users to review, approve and collaborate on video workflows, Backup, which allows users to securely back up their computer or external hard drives with an automated cloud backup solution, and Dropbox Capture which allows users to visually present their work through easy-to-take screen recordings, GIFs, and screenshots.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 manner that satisfies user preferences in a timely and cost-effective manner, we may fail to retain our existing users or increase demand for our platform.</w:t>
      </w:r>
    </w:p>
    <w:p>
      <w:pPr>
        <w:spacing w:after="0" w:line="248" w:lineRule="exact"/>
        <w:rPr>
          <w:sz w:val="20"/>
          <w:szCs w:val="20"/>
          <w:color w:val="auto"/>
        </w:rPr>
      </w:pPr>
    </w:p>
    <w:p>
      <w:pPr>
        <w:ind w:firstLine="391"/>
        <w:spacing w:after="0" w:line="259" w:lineRule="auto"/>
        <w:rPr>
          <w:sz w:val="20"/>
          <w:szCs w:val="20"/>
          <w:color w:val="auto"/>
        </w:rPr>
      </w:pPr>
      <w:r>
        <w:rPr>
          <w:rFonts w:ascii="Times New Roman" w:cs="Times New Roman" w:eastAsia="Times New Roman" w:hAnsi="Times New Roman"/>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as a result of the ongoing COVID-19 pandemic, we are temporarily requiring substantially all of our employees to work remotely, which may lead to disruptions and decreased productivity that could result in delays in our product development process. The risk of such disruptions and decreased productivity may persist as we continue to transition to a Virtual First workforce.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spacing w:after="0" w:line="200" w:lineRule="exact"/>
        <w:rPr>
          <w:sz w:val="20"/>
          <w:szCs w:val="20"/>
          <w:color w:val="auto"/>
        </w:rPr>
      </w:pPr>
    </w:p>
    <w:p>
      <w:pPr>
        <w:spacing w:after="0" w:line="209"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The full extent of the impacts of the COVID-19 pandemic on our business is currently unknown, but it may adversely affect our financial results as well as our business operations.</w:t>
      </w:r>
    </w:p>
    <w:p>
      <w:pPr>
        <w:spacing w:after="0" w:line="169" w:lineRule="exact"/>
        <w:rPr>
          <w:sz w:val="20"/>
          <w:szCs w:val="20"/>
          <w:color w:val="auto"/>
        </w:rPr>
      </w:pPr>
    </w:p>
    <w:p>
      <w:pPr>
        <w:ind w:firstLine="391"/>
        <w:spacing w:after="0" w:line="259" w:lineRule="auto"/>
        <w:rPr>
          <w:sz w:val="20"/>
          <w:szCs w:val="20"/>
          <w:color w:val="auto"/>
        </w:rPr>
      </w:pPr>
      <w:r>
        <w:rPr>
          <w:rFonts w:ascii="Times New Roman" w:cs="Times New Roman" w:eastAsia="Times New Roman" w:hAnsi="Times New Roman"/>
          <w:sz w:val="17"/>
          <w:szCs w:val="17"/>
          <w:color w:val="auto"/>
        </w:rPr>
        <w:t>Although we did not experience material impacts to our financial condition and results of operations during the three months ended March 31, 2022, as a result of the on-going COVID-19 pandemic, the full extent of the impacts of the COVID-19 pandemic on our financial results and business operations are currently unknown and cannot be estimated with any degree of certainty. Impacts to our financial results may include, without limitation, (1) negative impacts to our current and prospective users’ purchases or renewals of paid licenses for access to our platform, delays or defaults on payment obligations, which could negatively affect our revenues and cash flows, (2) modifications to net payment terms or invoice frequency, which could negatively affect our cash flows, and (3) fluctuations in foreign currency exchange rates, which have and may in the future negatively impact our results of operations and cash flows. Impacts to our business operations may include, without limitation, (1) disruptions to our sales operations and marketing efforts, (2) negative impacts to the financial condition or operations of our vendors and business partners, as well as disruptions to the supply chain of hardware needed to offer our services, (3) disruptions to our ability to conduct product development and other important business activities, and (4) potential postponement or cancellation of previously planned investments or other initiatives. In addition, economic effects related to the COVID-19 pandemic, such as ongoing supply chain disruption, a competitive labor market and labor shortages have impacted, and may continue to impact, us and our customers and vendors. Accordingly, the COVID-19 pandemic may have a negative impact on our financial results as well as our business operations, the magnitude and duration of which we are currently unable to predict. Additionally, concerns over the economic impact of the COVID-19 pandemic have caused extreme volatility in financial and other capital markets which may adversely impact our stock price.</w:t>
      </w:r>
    </w:p>
    <w:p>
      <w:pPr>
        <w:spacing w:after="0" w:line="200" w:lineRule="exact"/>
        <w:rPr>
          <w:sz w:val="20"/>
          <w:szCs w:val="20"/>
          <w:color w:val="auto"/>
        </w:rPr>
      </w:pPr>
    </w:p>
    <w:p>
      <w:pPr>
        <w:spacing w:after="0" w:line="213" w:lineRule="exact"/>
        <w:rPr>
          <w:sz w:val="20"/>
          <w:szCs w:val="20"/>
          <w:color w:val="auto"/>
        </w:rPr>
      </w:pPr>
    </w:p>
    <w:p>
      <w:pPr>
        <w:ind w:right="80" w:firstLine="391"/>
        <w:spacing w:after="0" w:line="268" w:lineRule="auto"/>
        <w:rPr>
          <w:sz w:val="20"/>
          <w:szCs w:val="20"/>
          <w:color w:val="auto"/>
        </w:rPr>
      </w:pPr>
      <w:r>
        <w:rPr>
          <w:rFonts w:ascii="Times New Roman" w:cs="Times New Roman" w:eastAsia="Times New Roman" w:hAnsi="Times New Roman"/>
          <w:sz w:val="17"/>
          <w:szCs w:val="17"/>
          <w:color w:val="auto"/>
        </w:rPr>
        <w:t>We have seen, and expect to continue to see, cost savings from the shift to remote work for all of our employees as a result of the COVID-19 pandemic in areas that include events, travel, utilities, and other benefits. Although we anticipate that some of these cost savings will continue beyond the resolution of the COVID-19 pandemic as result of our continuing shift to a Virtual First work model, we expect that some expenses in these areas will increase relative to current levels as we become more able to offer our employees opportunities for in-person collaboration, and this may impact our rate of profitability in future periods.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successfully manage our growth or successfully execute our plan for future growth.</w:t>
      </w:r>
    </w:p>
    <w:p>
      <w:pPr>
        <w:spacing w:after="0" w:line="35" w:lineRule="exact"/>
        <w:rPr>
          <w:sz w:val="20"/>
          <w:szCs w:val="20"/>
          <w:color w:val="auto"/>
        </w:rPr>
      </w:pPr>
    </w:p>
    <w:p>
      <w:pPr>
        <w:ind w:right="40" w:firstLine="391"/>
        <w:spacing w:after="0" w:line="259" w:lineRule="auto"/>
        <w:rPr>
          <w:sz w:val="20"/>
          <w:szCs w:val="20"/>
          <w:color w:val="auto"/>
        </w:rPr>
      </w:pPr>
      <w:r>
        <w:rPr>
          <w:rFonts w:ascii="Times New Roman" w:cs="Times New Roman" w:eastAsia="Times New Roman" w:hAnsi="Times New Roman"/>
          <w:sz w:val="17"/>
          <w:szCs w:val="17"/>
          <w:color w:val="auto"/>
        </w:rPr>
        <w:t>The growth and expansion of our business, including the introduction of new features and products, places a continuous significant strain on our management, operational, and financial resources. As we introduce new products and features, and our user base and third-party relationships expand, our information technology systems, organizational structures, and internal controls and procedures may not be adequate to support our operations. In addition, we face challenges of integrating, developing, and motivating an increasingly distributed employee base in various countries around the world. These challenges may be heightened in connection with our transition to a Virtual First workforce and seek to align our resources in order to create a more nimble and streamlined organization. Certain members of our management do not have prior experience</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220"/>
        <w:spacing w:after="0" w:line="294" w:lineRule="auto"/>
        <w:rPr>
          <w:sz w:val="20"/>
          <w:szCs w:val="20"/>
          <w:color w:val="auto"/>
        </w:rPr>
      </w:pPr>
      <w:r>
        <w:rPr>
          <w:rFonts w:ascii="Times New Roman" w:cs="Times New Roman" w:eastAsia="Times New Roman" w:hAnsi="Times New Roman"/>
          <w:sz w:val="17"/>
          <w:szCs w:val="17"/>
          <w:color w:val="auto"/>
        </w:rPr>
        <w:t>managing a public company, which may affect how they manage our growth. Managing our growth will also require significant expenditures and allocation of valuable management resources.</w:t>
      </w:r>
    </w:p>
    <w:p>
      <w:pPr>
        <w:spacing w:after="0" w:line="173" w:lineRule="exact"/>
        <w:rPr>
          <w:sz w:val="20"/>
          <w:szCs w:val="20"/>
          <w:color w:val="auto"/>
        </w:rPr>
      </w:pPr>
    </w:p>
    <w:p>
      <w:pPr>
        <w:ind w:firstLine="391"/>
        <w:spacing w:after="0" w:line="265" w:lineRule="auto"/>
        <w:rPr>
          <w:sz w:val="20"/>
          <w:szCs w:val="20"/>
          <w:color w:val="auto"/>
        </w:rPr>
      </w:pPr>
      <w:r>
        <w:rPr>
          <w:rFonts w:ascii="Times New Roman" w:cs="Times New Roman" w:eastAsia="Times New Roman" w:hAnsi="Times New Roman"/>
          <w:sz w:val="17"/>
          <w:szCs w:val="17"/>
          <w:color w:val="auto"/>
        </w:rPr>
        <w:t>In addition, the expansion of our business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results of operations, and financial condition could be harmed.</w:t>
      </w:r>
    </w:p>
    <w:p>
      <w:pPr>
        <w:spacing w:after="0" w:line="195"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depend on our key personnel and other highly qualified personnel, and if we fail to attract, integrate, and retain our personnel, and maintain our unique corporate culture, our business could be harmed.</w:t>
      </w:r>
    </w:p>
    <w:p>
      <w:pPr>
        <w:spacing w:after="0" w:line="1" w:lineRule="exact"/>
        <w:rPr>
          <w:sz w:val="20"/>
          <w:szCs w:val="20"/>
          <w:color w:val="auto"/>
        </w:rPr>
      </w:pPr>
    </w:p>
    <w:p>
      <w:pPr>
        <w:ind w:right="80" w:firstLine="391"/>
        <w:spacing w:after="0" w:line="260" w:lineRule="auto"/>
        <w:rPr>
          <w:sz w:val="20"/>
          <w:szCs w:val="20"/>
          <w:color w:val="auto"/>
        </w:rPr>
      </w:pPr>
      <w:r>
        <w:rPr>
          <w:rFonts w:ascii="Times New Roman" w:cs="Times New Roman" w:eastAsia="Times New Roman" w:hAnsi="Times New Roman"/>
          <w:sz w:val="17"/>
          <w:szCs w:val="17"/>
          <w:color w:val="auto"/>
        </w:rPr>
        <w:t>We depend on the continued service and performance of our key personnel. In particular, Andrew W. Houston, our Chief Executive Officer and one of our co-founders, is critical to our vision, strategic direction, culture, and offerings. From time to 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spacing w:after="0" w:line="201" w:lineRule="exact"/>
        <w:rPr>
          <w:sz w:val="20"/>
          <w:szCs w:val="20"/>
          <w:color w:val="auto"/>
        </w:rPr>
      </w:pPr>
    </w:p>
    <w:p>
      <w:pPr>
        <w:ind w:right="80" w:firstLine="391"/>
        <w:spacing w:after="0" w:line="262" w:lineRule="auto"/>
        <w:rPr>
          <w:sz w:val="20"/>
          <w:szCs w:val="20"/>
          <w:color w:val="auto"/>
        </w:rPr>
      </w:pPr>
      <w:r>
        <w:rPr>
          <w:rFonts w:ascii="Times New Roman" w:cs="Times New Roman" w:eastAsia="Times New Roman" w:hAnsi="Times New Roman"/>
          <w:sz w:val="17"/>
          <w:szCs w:val="17"/>
          <w:color w:val="auto"/>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realign our resources in order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(including the ongoing COVID-19 pandemic), or our ability to maintain an effective workforce may be impacted.</w:t>
      </w:r>
    </w:p>
    <w:p>
      <w:pPr>
        <w:spacing w:after="0" w:line="201" w:lineRule="exact"/>
        <w:rPr>
          <w:sz w:val="20"/>
          <w:szCs w:val="20"/>
          <w:color w:val="auto"/>
        </w:rPr>
      </w:pPr>
    </w:p>
    <w:p>
      <w:pPr>
        <w:ind w:right="20" w:firstLine="391"/>
        <w:spacing w:after="0" w:line="260" w:lineRule="auto"/>
        <w:rPr>
          <w:sz w:val="20"/>
          <w:szCs w:val="20"/>
          <w:color w:val="auto"/>
        </w:rPr>
      </w:pPr>
      <w:r>
        <w:rPr>
          <w:rFonts w:ascii="Times New Roman" w:cs="Times New Roman" w:eastAsia="Times New Roman" w:hAnsi="Times New Roman"/>
          <w:sz w:val="17"/>
          <w:szCs w:val="17"/>
          <w:color w:val="auto"/>
        </w:rPr>
        <w:t>To execute our business plan, we must attract and retain highly qualified personnel. Competition for these employees is intense and has recently intensified as a result of industry trends and we may not be successful in attracting and retaining qualified personnel. We have experienced, and we may continue experience, difficulty in hiring and retaining highly skilled employees with appropriate qualifications. As we transition to a Virtual First workforce,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If we fail to attract new personnel, or fail to retain and motivate our current personnel, our business and growth prospects could be harmed.</w:t>
      </w:r>
    </w:p>
    <w:p>
      <w:pPr>
        <w:spacing w:after="0" w:line="200" w:lineRule="exact"/>
        <w:rPr>
          <w:sz w:val="20"/>
          <w:szCs w:val="20"/>
          <w:color w:val="auto"/>
        </w:rPr>
      </w:pPr>
    </w:p>
    <w:p>
      <w:pPr>
        <w:spacing w:after="0" w:line="215" w:lineRule="exact"/>
        <w:rPr>
          <w:sz w:val="20"/>
          <w:szCs w:val="20"/>
          <w:color w:val="auto"/>
        </w:rPr>
      </w:pPr>
    </w:p>
    <w:p>
      <w:pPr>
        <w:ind w:right="80" w:firstLine="391"/>
        <w:spacing w:after="0" w:line="275" w:lineRule="auto"/>
        <w:rPr>
          <w:sz w:val="20"/>
          <w:szCs w:val="20"/>
          <w:color w:val="auto"/>
        </w:rPr>
      </w:pPr>
      <w:r>
        <w:rPr>
          <w:rFonts w:ascii="Times New Roman" w:cs="Times New Roman" w:eastAsia="Times New Roman" w:hAnsi="Times New Roman"/>
          <w:sz w:val="17"/>
          <w:szCs w:val="17"/>
          <w:color w:val="auto"/>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and higher employee turnover could significantly and adversely impact our culture, as could our transition to a Virtual First workforce.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lack of a significant outbound sales force may limit the potential growth of our business.</w:t>
      </w:r>
    </w:p>
    <w:p>
      <w:pPr>
        <w:spacing w:after="0" w:line="35" w:lineRule="exact"/>
        <w:rPr>
          <w:sz w:val="20"/>
          <w:szCs w:val="20"/>
          <w:color w:val="auto"/>
        </w:rPr>
      </w:pPr>
    </w:p>
    <w:p>
      <w:pPr>
        <w:ind w:firstLine="391"/>
        <w:spacing w:after="0" w:line="258" w:lineRule="auto"/>
        <w:rPr>
          <w:sz w:val="20"/>
          <w:szCs w:val="20"/>
          <w:color w:val="auto"/>
        </w:rPr>
      </w:pPr>
      <w:r>
        <w:rPr>
          <w:rFonts w:ascii="Times New Roman" w:cs="Times New Roman" w:eastAsia="Times New Roman" w:hAnsi="Times New Roman"/>
          <w:sz w:val="17"/>
          <w:szCs w:val="17"/>
          <w:color w:val="auto"/>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Furthermore, as part of our workforce reduction in January 2021 we have reduced the size of our outbound sales force to simplify and drive further efficiencies in our outbound sales operations.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expand sales to large organizations, which could lengthen sales cycles and result in greater deployment challenges.</w:t>
      </w:r>
    </w:p>
    <w:p>
      <w:pPr>
        <w:spacing w:after="0" w:line="35" w:lineRule="exact"/>
        <w:rPr>
          <w:sz w:val="20"/>
          <w:szCs w:val="20"/>
          <w:color w:val="auto"/>
        </w:rPr>
      </w:pPr>
    </w:p>
    <w:p>
      <w:pPr>
        <w:ind w:right="140" w:firstLine="391"/>
        <w:spacing w:after="0" w:line="258" w:lineRule="auto"/>
        <w:rPr>
          <w:sz w:val="20"/>
          <w:szCs w:val="20"/>
          <w:color w:val="auto"/>
        </w:rPr>
      </w:pPr>
      <w:r>
        <w:rPr>
          <w:rFonts w:ascii="Times New Roman" w:cs="Times New Roman" w:eastAsia="Times New Roman" w:hAnsi="Times New Roman"/>
          <w:sz w:val="17"/>
          <w:szCs w:val="17"/>
          <w:color w:val="auto"/>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catastrophic events, including public health epidemics such as the ongoing COVID-19 pandemic, that limit our ability to travel or meet in person, as well as the reduction in the size of our outbound sales force as part of our workforce reduction in January 2021. As a result, sales to large organizations may lead to greater unpredictability in our business, results of operations, and financial condition.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customer support may harm our relationships with our users and our financial results.</w:t>
      </w:r>
    </w:p>
    <w:p>
      <w:pPr>
        <w:spacing w:after="0" w:line="252" w:lineRule="exact"/>
        <w:rPr>
          <w:sz w:val="20"/>
          <w:szCs w:val="20"/>
          <w:color w:val="auto"/>
        </w:rPr>
      </w:pPr>
    </w:p>
    <w:p>
      <w:pPr>
        <w:ind w:right="20" w:firstLine="391"/>
        <w:spacing w:after="0" w:line="261" w:lineRule="auto"/>
        <w:rPr>
          <w:sz w:val="20"/>
          <w:szCs w:val="20"/>
          <w:color w:val="auto"/>
        </w:rPr>
      </w:pPr>
      <w:r>
        <w:rPr>
          <w:rFonts w:ascii="Times New Roman" w:cs="Times New Roman" w:eastAsia="Times New Roman" w:hAnsi="Times New Roman"/>
          <w:sz w:val="17"/>
          <w:szCs w:val="17"/>
          <w:color w:val="auto"/>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8.81 million as of December 31, 2016, to 17.09 million as of March 31, 2022.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high-quality customer support, or a market perception that we do not maintain high-quality customer support, could harm our reputation, business, results of operations, and financial condition.</w:t>
      </w:r>
    </w:p>
    <w:p>
      <w:pPr>
        <w:spacing w:after="0" w:line="200" w:lineRule="exact"/>
        <w:rPr>
          <w:sz w:val="20"/>
          <w:szCs w:val="20"/>
          <w:color w:val="auto"/>
        </w:rPr>
      </w:pPr>
    </w:p>
    <w:p>
      <w:pPr>
        <w:spacing w:after="0" w:line="208"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a strong brand, and if we are unable to maintain and enhance our brand, our ability to expand our base of users will be impaired and our business, results of operations, and financial condition will be harmed.</w:t>
      </w:r>
    </w:p>
    <w:p>
      <w:pPr>
        <w:spacing w:after="0" w:line="169" w:lineRule="exact"/>
        <w:rPr>
          <w:sz w:val="20"/>
          <w:szCs w:val="20"/>
          <w:color w:val="auto"/>
        </w:rPr>
      </w:pPr>
    </w:p>
    <w:p>
      <w:pPr>
        <w:ind w:right="20" w:firstLine="391"/>
        <w:spacing w:after="0" w:line="265" w:lineRule="auto"/>
        <w:rPr>
          <w:sz w:val="20"/>
          <w:szCs w:val="20"/>
          <w:color w:val="auto"/>
        </w:rPr>
      </w:pPr>
      <w:r>
        <w:rPr>
          <w:rFonts w:ascii="Times New Roman" w:cs="Times New Roman" w:eastAsia="Times New Roman" w:hAnsi="Times New Roman"/>
          <w:sz w:val="17"/>
          <w:szCs w:val="17"/>
          <w:color w:val="auto"/>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spacing w:after="0" w:line="195" w:lineRule="exact"/>
        <w:rPr>
          <w:sz w:val="20"/>
          <w:szCs w:val="20"/>
          <w:color w:val="auto"/>
        </w:rPr>
      </w:pPr>
    </w:p>
    <w:p>
      <w:pPr>
        <w:ind w:right="1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are continuing to expand our operations outside the United States, where we may be subject to increased business and economic risks that could impact our results of operations.</w:t>
      </w:r>
    </w:p>
    <w:p>
      <w:pPr>
        <w:spacing w:after="0" w:line="169" w:lineRule="exact"/>
        <w:rPr>
          <w:sz w:val="20"/>
          <w:szCs w:val="20"/>
          <w:color w:val="auto"/>
        </w:rPr>
      </w:pPr>
    </w:p>
    <w:p>
      <w:pPr>
        <w:ind w:firstLine="391"/>
        <w:spacing w:after="0" w:line="261" w:lineRule="auto"/>
        <w:rPr>
          <w:sz w:val="20"/>
          <w:szCs w:val="20"/>
          <w:color w:val="auto"/>
        </w:rPr>
      </w:pPr>
      <w:r>
        <w:rPr>
          <w:rFonts w:ascii="Times New Roman" w:cs="Times New Roman" w:eastAsia="Times New Roman" w:hAnsi="Times New Roman"/>
          <w:sz w:val="17"/>
          <w:szCs w:val="17"/>
          <w:color w:val="auto"/>
        </w:rPr>
        <w:t>We have paying users across 180 countries and approximately half of our revenue in the year ended December 31, 2021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Operating internationally subjects us to new risks and may increase risks that we currently face, including risks associated with:</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1260" w:right="540" w:hanging="317"/>
        <w:spacing w:after="0" w:line="275" w:lineRule="auto"/>
        <w:tabs>
          <w:tab w:leader="none" w:pos="125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applicable international laws, regulations, and standards including laws and regulations with respect to privacy, data protection, consumer protection, and unsolicited email, and the risk of penalties to our users and individual members of management or employees if our practices are deemed to be out of compliance;</w:t>
      </w:r>
    </w:p>
    <w:p>
      <w:pPr>
        <w:spacing w:after="0" w:line="188" w:lineRule="exact"/>
        <w:rPr>
          <w:rFonts w:ascii="Times New Roman" w:cs="Times New Roman" w:eastAsia="Times New Roman" w:hAnsi="Times New Roman"/>
          <w:sz w:val="17"/>
          <w:szCs w:val="17"/>
          <w:color w:val="auto"/>
        </w:rPr>
      </w:pPr>
    </w:p>
    <w:p>
      <w:pPr>
        <w:ind w:left="1260" w:right="460" w:hanging="317"/>
        <w:spacing w:after="0" w:line="294" w:lineRule="auto"/>
        <w:tabs>
          <w:tab w:leader="none" w:pos="125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recruiting and retaining talented and capable employees outside the United States, and maintaining our company culture across all of our locations, including as we shift to Virtual First and an increasingly distributed workforce;</w:t>
      </w:r>
    </w:p>
    <w:p>
      <w:pPr>
        <w:spacing w:after="0" w:line="173" w:lineRule="exact"/>
        <w:rPr>
          <w:rFonts w:ascii="Times New Roman" w:cs="Times New Roman" w:eastAsia="Times New Roman" w:hAnsi="Times New Roman"/>
          <w:sz w:val="17"/>
          <w:szCs w:val="17"/>
          <w:color w:val="auto"/>
        </w:rPr>
      </w:pPr>
    </w:p>
    <w:p>
      <w:pPr>
        <w:ind w:left="1260" w:right="100" w:hanging="317"/>
        <w:spacing w:after="0" w:line="294" w:lineRule="auto"/>
        <w:tabs>
          <w:tab w:leader="none" w:pos="125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173"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of an employee base in jurisdictions that may not give us the same employment and retention flexibility as does the United States;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jurisdictions that do not protect intellectual property rights to the same extent as does the United States;</w:t>
      </w:r>
    </w:p>
    <w:p>
      <w:pPr>
        <w:spacing w:after="0" w:line="247" w:lineRule="exact"/>
        <w:rPr>
          <w:rFonts w:ascii="Times New Roman" w:cs="Times New Roman" w:eastAsia="Times New Roman" w:hAnsi="Times New Roman"/>
          <w:sz w:val="17"/>
          <w:szCs w:val="17"/>
          <w:color w:val="auto"/>
        </w:rPr>
      </w:pPr>
    </w:p>
    <w:p>
      <w:pPr>
        <w:ind w:left="1260" w:right="640" w:hanging="317"/>
        <w:spacing w:after="0" w:line="294" w:lineRule="auto"/>
        <w:tabs>
          <w:tab w:leader="none" w:pos="125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173" w:lineRule="exact"/>
        <w:rPr>
          <w:rFonts w:ascii="Times New Roman" w:cs="Times New Roman" w:eastAsia="Times New Roman" w:hAnsi="Times New Roman"/>
          <w:sz w:val="17"/>
          <w:szCs w:val="17"/>
          <w:color w:val="auto"/>
        </w:rPr>
      </w:pPr>
    </w:p>
    <w:p>
      <w:pPr>
        <w:ind w:left="1260" w:hanging="317"/>
        <w:spacing w:after="0" w:line="294" w:lineRule="auto"/>
        <w:tabs>
          <w:tab w:leader="none" w:pos="125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controls that might require significant lead time in setting up operations in certain geographic territories and might prevent us from repatriating cash earned outside the United States;</w:t>
      </w:r>
    </w:p>
    <w:p>
      <w:pPr>
        <w:spacing w:after="0" w:line="173"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economic instability, such as the conflict between Russia and Ukraine and its regional and global ramifications;</w:t>
      </w:r>
    </w:p>
    <w:p>
      <w:pPr>
        <w:spacing w:after="0" w:line="247" w:lineRule="exact"/>
        <w:rPr>
          <w:rFonts w:ascii="Times New Roman" w:cs="Times New Roman" w:eastAsia="Times New Roman" w:hAnsi="Times New Roman"/>
          <w:sz w:val="17"/>
          <w:szCs w:val="17"/>
          <w:color w:val="auto"/>
        </w:rPr>
      </w:pPr>
    </w:p>
    <w:p>
      <w:pPr>
        <w:ind w:left="1260" w:right="220" w:hanging="317"/>
        <w:spacing w:after="0" w:line="294" w:lineRule="auto"/>
        <w:tabs>
          <w:tab w:leader="none" w:pos="125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diplomatic and trade relationships, including the imposition of new trade restrictions, trade protection measures, import or export requirements, trade embargoes and other trade barriers;</w:t>
      </w:r>
    </w:p>
    <w:p>
      <w:pPr>
        <w:spacing w:after="0" w:line="173" w:lineRule="exact"/>
        <w:rPr>
          <w:rFonts w:ascii="Times New Roman" w:cs="Times New Roman" w:eastAsia="Times New Roman" w:hAnsi="Times New Roman"/>
          <w:sz w:val="17"/>
          <w:szCs w:val="17"/>
          <w:color w:val="auto"/>
        </w:rPr>
      </w:pPr>
    </w:p>
    <w:p>
      <w:pPr>
        <w:ind w:left="1260" w:right="140" w:hanging="317"/>
        <w:spacing w:after="0" w:line="294" w:lineRule="auto"/>
        <w:tabs>
          <w:tab w:leader="none" w:pos="125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double taxation of our international earnings and potentially adverse tax consequences due to changes in the income and other tax laws of the United States or the international jurisdictions in which we operate;</w:t>
      </w:r>
    </w:p>
    <w:p>
      <w:pPr>
        <w:spacing w:after="0" w:line="173"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costs of doing business internationally, including increased accounting, travel, infrastructure, and legal compliance costs; and</w:t>
      </w:r>
    </w:p>
    <w:p>
      <w:pPr>
        <w:spacing w:after="0" w:line="247" w:lineRule="exact"/>
        <w:rPr>
          <w:rFonts w:ascii="Times New Roman" w:cs="Times New Roman" w:eastAsia="Times New Roman" w:hAnsi="Times New Roman"/>
          <w:sz w:val="17"/>
          <w:szCs w:val="17"/>
          <w:color w:val="auto"/>
        </w:rPr>
      </w:pPr>
    </w:p>
    <w:p>
      <w:pPr>
        <w:ind w:left="1260" w:right="620" w:hanging="317"/>
        <w:spacing w:after="0" w:line="294" w:lineRule="auto"/>
        <w:tabs>
          <w:tab w:leader="none" w:pos="125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natural disasters and public health epidemics on employees, travel and the global economy, including the ongoing global COVID-19 pandemic.</w:t>
      </w:r>
    </w:p>
    <w:p>
      <w:pPr>
        <w:spacing w:after="0" w:line="173" w:lineRule="exact"/>
        <w:rPr>
          <w:sz w:val="20"/>
          <w:szCs w:val="20"/>
          <w:color w:val="auto"/>
        </w:rPr>
      </w:pPr>
    </w:p>
    <w:p>
      <w:pPr>
        <w:ind w:firstLine="391"/>
        <w:spacing w:after="0" w:line="263" w:lineRule="auto"/>
        <w:rPr>
          <w:sz w:val="20"/>
          <w:szCs w:val="20"/>
          <w:color w:val="auto"/>
        </w:rPr>
      </w:pPr>
      <w:r>
        <w:rPr>
          <w:rFonts w:ascii="Times New Roman" w:cs="Times New Roman" w:eastAsia="Times New Roman" w:hAnsi="Times New Roman"/>
          <w:sz w:val="17"/>
          <w:szCs w:val="17"/>
          <w:color w:val="auto"/>
        </w:rPr>
        <w:t>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Any violations could result in regulatory investigations and enforcement actions, fines, civil and criminal penalties, damages, injunctions, restrictions on our ability to conduct business, or reputational harm. If we are unable comply with these laws and regulations or manage the complexity of our global operations successfully, our business, results of operations, and financial condition could be adversely affected.</w:t>
      </w:r>
    </w:p>
    <w:p>
      <w:pPr>
        <w:spacing w:after="0" w:line="200" w:lineRule="exact"/>
        <w:rPr>
          <w:sz w:val="20"/>
          <w:szCs w:val="20"/>
          <w:color w:val="auto"/>
        </w:rPr>
      </w:pPr>
    </w:p>
    <w:p>
      <w:pPr>
        <w:spacing w:after="0" w:line="206" w:lineRule="exact"/>
        <w:rPr>
          <w:sz w:val="20"/>
          <w:szCs w:val="20"/>
          <w:color w:val="auto"/>
        </w:rPr>
      </w:pPr>
    </w:p>
    <w:p>
      <w:pPr>
        <w:ind w:right="3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depend on our infrastructure and third-party datacenters, and any disruption in the operation of these facilities or failure to renew the services could adversely affect our business.</w:t>
      </w:r>
    </w:p>
    <w:p>
      <w:pPr>
        <w:spacing w:after="0" w:line="169" w:lineRule="exact"/>
        <w:rPr>
          <w:sz w:val="20"/>
          <w:szCs w:val="20"/>
          <w:color w:val="auto"/>
        </w:rPr>
      </w:pPr>
    </w:p>
    <w:p>
      <w:pPr>
        <w:ind w:firstLine="391"/>
        <w:spacing w:after="0" w:line="268" w:lineRule="auto"/>
        <w:rPr>
          <w:sz w:val="20"/>
          <w:szCs w:val="20"/>
          <w:color w:val="auto"/>
        </w:rPr>
      </w:pPr>
      <w:r>
        <w:rPr>
          <w:rFonts w:ascii="Times New Roman" w:cs="Times New Roman" w:eastAsia="Times New Roman" w:hAnsi="Times New Roman"/>
          <w:sz w:val="17"/>
          <w:szCs w:val="17"/>
          <w:color w:val="auto"/>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20" w:firstLine="391"/>
        <w:spacing w:after="0" w:line="262" w:lineRule="auto"/>
        <w:rPr>
          <w:sz w:val="20"/>
          <w:szCs w:val="20"/>
          <w:color w:val="auto"/>
        </w:rPr>
      </w:pPr>
      <w:r>
        <w:rPr>
          <w:rFonts w:ascii="Times New Roman" w:cs="Times New Roman" w:eastAsia="Times New Roman" w:hAnsi="Times New Roman"/>
          <w:sz w:val="17"/>
          <w:szCs w:val="17"/>
          <w:color w:val="auto"/>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spacing w:after="0" w:line="201" w:lineRule="exact"/>
        <w:rPr>
          <w:sz w:val="20"/>
          <w:szCs w:val="20"/>
          <w:color w:val="auto"/>
        </w:rPr>
      </w:pPr>
    </w:p>
    <w:p>
      <w:pPr>
        <w:ind w:firstLine="391"/>
        <w:spacing w:after="0" w:line="263" w:lineRule="auto"/>
        <w:rPr>
          <w:sz w:val="20"/>
          <w:szCs w:val="20"/>
          <w:color w:val="auto"/>
        </w:rPr>
      </w:pPr>
      <w:r>
        <w:rPr>
          <w:rFonts w:ascii="Times New Roman" w:cs="Times New Roman" w:eastAsia="Times New Roman" w:hAnsi="Times New Roman"/>
          <w:sz w:val="17"/>
          <w:szCs w:val="17"/>
          <w:color w:val="auto"/>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spacing w:after="0" w:line="197"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have relationships with third parties to provide, develop, and create applications that integrate with our platform, and our business could be harmed if we are unable to continue these relationships.</w:t>
      </w:r>
    </w:p>
    <w:p>
      <w:pPr>
        <w:spacing w:after="0" w:line="169" w:lineRule="exact"/>
        <w:rPr>
          <w:sz w:val="20"/>
          <w:szCs w:val="20"/>
          <w:color w:val="auto"/>
        </w:rPr>
      </w:pPr>
    </w:p>
    <w:p>
      <w:pPr>
        <w:ind w:right="180" w:firstLine="391"/>
        <w:spacing w:after="0" w:line="263" w:lineRule="auto"/>
        <w:rPr>
          <w:sz w:val="20"/>
          <w:szCs w:val="20"/>
          <w:color w:val="auto"/>
        </w:rPr>
      </w:pPr>
      <w:r>
        <w:rPr>
          <w:rFonts w:ascii="Times New Roman" w:cs="Times New Roman" w:eastAsia="Times New Roman" w:hAnsi="Times New Roman"/>
          <w:sz w:val="17"/>
          <w:szCs w:val="17"/>
          <w:color w:val="auto"/>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spacing w:after="0" w:line="201" w:lineRule="exact"/>
        <w:rPr>
          <w:sz w:val="20"/>
          <w:szCs w:val="20"/>
          <w:color w:val="auto"/>
        </w:rPr>
      </w:pPr>
    </w:p>
    <w:p>
      <w:pPr>
        <w:ind w:right="180" w:firstLine="391"/>
        <w:spacing w:after="0" w:line="268" w:lineRule="auto"/>
        <w:rPr>
          <w:sz w:val="20"/>
          <w:szCs w:val="20"/>
          <w:color w:val="auto"/>
        </w:rPr>
      </w:pPr>
      <w:r>
        <w:rPr>
          <w:rFonts w:ascii="Times New Roman" w:cs="Times New Roman" w:eastAsia="Times New Roman" w:hAnsi="Times New Roman"/>
          <w:sz w:val="17"/>
          <w:szCs w:val="17"/>
          <w:color w:val="auto"/>
        </w:rPr>
        <w:t>We also depend on our ecosystem of developers to create applications that will integrate with our platform. As of December 31, 2021, Dropbox was receiving over 75 billion API calls per month, and just under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spacing w:after="0" w:line="196" w:lineRule="exact"/>
        <w:rPr>
          <w:sz w:val="20"/>
          <w:szCs w:val="20"/>
          <w:color w:val="auto"/>
        </w:rPr>
      </w:pPr>
    </w:p>
    <w:p>
      <w:pPr>
        <w:ind w:right="280" w:firstLine="391"/>
        <w:spacing w:after="0" w:line="294" w:lineRule="auto"/>
        <w:rPr>
          <w:sz w:val="20"/>
          <w:szCs w:val="20"/>
          <w:color w:val="auto"/>
        </w:rPr>
      </w:pPr>
      <w:r>
        <w:rPr>
          <w:rFonts w:ascii="Times New Roman" w:cs="Times New Roman" w:eastAsia="Times New Roman" w:hAnsi="Times New Roman"/>
          <w:sz w:val="17"/>
          <w:szCs w:val="17"/>
          <w:color w:val="auto"/>
        </w:rPr>
        <w:t>We may not have the ability to control or prevent these risks. As a result, issues relating to these applications could adversely affect our business, brand, and reputation.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open source software could negatively affect our ability to offer and sell subscriptions to our platform and subject us to possible litigation.</w:t>
      </w:r>
    </w:p>
    <w:p>
      <w:pPr>
        <w:spacing w:after="0" w:line="252" w:lineRule="exact"/>
        <w:rPr>
          <w:sz w:val="20"/>
          <w:szCs w:val="20"/>
          <w:color w:val="auto"/>
        </w:rPr>
      </w:pPr>
    </w:p>
    <w:p>
      <w:pPr>
        <w:ind w:right="20" w:firstLine="391"/>
        <w:spacing w:after="0" w:line="260" w:lineRule="auto"/>
        <w:rPr>
          <w:sz w:val="20"/>
          <w:szCs w:val="20"/>
          <w:color w:val="auto"/>
        </w:rPr>
      </w:pPr>
      <w:r>
        <w:rPr>
          <w:rFonts w:ascii="Times New Roman" w:cs="Times New Roman" w:eastAsia="Times New Roman" w:hAnsi="Times New Roman"/>
          <w:sz w:val="17"/>
          <w:szCs w:val="17"/>
          <w:color w:val="auto"/>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sell subscriptions to our platform could be harmed by real or perceived material defects or errors in our platform.</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firstLine="391"/>
        <w:spacing w:after="0" w:line="262" w:lineRule="auto"/>
        <w:rPr>
          <w:sz w:val="20"/>
          <w:szCs w:val="20"/>
          <w:color w:val="auto"/>
        </w:rPr>
      </w:pPr>
      <w:r>
        <w:rPr>
          <w:rFonts w:ascii="Times New Roman" w:cs="Times New Roman" w:eastAsia="Times New Roman" w:hAnsi="Times New Roman"/>
          <w:sz w:val="17"/>
          <w:szCs w:val="17"/>
          <w:color w:val="auto"/>
        </w:rPr>
        <w:t>The software technology underlying our platform is inherently complex and may contain material defects or errors, particularly when first introduced or when new features or capabilities are released. We have from time to 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spacing w:after="0" w:line="201" w:lineRule="exact"/>
        <w:rPr>
          <w:sz w:val="20"/>
          <w:szCs w:val="20"/>
          <w:color w:val="auto"/>
        </w:rPr>
      </w:pPr>
    </w:p>
    <w:p>
      <w:pPr>
        <w:ind w:right="20" w:firstLine="391"/>
        <w:spacing w:after="0" w:line="287" w:lineRule="auto"/>
        <w:rPr>
          <w:sz w:val="20"/>
          <w:szCs w:val="20"/>
          <w:color w:val="auto"/>
        </w:rPr>
      </w:pPr>
      <w:r>
        <w:rPr>
          <w:rFonts w:ascii="Times New Roman" w:cs="Times New Roman" w:eastAsia="Times New Roman" w:hAnsi="Times New Roman"/>
          <w:sz w:val="17"/>
          <w:szCs w:val="17"/>
          <w:color w:val="auto"/>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spacing w:after="0" w:line="393" w:lineRule="exact"/>
        <w:rPr>
          <w:sz w:val="20"/>
          <w:szCs w:val="20"/>
          <w:color w:val="auto"/>
        </w:rPr>
      </w:pPr>
    </w:p>
    <w:p>
      <w:pPr>
        <w:ind w:left="1260" w:hanging="317"/>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a reduction in revenue or delay in market acceptance of our platform;</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issue refunds to our users or expose us to claims for damages;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lose existing users and make it more difficult to attract new users;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divert our development resources or require us to make extensive changes to our platform, which would increase our expenses;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technical support costs; and</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our reputation and brand.</w:t>
      </w:r>
    </w:p>
    <w:p>
      <w:pPr>
        <w:spacing w:after="0" w:line="244" w:lineRule="exact"/>
        <w:rPr>
          <w:sz w:val="20"/>
          <w:szCs w:val="20"/>
          <w:color w:val="auto"/>
        </w:rPr>
      </w:pPr>
    </w:p>
    <w:p>
      <w:pPr>
        <w:ind w:right="3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have acquired, and may in the future acquire, other businesses, and we may also receive offers to be acquired, any of which could require significant management attention, disrupt our business, or dilute stockholder value.</w:t>
      </w:r>
    </w:p>
    <w:p>
      <w:pPr>
        <w:spacing w:after="0" w:line="169" w:lineRule="exact"/>
        <w:rPr>
          <w:sz w:val="20"/>
          <w:szCs w:val="20"/>
          <w:color w:val="auto"/>
        </w:rPr>
      </w:pPr>
    </w:p>
    <w:p>
      <w:pPr>
        <w:ind w:firstLine="391"/>
        <w:spacing w:after="0" w:line="264" w:lineRule="auto"/>
        <w:rPr>
          <w:sz w:val="20"/>
          <w:szCs w:val="20"/>
          <w:color w:val="auto"/>
        </w:rPr>
      </w:pPr>
      <w:r>
        <w:rPr>
          <w:rFonts w:ascii="Times New Roman" w:cs="Times New Roman" w:eastAsia="Times New Roman" w:hAnsi="Times New Roman"/>
          <w:sz w:val="17"/>
          <w:szCs w:val="17"/>
          <w:color w:val="auto"/>
        </w:rPr>
        <w:t>As part of our business strategy, we have acquired, and may in the future acquire, other companies, employee teams, or technologies to complement or expand our products, obtain personnel, or otherwise grow our business. For example, in the first fiscal quarter of 2021, we acquired DocSend, a secure document sharing platform, to expand our content collaboration capabilities to include additional business critical workflows. Additionally, in the fourth fiscal quarter of 2021, we acquired Command E, a universal search and productivity company, to enhance our search capability. The pursuit of acquisitions may divert the attention of management and cause us to incur various expenses in identifying, investigating, and pursuing suitable acquisitions, whether or not they are consummated.</w:t>
      </w:r>
    </w:p>
    <w:p>
      <w:pPr>
        <w:spacing w:after="0" w:line="398" w:lineRule="exact"/>
        <w:rPr>
          <w:sz w:val="20"/>
          <w:szCs w:val="20"/>
          <w:color w:val="auto"/>
        </w:rPr>
      </w:pPr>
    </w:p>
    <w:p>
      <w:pPr>
        <w:ind w:right="300" w:firstLine="391"/>
        <w:spacing w:after="0" w:line="252" w:lineRule="auto"/>
        <w:rPr>
          <w:sz w:val="20"/>
          <w:szCs w:val="20"/>
          <w:color w:val="auto"/>
        </w:rPr>
      </w:pPr>
      <w:r>
        <w:rPr>
          <w:rFonts w:ascii="Times New Roman" w:cs="Times New Roman" w:eastAsia="Times New Roman" w:hAnsi="Times New Roman"/>
          <w:sz w:val="17"/>
          <w:szCs w:val="17"/>
          <w:color w:val="auto"/>
        </w:rPr>
        <w:t>We have limited experience making acquisitions. We may not be able to find suitable acquisition candidates and we may not be able to complete acquisitions on favorable terms, if at all, and even if we are able to identify suitable acquisition candidates, we may not be able to receive approval from the applicable competition authorities, or such target may be acquired by another company, including one of our competitors. If we do complete acquisitions, we may not ultimately strengthen our competitive position or achieve the anticipated benefits from such acquisitions, due to a number of factors, including:</w:t>
      </w:r>
    </w:p>
    <w:p>
      <w:pPr>
        <w:spacing w:after="0" w:line="209" w:lineRule="exact"/>
        <w:rPr>
          <w:sz w:val="20"/>
          <w:szCs w:val="20"/>
          <w:color w:val="auto"/>
        </w:rPr>
      </w:pPr>
    </w:p>
    <w:p>
      <w:pPr>
        <w:ind w:left="1260" w:hanging="317"/>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acquisition-related costs, liabilities, or tax impacts, some of which may be unanticipated;</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integrating and retaining the personnel, intellectual property, technology infrastructure, and operations of an acquired business;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ineffective or inadequate, controls, procedures, or policies at an acquired business;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multiple product lines or services offerings, as a result of our acquisitions, that are offered, priced, and supported differently;</w:t>
      </w:r>
    </w:p>
    <w:p>
      <w:pPr>
        <w:spacing w:after="0" w:line="247" w:lineRule="exact"/>
        <w:rPr>
          <w:rFonts w:ascii="Times New Roman" w:cs="Times New Roman" w:eastAsia="Times New Roman" w:hAnsi="Times New Roman"/>
          <w:sz w:val="17"/>
          <w:szCs w:val="17"/>
          <w:color w:val="auto"/>
        </w:rPr>
      </w:pPr>
    </w:p>
    <w:p>
      <w:pPr>
        <w:ind w:left="1260" w:right="360" w:hanging="317"/>
        <w:spacing w:after="0" w:line="294" w:lineRule="auto"/>
        <w:tabs>
          <w:tab w:leader="none" w:pos="125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unknown liabilities or risks associated with an acquired business, including those arising from existing contractual obligations or litigation matters;</w:t>
      </w:r>
    </w:p>
    <w:p>
      <w:pPr>
        <w:spacing w:after="0" w:line="173"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maintain relationships with key customers, suppliers, and partners of an acquired business;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1260" w:hanging="317"/>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experience in new markets, products or technologies;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other business concerns; and</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resources that are needed in other parts of our business.</w:t>
      </w:r>
    </w:p>
    <w:p>
      <w:pPr>
        <w:spacing w:after="0" w:line="248" w:lineRule="exact"/>
        <w:rPr>
          <w:sz w:val="20"/>
          <w:szCs w:val="20"/>
          <w:color w:val="auto"/>
        </w:rPr>
      </w:pPr>
    </w:p>
    <w:p>
      <w:pPr>
        <w:jc w:val="both"/>
        <w:ind w:right="120" w:firstLine="313"/>
        <w:spacing w:after="0" w:line="275" w:lineRule="auto"/>
        <w:rPr>
          <w:sz w:val="20"/>
          <w:szCs w:val="20"/>
          <w:color w:val="auto"/>
        </w:rPr>
      </w:pPr>
      <w:r>
        <w:rPr>
          <w:rFonts w:ascii="Times New Roman" w:cs="Times New Roman" w:eastAsia="Times New Roman" w:hAnsi="Times New Roman"/>
          <w:sz w:val="17"/>
          <w:szCs w:val="17"/>
          <w:color w:val="auto"/>
        </w:rPr>
        <w:t>In addition, a significant portion of the purchase price of companies we acquire may be allocated to acquired goodwill. We review goodwill for impairment at least annually. In the future, if our acquisitions do not yield expected returns, we may be required to record impairment charges based this assessment, which could adversely affect our results of operations.</w:t>
      </w:r>
    </w:p>
    <w:p>
      <w:pPr>
        <w:spacing w:after="0" w:line="189" w:lineRule="exact"/>
        <w:rPr>
          <w:sz w:val="20"/>
          <w:szCs w:val="20"/>
          <w:color w:val="auto"/>
        </w:rPr>
      </w:pPr>
    </w:p>
    <w:p>
      <w:pPr>
        <w:ind w:right="120" w:firstLine="313"/>
        <w:spacing w:after="0" w:line="268" w:lineRule="auto"/>
        <w:rPr>
          <w:sz w:val="20"/>
          <w:szCs w:val="20"/>
          <w:color w:val="auto"/>
        </w:rPr>
      </w:pPr>
      <w:r>
        <w:rPr>
          <w:rFonts w:ascii="Times New Roman" w:cs="Times New Roman" w:eastAsia="Times New Roman" w:hAnsi="Times New Roman"/>
          <w:sz w:val="17"/>
          <w:szCs w:val="17"/>
          <w:color w:val="auto"/>
        </w:rPr>
        <w:t>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spacing w:after="0" w:line="196" w:lineRule="exact"/>
        <w:rPr>
          <w:sz w:val="20"/>
          <w:szCs w:val="20"/>
          <w:color w:val="auto"/>
        </w:rPr>
      </w:pPr>
    </w:p>
    <w:p>
      <w:pPr>
        <w:ind w:firstLine="313"/>
        <w:spacing w:after="0" w:line="275" w:lineRule="auto"/>
        <w:rPr>
          <w:sz w:val="20"/>
          <w:szCs w:val="20"/>
          <w:color w:val="auto"/>
        </w:rPr>
      </w:pPr>
      <w:r>
        <w:rPr>
          <w:rFonts w:ascii="Times New Roman" w:cs="Times New Roman" w:eastAsia="Times New Roman" w:hAnsi="Times New Roman"/>
          <w:sz w:val="17"/>
          <w:szCs w:val="17"/>
          <w:color w:val="auto"/>
        </w:rPr>
        <w:t>Any acquisition we complete could be viewed negatively by users, developers, partners, or investors, and could have adverse effects on our existing business relationships. In addition, we may not successfully evaluate or utilize acquired technology or accurately forecast the financial impact of an acquisition transaction, including accounting charges.</w:t>
      </w:r>
    </w:p>
    <w:p>
      <w:pPr>
        <w:spacing w:after="0" w:line="189" w:lineRule="exact"/>
        <w:rPr>
          <w:sz w:val="20"/>
          <w:szCs w:val="20"/>
          <w:color w:val="auto"/>
        </w:rPr>
      </w:pPr>
    </w:p>
    <w:p>
      <w:pPr>
        <w:ind w:right="180" w:firstLine="313"/>
        <w:spacing w:after="0" w:line="268" w:lineRule="auto"/>
        <w:rPr>
          <w:sz w:val="20"/>
          <w:szCs w:val="20"/>
          <w:color w:val="auto"/>
        </w:rPr>
      </w:pPr>
      <w:r>
        <w:rPr>
          <w:rFonts w:ascii="Times New Roman" w:cs="Times New Roman" w:eastAsia="Times New Roman" w:hAnsi="Times New Roman"/>
          <w:sz w:val="17"/>
          <w:szCs w:val="17"/>
          <w:color w:val="auto"/>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192"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significantly impacted by a change in general economic, political, and market conditions, including any resulting effect on consumer or business spending.</w:t>
      </w:r>
    </w:p>
    <w:p>
      <w:pPr>
        <w:spacing w:after="0" w:line="169" w:lineRule="exact"/>
        <w:rPr>
          <w:sz w:val="20"/>
          <w:szCs w:val="20"/>
          <w:color w:val="auto"/>
        </w:rPr>
      </w:pPr>
    </w:p>
    <w:p>
      <w:pPr>
        <w:ind w:right="20" w:firstLine="391"/>
        <w:spacing w:after="0" w:line="262" w:lineRule="auto"/>
        <w:rPr>
          <w:sz w:val="20"/>
          <w:szCs w:val="20"/>
          <w:color w:val="auto"/>
        </w:rPr>
      </w:pPr>
      <w:r>
        <w:rPr>
          <w:rFonts w:ascii="Times New Roman" w:cs="Times New Roman" w:eastAsia="Times New Roman" w:hAnsi="Times New Roman"/>
          <w:sz w:val="17"/>
          <w:szCs w:val="17"/>
          <w:color w:val="auto"/>
        </w:rPr>
        <w:t>Our business may be affected by general economic, political, and market conditions, including any resulting effect on spending by our business and consumer users. Some of our users may view a subscription to our platform as a discretionary purchase, and our paying users may reduce their discretionary spending on our platform during an economic downturn, especially in the event of a prolonged recessionary period. Concerns about inflation, geopolitical issues, such as the conflict between Russia and Ukraine, the ongoing COVID-19 pandemic or a widespread economic slowdown (in the United States or internationally) have and could continue to lead to increased market volatility and economic uncertainty, which could cause current and prospective paying users to delay, decrease, or cancel purchases of our products and services, or delay or default on their payment obligations. As a result, our business, results of operations, and financial condition may be significantly affected by changes in the economy generally.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current and future indebtedness may limit our operating flexibility or otherwise affect our business.</w:t>
      </w:r>
    </w:p>
    <w:p>
      <w:pPr>
        <w:spacing w:after="0" w:line="252" w:lineRule="exact"/>
        <w:rPr>
          <w:sz w:val="20"/>
          <w:szCs w:val="20"/>
          <w:color w:val="auto"/>
        </w:rPr>
      </w:pPr>
    </w:p>
    <w:p>
      <w:pPr>
        <w:ind w:right="220" w:firstLine="391"/>
        <w:spacing w:after="0" w:line="294" w:lineRule="auto"/>
        <w:rPr>
          <w:sz w:val="20"/>
          <w:szCs w:val="20"/>
          <w:color w:val="auto"/>
        </w:rPr>
      </w:pPr>
      <w:r>
        <w:rPr>
          <w:rFonts w:ascii="Times New Roman" w:cs="Times New Roman" w:eastAsia="Times New Roman" w:hAnsi="Times New Roman"/>
          <w:sz w:val="17"/>
          <w:szCs w:val="17"/>
          <w:color w:val="auto"/>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spacing w:after="0" w:line="173" w:lineRule="exact"/>
        <w:rPr>
          <w:sz w:val="20"/>
          <w:szCs w:val="20"/>
          <w:color w:val="auto"/>
        </w:rPr>
      </w:pPr>
    </w:p>
    <w:p>
      <w:pPr>
        <w:ind w:right="60" w:firstLine="391"/>
        <w:spacing w:after="0" w:line="268" w:lineRule="auto"/>
        <w:rPr>
          <w:sz w:val="20"/>
          <w:szCs w:val="20"/>
          <w:color w:val="auto"/>
        </w:rPr>
      </w:pPr>
      <w:r>
        <w:rPr>
          <w:rFonts w:ascii="Times New Roman" w:cs="Times New Roman" w:eastAsia="Times New Roman" w:hAnsi="Times New Roman"/>
          <w:sz w:val="17"/>
          <w:szCs w:val="17"/>
          <w:color w:val="auto"/>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addition, such current and future indebtedness could:</w:t>
      </w:r>
    </w:p>
    <w:p>
      <w:pPr>
        <w:spacing w:after="0" w:line="248" w:lineRule="exact"/>
        <w:rPr>
          <w:sz w:val="20"/>
          <w:szCs w:val="20"/>
          <w:color w:val="auto"/>
        </w:rPr>
      </w:pPr>
    </w:p>
    <w:p>
      <w:pPr>
        <w:ind w:left="1260" w:hanging="317"/>
        <w:spacing w:after="0"/>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it more difficult for us to satisfy our debt obligations, including the 2026 Notes and the 2028 Notes;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general adverse economic and industry conditions;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left="1260" w:right="60" w:hanging="317"/>
        <w:spacing w:after="0" w:line="294" w:lineRule="auto"/>
        <w:tabs>
          <w:tab w:leader="none" w:pos="125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dedicate a substantial portion of our cash flow from operations to payments on our indebtedness, thereby reducing the availability of our cash flow to fund working capital and other general corporate purposes;</w:t>
      </w:r>
    </w:p>
    <w:p>
      <w:pPr>
        <w:spacing w:after="0" w:line="173"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in planning for, or reacting to, changes in our business and the industry in which we operate;</w:t>
      </w:r>
    </w:p>
    <w:p>
      <w:pPr>
        <w:spacing w:after="0" w:line="247" w:lineRule="exact"/>
        <w:rPr>
          <w:rFonts w:ascii="Times New Roman" w:cs="Times New Roman" w:eastAsia="Times New Roman" w:hAnsi="Times New Roman"/>
          <w:sz w:val="17"/>
          <w:szCs w:val="17"/>
          <w:color w:val="auto"/>
        </w:rPr>
      </w:pPr>
    </w:p>
    <w:p>
      <w:pPr>
        <w:ind w:left="1260" w:right="360" w:hanging="317"/>
        <w:spacing w:after="0" w:line="294" w:lineRule="auto"/>
        <w:tabs>
          <w:tab w:leader="none" w:pos="125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our current and future operations, make it more difficult to successfully execute our business strategy, or restrict us from exploiting business opportunities;</w:t>
      </w:r>
    </w:p>
    <w:p>
      <w:pPr>
        <w:spacing w:after="0" w:line="173"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us at a competitive disadvantage compared to our competitors that have less indebtedness or are not subject to restrictive covenants;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 or otherwise impact the pace and timing of repurchases under our stock repurchase program; and</w:t>
      </w:r>
    </w:p>
    <w:p>
      <w:pPr>
        <w:spacing w:after="0" w:line="247" w:lineRule="exact"/>
        <w:rPr>
          <w:rFonts w:ascii="Times New Roman" w:cs="Times New Roman" w:eastAsia="Times New Roman" w:hAnsi="Times New Roman"/>
          <w:sz w:val="17"/>
          <w:szCs w:val="17"/>
          <w:color w:val="auto"/>
        </w:rPr>
      </w:pPr>
    </w:p>
    <w:p>
      <w:pPr>
        <w:ind w:left="1260" w:right="80" w:hanging="317"/>
        <w:spacing w:after="0" w:line="294" w:lineRule="auto"/>
        <w:tabs>
          <w:tab w:leader="none" w:pos="125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availability to borrow additional funds for working capital, capital expenditures, acquisitions, debt service requirements, execution of our business strategy, or other general purposes.</w:t>
      </w:r>
    </w:p>
    <w:p>
      <w:pPr>
        <w:spacing w:after="0" w:line="17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of the foregoing could have a material adverse effect on our business, cash flows, results of operations, and financial condition.</w:t>
      </w:r>
    </w:p>
    <w:p>
      <w:pPr>
        <w:spacing w:after="0" w:line="244"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operations may be interrupted and our business, results of operations, and financial condition could be adversely affected if we default on our leasing or credit obligations.</w:t>
      </w:r>
    </w:p>
    <w:p>
      <w:pPr>
        <w:spacing w:after="0" w:line="169" w:lineRule="exact"/>
        <w:rPr>
          <w:sz w:val="20"/>
          <w:szCs w:val="20"/>
          <w:color w:val="auto"/>
        </w:rPr>
      </w:pPr>
    </w:p>
    <w:p>
      <w:pPr>
        <w:ind w:right="60" w:firstLine="391"/>
        <w:spacing w:after="0" w:line="268" w:lineRule="auto"/>
        <w:rPr>
          <w:sz w:val="20"/>
          <w:szCs w:val="20"/>
          <w:color w:val="auto"/>
        </w:rPr>
      </w:pPr>
      <w:r>
        <w:rPr>
          <w:rFonts w:ascii="Times New Roman" w:cs="Times New Roman" w:eastAsia="Times New Roman" w:hAnsi="Times New Roman"/>
          <w:sz w:val="17"/>
          <w:szCs w:val="17"/>
          <w:color w:val="auto"/>
        </w:rPr>
        <w:t>We finance a significant portion of our expenditures through leasing arrangements, and we may enter into additional similar arrangements in the future. As of December 31, 2021, we had an aggregate of $1,342.0 million of commitments to settle contractual obligations. In particular, we utilize both finance and operating leases to finance some of our equipment, datacenters and offices. In addition, we may draw upon our revolving credit facility to finance our operations or for other corporate purposes. If we default on these leasing or credit obligations, our leasing partners and lenders may, among other things:</w:t>
      </w:r>
    </w:p>
    <w:p>
      <w:pPr>
        <w:spacing w:after="0" w:line="196" w:lineRule="exact"/>
        <w:rPr>
          <w:sz w:val="20"/>
          <w:szCs w:val="20"/>
          <w:color w:val="auto"/>
        </w:rPr>
      </w:pPr>
    </w:p>
    <w:p>
      <w:pPr>
        <w:ind w:left="1260" w:hanging="317"/>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repayment of any outstanding lease obligations;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leasing arrangements;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access to the leased datacenters we utilize;</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stop delivery of ordered equipment;</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or require us to return our leased equipment;</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repayment of any outstanding amounts drawn on our revolving credit facility;</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terminate our revolving credit facility; or</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pay significant fees, penalties, or damages.</w:t>
      </w:r>
    </w:p>
    <w:p>
      <w:pPr>
        <w:spacing w:after="0" w:line="248" w:lineRule="exact"/>
        <w:rPr>
          <w:sz w:val="20"/>
          <w:szCs w:val="20"/>
          <w:color w:val="auto"/>
        </w:rPr>
      </w:pPr>
    </w:p>
    <w:p>
      <w:pPr>
        <w:ind w:right="60" w:firstLine="391"/>
        <w:spacing w:after="0" w:line="265" w:lineRule="auto"/>
        <w:rPr>
          <w:sz w:val="20"/>
          <w:szCs w:val="20"/>
          <w:color w:val="auto"/>
        </w:rPr>
      </w:pPr>
      <w:r>
        <w:rPr>
          <w:rFonts w:ascii="Times New Roman" w:cs="Times New Roman" w:eastAsia="Times New Roman" w:hAnsi="Times New Roman"/>
          <w:sz w:val="17"/>
          <w:szCs w:val="17"/>
          <w:color w:val="auto"/>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spacing w:after="0" w:line="19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Risks Related to Our Financial Performance or Results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revenue growth rate has declined in recent periods and may continue to slow in the future.</w:t>
      </w:r>
    </w:p>
    <w:p>
      <w:pPr>
        <w:spacing w:after="0" w:line="252" w:lineRule="exact"/>
        <w:rPr>
          <w:sz w:val="20"/>
          <w:szCs w:val="20"/>
          <w:color w:val="auto"/>
        </w:rPr>
      </w:pPr>
    </w:p>
    <w:p>
      <w:pPr>
        <w:ind w:right="240" w:firstLine="391"/>
        <w:spacing w:after="0" w:line="294" w:lineRule="auto"/>
        <w:rPr>
          <w:sz w:val="20"/>
          <w:szCs w:val="20"/>
          <w:color w:val="auto"/>
        </w:rPr>
      </w:pPr>
      <w:r>
        <w:rPr>
          <w:rFonts w:ascii="Times New Roman" w:cs="Times New Roman" w:eastAsia="Times New Roman" w:hAnsi="Times New Roman"/>
          <w:sz w:val="17"/>
          <w:szCs w:val="17"/>
          <w:color w:val="auto"/>
        </w:rPr>
        <w:t>We have experienced significant revenue growth in prior periods. However, our rates of revenue growth have slowed and may continue to slow in future periods. Many factors may contribute to declines in our growth rates, including higher market</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7"/>
          <w:szCs w:val="17"/>
          <w:color w:val="auto"/>
        </w:rPr>
        <w:t>penetration, increased competition, particularly from the availability of less expensive and bundled competitive products, slowing demand for our platform, a decrease in the growth of the overall content collaboration market, a failure by us to continue capitalizing on growth opportunities, the impact of catastrophic events on economic conditions or on our current and prospective paying users,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a history of net losses, we may increase expenses in the future, and we may not be able to achieve or maintain profitability.</w:t>
      </w:r>
    </w:p>
    <w:p>
      <w:pPr>
        <w:spacing w:after="0" w:line="252" w:lineRule="exact"/>
        <w:rPr>
          <w:sz w:val="20"/>
          <w:szCs w:val="20"/>
          <w:color w:val="auto"/>
        </w:rPr>
      </w:pPr>
    </w:p>
    <w:p>
      <w:pPr>
        <w:ind w:firstLine="391"/>
        <w:spacing w:after="0" w:line="258" w:lineRule="auto"/>
        <w:rPr>
          <w:sz w:val="20"/>
          <w:szCs w:val="20"/>
          <w:color w:val="auto"/>
        </w:rPr>
      </w:pPr>
      <w:r>
        <w:rPr>
          <w:rFonts w:ascii="Times New Roman" w:cs="Times New Roman" w:eastAsia="Times New Roman" w:hAnsi="Times New Roman"/>
          <w:sz w:val="17"/>
          <w:szCs w:val="17"/>
          <w:color w:val="auto"/>
        </w:rPr>
        <w:t>While we have been profitable on a GAAP basis in prior fiscal quarters, 2021 was our first profitable full fiscal year. We may, however, not achieve or maintain profitability in future periods. We incurred net losses on an annual basis from our inception until 2020. We incurred net losses of $256.3 million and $52.7 million in the years ended December 31, 2020 and 2019, respectively. We generated net income of $335.8 million in the year ended December 31, 2021 and we had an accumulated deficit of $2,739.4 million as of December 31, 2021. As we strive to grow our business, expenses may increase, particularly as we continue to make investments to scale our business.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results of operations and financial condition would be adversely affected.</w:t>
      </w:r>
    </w:p>
    <w:p>
      <w:pPr>
        <w:spacing w:after="0" w:line="200" w:lineRule="exact"/>
        <w:rPr>
          <w:sz w:val="20"/>
          <w:szCs w:val="20"/>
          <w:color w:val="auto"/>
        </w:rPr>
      </w:pPr>
    </w:p>
    <w:p>
      <w:pPr>
        <w:spacing w:after="0" w:line="210"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Servicing our 2026 Notes and 2028 Notes may require a significant amount of cash, and we may not have sufficient cash flow or the ability to raise the funds necessary to satisfy our obligations under the 2026 Notes or 2028 Notes.</w:t>
      </w:r>
    </w:p>
    <w:p>
      <w:pPr>
        <w:spacing w:after="0" w:line="169" w:lineRule="exact"/>
        <w:rPr>
          <w:sz w:val="20"/>
          <w:szCs w:val="20"/>
          <w:color w:val="auto"/>
        </w:rPr>
      </w:pPr>
    </w:p>
    <w:p>
      <w:pPr>
        <w:ind w:firstLine="391"/>
        <w:spacing w:after="0" w:line="261" w:lineRule="auto"/>
        <w:rPr>
          <w:sz w:val="20"/>
          <w:szCs w:val="20"/>
          <w:color w:val="auto"/>
        </w:rPr>
      </w:pPr>
      <w:r>
        <w:rPr>
          <w:rFonts w:ascii="Times New Roman" w:cs="Times New Roman" w:eastAsia="Times New Roman" w:hAnsi="Times New Roman"/>
          <w:sz w:val="17"/>
          <w:szCs w:val="17"/>
          <w:color w:val="auto"/>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quarterly results may fluctuate significantly and may not fully reflect the underlying performance of our business.</w:t>
      </w:r>
    </w:p>
    <w:p>
      <w:pPr>
        <w:spacing w:after="0" w:line="252" w:lineRule="exact"/>
        <w:rPr>
          <w:sz w:val="20"/>
          <w:szCs w:val="20"/>
          <w:color w:val="auto"/>
        </w:rPr>
      </w:pPr>
    </w:p>
    <w:p>
      <w:pPr>
        <w:ind w:right="60" w:firstLine="391"/>
        <w:spacing w:after="0" w:line="265" w:lineRule="auto"/>
        <w:rPr>
          <w:sz w:val="20"/>
          <w:szCs w:val="20"/>
          <w:color w:val="auto"/>
        </w:rPr>
      </w:pPr>
      <w:r>
        <w:rPr>
          <w:rFonts w:ascii="Times New Roman" w:cs="Times New Roman" w:eastAsia="Times New Roman" w:hAnsi="Times New Roman"/>
          <w:sz w:val="17"/>
          <w:szCs w:val="17"/>
          <w:color w:val="auto"/>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580"/>
        <w:spacing w:after="0" w:line="294" w:lineRule="auto"/>
        <w:rPr>
          <w:sz w:val="20"/>
          <w:szCs w:val="20"/>
          <w:color w:val="auto"/>
        </w:rPr>
      </w:pPr>
      <w:r>
        <w:rPr>
          <w:rFonts w:ascii="Times New Roman" w:cs="Times New Roman" w:eastAsia="Times New Roman" w:hAnsi="Times New Roman"/>
          <w:sz w:val="17"/>
          <w:szCs w:val="17"/>
          <w:color w:val="auto"/>
        </w:rPr>
        <w:t>performance of our business. Fluctuation in quarterly results may negatively impact the value of our securities. Factors that may cause fluctuations in our quarterly results of operations include, without limitation, those listed below:</w:t>
      </w:r>
    </w:p>
    <w:p>
      <w:pPr>
        <w:spacing w:after="0" w:line="200" w:lineRule="exact"/>
        <w:rPr>
          <w:sz w:val="20"/>
          <w:szCs w:val="20"/>
          <w:color w:val="auto"/>
        </w:rPr>
      </w:pPr>
    </w:p>
    <w:p>
      <w:pPr>
        <w:spacing w:after="0" w:line="208" w:lineRule="exact"/>
        <w:rPr>
          <w:sz w:val="20"/>
          <w:szCs w:val="20"/>
          <w:color w:val="auto"/>
        </w:rPr>
      </w:pPr>
    </w:p>
    <w:p>
      <w:pPr>
        <w:ind w:left="1260" w:hanging="317"/>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upgrade paying users;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new paying users and convert registered to paying users;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and recognition of revenue;</w:t>
      </w:r>
    </w:p>
    <w:p>
      <w:pPr>
        <w:spacing w:after="0" w:line="247" w:lineRule="exact"/>
        <w:rPr>
          <w:rFonts w:ascii="Times New Roman" w:cs="Times New Roman" w:eastAsia="Times New Roman" w:hAnsi="Times New Roman"/>
          <w:sz w:val="17"/>
          <w:szCs w:val="17"/>
          <w:color w:val="auto"/>
        </w:rPr>
      </w:pPr>
    </w:p>
    <w:p>
      <w:pPr>
        <w:ind w:left="1260" w:right="140" w:hanging="317"/>
        <w:spacing w:after="0" w:line="294" w:lineRule="auto"/>
        <w:tabs>
          <w:tab w:leader="none" w:pos="12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and timing of operating expenses related to the maintenance and expansion of our business, operations, and infrastructure, as well as entry into operating and finance leases;</w:t>
      </w:r>
    </w:p>
    <w:p>
      <w:pPr>
        <w:spacing w:after="0" w:line="173"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expenses related to acquisitions;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large indemnification payments to our users or other third parties;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pricing policies or those of our competitors;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success of new product feature and service introductions by us or our competitors;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network outages or actual or perceived security breaches;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competitive dynamics of our industry, including consolidation among competitors;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that impact our business;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w:t>
      </w:r>
    </w:p>
    <w:p>
      <w:pPr>
        <w:spacing w:after="0" w:line="247" w:lineRule="exact"/>
        <w:rPr>
          <w:rFonts w:ascii="Times New Roman" w:cs="Times New Roman" w:eastAsia="Times New Roman" w:hAnsi="Times New Roman"/>
          <w:sz w:val="17"/>
          <w:szCs w:val="17"/>
          <w:color w:val="auto"/>
        </w:rPr>
      </w:pPr>
    </w:p>
    <w:p>
      <w:pPr>
        <w:ind w:left="1260" w:right="140" w:hanging="317"/>
        <w:spacing w:after="0" w:line="294" w:lineRule="auto"/>
        <w:tabs>
          <w:tab w:leader="none" w:pos="12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catastrophic events, including earthquakes, fires, floods, tsunamis, or other weather events, power loss, telecommunications failures, software or hardware malfunctions, cyber-attack, war, or terrorist attacks, and pandemics such as the ongoing COVID-19 pandemic;</w:t>
      </w:r>
    </w:p>
    <w:p>
      <w:pPr>
        <w:spacing w:after="0" w:line="173" w:lineRule="exact"/>
        <w:rPr>
          <w:rFonts w:ascii="Times New Roman" w:cs="Times New Roman" w:eastAsia="Times New Roman" w:hAnsi="Times New Roman"/>
          <w:sz w:val="17"/>
          <w:szCs w:val="17"/>
          <w:color w:val="auto"/>
        </w:rPr>
      </w:pPr>
    </w:p>
    <w:p>
      <w:pPr>
        <w:ind w:left="1260" w:right="580" w:hanging="317"/>
        <w:spacing w:after="0" w:line="294" w:lineRule="auto"/>
        <w:tabs>
          <w:tab w:leader="none" w:pos="125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reserves or other non-cash credits or charges, such as the impairment charges related to certain of our unused office space in connection with our shift to a Virtual First work model and releases of deferred tax asset valuation allowances; and</w:t>
      </w:r>
    </w:p>
    <w:p>
      <w:pPr>
        <w:spacing w:after="0" w:line="173"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impacts of shifting our operations to a Virtual First work model.</w:t>
      </w:r>
    </w:p>
    <w:p>
      <w:pPr>
        <w:spacing w:after="0" w:line="244" w:lineRule="exact"/>
        <w:rPr>
          <w:sz w:val="20"/>
          <w:szCs w:val="20"/>
          <w:color w:val="auto"/>
        </w:rPr>
      </w:pPr>
    </w:p>
    <w:p>
      <w:pPr>
        <w:ind w:right="3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may not immediately reflect downturns or upturns in sales because we recognize revenue from our users over the term of their subscriptions with us.</w:t>
      </w:r>
    </w:p>
    <w:p>
      <w:pPr>
        <w:spacing w:after="0" w:line="169" w:lineRule="exact"/>
        <w:rPr>
          <w:sz w:val="20"/>
          <w:szCs w:val="20"/>
          <w:color w:val="auto"/>
        </w:rPr>
      </w:pPr>
    </w:p>
    <w:p>
      <w:pPr>
        <w:ind w:firstLine="391"/>
        <w:spacing w:after="0" w:line="261" w:lineRule="auto"/>
        <w:rPr>
          <w:sz w:val="20"/>
          <w:szCs w:val="20"/>
          <w:color w:val="auto"/>
        </w:rPr>
      </w:pPr>
      <w:r>
        <w:rPr>
          <w:rFonts w:ascii="Times New Roman" w:cs="Times New Roman" w:eastAsia="Times New Roman" w:hAnsi="Times New Roman"/>
          <w:sz w:val="17"/>
          <w:szCs w:val="17"/>
          <w:color w:val="auto"/>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results of operations, which are reported in U.S. dollars, could be adversely affected if currency exchange rates fluctuate substantially in the future.</w:t>
      </w:r>
    </w:p>
    <w:p>
      <w:pPr>
        <w:spacing w:after="0" w:line="252" w:lineRule="exact"/>
        <w:rPr>
          <w:sz w:val="20"/>
          <w:szCs w:val="20"/>
          <w:color w:val="auto"/>
        </w:rPr>
      </w:pPr>
    </w:p>
    <w:p>
      <w:pPr>
        <w:ind w:right="180" w:firstLine="391"/>
        <w:spacing w:after="0" w:line="294" w:lineRule="auto"/>
        <w:rPr>
          <w:sz w:val="20"/>
          <w:szCs w:val="20"/>
          <w:color w:val="auto"/>
        </w:rPr>
      </w:pPr>
      <w:r>
        <w:rPr>
          <w:rFonts w:ascii="Times New Roman" w:cs="Times New Roman" w:eastAsia="Times New Roman" w:hAnsi="Times New Roman"/>
          <w:sz w:val="17"/>
          <w:szCs w:val="17"/>
          <w:color w:val="auto"/>
        </w:rPr>
        <w:t>We conduct our business across 180 countries around the world. As we continue to expand our international operations, we will become more exposed to the effects of fluctuations in currency exchange rates. This exposure is the result of selling in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multiple currencies and operating in foreign countries where the functional currency is the local currency. In 2021, 30% of our sales were denominated in currencies other than U.S. dollars. Our expenses, by contrast, are primarily denominated in U.S. dollars. As a result, any increase in the value of the U.S. dollar against these foreign currencies, including those resulting from the impact of the COVID-19 pandemic, could cause our revenue to decline relative to our costs, thereby decreasing our gross margins. Our results of operations are primarily subject to fluctuations in the Euro and British pound sterling. Because we conduct business in currencies other than U.S. dollars, but report our results of operations in U.S. dollars, we also face translation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counterparty risk with respect to the convertible note hedge transactions.</w:t>
      </w:r>
    </w:p>
    <w:p>
      <w:pPr>
        <w:spacing w:after="0" w:line="252" w:lineRule="exact"/>
        <w:rPr>
          <w:sz w:val="20"/>
          <w:szCs w:val="20"/>
          <w:color w:val="auto"/>
        </w:rPr>
      </w:pPr>
    </w:p>
    <w:p>
      <w:pPr>
        <w:ind w:right="100" w:firstLine="391"/>
        <w:spacing w:after="0" w:line="261" w:lineRule="auto"/>
        <w:rPr>
          <w:sz w:val="20"/>
          <w:szCs w:val="20"/>
          <w:color w:val="auto"/>
        </w:rPr>
      </w:pPr>
      <w:r>
        <w:rPr>
          <w:rFonts w:ascii="Times New Roman" w:cs="Times New Roman" w:eastAsia="Times New Roman" w:hAnsi="Times New Roman"/>
          <w:sz w:val="17"/>
          <w:szCs w:val="17"/>
          <w:color w:val="auto"/>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certain other tax attributes may be limited.</w:t>
      </w:r>
    </w:p>
    <w:p>
      <w:pPr>
        <w:spacing w:after="0" w:line="252" w:lineRule="exact"/>
        <w:rPr>
          <w:sz w:val="20"/>
          <w:szCs w:val="20"/>
          <w:color w:val="auto"/>
        </w:rPr>
      </w:pPr>
    </w:p>
    <w:p>
      <w:pPr>
        <w:ind w:right="40" w:firstLine="391"/>
        <w:spacing w:after="0" w:line="259" w:lineRule="auto"/>
        <w:rPr>
          <w:sz w:val="20"/>
          <w:szCs w:val="20"/>
          <w:color w:val="auto"/>
        </w:rPr>
      </w:pPr>
      <w:r>
        <w:rPr>
          <w:rFonts w:ascii="Times New Roman" w:cs="Times New Roman" w:eastAsia="Times New Roman" w:hAnsi="Times New Roman"/>
          <w:sz w:val="17"/>
          <w:szCs w:val="17"/>
          <w:color w:val="auto"/>
        </w:rPr>
        <w:t>As of December 31, 2021, we had $623.8 million of federal, $352.1 million of state, and $310.1 million of foreign net operating loss carryforwards available to reduce future taxable income. Of our federal net operating loss carryforwards, $5.1 million will begin to expire in 2032 and $618.7 million will carryforward indefinitely, while state net operating losses begin to expire in 2029. As of December 31, 2021, we had research credit carryforwards of $246.1 million and $130.0 million for federal and state income tax purposes. The federal credit carryforwards will begin to expire in 2031. The state research credits have no expiration date. We also had $3.6 million of state enterprise zone credit carryforwards as of December 31, 2021, which will begin to expire in 2023 and $0.6 million of foreign tax credit carryforwards as of December 31, 2021, which will carryforward indefinitely. It is possible that we will not generate taxable income in time to use these net operating loss carryforwards before their expiration or at all.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spacing w:after="0" w:line="200"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operating results may be harmed if we are required to collect sales or other related taxes for our subscription services in jurisdictions where we have not historically done so.</w:t>
      </w:r>
    </w:p>
    <w:p>
      <w:pPr>
        <w:spacing w:after="0" w:line="169" w:lineRule="exact"/>
        <w:rPr>
          <w:sz w:val="20"/>
          <w:szCs w:val="20"/>
          <w:color w:val="auto"/>
        </w:rPr>
      </w:pPr>
    </w:p>
    <w:p>
      <w:pPr>
        <w:ind w:right="320" w:firstLine="391"/>
        <w:spacing w:after="0" w:line="265" w:lineRule="auto"/>
        <w:rPr>
          <w:sz w:val="20"/>
          <w:szCs w:val="20"/>
          <w:color w:val="auto"/>
        </w:rPr>
      </w:pPr>
      <w:r>
        <w:rPr>
          <w:rFonts w:ascii="Times New Roman" w:cs="Times New Roman" w:eastAsia="Times New Roman" w:hAnsi="Times New Roman"/>
          <w:sz w:val="17"/>
          <w:szCs w:val="17"/>
          <w:color w:val="auto"/>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our platform, or otherwise harm our business, results of operations, and financial condition.</w:t>
      </w:r>
    </w:p>
    <w:p>
      <w:pPr>
        <w:spacing w:after="0" w:line="195"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and financial condition could be materially affected by the enactment of legislation implementing changes in the U.S. or foreign taxation of international business activities or the adoption of other tax reform policies.</w:t>
      </w:r>
    </w:p>
    <w:p>
      <w:pPr>
        <w:spacing w:after="0" w:line="1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 March 2022, the Biden Administration’s budget for fiscal year 2023 was released. The budget includes, but is not limited to, the following tax proposals,</w:t>
      </w:r>
    </w:p>
    <w:p>
      <w:pPr>
        <w:spacing w:after="0" w:line="31" w:lineRule="exact"/>
        <w:rPr>
          <w:sz w:val="20"/>
          <w:szCs w:val="20"/>
          <w:color w:val="auto"/>
        </w:rPr>
      </w:pPr>
    </w:p>
    <w:p>
      <w:pPr>
        <w:ind w:right="240" w:firstLine="4"/>
        <w:spacing w:after="0" w:line="272" w:lineRule="auto"/>
        <w:tabs>
          <w:tab w:leader="none" w:pos="24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raising the corporate income tax rate to 28%, (2) repealing the Base Erosion and Anti-Abuse Tax (“BEAT”) and replacing it with a new undertaxed profits rule (“UTPR”) that is intended to be consistent with</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580"/>
        <w:spacing w:after="0" w:line="294" w:lineRule="auto"/>
        <w:rPr>
          <w:sz w:val="20"/>
          <w:szCs w:val="20"/>
          <w:color w:val="auto"/>
        </w:rPr>
      </w:pPr>
      <w:r>
        <w:rPr>
          <w:rFonts w:ascii="Times New Roman" w:cs="Times New Roman" w:eastAsia="Times New Roman" w:hAnsi="Times New Roman"/>
          <w:sz w:val="17"/>
          <w:szCs w:val="17"/>
          <w:color w:val="auto"/>
        </w:rPr>
        <w:t>the UTPR described in the OECD Pillar Two Model Rules. If enacted, certain proposed changes could have an adverse impact on our business, results of operations, financial condition and cash flow.</w:t>
      </w:r>
    </w:p>
    <w:p>
      <w:pPr>
        <w:spacing w:after="0" w:line="160" w:lineRule="exact"/>
        <w:rPr>
          <w:sz w:val="20"/>
          <w:szCs w:val="20"/>
          <w:color w:val="auto"/>
        </w:rPr>
      </w:pPr>
    </w:p>
    <w:p>
      <w:pPr>
        <w:ind w:right="60" w:firstLine="391"/>
        <w:spacing w:after="0" w:line="252" w:lineRule="auto"/>
        <w:rPr>
          <w:sz w:val="20"/>
          <w:szCs w:val="20"/>
          <w:color w:val="auto"/>
        </w:rPr>
      </w:pPr>
      <w:r>
        <w:rPr>
          <w:rFonts w:ascii="Times New Roman" w:cs="Times New Roman" w:eastAsia="Times New Roman" w:hAnsi="Times New Roman"/>
          <w:sz w:val="17"/>
          <w:szCs w:val="17"/>
          <w:color w:val="auto"/>
        </w:rPr>
        <w:t>In October 2021, an update to the Build Back Better Act (the “Bill”) was released. The Bill, as revised, includes, but is not limited to, (1) reducing benefits included in the Global Intangible Low-Taxed Income (“GILTI”) regime and Foreign-Derived Intangible Income (“FDII”) deductions, (2) amending the BEAT tax rates from 10% up to 18% through 2025, and (3) delaying the capitalization of research expenditures that took effect in 2022. If enacted, certain proposed changes could have an adverse impact on our business, results of operations, financial condition and cash flow.</w:t>
      </w:r>
    </w:p>
    <w:p>
      <w:pPr>
        <w:spacing w:after="0" w:line="196" w:lineRule="exact"/>
        <w:rPr>
          <w:sz w:val="20"/>
          <w:szCs w:val="20"/>
          <w:color w:val="auto"/>
        </w:rPr>
      </w:pPr>
    </w:p>
    <w:p>
      <w:pPr>
        <w:ind w:firstLine="391"/>
        <w:spacing w:after="0" w:line="243" w:lineRule="auto"/>
        <w:rPr>
          <w:sz w:val="20"/>
          <w:szCs w:val="20"/>
          <w:color w:val="auto"/>
        </w:rPr>
      </w:pPr>
      <w:r>
        <w:rPr>
          <w:rFonts w:ascii="Times New Roman" w:cs="Times New Roman" w:eastAsia="Times New Roman" w:hAnsi="Times New Roman"/>
          <w:sz w:val="17"/>
          <w:szCs w:val="17"/>
          <w:color w:val="auto"/>
        </w:rPr>
        <w:t>On June 5, 2021 the G7 Finance Ministers announced an agreement in which the participating countries committed to new taxing rights that allow countries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The meeting marked an early test of whether the US position on the OECD's Inclusive Framework “Taxation of the Digital Economy” project would provide momentum to finding a common base for agreement. On December 8, 2021, the OECD released Pillar Two model rules for implementation of a 15% global minimum tax, after previously announcing in October 2021 that 137 member jurisdictions have politically committed to the potential changes to the international corporate tax system. On March 14, 2022, OECD released technical commentary. The European Commission is targeting Pillar Two to take effect from the beginning of 2024.</w:t>
      </w:r>
    </w:p>
    <w:p>
      <w:pPr>
        <w:spacing w:after="0" w:line="200" w:lineRule="exact"/>
        <w:rPr>
          <w:sz w:val="20"/>
          <w:szCs w:val="20"/>
          <w:color w:val="auto"/>
        </w:rPr>
      </w:pPr>
    </w:p>
    <w:p>
      <w:pPr>
        <w:spacing w:after="0" w:line="214" w:lineRule="exact"/>
        <w:rPr>
          <w:sz w:val="20"/>
          <w:szCs w:val="20"/>
          <w:color w:val="auto"/>
        </w:rPr>
      </w:pPr>
    </w:p>
    <w:p>
      <w:pPr>
        <w:ind w:firstLine="391"/>
        <w:spacing w:after="0" w:line="275" w:lineRule="auto"/>
        <w:rPr>
          <w:sz w:val="20"/>
          <w:szCs w:val="20"/>
          <w:color w:val="auto"/>
        </w:rPr>
      </w:pPr>
      <w:r>
        <w:rPr>
          <w:rFonts w:ascii="Times New Roman" w:cs="Times New Roman" w:eastAsia="Times New Roman" w:hAnsi="Times New Roman"/>
          <w:sz w:val="17"/>
          <w:szCs w:val="17"/>
          <w:color w:val="auto"/>
        </w:rPr>
        <w:t>Due to the increasing focus by government taxing authorities on multinational companies, the tax laws of certain countries in which we do business could change on a prospective or retroactive basis, and any such changes could increase our liabilities for taxes, interest and penalties, lead to higher effective tax rates, and harm our cash flows, results of operations and financial condition.</w:t>
      </w:r>
    </w:p>
    <w:p>
      <w:pPr>
        <w:spacing w:after="0" w:line="185"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spacing w:after="0" w:line="169" w:lineRule="exact"/>
        <w:rPr>
          <w:sz w:val="20"/>
          <w:szCs w:val="20"/>
          <w:color w:val="auto"/>
        </w:rPr>
      </w:pPr>
    </w:p>
    <w:p>
      <w:pPr>
        <w:ind w:right="80" w:firstLine="391"/>
        <w:spacing w:after="0" w:line="260" w:lineRule="auto"/>
        <w:rPr>
          <w:sz w:val="20"/>
          <w:szCs w:val="20"/>
          <w:color w:val="auto"/>
        </w:rPr>
      </w:pPr>
      <w:r>
        <w:rPr>
          <w:rFonts w:ascii="Times New Roman" w:cs="Times New Roman" w:eastAsia="Times New Roman" w:hAnsi="Times New Roman"/>
          <w:sz w:val="17"/>
          <w:szCs w:val="17"/>
          <w:color w:val="auto"/>
        </w:rPr>
        <w:t>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We have found that aggregate user activity metrics are not leading indicators of revenue or conversion. For that reason, we do not comprehensively track user activity across the Dropbox platform for financial planning and forecasting purposes. If investors or analysts do not perceive our metrics to be accurate representations of our business, or if we discover material inaccuracies in our metrics, our reputation, business, results of operations, and financial condition would be harmed.</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Legal and Regulatory Compliance</w:t>
      </w:r>
    </w:p>
    <w:p>
      <w:pPr>
        <w:spacing w:after="0" w:line="246"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spacing w:after="0" w:line="169" w:lineRule="exact"/>
        <w:rPr>
          <w:sz w:val="20"/>
          <w:szCs w:val="20"/>
          <w:color w:val="auto"/>
        </w:rPr>
      </w:pPr>
    </w:p>
    <w:p>
      <w:pPr>
        <w:ind w:right="140" w:firstLine="391"/>
        <w:spacing w:after="0" w:line="262" w:lineRule="auto"/>
        <w:rPr>
          <w:sz w:val="20"/>
          <w:szCs w:val="20"/>
          <w:color w:val="auto"/>
        </w:rPr>
      </w:pPr>
      <w:r>
        <w:rPr>
          <w:rFonts w:ascii="Times New Roman" w:cs="Times New Roman" w:eastAsia="Times New Roman" w:hAnsi="Times New Roman"/>
          <w:sz w:val="17"/>
          <w:szCs w:val="17"/>
          <w:color w:val="auto"/>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spacing w:after="0" w:line="201" w:lineRule="exact"/>
        <w:rPr>
          <w:sz w:val="20"/>
          <w:szCs w:val="20"/>
          <w:color w:val="auto"/>
        </w:rPr>
      </w:pPr>
    </w:p>
    <w:p>
      <w:pPr>
        <w:ind w:right="80" w:firstLine="391"/>
        <w:spacing w:after="0" w:line="268" w:lineRule="auto"/>
        <w:rPr>
          <w:sz w:val="20"/>
          <w:szCs w:val="20"/>
          <w:color w:val="auto"/>
        </w:rPr>
      </w:pPr>
      <w:r>
        <w:rPr>
          <w:rFonts w:ascii="Times New Roman" w:cs="Times New Roman" w:eastAsia="Times New Roman" w:hAnsi="Times New Roman"/>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 to time in the future become the subject of inquiries and other actions by regulatory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both"/>
        <w:ind w:right="140"/>
        <w:spacing w:after="0" w:line="275" w:lineRule="auto"/>
        <w:rPr>
          <w:sz w:val="20"/>
          <w:szCs w:val="20"/>
          <w:color w:val="auto"/>
        </w:rPr>
      </w:pPr>
      <w:r>
        <w:rPr>
          <w:rFonts w:ascii="Times New Roman" w:cs="Times New Roman" w:eastAsia="Times New Roman" w:hAnsi="Times New Roman"/>
          <w:sz w:val="17"/>
          <w:szCs w:val="17"/>
          <w:color w:val="auto"/>
        </w:rPr>
        <w:t>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spacing w:after="0" w:line="189" w:lineRule="exact"/>
        <w:rPr>
          <w:sz w:val="20"/>
          <w:szCs w:val="20"/>
          <w:color w:val="auto"/>
        </w:rPr>
      </w:pPr>
    </w:p>
    <w:p>
      <w:pPr>
        <w:ind w:firstLine="391"/>
        <w:spacing w:after="0" w:line="275" w:lineRule="auto"/>
        <w:rPr>
          <w:sz w:val="20"/>
          <w:szCs w:val="20"/>
          <w:color w:val="auto"/>
        </w:rPr>
      </w:pPr>
      <w:r>
        <w:rPr>
          <w:rFonts w:ascii="Times New Roman" w:cs="Times New Roman" w:eastAsia="Times New Roman" w:hAnsi="Times New Roman"/>
          <w:sz w:val="17"/>
          <w:szCs w:val="17"/>
          <w:color w:val="auto"/>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spacing w:after="0" w:line="189" w:lineRule="exact"/>
        <w:rPr>
          <w:sz w:val="20"/>
          <w:szCs w:val="20"/>
          <w:color w:val="auto"/>
        </w:rPr>
      </w:pPr>
    </w:p>
    <w:p>
      <w:pPr>
        <w:ind w:right="140" w:firstLine="391"/>
        <w:spacing w:after="0" w:line="265" w:lineRule="auto"/>
        <w:rPr>
          <w:sz w:val="20"/>
          <w:szCs w:val="20"/>
          <w:color w:val="auto"/>
        </w:rPr>
      </w:pPr>
      <w:r>
        <w:rPr>
          <w:rFonts w:ascii="Times New Roman" w:cs="Times New Roman" w:eastAsia="Times New Roman" w:hAnsi="Times New Roman"/>
          <w:sz w:val="17"/>
          <w:szCs w:val="17"/>
          <w:color w:val="auto"/>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spacing w:after="0" w:line="195"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are subject to export and import control laws and regulations that could impair our ability to compete in international markets or subject us to liability if we violate such laws and regulations.</w:t>
      </w:r>
    </w:p>
    <w:p>
      <w:pPr>
        <w:spacing w:after="0" w:line="169" w:lineRule="exact"/>
        <w:rPr>
          <w:sz w:val="20"/>
          <w:szCs w:val="20"/>
          <w:color w:val="auto"/>
        </w:rPr>
      </w:pPr>
    </w:p>
    <w:p>
      <w:pPr>
        <w:ind w:firstLine="391"/>
        <w:spacing w:after="0" w:line="260" w:lineRule="auto"/>
        <w:rPr>
          <w:sz w:val="20"/>
          <w:szCs w:val="20"/>
          <w:color w:val="auto"/>
        </w:rPr>
      </w:pPr>
      <w:r>
        <w:rPr>
          <w:rFonts w:ascii="Times New Roman" w:cs="Times New Roman" w:eastAsia="Times New Roman" w:hAnsi="Times New Roman"/>
          <w:sz w:val="17"/>
          <w:szCs w:val="17"/>
          <w:color w:val="auto"/>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spacing w:after="0" w:line="206" w:lineRule="exact"/>
        <w:rPr>
          <w:sz w:val="20"/>
          <w:szCs w:val="20"/>
          <w:color w:val="auto"/>
        </w:rPr>
      </w:pPr>
    </w:p>
    <w:p>
      <w:pPr>
        <w:ind w:right="80" w:firstLine="391"/>
        <w:spacing w:after="0" w:line="261" w:lineRule="auto"/>
        <w:rPr>
          <w:sz w:val="20"/>
          <w:szCs w:val="20"/>
          <w:color w:val="auto"/>
        </w:rPr>
      </w:pPr>
      <w:r>
        <w:rPr>
          <w:rFonts w:ascii="Times New Roman" w:cs="Times New Roman" w:eastAsia="Times New Roman" w:hAnsi="Times New Roman"/>
          <w:sz w:val="17"/>
          <w:szCs w:val="17"/>
          <w:color w:val="auto"/>
        </w:rPr>
        <w:t>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actual or perceived failure to comply with privacy, data protection, and information security laws, regulations, and obligations could harm our business.</w:t>
      </w:r>
    </w:p>
    <w:p>
      <w:pPr>
        <w:spacing w:after="0" w:line="252" w:lineRule="exact"/>
        <w:rPr>
          <w:sz w:val="20"/>
          <w:szCs w:val="20"/>
          <w:color w:val="auto"/>
        </w:rPr>
      </w:pPr>
    </w:p>
    <w:p>
      <w:pPr>
        <w:ind w:right="100" w:firstLine="391"/>
        <w:spacing w:after="0" w:line="261" w:lineRule="auto"/>
        <w:rPr>
          <w:sz w:val="20"/>
          <w:szCs w:val="20"/>
          <w:color w:val="auto"/>
        </w:rPr>
      </w:pPr>
      <w:r>
        <w:rPr>
          <w:rFonts w:ascii="Times New Roman" w:cs="Times New Roman" w:eastAsia="Times New Roman" w:hAnsi="Times New Roman"/>
          <w:sz w:val="17"/>
          <w:szCs w:val="17"/>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are changing, subject to differing interpretations, and may be inconsistent among countries,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203" w:lineRule="exact"/>
        <w:rPr>
          <w:sz w:val="20"/>
          <w:szCs w:val="20"/>
          <w:color w:val="auto"/>
        </w:rPr>
      </w:pPr>
    </w:p>
    <w:p>
      <w:pPr>
        <w:ind w:right="240" w:firstLine="391"/>
        <w:spacing w:after="0" w:line="294" w:lineRule="auto"/>
        <w:rPr>
          <w:sz w:val="20"/>
          <w:szCs w:val="20"/>
          <w:color w:val="auto"/>
        </w:rPr>
      </w:pPr>
      <w:r>
        <w:rPr>
          <w:rFonts w:ascii="Times New Roman" w:cs="Times New Roman" w:eastAsia="Times New Roman" w:hAnsi="Times New Roman"/>
          <w:sz w:val="17"/>
          <w:szCs w:val="17"/>
          <w:color w:val="auto"/>
        </w:rPr>
        <w:t>We also expect that there will continue to be new laws, regulations, and industry standards concerning privacy, data protection, and information security proposed and enacted in various jurisdictions. For example, in May 2018, the General Data</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40"/>
        <w:spacing w:after="0" w:line="294" w:lineRule="auto"/>
        <w:rPr>
          <w:sz w:val="20"/>
          <w:szCs w:val="20"/>
          <w:color w:val="auto"/>
        </w:rPr>
      </w:pPr>
      <w:r>
        <w:rPr>
          <w:rFonts w:ascii="Times New Roman" w:cs="Times New Roman" w:eastAsia="Times New Roman" w:hAnsi="Times New Roman"/>
          <w:sz w:val="17"/>
          <w:szCs w:val="17"/>
          <w:color w:val="auto"/>
        </w:rPr>
        <w:t>Protection Regulation, or GDPR, went into effect in the EU. The GDPR imposed more stringent data protection requirements and provides greater penalties for noncompliance than previous data protection laws.</w:t>
      </w:r>
    </w:p>
    <w:p>
      <w:pPr>
        <w:spacing w:after="0" w:line="173" w:lineRule="exact"/>
        <w:rPr>
          <w:sz w:val="20"/>
          <w:szCs w:val="20"/>
          <w:color w:val="auto"/>
        </w:rPr>
      </w:pPr>
    </w:p>
    <w:p>
      <w:pPr>
        <w:ind w:right="60" w:firstLine="391"/>
        <w:spacing w:after="0" w:line="259" w:lineRule="auto"/>
        <w:rPr>
          <w:sz w:val="20"/>
          <w:szCs w:val="20"/>
          <w:color w:val="auto"/>
        </w:rPr>
      </w:pPr>
      <w:r>
        <w:rPr>
          <w:rFonts w:ascii="Times New Roman" w:cs="Times New Roman" w:eastAsia="Times New Roman" w:hAnsi="Times New Roman"/>
          <w:sz w:val="17"/>
          <w:szCs w:val="17"/>
          <w:color w:val="auto"/>
        </w:rPr>
        <w:t>Additionally, although we have self-certified under the U.S.-EU and U.S.-Swiss Privacy Shield Frameworks with regard to our transfer of certain personal data from the European Economic Area ("EEA") and Switzerland to the United States, on July 16, 2020, the Court of Justice of the European Union ("CJEU") invalidated Decision 2016/1250 on the adequacy of the protection provided by the U.S.-EU Privacy Shield Framework, and on September 8, 2020, the Swiss Federal Data Protection and Information Commissioner announced that it no longer considers the U.S.-Swiss Privacy Shield adequate for the purposes of transfers of personal data from Switzerland to the U.S. While we rely on additional legal mechanisms to transfer data from the EEA and Switzerland to the United States, there is some regulatory uncertainty surrounding the future of data transfers from these locations to the United States, and we are closely monitoring regulatory developments in this area. In its decision invalidating the U.S.-EU Privacy Shield Framework, the CJEU also imposed additional obligations on companies relying on standard contractual clauses approved by the European Commission (“SCCs”) to transfer personal data. The CJEU decision may result in European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spacing w:after="0" w:line="191" w:lineRule="exact"/>
        <w:rPr>
          <w:sz w:val="20"/>
          <w:szCs w:val="20"/>
          <w:color w:val="auto"/>
        </w:rPr>
      </w:pPr>
    </w:p>
    <w:p>
      <w:pPr>
        <w:ind w:right="40" w:firstLine="391"/>
        <w:spacing w:after="0" w:line="242" w:lineRule="auto"/>
        <w:rPr>
          <w:sz w:val="20"/>
          <w:szCs w:val="20"/>
          <w:color w:val="auto"/>
        </w:rPr>
      </w:pPr>
      <w:r>
        <w:rPr>
          <w:rFonts w:ascii="Times New Roman" w:cs="Times New Roman" w:eastAsia="Times New Roman" w:hAnsi="Times New Roman"/>
          <w:sz w:val="17"/>
          <w:szCs w:val="17"/>
          <w:color w:val="auto"/>
        </w:rPr>
        <w:t>Additionally, several states in the U.S. have begun enacting new data privacy laws. For example, the California Consumer Privacy Act of 2018 (the "CCPA"), which affords consumers expanded privacy protections, went into effect on January 1, 2020. However, certain aspects of the CCPA and its enforcement remain uncertain. Additionally, a new privacy law, the California Privacy Rights Act ("CPRA"), which will go into effect on January 1, 2023, significantly modified the CCPA, potentially resulting in further uncertainty and requiring us to incur additional costs and expenses. The effects of the CCPA and the CPRA remain far-reaching, and depending on final regulatory guidance and other related developments, potentially may require us to modify our data processing practices and policies and to incur substantial costs and expenses in an effort to comply. The enactment of the CCPA has prompted similar legislative developments in other states, such as Virginia, which in March 2021 enacted a Consumer Data Protection Act that will go into effect January 1, 2023, and Colorado, which in June 2021 enacted a Colorado Privacy Act that will go into effect July 1, 2023. Similar laws are being considered by other state legislatures. These developments create the potential for a patchwork of overlapping but different state laws. Similarly, a number of legislative proposals in the European Union, the United States, at both the federal and state level, as well as other jurisdictions could impose new obligations in areas affecting our business. In addition, some countries are considering or have passed legislation implementing data protection requirements or requiring local storage and processing of data, or similar requirements, that could increase the cost and complexity of delivering our services.</w:t>
      </w:r>
    </w:p>
    <w:p>
      <w:pPr>
        <w:spacing w:after="0" w:line="216" w:lineRule="exact"/>
        <w:rPr>
          <w:sz w:val="20"/>
          <w:szCs w:val="20"/>
          <w:color w:val="auto"/>
        </w:rPr>
      </w:pPr>
    </w:p>
    <w:p>
      <w:pPr>
        <w:ind w:firstLine="391"/>
        <w:spacing w:after="0" w:line="262" w:lineRule="auto"/>
        <w:rPr>
          <w:sz w:val="20"/>
          <w:szCs w:val="20"/>
          <w:color w:val="auto"/>
        </w:rPr>
      </w:pPr>
      <w:r>
        <w:rPr>
          <w:rFonts w:ascii="Times New Roman" w:cs="Times New Roman" w:eastAsia="Times New Roman" w:hAnsi="Times New Roman"/>
          <w:sz w:val="17"/>
          <w:szCs w:val="17"/>
          <w:color w:val="auto"/>
        </w:rPr>
        <w:t>With laws and regulations such as the GDPR in the EU and the California Consumer Privacy Act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w:t>
      </w:r>
    </w:p>
    <w:p>
      <w:pPr>
        <w:spacing w:after="0" w:line="201" w:lineRule="exact"/>
        <w:rPr>
          <w:sz w:val="20"/>
          <w:szCs w:val="20"/>
          <w:color w:val="auto"/>
        </w:rPr>
      </w:pPr>
    </w:p>
    <w:p>
      <w:pPr>
        <w:ind w:right="20" w:firstLine="391"/>
        <w:spacing w:after="0" w:line="262" w:lineRule="auto"/>
        <w:rPr>
          <w:sz w:val="20"/>
          <w:szCs w:val="20"/>
          <w:color w:val="auto"/>
        </w:rPr>
      </w:pPr>
      <w:r>
        <w:rPr>
          <w:rFonts w:ascii="Times New Roman" w:cs="Times New Roman" w:eastAsia="Times New Roman" w:hAnsi="Times New Roman"/>
          <w:sz w:val="17"/>
          <w:szCs w:val="17"/>
          <w:color w:val="auto"/>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industry-specific regulations and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spacing w:after="0" w:line="200" w:lineRule="exact"/>
        <w:rPr>
          <w:sz w:val="20"/>
          <w:szCs w:val="20"/>
          <w:color w:val="auto"/>
        </w:rPr>
      </w:pPr>
    </w:p>
    <w:p>
      <w:pPr>
        <w:spacing w:after="0" w:line="210" w:lineRule="exact"/>
        <w:rPr>
          <w:sz w:val="20"/>
          <w:szCs w:val="20"/>
          <w:color w:val="auto"/>
        </w:rPr>
      </w:pPr>
    </w:p>
    <w:p>
      <w:pPr>
        <w:ind w:right="60" w:firstLine="391"/>
        <w:spacing w:after="0" w:line="268" w:lineRule="auto"/>
        <w:rPr>
          <w:sz w:val="20"/>
          <w:szCs w:val="20"/>
          <w:color w:val="auto"/>
        </w:rPr>
      </w:pPr>
      <w:r>
        <w:rPr>
          <w:rFonts w:ascii="Times New Roman" w:cs="Times New Roman" w:eastAsia="Times New Roman" w:hAnsi="Times New Roman"/>
          <w:sz w:val="17"/>
          <w:szCs w:val="17"/>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7"/>
          <w:szCs w:val="17"/>
          <w:color w:val="auto"/>
        </w:rPr>
        <w:t>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adversely impacted by changes in internet access for our users or laws specifically governing the internet.</w:t>
      </w:r>
    </w:p>
    <w:p>
      <w:pPr>
        <w:spacing w:after="0" w:line="252" w:lineRule="exact"/>
        <w:rPr>
          <w:sz w:val="20"/>
          <w:szCs w:val="20"/>
          <w:color w:val="auto"/>
        </w:rPr>
      </w:pPr>
    </w:p>
    <w:p>
      <w:pPr>
        <w:ind w:right="80" w:firstLine="391"/>
        <w:spacing w:after="0" w:line="268" w:lineRule="auto"/>
        <w:rPr>
          <w:sz w:val="20"/>
          <w:szCs w:val="20"/>
          <w:color w:val="auto"/>
        </w:rPr>
      </w:pPr>
      <w:r>
        <w:rPr>
          <w:rFonts w:ascii="Times New Roman" w:cs="Times New Roman" w:eastAsia="Times New Roman" w:hAnsi="Times New Roman"/>
          <w:sz w:val="17"/>
          <w:szCs w:val="17"/>
          <w:color w:val="auto"/>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spacing w:after="0" w:line="196" w:lineRule="exact"/>
        <w:rPr>
          <w:sz w:val="20"/>
          <w:szCs w:val="20"/>
          <w:color w:val="auto"/>
        </w:rPr>
      </w:pPr>
    </w:p>
    <w:p>
      <w:pPr>
        <w:ind w:left="1260" w:hanging="317"/>
        <w:spacing w:after="0"/>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usage-based pricing;</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discount pricing for competitive products;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materially change their pricing rates or schemes;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charge us to deliver our traffic at certain levels or at all;</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throttle traffic based on its source or type;</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bandwidth caps or other usage restrictions; or</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try to monetize or control access to their networks</w:t>
      </w:r>
    </w:p>
    <w:p>
      <w:pPr>
        <w:spacing w:after="0" w:line="31" w:lineRule="exact"/>
        <w:rPr>
          <w:sz w:val="20"/>
          <w:szCs w:val="20"/>
          <w:color w:val="auto"/>
        </w:rPr>
      </w:pPr>
    </w:p>
    <w:p>
      <w:pPr>
        <w:ind w:right="100" w:firstLine="391"/>
        <w:spacing w:after="0" w:line="258" w:lineRule="auto"/>
        <w:rPr>
          <w:sz w:val="20"/>
          <w:szCs w:val="20"/>
          <w:color w:val="auto"/>
        </w:rPr>
      </w:pPr>
      <w:r>
        <w:rPr>
          <w:rFonts w:ascii="Times New Roman" w:cs="Times New Roman" w:eastAsia="Times New Roman" w:hAnsi="Times New Roman"/>
          <w:sz w:val="17"/>
          <w:szCs w:val="17"/>
          <w:color w:val="auto"/>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204" w:lineRule="exact"/>
        <w:rPr>
          <w:sz w:val="20"/>
          <w:szCs w:val="20"/>
          <w:color w:val="auto"/>
        </w:rPr>
      </w:pPr>
    </w:p>
    <w:p>
      <w:pPr>
        <w:ind w:firstLine="391"/>
        <w:spacing w:after="0" w:line="263" w:lineRule="auto"/>
        <w:rPr>
          <w:sz w:val="20"/>
          <w:szCs w:val="20"/>
          <w:color w:val="auto"/>
        </w:rPr>
      </w:pPr>
      <w:r>
        <w:rPr>
          <w:rFonts w:ascii="Times New Roman" w:cs="Times New Roman" w:eastAsia="Times New Roman" w:hAnsi="Times New Roman"/>
          <w:sz w:val="17"/>
          <w:szCs w:val="17"/>
          <w:color w:val="auto"/>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spacing w:after="0" w:line="197"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are currently, and may be in the future, party to intellectual property rights claims and other litigation matters and, if resolved adversely, they could have a significant impact on our business, results of operations, or financial condition.</w:t>
      </w:r>
    </w:p>
    <w:p>
      <w:pPr>
        <w:spacing w:after="0" w:line="169" w:lineRule="exact"/>
        <w:rPr>
          <w:sz w:val="20"/>
          <w:szCs w:val="20"/>
          <w:color w:val="auto"/>
        </w:rPr>
      </w:pPr>
    </w:p>
    <w:p>
      <w:pPr>
        <w:ind w:right="100" w:firstLine="391"/>
        <w:spacing w:after="0" w:line="261" w:lineRule="auto"/>
        <w:rPr>
          <w:sz w:val="20"/>
          <w:szCs w:val="20"/>
          <w:color w:val="auto"/>
        </w:rPr>
      </w:pPr>
      <w:r>
        <w:rPr>
          <w:rFonts w:ascii="Times New Roman" w:cs="Times New Roman" w:eastAsia="Times New Roman" w:hAnsi="Times New Roman"/>
          <w:sz w:val="17"/>
          <w:szCs w:val="17"/>
          <w:color w:val="auto"/>
        </w:rPr>
        <w:t>We own a large number of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transactions involving our securities and our platform.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The costs of supporting litigation and dispute resolution proceedings are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failure to protect our intellectual property rights and proprietary information could diminish our brand and other intangible assets.</w:t>
      </w:r>
    </w:p>
    <w:p>
      <w:pPr>
        <w:spacing w:after="0" w:line="252" w:lineRule="exact"/>
        <w:rPr>
          <w:sz w:val="20"/>
          <w:szCs w:val="20"/>
          <w:color w:val="auto"/>
        </w:rPr>
      </w:pPr>
    </w:p>
    <w:p>
      <w:pPr>
        <w:ind w:firstLine="391"/>
        <w:spacing w:after="0" w:line="259" w:lineRule="auto"/>
        <w:rPr>
          <w:sz w:val="20"/>
          <w:szCs w:val="20"/>
          <w:color w:val="auto"/>
        </w:rPr>
      </w:pPr>
      <w:r>
        <w:rPr>
          <w:rFonts w:ascii="Times New Roman" w:cs="Times New Roman" w:eastAsia="Times New Roman" w:hAnsi="Times New Roman"/>
          <w:sz w:val="17"/>
          <w:szCs w:val="17"/>
          <w:color w:val="auto"/>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1,400 issued patents and more than 350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Risks Related to Ownership of Our Class A Common Stock</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 of our Class A common stock may be volatile, and you could lose all or part of your investment.</w:t>
      </w:r>
    </w:p>
    <w:p>
      <w:pPr>
        <w:spacing w:after="0" w:line="252" w:lineRule="exact"/>
        <w:rPr>
          <w:sz w:val="20"/>
          <w:szCs w:val="20"/>
          <w:color w:val="auto"/>
        </w:rPr>
      </w:pPr>
    </w:p>
    <w:p>
      <w:pPr>
        <w:ind w:right="440" w:firstLine="391"/>
        <w:spacing w:after="0" w:line="294" w:lineRule="auto"/>
        <w:rPr>
          <w:sz w:val="20"/>
          <w:szCs w:val="20"/>
          <w:color w:val="auto"/>
        </w:rPr>
      </w:pPr>
      <w:r>
        <w:rPr>
          <w:rFonts w:ascii="Times New Roman" w:cs="Times New Roman" w:eastAsia="Times New Roman" w:hAnsi="Times New Roman"/>
          <w:sz w:val="17"/>
          <w:szCs w:val="17"/>
          <w:color w:val="auto"/>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spacing w:after="0" w:line="173" w:lineRule="exact"/>
        <w:rPr>
          <w:sz w:val="20"/>
          <w:szCs w:val="20"/>
          <w:color w:val="auto"/>
        </w:rPr>
      </w:pPr>
    </w:p>
    <w:p>
      <w:pPr>
        <w:ind w:left="1260" w:hanging="317"/>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price and volume fluctuations in the overall stock market from time to time;</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the trading prices and trading volumes of technology stocks;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performance and stock market valuations of other technology companies generally, or those in our industry in particular;</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shares of our Class A common stock by us or our stockholders;</w:t>
      </w:r>
    </w:p>
    <w:p>
      <w:pPr>
        <w:spacing w:after="0" w:line="247" w:lineRule="exact"/>
        <w:rPr>
          <w:rFonts w:ascii="Times New Roman" w:cs="Times New Roman" w:eastAsia="Times New Roman" w:hAnsi="Times New Roman"/>
          <w:sz w:val="17"/>
          <w:szCs w:val="17"/>
          <w:color w:val="auto"/>
        </w:rPr>
      </w:pPr>
    </w:p>
    <w:p>
      <w:pPr>
        <w:ind w:left="1260" w:right="160" w:hanging="317"/>
        <w:spacing w:after="0" w:line="294" w:lineRule="auto"/>
        <w:tabs>
          <w:tab w:leader="none" w:pos="125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securities analysts to maintain coverage of us, changes in financial estimates by securities analysts who follow our company, or our failure to meet these estimates or the expectations of investors;</w:t>
      </w:r>
    </w:p>
    <w:p>
      <w:pPr>
        <w:spacing w:after="0" w:line="173"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financial projections we may provide to the public, any changes in those projections, or our failure to meet those projections;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new products, features, or services;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60" w:hanging="317"/>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results of operations or fluctuations in our results of operations;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key metrics;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our competitors’ businesses or the competitive landscape generally;</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breaches of, or failures related to, privacy, data protection or data security;</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involving us, our industry, or both, or investigations by regulators into our operations or those of our competitors;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our intellectual property or other proprietary rights;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or completed acquisitions of businesses, products, services, or technologies by us or our competitors;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laws or regulations or new interpretations of existing laws or regulations applicable to our business;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guidelines, interpretations, or principles;</w:t>
      </w:r>
    </w:p>
    <w:p>
      <w:pPr>
        <w:spacing w:after="0" w:line="247"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significant change in our management; and</w:t>
      </w:r>
    </w:p>
    <w:p>
      <w:pPr>
        <w:spacing w:after="0" w:line="247" w:lineRule="exact"/>
        <w:rPr>
          <w:rFonts w:ascii="Times New Roman" w:cs="Times New Roman" w:eastAsia="Times New Roman" w:hAnsi="Times New Roman"/>
          <w:sz w:val="17"/>
          <w:szCs w:val="17"/>
          <w:color w:val="auto"/>
        </w:rPr>
      </w:pPr>
    </w:p>
    <w:p>
      <w:pPr>
        <w:ind w:left="1260" w:right="80" w:hanging="317"/>
        <w:spacing w:after="0" w:line="275" w:lineRule="auto"/>
        <w:tabs>
          <w:tab w:leader="none" w:pos="125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slow or negative growth of our markets and catastrophic events, including earthquakes, fires, floods, tsunamis, or other weather events, power loss, telecommunications failures, software or hardware malfunctions, cyber-attack, war, such as the conflict between Russia and Ukraine, or terrorist attacks, and pandemics such as the ongoing COVID-19 pandemic.</w:t>
      </w:r>
    </w:p>
    <w:p>
      <w:pPr>
        <w:spacing w:after="0" w:line="189" w:lineRule="exact"/>
        <w:rPr>
          <w:sz w:val="20"/>
          <w:szCs w:val="20"/>
          <w:color w:val="auto"/>
        </w:rPr>
      </w:pPr>
    </w:p>
    <w:p>
      <w:pPr>
        <w:ind w:firstLine="391"/>
        <w:spacing w:after="0" w:line="265" w:lineRule="auto"/>
        <w:rPr>
          <w:sz w:val="20"/>
          <w:szCs w:val="20"/>
          <w:color w:val="auto"/>
        </w:rPr>
      </w:pPr>
      <w:r>
        <w:rPr>
          <w:rFonts w:ascii="Times New Roman" w:cs="Times New Roman" w:eastAsia="Times New Roman" w:hAnsi="Times New Roman"/>
          <w:sz w:val="17"/>
          <w:szCs w:val="17"/>
          <w:color w:val="auto"/>
        </w:rPr>
        <w:t>In addition, in the past, following periods of volatility in the overall market and the market price of a particular company’s securities, securities class action litigation has often been instituted against these companies. For example, we were recently subject to a number of putative class action lawsuits in state and federal court alleging federal securities law violations in connection with our IPO. Although the lawsuits in both the federal and state courts have since been dismissed, we may not be successful in an appeal proceeding or in winning dismissal of an amended complaint. This recent litigation, and any securities litigation that may be instituted against us in the future, could result in substantial costs and a diversion of our management’s attention and resources.</w:t>
      </w:r>
    </w:p>
    <w:p>
      <w:pPr>
        <w:spacing w:after="0" w:line="195"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The multi-class structure of our common stock has the effect of concentrating voting control with those stockholders who held our capital stock prior to the completion of our IPO, and it may depress the trading price of our Class A common stock.</w:t>
      </w:r>
    </w:p>
    <w:p>
      <w:pPr>
        <w:spacing w:after="0" w:line="169" w:lineRule="exact"/>
        <w:rPr>
          <w:sz w:val="20"/>
          <w:szCs w:val="20"/>
          <w:color w:val="auto"/>
        </w:rPr>
      </w:pPr>
    </w:p>
    <w:p>
      <w:pPr>
        <w:ind w:firstLine="391"/>
        <w:spacing w:after="0" w:line="259" w:lineRule="auto"/>
        <w:rPr>
          <w:sz w:val="20"/>
          <w:szCs w:val="20"/>
          <w:color w:val="auto"/>
        </w:rPr>
      </w:pPr>
      <w:r>
        <w:rPr>
          <w:rFonts w:ascii="Times New Roman" w:cs="Times New Roman" w:eastAsia="Times New Roman" w:hAnsi="Times New Roman"/>
          <w:sz w:val="17"/>
          <w:szCs w:val="17"/>
          <w:color w:val="auto"/>
        </w:rPr>
        <w:t>Our Class A common stock has one vote per share, our Class B common stock has ten votes per share, and our Class C common stock has no voting rights, except as otherwise required by law. As of March 31, 2022, our directors, executive officers and holders of more than 5% of our common stock, and their respective affiliates, held in the aggregate 79.0% of the voting power of our capital stock, with Mr. Houston holding approximately 73.3% of the voting power of our capital stock. We are including Mr. Houston's Co-Founder Grant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spacing w:after="0" w:line="209" w:lineRule="exact"/>
        <w:rPr>
          <w:sz w:val="20"/>
          <w:szCs w:val="20"/>
          <w:color w:val="auto"/>
        </w:rPr>
      </w:pPr>
    </w:p>
    <w:p>
      <w:pPr>
        <w:ind w:right="120" w:firstLine="391"/>
        <w:spacing w:after="0" w:line="294" w:lineRule="auto"/>
        <w:rPr>
          <w:sz w:val="20"/>
          <w:szCs w:val="20"/>
          <w:color w:val="auto"/>
        </w:rPr>
      </w:pPr>
      <w:r>
        <w:rPr>
          <w:rFonts w:ascii="Times New Roman" w:cs="Times New Roman" w:eastAsia="Times New Roman" w:hAnsi="Times New Roman"/>
          <w:sz w:val="17"/>
          <w:szCs w:val="17"/>
          <w:color w:val="auto"/>
        </w:rPr>
        <w:t>Future transfers or sales by holders of Class B common stock will generally result in those shares converting to Class A common stock, except for certain transfers described in our amended and restated certificate of incorporation, including</w:t>
      </w: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7"/>
          <w:szCs w:val="17"/>
          <w:color w:val="auto"/>
        </w:rPr>
        <w:t>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Transfers between our co-founders are permitted transfers and will not result in conversion of the shares of Class B common stock that are transferred; however, upon the death or total and permanent disability of the transferring co-founder, the transferred shares would convert to Class A common stock following the deferral period of nine months, or up to 18 months if approved by a majority of our independent directors. The conversion of Class B common stock to Class A common stock will have the effect, over time, of increasing the relative voting power of those individual holders of Class B common stock who retain their shares in the long term.</w:t>
      </w:r>
    </w:p>
    <w:p>
      <w:pPr>
        <w:spacing w:after="0" w:line="209" w:lineRule="exact"/>
        <w:rPr>
          <w:sz w:val="20"/>
          <w:szCs w:val="20"/>
          <w:color w:val="auto"/>
        </w:rPr>
      </w:pPr>
    </w:p>
    <w:p>
      <w:pPr>
        <w:jc w:val="both"/>
        <w:ind w:right="300" w:firstLine="391"/>
        <w:spacing w:after="0" w:line="275" w:lineRule="auto"/>
        <w:rPr>
          <w:sz w:val="20"/>
          <w:szCs w:val="20"/>
          <w:color w:val="auto"/>
        </w:rPr>
      </w:pPr>
      <w:r>
        <w:rPr>
          <w:rFonts w:ascii="Times New Roman" w:cs="Times New Roman" w:eastAsia="Times New Roman" w:hAnsi="Times New Roman"/>
          <w:sz w:val="17"/>
          <w:szCs w:val="17"/>
          <w:color w:val="auto"/>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spacing w:after="0" w:line="189" w:lineRule="exact"/>
        <w:rPr>
          <w:sz w:val="20"/>
          <w:szCs w:val="20"/>
          <w:color w:val="auto"/>
        </w:rPr>
      </w:pPr>
    </w:p>
    <w:p>
      <w:pPr>
        <w:ind w:firstLine="391"/>
        <w:spacing w:after="0" w:line="262" w:lineRule="auto"/>
        <w:rPr>
          <w:sz w:val="20"/>
          <w:szCs w:val="20"/>
          <w:color w:val="auto"/>
        </w:rPr>
      </w:pPr>
      <w:r>
        <w:rPr>
          <w:rFonts w:ascii="Times New Roman" w:cs="Times New Roman" w:eastAsia="Times New Roman" w:hAnsi="Times New Roman"/>
          <w:sz w:val="17"/>
          <w:szCs w:val="17"/>
          <w:color w:val="auto"/>
        </w:rPr>
        <w:t>Additionally,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Although we have since met the requirements to be included, and are now included, in an FTSE Russell index, our multi-class capital structure still makes us ineligible for inclusion in any of the above listed S&amp;P indices, and as a result, mutual funds, exchange-traded funds, and other investment vehicles that attempt to passively track these S&amp;P indices will not be investing in our stock. It is as of yet unclear what effect, if any, these policies will have on the valuations of publicly traded companies excluded from one or more of these indices, but it is possible that they may depress these valuations compared to those of other similar companies that are included.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Substantial future sales could depress the market price of our Class A common stock.</w:t>
      </w:r>
    </w:p>
    <w:p>
      <w:pPr>
        <w:spacing w:after="0" w:line="252" w:lineRule="exact"/>
        <w:rPr>
          <w:sz w:val="20"/>
          <w:szCs w:val="20"/>
          <w:color w:val="auto"/>
        </w:rPr>
      </w:pPr>
    </w:p>
    <w:p>
      <w:pPr>
        <w:ind w:right="280" w:firstLine="391"/>
        <w:spacing w:after="0" w:line="294" w:lineRule="auto"/>
        <w:rPr>
          <w:sz w:val="20"/>
          <w:szCs w:val="20"/>
          <w:color w:val="auto"/>
        </w:rPr>
      </w:pPr>
      <w:r>
        <w:rPr>
          <w:rFonts w:ascii="Times New Roman" w:cs="Times New Roman" w:eastAsia="Times New Roman" w:hAnsi="Times New Roman"/>
          <w:sz w:val="17"/>
          <w:szCs w:val="17"/>
          <w:color w:val="auto"/>
        </w:rPr>
        <w:t>The market price of our Class A common stock could decline as a result of a large number of sales of shares of such stock, and the perception that these sales could occur may also depress the market price of our Class A common stock.</w:t>
      </w:r>
    </w:p>
    <w:p>
      <w:pPr>
        <w:spacing w:after="0" w:line="173" w:lineRule="exact"/>
        <w:rPr>
          <w:sz w:val="20"/>
          <w:szCs w:val="20"/>
          <w:color w:val="auto"/>
        </w:rPr>
      </w:pPr>
    </w:p>
    <w:p>
      <w:pPr>
        <w:ind w:right="60" w:firstLine="391"/>
        <w:spacing w:after="0" w:line="275" w:lineRule="auto"/>
        <w:rPr>
          <w:sz w:val="20"/>
          <w:szCs w:val="20"/>
          <w:color w:val="auto"/>
        </w:rPr>
      </w:pPr>
      <w:r>
        <w:rPr>
          <w:rFonts w:ascii="Times New Roman" w:cs="Times New Roman" w:eastAsia="Times New Roman" w:hAnsi="Times New Roman"/>
          <w:sz w:val="17"/>
          <w:szCs w:val="17"/>
          <w:color w:val="auto"/>
        </w:rPr>
        <w:t>In addition, we have filed registration statements to register shares reserved for future issuance under our equity compensation plans. As a result, subject to the satisfaction of applicable exercise periods, the shares issued upon exercise of outstanding stock options or upon settlement of outstanding RSU awards are available for immediate resale in the United States in the open market.</w:t>
      </w:r>
    </w:p>
    <w:p>
      <w:pPr>
        <w:spacing w:after="0" w:line="189" w:lineRule="exact"/>
        <w:rPr>
          <w:sz w:val="20"/>
          <w:szCs w:val="20"/>
          <w:color w:val="auto"/>
        </w:rPr>
      </w:pPr>
    </w:p>
    <w:p>
      <w:pPr>
        <w:ind w:right="20" w:firstLine="391"/>
        <w:spacing w:after="0" w:line="294" w:lineRule="auto"/>
        <w:rPr>
          <w:sz w:val="20"/>
          <w:szCs w:val="20"/>
          <w:color w:val="auto"/>
        </w:rPr>
      </w:pPr>
      <w:r>
        <w:rPr>
          <w:rFonts w:ascii="Times New Roman" w:cs="Times New Roman" w:eastAsia="Times New Roman" w:hAnsi="Times New Roman"/>
          <w:sz w:val="17"/>
          <w:szCs w:val="17"/>
          <w:color w:val="auto"/>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spacing w:after="0" w:line="169" w:lineRule="exact"/>
        <w:rPr>
          <w:sz w:val="20"/>
          <w:szCs w:val="20"/>
          <w:color w:val="auto"/>
        </w:rPr>
      </w:pPr>
    </w:p>
    <w:p>
      <w:pPr>
        <w:ind w:right="6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Transactions relating to our 2026 Notes and 2028 Notes may dilute the ownership interest of stockholders, or may otherwise depress the price of our common stock.</w:t>
      </w:r>
    </w:p>
    <w:p>
      <w:pPr>
        <w:spacing w:after="0" w:line="169" w:lineRule="exact"/>
        <w:rPr>
          <w:sz w:val="20"/>
          <w:szCs w:val="20"/>
          <w:color w:val="auto"/>
        </w:rPr>
      </w:pPr>
    </w:p>
    <w:p>
      <w:pPr>
        <w:ind w:firstLine="391"/>
        <w:spacing w:after="0" w:line="263" w:lineRule="auto"/>
        <w:rPr>
          <w:sz w:val="20"/>
          <w:szCs w:val="20"/>
          <w:color w:val="auto"/>
        </w:rPr>
      </w:pPr>
      <w:r>
        <w:rPr>
          <w:rFonts w:ascii="Times New Roman" w:cs="Times New Roman" w:eastAsia="Times New Roman" w:hAnsi="Times New Roman"/>
          <w:sz w:val="17"/>
          <w:szCs w:val="17"/>
          <w:color w:val="auto"/>
        </w:rPr>
        <w:t>If the 2026 Notes or the 2028 Notes are converted by holders of such series, we have the ability under the applicable indenture to deliver cash, common stock, or any combination of cash or common stock, at our election upon conversion of the applicable series of convertible notes. If we elect to deliver common stock upon conversion of the 2026 Notes or the 2028 Notes,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convertible notes. Anticipated future conversions of the 2026 Notes or 2028 Notes into shares of our Class A common stock could depress the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6"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restated certificate of incorporation and restated bylaws could make a merger, tender offer, or proxy contest difficult, thereby depressing the market price of our Class A common stock.</w:t>
      </w:r>
    </w:p>
    <w:p>
      <w:pPr>
        <w:spacing w:after="0" w:line="169" w:lineRule="exact"/>
        <w:rPr>
          <w:sz w:val="20"/>
          <w:szCs w:val="20"/>
          <w:color w:val="auto"/>
        </w:rPr>
      </w:pPr>
    </w:p>
    <w:p>
      <w:pPr>
        <w:ind w:right="120" w:firstLine="391"/>
        <w:spacing w:after="0" w:line="268" w:lineRule="auto"/>
        <w:rPr>
          <w:sz w:val="20"/>
          <w:szCs w:val="20"/>
          <w:color w:val="auto"/>
        </w:rPr>
      </w:pPr>
      <w:r>
        <w:rPr>
          <w:rFonts w:ascii="Times New Roman" w:cs="Times New Roman" w:eastAsia="Times New Roman" w:hAnsi="Times New Roman"/>
          <w:sz w:val="17"/>
          <w:szCs w:val="17"/>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spacing w:after="0" w:line="196" w:lineRule="exact"/>
        <w:rPr>
          <w:sz w:val="20"/>
          <w:szCs w:val="20"/>
          <w:color w:val="auto"/>
        </w:rPr>
      </w:pPr>
    </w:p>
    <w:p>
      <w:pPr>
        <w:ind w:left="1260" w:hanging="317"/>
        <w:spacing w:after="0" w:line="294" w:lineRule="auto"/>
        <w:tabs>
          <w:tab w:leader="none" w:pos="125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that would result in a change in control of our company requires the approval of a majority of our outstanding Class B common stock voting as a separate class;</w:t>
      </w:r>
    </w:p>
    <w:p>
      <w:pPr>
        <w:spacing w:after="0" w:line="173" w:lineRule="exact"/>
        <w:rPr>
          <w:rFonts w:ascii="Times New Roman" w:cs="Times New Roman" w:eastAsia="Times New Roman" w:hAnsi="Times New Roman"/>
          <w:sz w:val="17"/>
          <w:szCs w:val="17"/>
          <w:color w:val="auto"/>
        </w:rPr>
      </w:pPr>
    </w:p>
    <w:p>
      <w:pPr>
        <w:ind w:left="1260" w:right="60" w:hanging="317"/>
        <w:spacing w:after="0" w:line="275" w:lineRule="auto"/>
        <w:tabs>
          <w:tab w:leader="none" w:pos="125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spacing w:after="0" w:line="188" w:lineRule="exact"/>
        <w:rPr>
          <w:rFonts w:ascii="Times New Roman" w:cs="Times New Roman" w:eastAsia="Times New Roman" w:hAnsi="Times New Roman"/>
          <w:sz w:val="17"/>
          <w:szCs w:val="17"/>
          <w:color w:val="auto"/>
        </w:rPr>
      </w:pPr>
    </w:p>
    <w:p>
      <w:pPr>
        <w:jc w:val="both"/>
        <w:ind w:left="1260" w:right="240" w:hanging="317"/>
        <w:spacing w:after="0" w:line="275" w:lineRule="auto"/>
        <w:tabs>
          <w:tab w:leader="none" w:pos="125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spacing w:after="0" w:line="188" w:lineRule="exact"/>
        <w:rPr>
          <w:rFonts w:ascii="Times New Roman" w:cs="Times New Roman" w:eastAsia="Times New Roman" w:hAnsi="Times New Roman"/>
          <w:sz w:val="17"/>
          <w:szCs w:val="17"/>
          <w:color w:val="auto"/>
        </w:rPr>
      </w:pPr>
    </w:p>
    <w:p>
      <w:pPr>
        <w:ind w:left="1260" w:hanging="317"/>
        <w:spacing w:after="0" w:line="268" w:lineRule="auto"/>
        <w:tabs>
          <w:tab w:leader="none" w:pos="125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spacing w:after="0" w:line="196" w:lineRule="exact"/>
        <w:rPr>
          <w:rFonts w:ascii="Times New Roman" w:cs="Times New Roman" w:eastAsia="Times New Roman" w:hAnsi="Times New Roman"/>
          <w:sz w:val="17"/>
          <w:szCs w:val="17"/>
          <w:color w:val="auto"/>
        </w:rPr>
      </w:pPr>
    </w:p>
    <w:p>
      <w:pPr>
        <w:ind w:left="1260" w:right="280" w:hanging="317"/>
        <w:spacing w:after="0" w:line="294" w:lineRule="auto"/>
        <w:tabs>
          <w:tab w:leader="none" w:pos="125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bylaws will provide that approval of stockholders holding two-thirds of our outstanding voting power voting as a single class is required for stockholders to amend or adopt any provision of our bylaws;</w:t>
      </w:r>
    </w:p>
    <w:p>
      <w:pPr>
        <w:spacing w:after="0" w:line="173" w:lineRule="exact"/>
        <w:rPr>
          <w:rFonts w:ascii="Times New Roman" w:cs="Times New Roman" w:eastAsia="Times New Roman" w:hAnsi="Times New Roman"/>
          <w:sz w:val="17"/>
          <w:szCs w:val="17"/>
          <w:color w:val="auto"/>
        </w:rPr>
      </w:pPr>
    </w:p>
    <w:p>
      <w:pPr>
        <w:ind w:left="1260" w:right="420" w:hanging="317"/>
        <w:spacing w:after="0" w:line="294" w:lineRule="auto"/>
        <w:tabs>
          <w:tab w:leader="none" w:pos="125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Voting Threshold Date our stockholders will only be able to take action at a meeting of stockholders, and will not be able to take action by written consent for any matter;</w:t>
      </w:r>
    </w:p>
    <w:p>
      <w:pPr>
        <w:spacing w:after="0" w:line="173" w:lineRule="exact"/>
        <w:rPr>
          <w:rFonts w:ascii="Times New Roman" w:cs="Times New Roman" w:eastAsia="Times New Roman" w:hAnsi="Times New Roman"/>
          <w:sz w:val="17"/>
          <w:szCs w:val="17"/>
          <w:color w:val="auto"/>
        </w:rPr>
      </w:pPr>
    </w:p>
    <w:p>
      <w:pPr>
        <w:ind w:left="1260" w:right="100" w:hanging="317"/>
        <w:spacing w:after="0" w:line="294" w:lineRule="auto"/>
        <w:tabs>
          <w:tab w:leader="none" w:pos="125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Voting Threshold Date, our stockholders will be able to act by written consent only if the action is first recommended or approved by the Board of Directors;</w:t>
      </w:r>
    </w:p>
    <w:p>
      <w:pPr>
        <w:spacing w:after="0" w:line="173"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vacancies on our Board of Directors will be able to be filled only by our Board of Directors and not by stockholders;</w:t>
      </w:r>
    </w:p>
    <w:p>
      <w:pPr>
        <w:spacing w:after="0" w:line="247" w:lineRule="exact"/>
        <w:rPr>
          <w:rFonts w:ascii="Times New Roman" w:cs="Times New Roman" w:eastAsia="Times New Roman" w:hAnsi="Times New Roman"/>
          <w:sz w:val="17"/>
          <w:szCs w:val="17"/>
          <w:color w:val="auto"/>
        </w:rPr>
      </w:pPr>
    </w:p>
    <w:p>
      <w:pPr>
        <w:jc w:val="both"/>
        <w:ind w:left="1260" w:right="260" w:hanging="317"/>
        <w:spacing w:after="0" w:line="275" w:lineRule="auto"/>
        <w:tabs>
          <w:tab w:leader="none" w:pos="125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spacing w:after="0" w:line="188" w:lineRule="exact"/>
        <w:rPr>
          <w:rFonts w:ascii="Times New Roman" w:cs="Times New Roman" w:eastAsia="Times New Roman" w:hAnsi="Times New Roman"/>
          <w:sz w:val="17"/>
          <w:szCs w:val="17"/>
          <w:color w:val="auto"/>
        </w:rPr>
      </w:pPr>
    </w:p>
    <w:p>
      <w:pPr>
        <w:ind w:left="1260" w:hanging="317"/>
        <w:spacing w:after="0"/>
        <w:tabs>
          <w:tab w:leader="none" w:pos="12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litigation against us may be required to be brought in Delaware;</w:t>
      </w:r>
    </w:p>
    <w:p>
      <w:pPr>
        <w:spacing w:after="0" w:line="247" w:lineRule="exact"/>
        <w:rPr>
          <w:rFonts w:ascii="Times New Roman" w:cs="Times New Roman" w:eastAsia="Times New Roman" w:hAnsi="Times New Roman"/>
          <w:sz w:val="17"/>
          <w:szCs w:val="17"/>
          <w:color w:val="auto"/>
        </w:rPr>
      </w:pPr>
    </w:p>
    <w:p>
      <w:pPr>
        <w:ind w:left="1260" w:right="260" w:hanging="317"/>
        <w:spacing w:after="0" w:line="294" w:lineRule="auto"/>
        <w:tabs>
          <w:tab w:leader="none" w:pos="125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restated certificate of incorporation authorizes undesignated preferred stock, the terms of which may be established and shares of which may be issued, without the approval of the holders of Class A common stock; and</w:t>
      </w:r>
    </w:p>
    <w:p>
      <w:pPr>
        <w:spacing w:after="0" w:line="173" w:lineRule="exact"/>
        <w:rPr>
          <w:rFonts w:ascii="Times New Roman" w:cs="Times New Roman" w:eastAsia="Times New Roman" w:hAnsi="Times New Roman"/>
          <w:sz w:val="17"/>
          <w:szCs w:val="17"/>
          <w:color w:val="auto"/>
        </w:rPr>
      </w:pPr>
    </w:p>
    <w:p>
      <w:pPr>
        <w:ind w:left="1260" w:right="60" w:hanging="317"/>
        <w:spacing w:after="0" w:line="294" w:lineRule="auto"/>
        <w:tabs>
          <w:tab w:leader="none" w:pos="125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apply for stockholders to nominate candidates for election as directors or to bring matters before an annual meeting of stockholders.</w:t>
      </w:r>
    </w:p>
    <w:p>
      <w:pPr>
        <w:spacing w:after="0" w:line="173" w:lineRule="exact"/>
        <w:rPr>
          <w:sz w:val="20"/>
          <w:szCs w:val="20"/>
          <w:color w:val="auto"/>
        </w:rPr>
      </w:pPr>
    </w:p>
    <w:p>
      <w:pPr>
        <w:ind w:right="180" w:firstLine="391"/>
        <w:spacing w:after="0" w:line="275" w:lineRule="auto"/>
        <w:rPr>
          <w:sz w:val="20"/>
          <w:szCs w:val="20"/>
          <w:color w:val="auto"/>
        </w:rPr>
      </w:pPr>
      <w:r>
        <w:rPr>
          <w:rFonts w:ascii="Times New Roman" w:cs="Times New Roman" w:eastAsia="Times New Roman" w:hAnsi="Times New Roman"/>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limit the opportunity for our stockholders to receive a premium for their shares of our capital stock, and could also affect the price that some investors are willing to pay for our Class A common stock.</w:t>
      </w:r>
    </w:p>
    <w:p>
      <w:pPr>
        <w:spacing w:after="0" w:line="16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spacing w:after="0" w:line="194" w:lineRule="exact"/>
        <w:rPr>
          <w:sz w:val="20"/>
          <w:szCs w:val="20"/>
          <w:color w:val="auto"/>
        </w:rPr>
      </w:pPr>
    </w:p>
    <w:p>
      <w:pPr>
        <w:ind w:right="20" w:firstLine="391"/>
        <w:spacing w:after="0" w:line="263" w:lineRule="auto"/>
        <w:rPr>
          <w:sz w:val="20"/>
          <w:szCs w:val="20"/>
          <w:color w:val="auto"/>
        </w:rPr>
      </w:pPr>
      <w:r>
        <w:rPr>
          <w:rFonts w:ascii="Times New Roman" w:cs="Times New Roman" w:eastAsia="Times New Roman" w:hAnsi="Times New Roman"/>
          <w:sz w:val="17"/>
          <w:szCs w:val="17"/>
          <w:color w:val="auto"/>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201" w:lineRule="exact"/>
        <w:rPr>
          <w:sz w:val="20"/>
          <w:szCs w:val="20"/>
          <w:color w:val="auto"/>
        </w:rPr>
      </w:pPr>
    </w:p>
    <w:p>
      <w:pPr>
        <w:ind w:right="60" w:firstLine="391"/>
        <w:spacing w:after="0" w:line="294" w:lineRule="auto"/>
        <w:rPr>
          <w:sz w:val="20"/>
          <w:szCs w:val="20"/>
          <w:color w:val="auto"/>
        </w:rPr>
      </w:pPr>
      <w:r>
        <w:rPr>
          <w:rFonts w:ascii="Times New Roman" w:cs="Times New Roman" w:eastAsia="Times New Roman" w:hAnsi="Times New Roman"/>
          <w:sz w:val="17"/>
          <w:szCs w:val="17"/>
          <w:color w:val="auto"/>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spacing w:after="0" w:line="173" w:lineRule="exact"/>
        <w:rPr>
          <w:sz w:val="20"/>
          <w:szCs w:val="20"/>
          <w:color w:val="auto"/>
        </w:rPr>
      </w:pPr>
    </w:p>
    <w:p>
      <w:pPr>
        <w:ind w:right="400" w:firstLine="391"/>
        <w:spacing w:after="0" w:line="275" w:lineRule="auto"/>
        <w:rPr>
          <w:sz w:val="20"/>
          <w:szCs w:val="20"/>
          <w:color w:val="auto"/>
        </w:rPr>
      </w:pPr>
      <w:r>
        <w:rPr>
          <w:rFonts w:ascii="Times New Roman" w:cs="Times New Roman" w:eastAsia="Times New Roman" w:hAnsi="Times New Roman"/>
          <w:sz w:val="17"/>
          <w:szCs w:val="17"/>
          <w:color w:val="auto"/>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spacing w:after="0" w:line="189" w:lineRule="exact"/>
        <w:rPr>
          <w:sz w:val="20"/>
          <w:szCs w:val="20"/>
          <w:color w:val="auto"/>
        </w:rPr>
      </w:pPr>
    </w:p>
    <w:p>
      <w:pPr>
        <w:ind w:right="540" w:firstLine="391"/>
        <w:spacing w:after="0" w:line="294" w:lineRule="auto"/>
        <w:rPr>
          <w:sz w:val="20"/>
          <w:szCs w:val="20"/>
          <w:color w:val="auto"/>
        </w:rPr>
      </w:pPr>
      <w:r>
        <w:rPr>
          <w:rFonts w:ascii="Times New Roman" w:cs="Times New Roman" w:eastAsia="Times New Roman" w:hAnsi="Times New Roman"/>
          <w:sz w:val="17"/>
          <w:szCs w:val="17"/>
          <w:color w:val="auto"/>
        </w:rPr>
        <w:t>If we face relevant litigation and are unable to enforce these provisions, we may incur additional costs associated with resolving the dispute in other jurisdictions, which could harm our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cannot guarantee that our stock repurchase program will be fully implemented or that it will enhance long-term stockholder value.</w:t>
      </w:r>
    </w:p>
    <w:p>
      <w:pPr>
        <w:spacing w:after="0" w:line="252" w:lineRule="exact"/>
        <w:rPr>
          <w:sz w:val="20"/>
          <w:szCs w:val="20"/>
          <w:color w:val="auto"/>
        </w:rPr>
      </w:pPr>
    </w:p>
    <w:p>
      <w:pPr>
        <w:ind w:right="60" w:firstLine="391"/>
        <w:spacing w:after="0" w:line="260" w:lineRule="auto"/>
        <w:rPr>
          <w:sz w:val="20"/>
          <w:szCs w:val="20"/>
          <w:color w:val="auto"/>
        </w:rPr>
      </w:pPr>
      <w:r>
        <w:rPr>
          <w:rFonts w:ascii="Times New Roman" w:cs="Times New Roman" w:eastAsia="Times New Roman" w:hAnsi="Times New Roman"/>
          <w:sz w:val="17"/>
          <w:szCs w:val="17"/>
          <w:color w:val="auto"/>
        </w:rPr>
        <w:t>In February 2020, our Board of Directors approved a stock repurchase program for the repurchase of up to $600 million of the outstanding shares of our Class A common stock, in February 2021 our Board of Directors authorized the repurchase of up to an additional $1 billion of the outstanding shares of our Class A common stock and in February 2022 our Board of Directors further authorized the repurchase of up to an additional $1.2 billion of the outstanding shares of our Class A common stock. The repurchase program does not have an expiration date and we are not obligated to repurchase a specified number or dollar value of shares. Share repurchases will be made from time to time in private transactions or open market purchases, as permitted by securities laws and other legal requirements. Although we have previously announced an intention to increase the pace of our share repurchases, any share repurchases remain subject to the circumstances in place at that time, including prevailing market prices. As a result, there can be no guarantee around the timing of our share repurchases, or that the volume of such repurchases will increase.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for the foreseeable future.</w:t>
      </w:r>
    </w:p>
    <w:p>
      <w:pPr>
        <w:spacing w:after="0" w:line="252" w:lineRule="exact"/>
        <w:rPr>
          <w:sz w:val="20"/>
          <w:szCs w:val="20"/>
          <w:color w:val="auto"/>
        </w:rPr>
      </w:pPr>
    </w:p>
    <w:p>
      <w:pPr>
        <w:ind w:right="260" w:firstLine="391"/>
        <w:spacing w:after="0" w:line="268" w:lineRule="auto"/>
        <w:rPr>
          <w:sz w:val="20"/>
          <w:szCs w:val="20"/>
          <w:color w:val="auto"/>
        </w:rPr>
      </w:pPr>
      <w:r>
        <w:rPr>
          <w:rFonts w:ascii="Times New Roman" w:cs="Times New Roman" w:eastAsia="Times New Roman" w:hAnsi="Times New Roman"/>
          <w:sz w:val="17"/>
          <w:szCs w:val="17"/>
          <w:color w:val="auto"/>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disrupted by catastrophic events.</w:t>
      </w:r>
    </w:p>
    <w:p>
      <w:pPr>
        <w:spacing w:after="0" w:line="252" w:lineRule="exact"/>
        <w:rPr>
          <w:sz w:val="20"/>
          <w:szCs w:val="20"/>
          <w:color w:val="auto"/>
        </w:rPr>
      </w:pPr>
    </w:p>
    <w:p>
      <w:pPr>
        <w:jc w:val="both"/>
        <w:ind w:right="100" w:firstLine="391"/>
        <w:spacing w:after="0" w:line="275" w:lineRule="auto"/>
        <w:rPr>
          <w:sz w:val="20"/>
          <w:szCs w:val="20"/>
          <w:color w:val="auto"/>
        </w:rPr>
      </w:pPr>
      <w:r>
        <w:rPr>
          <w:rFonts w:ascii="Times New Roman" w:cs="Times New Roman" w:eastAsia="Times New Roman" w:hAnsi="Times New Roman"/>
          <w:sz w:val="17"/>
          <w:szCs w:val="17"/>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such as</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COVID-19, or the fear of such events, have resulted in responses, including government-imposed travel restrictions, grounding of flights, and shutdown of workplaces. As a result, we are conducting business with substantial modifications, including modifications to employee travel and employee work locations. These modifications may disrupt important business operations, such as our product development and sales and marketing activities, and the productivity of our employees.</w:t>
      </w:r>
    </w:p>
    <w:p>
      <w:pPr>
        <w:spacing w:after="0" w:line="196" w:lineRule="exact"/>
        <w:rPr>
          <w:sz w:val="20"/>
          <w:szCs w:val="20"/>
          <w:color w:val="auto"/>
        </w:rPr>
      </w:pPr>
    </w:p>
    <w:p>
      <w:pPr>
        <w:ind w:right="40" w:firstLine="391"/>
        <w:spacing w:after="0" w:line="262" w:lineRule="auto"/>
        <w:rPr>
          <w:sz w:val="20"/>
          <w:szCs w:val="20"/>
          <w:color w:val="auto"/>
        </w:rPr>
      </w:pPr>
      <w:r>
        <w:rPr>
          <w:rFonts w:ascii="Times New Roman" w:cs="Times New Roman" w:eastAsia="Times New Roman" w:hAnsi="Times New Roman"/>
          <w:sz w:val="17"/>
          <w:szCs w:val="17"/>
          <w:color w:val="auto"/>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have exposure to greater than anticipated tax liabilities, which could adversely impact our results of operations.</w:t>
      </w:r>
    </w:p>
    <w:p>
      <w:pPr>
        <w:spacing w:after="0" w:line="252" w:lineRule="exact"/>
        <w:rPr>
          <w:sz w:val="20"/>
          <w:szCs w:val="20"/>
          <w:color w:val="auto"/>
        </w:rPr>
      </w:pPr>
    </w:p>
    <w:p>
      <w:pPr>
        <w:ind w:right="120" w:firstLine="391"/>
        <w:spacing w:after="0" w:line="268" w:lineRule="auto"/>
        <w:rPr>
          <w:sz w:val="20"/>
          <w:szCs w:val="20"/>
          <w:color w:val="auto"/>
        </w:rPr>
      </w:pPr>
      <w:r>
        <w:rPr>
          <w:rFonts w:ascii="Times New Roman" w:cs="Times New Roman" w:eastAsia="Times New Roman" w:hAnsi="Times New Roman"/>
          <w:sz w:val="17"/>
          <w:szCs w:val="17"/>
          <w:color w:val="auto"/>
        </w:rPr>
        <w:t>While to date we have not incurred significant income taxes in operating our business, 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w:t>
      </w:r>
    </w:p>
    <w:p>
      <w:pPr>
        <w:spacing w:after="0" w:line="196" w:lineRule="exact"/>
        <w:rPr>
          <w:sz w:val="20"/>
          <w:szCs w:val="20"/>
          <w:color w:val="auto"/>
        </w:rPr>
      </w:pPr>
    </w:p>
    <w:p>
      <w:pPr>
        <w:ind w:firstLine="391"/>
        <w:spacing w:after="0" w:line="265" w:lineRule="auto"/>
        <w:rPr>
          <w:sz w:val="20"/>
          <w:szCs w:val="20"/>
          <w:color w:val="auto"/>
        </w:rPr>
      </w:pPr>
      <w:r>
        <w:rPr>
          <w:rFonts w:ascii="Times New Roman" w:cs="Times New Roman" w:eastAsia="Times New Roman" w:hAnsi="Times New Roman"/>
          <w:sz w:val="17"/>
          <w:szCs w:val="17"/>
          <w:color w:val="auto"/>
        </w:rPr>
        <w:t>Our tax provision could also be impacted by changes in accounting principles, changes in U.S. federal, state, or international tax laws applicable to corporate multinationals such as the recent legislation enacted in the United States, other fundamental law changes currently being considered by many countries, and changes in taxing jurisdictions’ administrative interpretations, decisions, policies, and positions. Additionally, the Organization for Economic Co-Operation and Development has released guidance covering various topics, including digital economy, transfer pricing, country-by-country reporting, and definitional changes to permanent establishment that could ultimately impact our tax liabilities.</w:t>
      </w:r>
    </w:p>
    <w:p>
      <w:pPr>
        <w:spacing w:after="0" w:line="199" w:lineRule="exact"/>
        <w:rPr>
          <w:sz w:val="20"/>
          <w:szCs w:val="20"/>
          <w:color w:val="auto"/>
        </w:rPr>
      </w:pPr>
    </w:p>
    <w:p>
      <w:pPr>
        <w:ind w:right="20" w:firstLine="391"/>
        <w:spacing w:after="0" w:line="263" w:lineRule="auto"/>
        <w:rPr>
          <w:sz w:val="20"/>
          <w:szCs w:val="20"/>
          <w:color w:val="auto"/>
        </w:rPr>
      </w:pPr>
      <w:r>
        <w:rPr>
          <w:rFonts w:ascii="Times New Roman" w:cs="Times New Roman" w:eastAsia="Times New Roman" w:hAnsi="Times New Roman"/>
          <w:sz w:val="17"/>
          <w:szCs w:val="17"/>
          <w:color w:val="auto"/>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w:t>
      </w:r>
    </w:p>
    <w:p>
      <w:pPr>
        <w:spacing w:after="0" w:line="197" w:lineRule="exact"/>
        <w:rPr>
          <w:sz w:val="20"/>
          <w:szCs w:val="20"/>
          <w:color w:val="auto"/>
        </w:rPr>
      </w:pPr>
    </w:p>
    <w:p>
      <w:pPr>
        <w:ind w:right="4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69" w:lineRule="exact"/>
        <w:rPr>
          <w:sz w:val="20"/>
          <w:szCs w:val="20"/>
          <w:color w:val="auto"/>
        </w:rPr>
      </w:pPr>
    </w:p>
    <w:p>
      <w:pPr>
        <w:ind w:right="40" w:firstLine="391"/>
        <w:spacing w:after="0" w:line="268" w:lineRule="auto"/>
        <w:rPr>
          <w:sz w:val="20"/>
          <w:szCs w:val="20"/>
          <w:color w:val="auto"/>
        </w:rPr>
      </w:pPr>
      <w:r>
        <w:rPr>
          <w:rFonts w:ascii="Times New Roman" w:cs="Times New Roman" w:eastAsia="Times New Roman" w:hAnsi="Times New Roman"/>
          <w:sz w:val="17"/>
          <w:szCs w:val="17"/>
          <w:color w:val="auto"/>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96" w:lineRule="exact"/>
        <w:rPr>
          <w:sz w:val="20"/>
          <w:szCs w:val="20"/>
          <w:color w:val="auto"/>
        </w:rPr>
      </w:pPr>
    </w:p>
    <w:p>
      <w:pPr>
        <w:ind w:right="40" w:firstLine="391"/>
        <w:spacing w:after="0" w:line="260" w:lineRule="auto"/>
        <w:rPr>
          <w:sz w:val="20"/>
          <w:szCs w:val="20"/>
          <w:color w:val="auto"/>
        </w:rPr>
      </w:pPr>
      <w:r>
        <w:rPr>
          <w:rFonts w:ascii="Times New Roman" w:cs="Times New Roman" w:eastAsia="Times New Roman" w:hAnsi="Times New Roman"/>
          <w:sz w:val="17"/>
          <w:szCs w:val="17"/>
          <w:color w:val="auto"/>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jc w:val="both"/>
        <w:ind w:right="60"/>
        <w:spacing w:after="0" w:line="275" w:lineRule="auto"/>
        <w:rPr>
          <w:sz w:val="20"/>
          <w:szCs w:val="20"/>
          <w:color w:val="auto"/>
        </w:rPr>
      </w:pPr>
      <w:r>
        <w:rPr>
          <w:rFonts w:ascii="Times New Roman" w:cs="Times New Roman" w:eastAsia="Times New Roman" w:hAnsi="Times New Roman"/>
          <w:sz w:val="17"/>
          <w:szCs w:val="17"/>
          <w:color w:val="auto"/>
        </w:rPr>
        <w:t>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spacing w:after="0" w:line="189" w:lineRule="exact"/>
        <w:rPr>
          <w:sz w:val="20"/>
          <w:szCs w:val="20"/>
          <w:color w:val="auto"/>
        </w:rPr>
      </w:pPr>
    </w:p>
    <w:p>
      <w:pPr>
        <w:ind w:right="20" w:firstLine="391"/>
        <w:spacing w:after="0" w:line="260" w:lineRule="auto"/>
        <w:rPr>
          <w:sz w:val="20"/>
          <w:szCs w:val="20"/>
          <w:color w:val="auto"/>
        </w:rPr>
      </w:pPr>
      <w:r>
        <w:rPr>
          <w:rFonts w:ascii="Times New Roman" w:cs="Times New Roman" w:eastAsia="Times New Roman" w:hAnsi="Times New Roman"/>
          <w:sz w:val="17"/>
          <w:szCs w:val="17"/>
          <w:color w:val="auto"/>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reported results of operations may be adversely affected by changes in accounting principles generally accepted in the United States.</w:t>
      </w:r>
    </w:p>
    <w:p>
      <w:pPr>
        <w:spacing w:after="0" w:line="252" w:lineRule="exact"/>
        <w:rPr>
          <w:sz w:val="20"/>
          <w:szCs w:val="20"/>
          <w:color w:val="auto"/>
        </w:rPr>
      </w:pPr>
    </w:p>
    <w:p>
      <w:pPr>
        <w:ind w:firstLine="391"/>
        <w:spacing w:after="0" w:line="267" w:lineRule="auto"/>
        <w:rPr>
          <w:sz w:val="20"/>
          <w:szCs w:val="20"/>
          <w:color w:val="auto"/>
        </w:rPr>
      </w:pPr>
      <w:r>
        <w:rPr>
          <w:rFonts w:ascii="Times New Roman" w:cs="Times New Roman" w:eastAsia="Times New Roman" w:hAnsi="Times New Roman"/>
          <w:sz w:val="17"/>
          <w:szCs w:val="17"/>
          <w:color w:val="auto"/>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need additional capital, and we cannot be certain that additional financing will be available on favorable terms, or at all.</w:t>
      </w:r>
    </w:p>
    <w:p>
      <w:pPr>
        <w:spacing w:after="0" w:line="252" w:lineRule="exact"/>
        <w:rPr>
          <w:sz w:val="20"/>
          <w:szCs w:val="20"/>
          <w:color w:val="auto"/>
        </w:rPr>
      </w:pPr>
    </w:p>
    <w:p>
      <w:pPr>
        <w:ind w:right="40" w:firstLine="391"/>
        <w:spacing w:after="0" w:line="262" w:lineRule="auto"/>
        <w:rPr>
          <w:sz w:val="20"/>
          <w:szCs w:val="20"/>
          <w:color w:val="auto"/>
        </w:rPr>
      </w:pPr>
      <w:r>
        <w:rPr>
          <w:rFonts w:ascii="Times New Roman" w:cs="Times New Roman" w:eastAsia="Times New Roman" w:hAnsi="Times New Roman"/>
          <w:sz w:val="17"/>
          <w:szCs w:val="17"/>
          <w:color w:val="auto"/>
        </w:rPr>
        <w:t>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97"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169" w:lineRule="exact"/>
        <w:rPr>
          <w:sz w:val="20"/>
          <w:szCs w:val="20"/>
          <w:color w:val="auto"/>
        </w:rPr>
      </w:pPr>
    </w:p>
    <w:p>
      <w:pPr>
        <w:ind w:right="20" w:firstLine="391"/>
        <w:spacing w:after="0" w:line="265" w:lineRule="auto"/>
        <w:rPr>
          <w:sz w:val="20"/>
          <w:szCs w:val="20"/>
          <w:color w:val="auto"/>
        </w:rPr>
      </w:pPr>
      <w:r>
        <w:rPr>
          <w:rFonts w:ascii="Times New Roman" w:cs="Times New Roman" w:eastAsia="Times New Roman" w:hAnsi="Times New Roman"/>
          <w:sz w:val="17"/>
          <w:szCs w:val="17"/>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2. UNREGISTERED SALES OF EQUITY SECURITIES AND USE OF PROCEEDS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50" w:lineRule="exact"/>
        <w:rPr>
          <w:sz w:val="20"/>
          <w:szCs w:val="20"/>
          <w:color w:val="auto"/>
        </w:rPr>
      </w:pPr>
    </w:p>
    <w:p>
      <w:pPr>
        <w:ind w:right="2460" w:firstLine="626"/>
        <w:spacing w:after="0" w:line="282" w:lineRule="auto"/>
        <w:rPr>
          <w:sz w:val="20"/>
          <w:szCs w:val="20"/>
          <w:color w:val="auto"/>
        </w:rPr>
      </w:pPr>
      <w:r>
        <w:rPr>
          <w:rFonts w:ascii="Times New Roman" w:cs="Times New Roman" w:eastAsia="Times New Roman" w:hAnsi="Times New Roman"/>
          <w:sz w:val="17"/>
          <w:szCs w:val="17"/>
          <w:color w:val="auto"/>
        </w:rPr>
        <w:t>The following table presents information with respect to Dropbox's repurchases of Class A common stock during the quarter ended March 31, 2022.</w:t>
      </w:r>
    </w:p>
    <w:tbl>
      <w:tblPr>
        <w:tblLayout w:type="fixed"/>
        <w:tblInd w:w="60" w:type="dxa"/>
        <w:tblCellMar>
          <w:top w:w="0" w:type="dxa"/>
          <w:left w:w="0" w:type="dxa"/>
          <w:bottom w:w="0" w:type="dxa"/>
          <w:right w:w="0" w:type="dxa"/>
        </w:tblCellMar>
      </w:tblPr>
      <w:tr>
        <w:trPr>
          <w:trHeight w:val="159"/>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7"/>
              </w:rPr>
              <w:t>Total Number of Shares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59"/>
              <w:spacing w:after="0" w:line="159" w:lineRule="exact"/>
              <w:rPr>
                <w:sz w:val="20"/>
                <w:szCs w:val="20"/>
                <w:color w:val="auto"/>
              </w:rPr>
            </w:pPr>
            <w:r>
              <w:rPr>
                <w:rFonts w:ascii="Times New Roman" w:cs="Times New Roman" w:eastAsia="Times New Roman" w:hAnsi="Times New Roman"/>
                <w:sz w:val="16"/>
                <w:szCs w:val="16"/>
                <w:color w:val="auto"/>
                <w:w w:val="97"/>
              </w:rPr>
              <w:t>Approximate Dollar Value of</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59"/>
              <w:spacing w:after="0" w:line="157" w:lineRule="exact"/>
              <w:rPr>
                <w:sz w:val="20"/>
                <w:szCs w:val="20"/>
                <w:color w:val="auto"/>
              </w:rPr>
            </w:pPr>
            <w:r>
              <w:rPr>
                <w:rFonts w:ascii="Times New Roman" w:cs="Times New Roman" w:eastAsia="Times New Roman" w:hAnsi="Times New Roman"/>
                <w:sz w:val="16"/>
                <w:szCs w:val="16"/>
                <w:color w:val="auto"/>
                <w:w w:val="96"/>
              </w:rPr>
              <w:t>Shares that May Yet Be</w:t>
            </w:r>
          </w:p>
        </w:tc>
        <w:tc>
          <w:tcPr>
            <w:tcW w:w="0" w:type="dxa"/>
            <w:vAlign w:val="bottom"/>
          </w:tcPr>
          <w:p>
            <w:pPr>
              <w:spacing w:after="0"/>
              <w:rPr>
                <w:sz w:val="1"/>
                <w:szCs w:val="1"/>
                <w:color w:val="auto"/>
              </w:rPr>
            </w:pPr>
          </w:p>
        </w:tc>
      </w:tr>
      <w:tr>
        <w:trPr>
          <w:trHeight w:val="156"/>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vMerge w:val="restart"/>
          </w:tcPr>
          <w:p>
            <w:pPr>
              <w:jc w:val="right"/>
              <w:ind w:right="256"/>
              <w:spacing w:after="0"/>
              <w:rPr>
                <w:sz w:val="20"/>
                <w:szCs w:val="20"/>
                <w:color w:val="auto"/>
              </w:rPr>
            </w:pPr>
            <w:r>
              <w:rPr>
                <w:rFonts w:ascii="Times New Roman" w:cs="Times New Roman" w:eastAsia="Times New Roman" w:hAnsi="Times New Roman"/>
                <w:sz w:val="16"/>
                <w:szCs w:val="16"/>
                <w:color w:val="auto"/>
              </w:rPr>
              <w:t>Total Number of Shares</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8"/>
              </w:rPr>
              <w:t>Purchased as Part of Publicly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59"/>
              <w:spacing w:after="0" w:line="157" w:lineRule="exact"/>
              <w:rPr>
                <w:sz w:val="20"/>
                <w:szCs w:val="20"/>
                <w:color w:val="auto"/>
              </w:rPr>
            </w:pPr>
            <w:r>
              <w:rPr>
                <w:rFonts w:ascii="Times New Roman" w:cs="Times New Roman" w:eastAsia="Times New Roman" w:hAnsi="Times New Roman"/>
                <w:sz w:val="16"/>
                <w:szCs w:val="16"/>
                <w:color w:val="auto"/>
                <w:w w:val="98"/>
              </w:rPr>
              <w:t>Purchased Under Publicly</w:t>
            </w:r>
          </w:p>
        </w:tc>
        <w:tc>
          <w:tcPr>
            <w:tcW w:w="0" w:type="dxa"/>
            <w:vAlign w:val="bottom"/>
          </w:tcPr>
          <w:p>
            <w:pPr>
              <w:spacing w:after="0"/>
              <w:rPr>
                <w:sz w:val="1"/>
                <w:szCs w:val="1"/>
                <w:color w:val="auto"/>
              </w:rPr>
            </w:pPr>
          </w:p>
        </w:tc>
      </w:tr>
      <w:tr>
        <w:trPr>
          <w:trHeight w:val="156"/>
        </w:trPr>
        <w:tc>
          <w:tcPr>
            <w:tcW w:w="22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6"/>
                <w:szCs w:val="16"/>
                <w:color w:val="auto"/>
              </w:rPr>
              <w:t>Period</w:t>
            </w:r>
          </w:p>
        </w:tc>
        <w:tc>
          <w:tcPr>
            <w:tcW w:w="2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6"/>
                <w:szCs w:val="16"/>
                <w:color w:val="auto"/>
              </w:rPr>
              <w:t>Average Price Paid per Share</w:t>
            </w:r>
            <w:r>
              <w:rPr>
                <w:rFonts w:ascii="Times New Roman" w:cs="Times New Roman" w:eastAsia="Times New Roman" w:hAnsi="Times New Roman"/>
                <w:sz w:val="20"/>
                <w:szCs w:val="20"/>
                <w:color w:val="auto"/>
                <w:vertAlign w:val="superscript"/>
              </w:rPr>
              <w:t>(2)</w:t>
            </w:r>
          </w:p>
        </w:tc>
        <w:tc>
          <w:tcPr>
            <w:tcW w:w="2140" w:type="dxa"/>
            <w:vAlign w:val="bottom"/>
          </w:tcPr>
          <w:p>
            <w:pPr>
              <w:jc w:val="center"/>
              <w:spacing w:after="0" w:line="157" w:lineRule="exact"/>
              <w:rPr>
                <w:sz w:val="20"/>
                <w:szCs w:val="20"/>
                <w:color w:val="auto"/>
              </w:rPr>
            </w:pPr>
            <w:r>
              <w:rPr>
                <w:rFonts w:ascii="Times New Roman" w:cs="Times New Roman" w:eastAsia="Times New Roman" w:hAnsi="Times New Roman"/>
                <w:sz w:val="16"/>
                <w:szCs w:val="16"/>
                <w:color w:val="auto"/>
                <w:w w:val="97"/>
              </w:rPr>
              <w:t>Announced Programs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ind w:right="59"/>
              <w:spacing w:after="0" w:line="157" w:lineRule="exact"/>
              <w:rPr>
                <w:sz w:val="20"/>
                <w:szCs w:val="20"/>
                <w:color w:val="auto"/>
              </w:rPr>
            </w:pPr>
            <w:r>
              <w:rPr>
                <w:rFonts w:ascii="Times New Roman" w:cs="Times New Roman" w:eastAsia="Times New Roman" w:hAnsi="Times New Roman"/>
                <w:sz w:val="16"/>
                <w:szCs w:val="16"/>
                <w:color w:val="auto"/>
                <w:w w:val="97"/>
              </w:rPr>
              <w:t>Announced Programs</w:t>
            </w:r>
          </w:p>
        </w:tc>
        <w:tc>
          <w:tcPr>
            <w:tcW w:w="0" w:type="dxa"/>
            <w:vAlign w:val="bottom"/>
          </w:tcPr>
          <w:p>
            <w:pPr>
              <w:spacing w:after="0"/>
              <w:rPr>
                <w:sz w:val="1"/>
                <w:szCs w:val="1"/>
                <w:color w:val="auto"/>
              </w:rPr>
            </w:pPr>
          </w:p>
        </w:tc>
      </w:tr>
      <w:tr>
        <w:trPr>
          <w:trHeight w:val="209"/>
        </w:trPr>
        <w:tc>
          <w:tcPr>
            <w:tcW w:w="2240" w:type="dxa"/>
            <w:vAlign w:val="bottom"/>
            <w:gridSpan w:val="2"/>
            <w:vMerge w:val="continue"/>
          </w:tcPr>
          <w:p>
            <w:pPr>
              <w:spacing w:after="0"/>
              <w:rPr>
                <w:sz w:val="18"/>
                <w:szCs w:val="18"/>
                <w:color w:val="auto"/>
              </w:rPr>
            </w:pPr>
          </w:p>
        </w:tc>
        <w:tc>
          <w:tcPr>
            <w:tcW w:w="2160" w:type="dxa"/>
            <w:vAlign w:val="bottom"/>
          </w:tcPr>
          <w:p>
            <w:pPr>
              <w:jc w:val="right"/>
              <w:ind w:right="216"/>
              <w:spacing w:after="0" w:line="208" w:lineRule="exact"/>
              <w:rPr>
                <w:sz w:val="20"/>
                <w:szCs w:val="20"/>
                <w:color w:val="auto"/>
              </w:rPr>
            </w:pPr>
            <w:r>
              <w:rPr>
                <w:rFonts w:ascii="Times New Roman" w:cs="Times New Roman" w:eastAsia="Times New Roman" w:hAnsi="Times New Roman"/>
                <w:sz w:val="16"/>
                <w:szCs w:val="16"/>
                <w:color w:val="auto"/>
              </w:rPr>
              <w:t>Purchased (in millions)</w:t>
            </w:r>
            <w:r>
              <w:rPr>
                <w:rFonts w:ascii="Times New Roman" w:cs="Times New Roman" w:eastAsia="Times New Roman" w:hAnsi="Times New Roman"/>
                <w:sz w:val="20"/>
                <w:szCs w:val="20"/>
                <w:color w:val="auto"/>
                <w:vertAlign w:val="superscript"/>
              </w:rPr>
              <w:t>(1)</w:t>
            </w:r>
          </w:p>
        </w:tc>
        <w:tc>
          <w:tcPr>
            <w:tcW w:w="100" w:type="dxa"/>
            <w:vAlign w:val="bottom"/>
          </w:tcPr>
          <w:p>
            <w:pPr>
              <w:spacing w:after="0"/>
              <w:rPr>
                <w:sz w:val="18"/>
                <w:szCs w:val="18"/>
                <w:color w:val="auto"/>
              </w:rPr>
            </w:pPr>
          </w:p>
        </w:tc>
        <w:tc>
          <w:tcPr>
            <w:tcW w:w="2240" w:type="dxa"/>
            <w:vAlign w:val="bottom"/>
            <w:gridSpan w:val="3"/>
            <w:vMerge w:val="continue"/>
          </w:tcPr>
          <w:p>
            <w:pPr>
              <w:spacing w:after="0"/>
              <w:rPr>
                <w:sz w:val="18"/>
                <w:szCs w:val="18"/>
                <w:color w:val="auto"/>
              </w:rPr>
            </w:pPr>
          </w:p>
        </w:tc>
        <w:tc>
          <w:tcPr>
            <w:tcW w:w="2140" w:type="dxa"/>
            <w:vAlign w:val="bottom"/>
          </w:tcPr>
          <w:p>
            <w:pPr>
              <w:jc w:val="center"/>
              <w:spacing w:after="0" w:line="208" w:lineRule="exact"/>
              <w:rPr>
                <w:sz w:val="20"/>
                <w:szCs w:val="20"/>
                <w:color w:val="auto"/>
              </w:rPr>
            </w:pPr>
            <w:r>
              <w:rPr>
                <w:rFonts w:ascii="Times New Roman" w:cs="Times New Roman" w:eastAsia="Times New Roman" w:hAnsi="Times New Roman"/>
                <w:sz w:val="16"/>
                <w:szCs w:val="16"/>
                <w:color w:val="auto"/>
                <w:w w:val="94"/>
              </w:rPr>
              <w:t>(in millions)</w:t>
            </w:r>
            <w:r>
              <w:rPr>
                <w:rFonts w:ascii="Times New Roman" w:cs="Times New Roman" w:eastAsia="Times New Roman" w:hAnsi="Times New Roman"/>
                <w:sz w:val="20"/>
                <w:szCs w:val="20"/>
                <w:color w:val="auto"/>
                <w:w w:val="94"/>
                <w:vertAlign w:val="superscript"/>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ind w:right="39"/>
              <w:spacing w:after="0" w:line="208" w:lineRule="exact"/>
              <w:rPr>
                <w:sz w:val="20"/>
                <w:szCs w:val="20"/>
                <w:color w:val="auto"/>
              </w:rPr>
            </w:pPr>
            <w:r>
              <w:rPr>
                <w:rFonts w:ascii="Times New Roman" w:cs="Times New Roman" w:eastAsia="Times New Roman" w:hAnsi="Times New Roman"/>
                <w:sz w:val="16"/>
                <w:szCs w:val="16"/>
                <w:color w:val="auto"/>
                <w:w w:val="94"/>
              </w:rPr>
              <w:t>(in millions)</w:t>
            </w:r>
            <w:r>
              <w:rPr>
                <w:rFonts w:ascii="Times New Roman" w:cs="Times New Roman" w:eastAsia="Times New Roman" w:hAnsi="Times New Roman"/>
                <w:sz w:val="20"/>
                <w:szCs w:val="20"/>
                <w:color w:val="auto"/>
                <w:w w:val="94"/>
                <w:vertAlign w:val="superscript"/>
              </w:rPr>
              <w:t>(1)</w:t>
            </w:r>
          </w:p>
        </w:tc>
        <w:tc>
          <w:tcPr>
            <w:tcW w:w="0" w:type="dxa"/>
            <w:vAlign w:val="bottom"/>
          </w:tcPr>
          <w:p>
            <w:pPr>
              <w:spacing w:after="0"/>
              <w:rPr>
                <w:sz w:val="1"/>
                <w:szCs w:val="1"/>
                <w:color w:val="auto"/>
              </w:rPr>
            </w:pPr>
          </w:p>
        </w:tc>
      </w:tr>
      <w:tr>
        <w:trPr>
          <w:trHeight w:val="215"/>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 1 - 31</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23.95</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230.48</w:t>
            </w:r>
          </w:p>
        </w:tc>
        <w:tc>
          <w:tcPr>
            <w:tcW w:w="0" w:type="dxa"/>
            <w:vAlign w:val="bottom"/>
          </w:tcPr>
          <w:p>
            <w:pPr>
              <w:spacing w:after="0"/>
              <w:rPr>
                <w:sz w:val="1"/>
                <w:szCs w:val="1"/>
                <w:color w:val="auto"/>
              </w:rPr>
            </w:pPr>
          </w:p>
        </w:tc>
      </w:tr>
      <w:tr>
        <w:trPr>
          <w:trHeight w:val="222"/>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February 1 - 28</w:t>
            </w:r>
          </w:p>
        </w:tc>
        <w:tc>
          <w:tcPr>
            <w:tcW w:w="2160" w:type="dxa"/>
            <w:vAlign w:val="bottom"/>
          </w:tcPr>
          <w:p>
            <w:pPr>
              <w:jc w:val="right"/>
              <w:spacing w:after="0" w:line="222" w:lineRule="exact"/>
              <w:rPr>
                <w:sz w:val="20"/>
                <w:szCs w:val="20"/>
                <w:color w:val="auto"/>
              </w:rPr>
            </w:pPr>
            <w:r>
              <w:rPr>
                <w:rFonts w:ascii="Times New Roman" w:cs="Times New Roman" w:eastAsia="Times New Roman" w:hAnsi="Times New Roman"/>
                <w:sz w:val="17"/>
                <w:szCs w:val="17"/>
                <w:color w:val="auto"/>
              </w:rPr>
              <w:t>3.82</w:t>
            </w:r>
            <w:r>
              <w:rPr>
                <w:rFonts w:ascii="Times New Roman" w:cs="Times New Roman" w:eastAsia="Times New Roman" w:hAnsi="Times New Roman"/>
                <w:sz w:val="22"/>
                <w:szCs w:val="22"/>
                <w:color w:val="auto"/>
                <w:vertAlign w:val="superscript"/>
              </w:rPr>
              <w:t>(3)</w:t>
            </w:r>
          </w:p>
        </w:tc>
        <w:tc>
          <w:tcPr>
            <w:tcW w:w="980" w:type="dxa"/>
            <w:vAlign w:val="bottom"/>
            <w:gridSpan w:val="2"/>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24.07</w:t>
            </w:r>
          </w:p>
        </w:tc>
        <w:tc>
          <w:tcPr>
            <w:tcW w:w="1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1,344.10</w:t>
            </w:r>
          </w:p>
        </w:tc>
        <w:tc>
          <w:tcPr>
            <w:tcW w:w="0" w:type="dxa"/>
            <w:vAlign w:val="bottom"/>
          </w:tcPr>
          <w:p>
            <w:pPr>
              <w:spacing w:after="0"/>
              <w:rPr>
                <w:sz w:val="1"/>
                <w:szCs w:val="1"/>
                <w:color w:val="auto"/>
              </w:rPr>
            </w:pPr>
          </w:p>
        </w:tc>
      </w:tr>
      <w:tr>
        <w:trPr>
          <w:trHeight w:val="222"/>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 1 - 31</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980" w:type="dxa"/>
            <w:vAlign w:val="bottom"/>
            <w:gridSpan w:val="2"/>
            <w:shd w:val="clear" w:color="auto" w:fill="CCEEFF"/>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w:t>
            </w:r>
          </w:p>
        </w:tc>
        <w:tc>
          <w:tcPr>
            <w:tcW w:w="100" w:type="dxa"/>
            <w:vAlign w:val="bottom"/>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1,283.53</w:t>
            </w:r>
          </w:p>
        </w:tc>
        <w:tc>
          <w:tcPr>
            <w:tcW w:w="0" w:type="dxa"/>
            <w:vAlign w:val="bottom"/>
          </w:tcPr>
          <w:p>
            <w:pPr>
              <w:spacing w:after="0"/>
              <w:rPr>
                <w:sz w:val="1"/>
                <w:szCs w:val="1"/>
                <w:color w:val="auto"/>
              </w:rPr>
            </w:pPr>
          </w:p>
        </w:tc>
      </w:tr>
      <w:tr>
        <w:trPr>
          <w:trHeight w:val="215"/>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11.26</w:t>
            </w:r>
          </w:p>
        </w:tc>
        <w:tc>
          <w:tcPr>
            <w:tcW w:w="980" w:type="dxa"/>
            <w:vAlign w:val="bottom"/>
            <w:gridSpan w:val="2"/>
          </w:tcPr>
          <w:p>
            <w:pPr>
              <w:jc w:val="right"/>
              <w:ind w:right="697"/>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23.57</w:t>
            </w:r>
          </w:p>
        </w:tc>
        <w:tc>
          <w:tcPr>
            <w:tcW w:w="100" w:type="dxa"/>
            <w:vAlign w:val="bottom"/>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firstLine="4"/>
        <w:spacing w:after="0" w:line="318" w:lineRule="auto"/>
        <w:tabs>
          <w:tab w:leader="none" w:pos="1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February 20, 2020, we announced that our Board of Directors approved a stock repurchase program for the repurchase of up to $600 million of the Company's outstanding shares of Class A common stock. On February 18, 2021, we announced that our Board of Directors authorized the repurchase of an additional $1 billion of the outstanding shares of our Class A common stock. We completed the February 2020 authorization of $600 million during the three months ended March 31, 2021 and continued stock repurchases under the February 2021 authorization. On February 17, 2022, we announced that our Board of Directors authorized the repurchase of an additional $1.2 billion of the outstanding shares of our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to our condensed consolidated financial statements included elsewhere in this Quarterly Report on Form 10-Q for additional information related to share repurchases.</w:t>
      </w:r>
    </w:p>
    <w:p>
      <w:pPr>
        <w:spacing w:after="0" w:line="149" w:lineRule="exact"/>
        <w:rPr>
          <w:rFonts w:ascii="Times New Roman" w:cs="Times New Roman" w:eastAsia="Times New Roman" w:hAnsi="Times New Roman"/>
          <w:sz w:val="19"/>
          <w:szCs w:val="19"/>
          <w:color w:val="auto"/>
          <w:vertAlign w:val="superscript"/>
        </w:rPr>
      </w:pPr>
    </w:p>
    <w:p>
      <w:pPr>
        <w:ind w:left="160" w:hanging="156"/>
        <w:spacing w:after="0"/>
        <w:tabs>
          <w:tab w:leader="none" w:pos="1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price paid per share includes costs associated with the repurchases.</w:t>
      </w:r>
    </w:p>
    <w:p>
      <w:pPr>
        <w:spacing w:after="0" w:line="198" w:lineRule="exact"/>
        <w:rPr>
          <w:rFonts w:ascii="Times New Roman" w:cs="Times New Roman" w:eastAsia="Times New Roman" w:hAnsi="Times New Roman"/>
          <w:sz w:val="19"/>
          <w:szCs w:val="19"/>
          <w:color w:val="auto"/>
          <w:vertAlign w:val="superscript"/>
        </w:rPr>
      </w:pPr>
    </w:p>
    <w:p>
      <w:pPr>
        <w:ind w:left="160" w:hanging="156"/>
        <w:spacing w:after="0"/>
        <w:tabs>
          <w:tab w:leader="none" w:pos="1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228,677 shares of restricted common stock withheld by the Company upon vesting of restricted stock awards to satisfy tax withholding requirements.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6. EXHIBITS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filed the exhibits listed on the accompanying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b w:val="1"/>
          <w:bCs w:val="1"/>
          <w:color w:val="auto"/>
        </w:rPr>
        <w:t>EXHIBIT INDEX</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0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Incorporated by</w:t>
            </w: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0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740" w:type="dxa"/>
            <w:vAlign w:val="bottom"/>
            <w:gridSpan w:val="5"/>
            <w:vMerge w:val="restart"/>
          </w:tcPr>
          <w:p>
            <w:pPr>
              <w:ind w:left="18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Reference from</w:t>
            </w:r>
          </w:p>
        </w:tc>
        <w:tc>
          <w:tcPr>
            <w:tcW w:w="120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w w:val="98"/>
              </w:rPr>
              <w:t>Filed with SEC</w:t>
            </w:r>
          </w:p>
        </w:tc>
        <w:tc>
          <w:tcPr>
            <w:tcW w:w="0" w:type="dxa"/>
            <w:vAlign w:val="bottom"/>
          </w:tcPr>
          <w:p>
            <w:pPr>
              <w:spacing w:after="0"/>
              <w:rPr>
                <w:sz w:val="1"/>
                <w:szCs w:val="1"/>
                <w:color w:val="auto"/>
              </w:rPr>
            </w:pPr>
          </w:p>
        </w:tc>
      </w:tr>
      <w:tr>
        <w:trPr>
          <w:trHeight w:val="184"/>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5"/>
                <w:szCs w:val="15"/>
                <w:color w:val="auto"/>
              </w:rPr>
            </w:pPr>
          </w:p>
        </w:tc>
        <w:tc>
          <w:tcPr>
            <w:tcW w:w="4740" w:type="dxa"/>
            <w:vAlign w:val="bottom"/>
            <w:gridSpan w:val="5"/>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Exhibit Number</w:t>
            </w: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50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8"/>
              </w:rPr>
              <w:t>Certification of Principal Executive Officer pursuant to Exchange Act Rules 13a-14(a) and</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4560" w:type="dxa"/>
            <w:vAlign w:val="bottom"/>
            <w:tcBorders>
              <w:bottom w:val="single" w:sz="8" w:color="0000FF"/>
            </w:tcBorders>
            <w:gridSpan w:val="2"/>
          </w:tcPr>
          <w:p>
            <w:pPr>
              <w:spacing w:after="0" w:line="110" w:lineRule="exact"/>
              <w:rPr>
                <w:sz w:val="20"/>
                <w:szCs w:val="20"/>
                <w:color w:val="auto"/>
              </w:rPr>
            </w:pPr>
            <w:r>
              <w:rPr>
                <w:rFonts w:ascii="Times New Roman" w:cs="Times New Roman" w:eastAsia="Times New Roman" w:hAnsi="Times New Roman"/>
                <w:sz w:val="12"/>
                <w:szCs w:val="12"/>
                <w:color w:val="0000FF"/>
              </w:rPr>
              <w:t>15d-14(a), as adopted pursuant to Section 302 of the Sarbanes-Oxley Act of 2002.</w:t>
            </w:r>
          </w:p>
        </w:tc>
        <w:tc>
          <w:tcPr>
            <w:tcW w:w="480" w:type="dxa"/>
            <w:vAlign w:val="bottom"/>
            <w:gridSpan w:val="4"/>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6"/>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5040" w:type="dxa"/>
            <w:vAlign w:val="bottom"/>
            <w:gridSpan w:val="6"/>
          </w:tcPr>
          <w:p>
            <w:pPr>
              <w:spacing w:after="0"/>
              <w:rPr>
                <w:sz w:val="20"/>
                <w:szCs w:val="20"/>
                <w:color w:val="auto"/>
              </w:rPr>
            </w:pPr>
            <w:r>
              <w:rPr>
                <w:rFonts w:ascii="Times New Roman" w:cs="Times New Roman" w:eastAsia="Times New Roman" w:hAnsi="Times New Roman"/>
                <w:sz w:val="14"/>
                <w:szCs w:val="14"/>
                <w:color w:val="0000FF"/>
                <w:w w:val="99"/>
              </w:rPr>
              <w:t>Certification of Principal Financial Officer pursuant to Exchange Act Rules 13a-14(a) and</w:t>
            </w: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4560" w:type="dxa"/>
            <w:vAlign w:val="bottom"/>
            <w:tcBorders>
              <w:top w:val="single" w:sz="8" w:color="0000FF"/>
              <w:bottom w:val="single" w:sz="8" w:color="0000FF"/>
            </w:tcBorders>
            <w:gridSpan w:val="2"/>
          </w:tcPr>
          <w:p>
            <w:pPr>
              <w:spacing w:after="0" w:line="110" w:lineRule="exact"/>
              <w:rPr>
                <w:sz w:val="20"/>
                <w:szCs w:val="20"/>
                <w:color w:val="auto"/>
              </w:rPr>
            </w:pPr>
            <w:r>
              <w:rPr>
                <w:rFonts w:ascii="Times New Roman" w:cs="Times New Roman" w:eastAsia="Times New Roman" w:hAnsi="Times New Roman"/>
                <w:sz w:val="12"/>
                <w:szCs w:val="12"/>
                <w:color w:val="0000FF"/>
              </w:rPr>
              <w:t>15d-14(a), as adopted pursuant to Section 302 of the Sarbanes-Oxley Act of 2002.</w:t>
            </w:r>
          </w:p>
        </w:tc>
        <w:tc>
          <w:tcPr>
            <w:tcW w:w="440" w:type="dxa"/>
            <w:vAlign w:val="bottom"/>
            <w:tcBorders>
              <w:top w:val="single" w:sz="8" w:color="0000FF"/>
            </w:tcBorders>
            <w:gridSpan w:val="3"/>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6"/>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4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Certifications of Principal Executive Officer and Principal Financial Officer pursuant to</w:t>
            </w:r>
          </w:p>
        </w:tc>
        <w:tc>
          <w:tcPr>
            <w:tcW w:w="16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080" w:type="dxa"/>
            <w:vAlign w:val="bottom"/>
          </w:tcPr>
          <w:p>
            <w:pPr>
              <w:spacing w:after="0"/>
              <w:rPr>
                <w:sz w:val="9"/>
                <w:szCs w:val="9"/>
                <w:color w:val="auto"/>
              </w:rPr>
            </w:pPr>
          </w:p>
        </w:tc>
        <w:tc>
          <w:tcPr>
            <w:tcW w:w="5040" w:type="dxa"/>
            <w:vAlign w:val="bottom"/>
            <w:gridSpan w:val="6"/>
          </w:tcPr>
          <w:p>
            <w:pPr>
              <w:spacing w:after="0" w:line="110" w:lineRule="exact"/>
              <w:rPr>
                <w:sz w:val="20"/>
                <w:szCs w:val="20"/>
                <w:color w:val="auto"/>
              </w:rPr>
            </w:pPr>
            <w:r>
              <w:rPr>
                <w:rFonts w:ascii="Times New Roman" w:cs="Times New Roman" w:eastAsia="Times New Roman" w:hAnsi="Times New Roman"/>
                <w:sz w:val="12"/>
                <w:szCs w:val="12"/>
                <w:color w:val="0000FF"/>
              </w:rPr>
              <w:t>18 U.S.C. Section 1350 as adopted pursuant to Section 906 of the Sarbanes-Oxley Act of</w:t>
            </w:r>
          </w:p>
        </w:tc>
        <w:tc>
          <w:tcPr>
            <w:tcW w:w="8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080" w:type="dxa"/>
            <w:vAlign w:val="bottom"/>
          </w:tcPr>
          <w:p>
            <w:pPr>
              <w:spacing w:after="0"/>
              <w:rPr>
                <w:sz w:val="10"/>
                <w:szCs w:val="10"/>
                <w:color w:val="auto"/>
              </w:rPr>
            </w:pPr>
          </w:p>
        </w:tc>
        <w:tc>
          <w:tcPr>
            <w:tcW w:w="300" w:type="dxa"/>
            <w:vAlign w:val="bottom"/>
            <w:tcBorders>
              <w:top w:val="single" w:sz="8" w:color="0000FF"/>
              <w:bottom w:val="single" w:sz="8" w:color="0000FF"/>
            </w:tcBorders>
          </w:tcPr>
          <w:p>
            <w:pPr>
              <w:spacing w:after="0" w:line="124" w:lineRule="exact"/>
              <w:rPr>
                <w:sz w:val="20"/>
                <w:szCs w:val="20"/>
                <w:color w:val="auto"/>
              </w:rPr>
            </w:pPr>
            <w:r>
              <w:rPr>
                <w:rFonts w:ascii="Times New Roman" w:cs="Times New Roman" w:eastAsia="Times New Roman" w:hAnsi="Times New Roman"/>
                <w:sz w:val="14"/>
                <w:szCs w:val="14"/>
                <w:color w:val="0000FF"/>
                <w:w w:val="88"/>
              </w:rPr>
              <w:t>2002.</w:t>
            </w:r>
          </w:p>
        </w:tc>
        <w:tc>
          <w:tcPr>
            <w:tcW w:w="426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1100" w:right="5040" w:hanging="1078"/>
        <w:spacing w:after="0" w:line="241" w:lineRule="auto"/>
        <w:tabs>
          <w:tab w:leader="none" w:pos="110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financial statements from the Company's Quarterly Report on Form 10-Q for the quarter ended March 31, 2022,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p>
      <w:pPr>
        <w:spacing w:after="0" w:line="290" w:lineRule="exact"/>
        <w:rPr>
          <w:sz w:val="20"/>
          <w:szCs w:val="20"/>
          <w:color w:val="auto"/>
        </w:rPr>
      </w:pPr>
    </w:p>
    <w:p>
      <w:pPr>
        <w:ind w:left="1100" w:hanging="1078"/>
        <w:spacing w:after="0"/>
        <w:tabs>
          <w:tab w:leader="none" w:pos="110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334" w:lineRule="exact"/>
        <w:rPr>
          <w:rFonts w:ascii="Times New Roman" w:cs="Times New Roman" w:eastAsia="Times New Roman" w:hAnsi="Times New Roman"/>
          <w:sz w:val="14"/>
          <w:szCs w:val="14"/>
          <w:color w:val="auto"/>
        </w:rPr>
      </w:pPr>
    </w:p>
    <w:p>
      <w:pPr>
        <w:ind w:firstLine="4"/>
        <w:spacing w:after="0" w:line="268" w:lineRule="auto"/>
        <w:tabs>
          <w:tab w:leader="none" w:pos="10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73660</wp:posOffset>
            </wp:positionV>
            <wp:extent cx="716216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060"/>
          </w:cols>
          <w:pgMar w:left="320" w:top="119" w:right="5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0" w:lineRule="exact"/>
        <w:rPr>
          <w:sz w:val="20"/>
          <w:szCs w:val="20"/>
          <w:color w:val="auto"/>
        </w:rPr>
      </w:pPr>
    </w:p>
    <w:p>
      <w:pPr>
        <w:ind w:right="240" w:firstLine="174"/>
        <w:spacing w:after="0" w:line="29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120" w:type="dxa"/>
            <w:vAlign w:val="bottom"/>
            <w:gridSpan w:val="3"/>
          </w:tcPr>
          <w:p>
            <w:pPr>
              <w:ind w:left="540"/>
              <w:spacing w:after="0"/>
              <w:rPr>
                <w:sz w:val="20"/>
                <w:szCs w:val="20"/>
                <w:color w:val="auto"/>
              </w:rPr>
            </w:pPr>
            <w:r>
              <w:rPr>
                <w:rFonts w:ascii="Times New Roman" w:cs="Times New Roman" w:eastAsia="Times New Roman" w:hAnsi="Times New Roman"/>
                <w:sz w:val="17"/>
                <w:szCs w:val="17"/>
                <w:b w:val="1"/>
                <w:bCs w:val="1"/>
                <w:color w:val="auto"/>
              </w:rPr>
              <w:t>DROPBOX, INC.</w:t>
            </w:r>
          </w:p>
        </w:tc>
        <w:tc>
          <w:tcPr>
            <w:tcW w:w="40" w:type="dxa"/>
            <w:vAlign w:val="bottom"/>
          </w:tcPr>
          <w:p>
            <w:pPr>
              <w:spacing w:after="0"/>
              <w:rPr>
                <w:sz w:val="19"/>
                <w:szCs w:val="19"/>
                <w:color w:val="auto"/>
              </w:rPr>
            </w:pPr>
          </w:p>
        </w:tc>
      </w:tr>
      <w:tr>
        <w:trPr>
          <w:trHeight w:val="483"/>
        </w:trPr>
        <w:tc>
          <w:tcPr>
            <w:tcW w:w="52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15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May 6, 2022</w:t>
            </w:r>
          </w:p>
        </w:tc>
        <w:tc>
          <w:tcPr>
            <w:tcW w:w="158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By:</w:t>
            </w:r>
          </w:p>
        </w:tc>
        <w:tc>
          <w:tcPr>
            <w:tcW w:w="75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color w:val="auto"/>
              </w:rPr>
              <w:t>/s/ Andrew W. Houston</w:t>
            </w:r>
          </w:p>
        </w:tc>
        <w:tc>
          <w:tcPr>
            <w:tcW w:w="40" w:type="dxa"/>
            <w:vAlign w:val="bottom"/>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Andrew W. Houston</w:t>
            </w:r>
          </w:p>
        </w:tc>
        <w:tc>
          <w:tcPr>
            <w:tcW w:w="40" w:type="dxa"/>
            <w:vAlign w:val="bottom"/>
          </w:tcPr>
          <w:p>
            <w:pPr>
              <w:spacing w:after="0"/>
              <w:rPr>
                <w:sz w:val="18"/>
                <w:szCs w:val="18"/>
                <w:color w:val="auto"/>
              </w:rPr>
            </w:pPr>
          </w:p>
        </w:tc>
      </w:tr>
      <w:tr>
        <w:trPr>
          <w:trHeight w:val="220"/>
        </w:trPr>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c>
          <w:tcPr>
            <w:tcW w:w="40" w:type="dxa"/>
            <w:vAlign w:val="bottom"/>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54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tc>
        <w:tc>
          <w:tcPr>
            <w:tcW w:w="40" w:type="dxa"/>
            <w:vAlign w:val="bottom"/>
          </w:tcPr>
          <w:p>
            <w:pPr>
              <w:spacing w:after="0"/>
              <w:rPr>
                <w:sz w:val="19"/>
                <w:szCs w:val="19"/>
                <w:color w:val="auto"/>
              </w:rPr>
            </w:pPr>
          </w:p>
        </w:tc>
      </w:tr>
      <w:tr>
        <w:trPr>
          <w:trHeight w:val="691"/>
        </w:trPr>
        <w:tc>
          <w:tcPr>
            <w:tcW w:w="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Date:</w:t>
            </w:r>
          </w:p>
        </w:tc>
        <w:tc>
          <w:tcPr>
            <w:tcW w:w="15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May 6, 2022</w:t>
            </w:r>
          </w:p>
        </w:tc>
        <w:tc>
          <w:tcPr>
            <w:tcW w:w="158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By:</w:t>
            </w:r>
          </w:p>
        </w:tc>
        <w:tc>
          <w:tcPr>
            <w:tcW w:w="20" w:type="dxa"/>
            <w:vAlign w:val="bottom"/>
          </w:tcPr>
          <w:p>
            <w:pPr>
              <w:spacing w:after="0"/>
              <w:rPr>
                <w:sz w:val="24"/>
                <w:szCs w:val="24"/>
                <w:color w:val="auto"/>
              </w:rPr>
            </w:pPr>
          </w:p>
        </w:tc>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Timothy J. Regan</w:t>
            </w:r>
          </w:p>
        </w:tc>
        <w:tc>
          <w:tcPr>
            <w:tcW w:w="40" w:type="dxa"/>
            <w:vAlign w:val="bottom"/>
            <w:tcBorders>
              <w:bottom w:val="single" w:sz="8" w:color="auto"/>
            </w:tcBorders>
          </w:tcPr>
          <w:p>
            <w:pPr>
              <w:spacing w:after="0"/>
              <w:rPr>
                <w:sz w:val="24"/>
                <w:szCs w:val="24"/>
                <w:color w:val="auto"/>
              </w:rPr>
            </w:pPr>
          </w:p>
        </w:tc>
      </w:tr>
      <w:tr>
        <w:trPr>
          <w:trHeight w:val="209"/>
        </w:trPr>
        <w:tc>
          <w:tcPr>
            <w:tcW w:w="5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Timothy J. Regan</w:t>
            </w:r>
          </w:p>
        </w:tc>
        <w:tc>
          <w:tcPr>
            <w:tcW w:w="40" w:type="dxa"/>
            <w:vAlign w:val="bottom"/>
          </w:tcPr>
          <w:p>
            <w:pPr>
              <w:spacing w:after="0"/>
              <w:rPr>
                <w:sz w:val="18"/>
                <w:szCs w:val="18"/>
                <w:color w:val="auto"/>
              </w:rPr>
            </w:pPr>
          </w:p>
        </w:tc>
      </w:tr>
      <w:tr>
        <w:trPr>
          <w:trHeight w:val="220"/>
        </w:trPr>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40" w:type="dxa"/>
            <w:vAlign w:val="bottom"/>
          </w:tcPr>
          <w:p>
            <w:pPr>
              <w:spacing w:after="0"/>
              <w:rPr>
                <w:sz w:val="19"/>
                <w:szCs w:val="19"/>
                <w:color w:val="auto"/>
              </w:rPr>
            </w:pPr>
          </w:p>
        </w:tc>
      </w:tr>
      <w:tr>
        <w:trPr>
          <w:trHeight w:val="229"/>
        </w:trPr>
        <w:tc>
          <w:tcPr>
            <w:tcW w:w="5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5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(Principal Accounting and Financial Officer)</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ectPr>
          <w:pgSz w:w="11900" w:h="16838" w:orient="portrait"/>
          <w:cols w:equalWidth="0" w:num="1">
            <w:col w:w="11240"/>
          </w:cols>
          <w:pgMar w:left="320" w:top="119"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Andrew W. Houston, certify that:</w:t>
      </w:r>
    </w:p>
    <w:p>
      <w:pPr>
        <w:spacing w:after="0" w:line="222" w:lineRule="exact"/>
        <w:rPr>
          <w:sz w:val="20"/>
          <w:szCs w:val="20"/>
          <w:color w:val="auto"/>
        </w:rPr>
      </w:pPr>
    </w:p>
    <w:p>
      <w:pPr>
        <w:ind w:left="320" w:hanging="316"/>
        <w:spacing w:after="0"/>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Dropbox, Inc.;</w:t>
      </w:r>
    </w:p>
    <w:p>
      <w:pPr>
        <w:spacing w:after="0" w:line="221" w:lineRule="exact"/>
        <w:rPr>
          <w:rFonts w:ascii="Times New Roman" w:cs="Times New Roman" w:eastAsia="Times New Roman" w:hAnsi="Times New Roman"/>
          <w:sz w:val="17"/>
          <w:szCs w:val="17"/>
          <w:color w:val="auto"/>
        </w:rPr>
      </w:pPr>
    </w:p>
    <w:p>
      <w:pPr>
        <w:ind w:left="320" w:right="40" w:hanging="316"/>
        <w:spacing w:after="0" w:line="294"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320" w:right="120" w:hanging="316"/>
        <w:spacing w:after="0" w:line="294"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left="320" w:right="100" w:hanging="316"/>
        <w:spacing w:after="0" w:line="294"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Times New Roman" w:cs="Times New Roman" w:eastAsia="Times New Roman" w:hAnsi="Times New Roman"/>
          <w:sz w:val="17"/>
          <w:szCs w:val="17"/>
          <w:color w:val="auto"/>
        </w:rPr>
      </w:pPr>
    </w:p>
    <w:p>
      <w:pPr>
        <w:ind w:left="640" w:right="260" w:hanging="323"/>
        <w:spacing w:after="0" w:line="275" w:lineRule="auto"/>
        <w:tabs>
          <w:tab w:leader="none" w:pos="63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640" w:right="120" w:hanging="323"/>
        <w:spacing w:after="0" w:line="294" w:lineRule="auto"/>
        <w:tabs>
          <w:tab w:leader="none" w:pos="63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640" w:right="180" w:hanging="323"/>
        <w:spacing w:after="0" w:line="275" w:lineRule="auto"/>
        <w:tabs>
          <w:tab w:leader="none" w:pos="63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320" w:right="540" w:hanging="316"/>
        <w:spacing w:after="0" w:line="294" w:lineRule="auto"/>
        <w:tabs>
          <w:tab w:leader="none" w:pos="3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640" w:right="40" w:hanging="323"/>
        <w:spacing w:after="0" w:line="294" w:lineRule="auto"/>
        <w:tabs>
          <w:tab w:leader="none" w:pos="637"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640" w:right="280" w:hanging="323"/>
        <w:spacing w:after="0" w:line="294" w:lineRule="auto"/>
        <w:tabs>
          <w:tab w:leader="none" w:pos="63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6, 2022</w:t>
      </w:r>
    </w:p>
    <w:p>
      <w:pPr>
        <w:spacing w:after="0" w:line="144"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7"/>
          <w:szCs w:val="17"/>
          <w:color w:val="auto"/>
        </w:rPr>
        <w:t>DROPBOX, INC.</w:t>
      </w:r>
    </w:p>
    <w:p>
      <w:pPr>
        <w:spacing w:after="0" w:line="274" w:lineRule="exact"/>
        <w:rPr>
          <w:sz w:val="20"/>
          <w:szCs w:val="20"/>
          <w:color w:val="auto"/>
        </w:rPr>
      </w:pPr>
    </w:p>
    <w:tbl>
      <w:tblPr>
        <w:tblLayout w:type="fixed"/>
        <w:tblInd w:w="6680" w:type="dxa"/>
        <w:tblCellMar>
          <w:top w:w="0" w:type="dxa"/>
          <w:left w:w="0" w:type="dxa"/>
          <w:bottom w:w="0" w:type="dxa"/>
          <w:right w:w="0" w:type="dxa"/>
        </w:tblCellMar>
      </w:tblPr>
      <w:tr>
        <w:trPr>
          <w:trHeight w:val="227"/>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Andrew W. Houston</w:t>
            </w:r>
          </w:p>
        </w:tc>
      </w:tr>
      <w:tr>
        <w:trPr>
          <w:trHeight w:val="209"/>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Name: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W. Houston</w:t>
            </w:r>
          </w:p>
        </w:tc>
      </w:tr>
      <w:tr>
        <w:trPr>
          <w:trHeight w:val="222"/>
        </w:trPr>
        <w:tc>
          <w:tcPr>
            <w:tcW w:w="72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227"/>
        </w:trPr>
        <w:tc>
          <w:tcPr>
            <w:tcW w:w="720" w:type="dxa"/>
            <w:vAlign w:val="bottom"/>
          </w:tcPr>
          <w:p>
            <w:pPr>
              <w:spacing w:after="0"/>
              <w:rPr>
                <w:sz w:val="19"/>
                <w:szCs w:val="19"/>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r>
    </w:tbl>
    <w:p>
      <w:pPr>
        <w:sectPr>
          <w:pgSz w:w="11900" w:h="16838" w:orient="portrait"/>
          <w:cols w:equalWidth="0" w:num="1">
            <w:col w:w="11240"/>
          </w:cols>
          <w:pgMar w:left="320" w:top="1058"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Timothy J. Regan, certify that:</w:t>
      </w:r>
    </w:p>
    <w:p>
      <w:pPr>
        <w:spacing w:after="0" w:line="222" w:lineRule="exact"/>
        <w:rPr>
          <w:sz w:val="20"/>
          <w:szCs w:val="20"/>
          <w:color w:val="auto"/>
        </w:rPr>
      </w:pPr>
    </w:p>
    <w:p>
      <w:pPr>
        <w:ind w:left="320" w:hanging="316"/>
        <w:spacing w:after="0"/>
        <w:tabs>
          <w:tab w:leader="none" w:pos="3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Dropbox, Inc.;</w:t>
      </w:r>
    </w:p>
    <w:p>
      <w:pPr>
        <w:spacing w:after="0" w:line="221" w:lineRule="exact"/>
        <w:rPr>
          <w:rFonts w:ascii="Times New Roman" w:cs="Times New Roman" w:eastAsia="Times New Roman" w:hAnsi="Times New Roman"/>
          <w:sz w:val="17"/>
          <w:szCs w:val="17"/>
          <w:color w:val="auto"/>
        </w:rPr>
      </w:pPr>
    </w:p>
    <w:p>
      <w:pPr>
        <w:ind w:left="320" w:right="40" w:hanging="316"/>
        <w:spacing w:after="0" w:line="294" w:lineRule="auto"/>
        <w:tabs>
          <w:tab w:leader="none" w:pos="3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Times New Roman" w:cs="Times New Roman" w:eastAsia="Times New Roman" w:hAnsi="Times New Roman"/>
          <w:sz w:val="17"/>
          <w:szCs w:val="17"/>
          <w:color w:val="auto"/>
        </w:rPr>
      </w:pPr>
    </w:p>
    <w:p>
      <w:pPr>
        <w:ind w:left="320" w:right="120" w:hanging="316"/>
        <w:spacing w:after="0" w:line="294" w:lineRule="auto"/>
        <w:tabs>
          <w:tab w:leader="none" w:pos="3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Times New Roman" w:cs="Times New Roman" w:eastAsia="Times New Roman" w:hAnsi="Times New Roman"/>
          <w:sz w:val="17"/>
          <w:szCs w:val="17"/>
          <w:color w:val="auto"/>
        </w:rPr>
      </w:pPr>
    </w:p>
    <w:p>
      <w:pPr>
        <w:ind w:left="320" w:right="100" w:hanging="316"/>
        <w:spacing w:after="0" w:line="294" w:lineRule="auto"/>
        <w:tabs>
          <w:tab w:leader="none" w:pos="3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46" w:lineRule="exact"/>
        <w:rPr>
          <w:rFonts w:ascii="Times New Roman" w:cs="Times New Roman" w:eastAsia="Times New Roman" w:hAnsi="Times New Roman"/>
          <w:sz w:val="17"/>
          <w:szCs w:val="17"/>
          <w:color w:val="auto"/>
        </w:rPr>
      </w:pPr>
    </w:p>
    <w:p>
      <w:pPr>
        <w:ind w:left="640" w:right="260" w:hanging="323"/>
        <w:spacing w:after="0" w:line="275" w:lineRule="auto"/>
        <w:tabs>
          <w:tab w:leader="none" w:pos="6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Times New Roman" w:cs="Times New Roman" w:eastAsia="Times New Roman" w:hAnsi="Times New Roman"/>
          <w:sz w:val="17"/>
          <w:szCs w:val="17"/>
          <w:color w:val="auto"/>
        </w:rPr>
      </w:pPr>
    </w:p>
    <w:p>
      <w:pPr>
        <w:ind w:left="640" w:right="120" w:hanging="323"/>
        <w:spacing w:after="0" w:line="294" w:lineRule="auto"/>
        <w:tabs>
          <w:tab w:leader="none" w:pos="63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Times New Roman" w:cs="Times New Roman" w:eastAsia="Times New Roman" w:hAnsi="Times New Roman"/>
          <w:sz w:val="17"/>
          <w:szCs w:val="17"/>
          <w:color w:val="auto"/>
        </w:rPr>
      </w:pPr>
    </w:p>
    <w:p>
      <w:pPr>
        <w:ind w:left="640" w:right="180" w:hanging="323"/>
        <w:spacing w:after="0" w:line="275" w:lineRule="auto"/>
        <w:tabs>
          <w:tab w:leader="none" w:pos="6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Times New Roman" w:cs="Times New Roman" w:eastAsia="Times New Roman" w:hAnsi="Times New Roman"/>
          <w:sz w:val="17"/>
          <w:szCs w:val="17"/>
          <w:color w:val="auto"/>
        </w:rPr>
      </w:pPr>
    </w:p>
    <w:p>
      <w:pPr>
        <w:ind w:left="320" w:right="540" w:hanging="316"/>
        <w:spacing w:after="0" w:line="294" w:lineRule="auto"/>
        <w:tabs>
          <w:tab w:leader="none" w:pos="3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640" w:right="40" w:hanging="323"/>
        <w:spacing w:after="0" w:line="294" w:lineRule="auto"/>
        <w:tabs>
          <w:tab w:leader="none" w:pos="637"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Times New Roman" w:cs="Times New Roman" w:eastAsia="Times New Roman" w:hAnsi="Times New Roman"/>
          <w:sz w:val="17"/>
          <w:szCs w:val="17"/>
          <w:color w:val="auto"/>
        </w:rPr>
      </w:pPr>
    </w:p>
    <w:p>
      <w:pPr>
        <w:ind w:left="640" w:right="280" w:hanging="323"/>
        <w:spacing w:after="0" w:line="294" w:lineRule="auto"/>
        <w:tabs>
          <w:tab w:leader="none" w:pos="63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6, 2022</w:t>
      </w:r>
    </w:p>
    <w:p>
      <w:pPr>
        <w:spacing w:after="0" w:line="26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DROPBOX, INC.</w:t>
      </w:r>
    </w:p>
    <w:p>
      <w:pPr>
        <w:spacing w:after="0" w:line="222" w:lineRule="exact"/>
        <w:rPr>
          <w:sz w:val="20"/>
          <w:szCs w:val="20"/>
          <w:color w:val="auto"/>
        </w:rPr>
      </w:pPr>
    </w:p>
    <w:p>
      <w:pPr>
        <w:ind w:left="4900"/>
        <w:spacing w:after="0"/>
        <w:tabs>
          <w:tab w:leader="none" w:pos="540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Timothy J. Regan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3430270</wp:posOffset>
            </wp:positionH>
            <wp:positionV relativeFrom="paragraph">
              <wp:posOffset>20320</wp:posOffset>
            </wp:positionV>
            <wp:extent cx="142430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1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7"/>
          <w:szCs w:val="17"/>
          <w:color w:val="auto"/>
        </w:rPr>
        <w:t>Name: Timothy J. Regan</w:t>
      </w:r>
    </w:p>
    <w:p>
      <w:pPr>
        <w:spacing w:after="0" w:line="31" w:lineRule="exact"/>
        <w:rPr>
          <w:sz w:val="20"/>
          <w:szCs w:val="20"/>
          <w:color w:val="auto"/>
        </w:rPr>
      </w:pPr>
    </w:p>
    <w:p>
      <w:pPr>
        <w:ind w:left="4900"/>
        <w:spacing w:after="0"/>
        <w:tabs>
          <w:tab w:leader="none" w:pos="5400" w:val="left"/>
        </w:tabs>
        <w:rPr>
          <w:sz w:val="20"/>
          <w:szCs w:val="20"/>
          <w:color w:val="auto"/>
        </w:rPr>
      </w:pPr>
      <w:r>
        <w:rPr>
          <w:rFonts w:ascii="Times New Roman" w:cs="Times New Roman" w:eastAsia="Times New Roman" w:hAnsi="Times New Roman"/>
          <w:sz w:val="17"/>
          <w:szCs w:val="17"/>
          <w:color w:val="auto"/>
        </w:rPr>
        <w:t>Title:</w:t>
        <w:tab/>
        <w:t>Chief Financial Officer</w:t>
      </w:r>
    </w:p>
    <w:p>
      <w:pPr>
        <w:spacing w:after="0" w:line="39" w:lineRule="exact"/>
        <w:rPr>
          <w:sz w:val="20"/>
          <w:szCs w:val="20"/>
          <w:color w:val="auto"/>
        </w:rPr>
      </w:pPr>
    </w:p>
    <w:p>
      <w:pPr>
        <w:ind w:left="5420"/>
        <w:spacing w:after="0"/>
        <w:tabs>
          <w:tab w:leader="none" w:pos="6320" w:val="left"/>
          <w:tab w:leader="none" w:pos="7340" w:val="left"/>
        </w:tabs>
        <w:rPr>
          <w:sz w:val="20"/>
          <w:szCs w:val="20"/>
          <w:color w:val="auto"/>
        </w:rPr>
      </w:pPr>
      <w:r>
        <w:rPr>
          <w:rFonts w:ascii="Times New Roman" w:cs="Times New Roman" w:eastAsia="Times New Roman" w:hAnsi="Times New Roman"/>
          <w:sz w:val="17"/>
          <w:szCs w:val="17"/>
          <w:color w:val="auto"/>
        </w:rPr>
        <w:t>(Principal</w:t>
        <w:tab/>
        <w:t>Accounting</w:t>
        <w:tab/>
        <w:t>and</w:t>
      </w:r>
    </w:p>
    <w:p>
      <w:pPr>
        <w:spacing w:after="0" w:line="1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7"/>
          <w:szCs w:val="17"/>
          <w:color w:val="auto"/>
        </w:rPr>
        <w:t>Financial Officer)</w:t>
      </w:r>
    </w:p>
    <w:p>
      <w:pPr>
        <w:sectPr>
          <w:pgSz w:w="11900" w:h="16838" w:orient="portrait"/>
          <w:cols w:equalWidth="0" w:num="1">
            <w:col w:w="11240"/>
          </w:cols>
          <w:pgMar w:left="320" w:top="1058"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9"/>
          <w:szCs w:val="19"/>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SECTION 906 OF THE SARBANES-OXLEY ACT OF 2002</w:t>
      </w:r>
    </w:p>
    <w:p>
      <w:pPr>
        <w:spacing w:after="0" w:line="20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 Andrew W. Houston, certify, pursuant to 18 U.S.C. Section 1350, as adopted pursuant to Section 906 of the Sarbanes-Oxley Act of 2002, that the Quarterly Report on Form 10-Q of Dropbox, Inc. for the fiscal quarter ended March, 31 2022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May 6, 2022</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Andrew W. Houston</w:t>
            </w:r>
          </w:p>
        </w:tc>
      </w:tr>
      <w:tr>
        <w:trPr>
          <w:trHeight w:val="241"/>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4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Andrew W. Houston</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4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Chief Executive Officer</w:t>
            </w:r>
          </w:p>
        </w:tc>
      </w:tr>
      <w:tr>
        <w:trPr>
          <w:trHeight w:val="267"/>
        </w:trPr>
        <w:tc>
          <w:tcPr>
            <w:tcW w:w="1120" w:type="dxa"/>
            <w:vAlign w:val="bottom"/>
            <w:shd w:val="clear" w:color="auto" w:fill="FEFEFE"/>
          </w:tcPr>
          <w:p>
            <w:pPr>
              <w:spacing w:after="0"/>
              <w:rPr>
                <w:sz w:val="23"/>
                <w:szCs w:val="23"/>
                <w:color w:val="auto"/>
              </w:rPr>
            </w:pPr>
          </w:p>
        </w:tc>
        <w:tc>
          <w:tcPr>
            <w:tcW w:w="4880" w:type="dxa"/>
            <w:vAlign w:val="bottom"/>
            <w:shd w:val="clear" w:color="auto" w:fill="FEFEFE"/>
          </w:tcPr>
          <w:p>
            <w:pPr>
              <w:spacing w:after="0"/>
              <w:rPr>
                <w:sz w:val="23"/>
                <w:szCs w:val="23"/>
                <w:color w:val="auto"/>
              </w:rPr>
            </w:pPr>
          </w:p>
        </w:tc>
        <w:tc>
          <w:tcPr>
            <w:tcW w:w="840" w:type="dxa"/>
            <w:vAlign w:val="bottom"/>
            <w:shd w:val="clear" w:color="auto" w:fill="FEFEFE"/>
          </w:tcPr>
          <w:p>
            <w:pPr>
              <w:spacing w:after="0"/>
              <w:rPr>
                <w:sz w:val="23"/>
                <w:szCs w:val="23"/>
                <w:color w:val="auto"/>
              </w:rPr>
            </w:pPr>
          </w:p>
        </w:tc>
        <w:tc>
          <w:tcPr>
            <w:tcW w:w="44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(Principal Executive Officer)</w:t>
            </w:r>
          </w:p>
        </w:tc>
      </w:tr>
      <w:tr>
        <w:trPr>
          <w:trHeight w:val="281"/>
        </w:trPr>
        <w:tc>
          <w:tcPr>
            <w:tcW w:w="1120" w:type="dxa"/>
            <w:vAlign w:val="bottom"/>
            <w:shd w:val="clear" w:color="auto" w:fill="FEFEFE"/>
          </w:tcPr>
          <w:p>
            <w:pPr>
              <w:spacing w:after="0"/>
              <w:rPr>
                <w:sz w:val="24"/>
                <w:szCs w:val="24"/>
                <w:color w:val="auto"/>
              </w:rPr>
            </w:pPr>
          </w:p>
        </w:tc>
        <w:tc>
          <w:tcPr>
            <w:tcW w:w="488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4400" w:type="dxa"/>
            <w:vAlign w:val="bottom"/>
            <w:shd w:val="clear" w:color="auto" w:fill="FEFEFE"/>
          </w:tcPr>
          <w:p>
            <w:pPr>
              <w:spacing w:after="0"/>
              <w:rPr>
                <w:sz w:val="24"/>
                <w:szCs w:val="24"/>
                <w:color w:val="auto"/>
              </w:rPr>
            </w:pPr>
          </w:p>
        </w:tc>
      </w:tr>
    </w:tbl>
    <w:p>
      <w:pPr>
        <w:spacing w:after="0" w:line="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I, Timothy J. Regan, certify, pursuant to 18 U.S.C. Section 1350, as adopted pursuant to Section 906 of the Sarbanes-Oxley Act of 2002, that the Quarterly Report on Form 10-Q of Dropbox, Inc. for the fiscal quarter ended March 31, 2022 fully complies with the requirements of Section 13(a) or 15(d) of the Securities Exchange Act of 1934 and that information contained in such Quarterly Report on Form 10-Q fairly presents, in all material respects, the financial condition and results of operations of Dropbox, Inc.</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2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Date:</w:t>
            </w:r>
          </w:p>
        </w:tc>
        <w:tc>
          <w:tcPr>
            <w:tcW w:w="48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May 6, 2022</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By:</w:t>
            </w:r>
          </w:p>
        </w:tc>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9"/>
                <w:szCs w:val="19"/>
                <w:color w:val="auto"/>
              </w:rPr>
              <w:t>/s/ Timothy J. Regan</w:t>
            </w:r>
          </w:p>
        </w:tc>
      </w:tr>
      <w:tr>
        <w:trPr>
          <w:trHeight w:val="241"/>
        </w:trPr>
        <w:tc>
          <w:tcPr>
            <w:tcW w:w="1120" w:type="dxa"/>
            <w:vAlign w:val="bottom"/>
            <w:shd w:val="clear" w:color="auto" w:fill="FEFEFE"/>
          </w:tcPr>
          <w:p>
            <w:pPr>
              <w:spacing w:after="0"/>
              <w:rPr>
                <w:sz w:val="20"/>
                <w:szCs w:val="20"/>
                <w:color w:val="auto"/>
              </w:rPr>
            </w:pPr>
          </w:p>
        </w:tc>
        <w:tc>
          <w:tcPr>
            <w:tcW w:w="4880" w:type="dxa"/>
            <w:vAlign w:val="bottom"/>
            <w:shd w:val="clear" w:color="auto" w:fill="FEFEFE"/>
          </w:tcPr>
          <w:p>
            <w:pPr>
              <w:spacing w:after="0"/>
              <w:rPr>
                <w:sz w:val="20"/>
                <w:szCs w:val="20"/>
                <w:color w:val="auto"/>
              </w:rPr>
            </w:pPr>
          </w:p>
        </w:tc>
        <w:tc>
          <w:tcPr>
            <w:tcW w:w="8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Name:</w:t>
            </w:r>
          </w:p>
        </w:tc>
        <w:tc>
          <w:tcPr>
            <w:tcW w:w="44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Timothy J. Regan</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Title:</w:t>
            </w:r>
          </w:p>
        </w:tc>
        <w:tc>
          <w:tcPr>
            <w:tcW w:w="44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Chief Financial Officer</w:t>
            </w:r>
          </w:p>
        </w:tc>
      </w:tr>
      <w:tr>
        <w:trPr>
          <w:trHeight w:val="248"/>
        </w:trPr>
        <w:tc>
          <w:tcPr>
            <w:tcW w:w="1120" w:type="dxa"/>
            <w:vAlign w:val="bottom"/>
            <w:shd w:val="clear" w:color="auto" w:fill="FEFEFE"/>
          </w:tcPr>
          <w:p>
            <w:pPr>
              <w:spacing w:after="0"/>
              <w:rPr>
                <w:sz w:val="21"/>
                <w:szCs w:val="21"/>
                <w:color w:val="auto"/>
              </w:rPr>
            </w:pPr>
          </w:p>
        </w:tc>
        <w:tc>
          <w:tcPr>
            <w:tcW w:w="4880" w:type="dxa"/>
            <w:vAlign w:val="bottom"/>
            <w:shd w:val="clear" w:color="auto" w:fill="FEFEFE"/>
          </w:tcPr>
          <w:p>
            <w:pPr>
              <w:spacing w:after="0"/>
              <w:rPr>
                <w:sz w:val="21"/>
                <w:szCs w:val="21"/>
                <w:color w:val="auto"/>
              </w:rPr>
            </w:pPr>
          </w:p>
        </w:tc>
        <w:tc>
          <w:tcPr>
            <w:tcW w:w="840" w:type="dxa"/>
            <w:vAlign w:val="bottom"/>
            <w:shd w:val="clear" w:color="auto" w:fill="FEFEFE"/>
          </w:tcPr>
          <w:p>
            <w:pPr>
              <w:spacing w:after="0"/>
              <w:rPr>
                <w:sz w:val="21"/>
                <w:szCs w:val="21"/>
                <w:color w:val="auto"/>
              </w:rPr>
            </w:pPr>
          </w:p>
        </w:tc>
        <w:tc>
          <w:tcPr>
            <w:tcW w:w="440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9"/>
                <w:szCs w:val="19"/>
                <w:color w:val="auto"/>
              </w:rPr>
              <w:t>(Principal Accounting and Financial Officer)</w:t>
            </w:r>
          </w:p>
        </w:tc>
      </w:tr>
    </w:tbl>
    <w:p>
      <w:pPr>
        <w:spacing w:after="0" w:line="1" w:lineRule="exact"/>
        <w:rPr>
          <w:sz w:val="20"/>
          <w:szCs w:val="20"/>
          <w:color w:val="auto"/>
        </w:rPr>
      </w:pPr>
    </w:p>
    <w:sectPr>
      <w:pgSz w:w="11900" w:h="16838" w:orient="portrait"/>
      <w:cols w:equalWidth="0" w:num="1">
        <w:col w:w="11240"/>
      </w:cols>
      <w:pgMar w:left="320" w:top="10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2"/>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2"/>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1)"/>
      <w:numFmt w:val="decimal"/>
      <w:start w:val="1"/>
    </w:lvl>
  </w:abstractNum>
  <w:abstractNum w:abstractNumId="31">
    <w:nsid w:val="3006C83E"/>
    <w:multiLevelType w:val="hybridMultilevel"/>
    <w:lvl w:ilvl="0">
      <w:lvlJc w:val="left"/>
      <w:lvlText w:val="%1"/>
      <w:numFmt w:val="decimal"/>
      <w:start w:val="101"/>
    </w:lvl>
  </w:abstractNum>
  <w:abstractNum w:abstractNumId="32">
    <w:nsid w:val="614FD4A1"/>
    <w:multiLevelType w:val="hybridMultilevel"/>
    <w:lvl w:ilvl="0">
      <w:lvlJc w:val="left"/>
      <w:lvlText w:val="†"/>
      <w:numFmt w:val="bullet"/>
      <w:start w:val="1"/>
    </w:lvl>
    <w:lvl w:ilvl="1">
      <w:lvlJc w:val="left"/>
      <w:lvlText w:val="%2"/>
      <w:numFmt w:val="decimal"/>
      <w:start w:val="104"/>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2022-05-07T00:18:26Z</dcterms:created>
  <dcterms:modified xsi:type="dcterms:W3CDTF">2022-05-07T00:18:26Z</dcterms:modified>
</cp:coreProperties>
</file>