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August 8, 2024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5"/>
        <w:gridCol w:w="1237"/>
        <w:gridCol w:w="792"/>
        <w:gridCol w:w="792"/>
        <w:gridCol w:w="800"/>
        <w:gridCol w:w="942"/>
        <w:gridCol w:w="942"/>
        <w:gridCol w:w="1341"/>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930-7766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8, 2024, Dropbox, Inc. (“Dropbox” or the "Company") issued a press release and will hold a conference call announcing its financial results for the quarter ended June 30, 2024. A copy of the press release is attached as Exhibit 99.1 to this current report on Form 8-K and is incorporated by reference herein.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7.01 – Regulation FD Disclosure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8, 2024,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bidi w:val="0"/>
        <w:spacing w:before="0" w:after="140"/>
        <w:jc w:val="left"/>
        <w:rPr/>
      </w:pPr>
      <w:r>
        <w:rPr/>
      </w:r>
    </w:p>
    <w:p>
      <w:pPr>
        <w:pStyle w:val="TextBody"/>
        <w:bidi w:val="0"/>
        <w:spacing w:lineRule="auto" w:line="288" w:before="0" w:after="140"/>
        <w:jc w:val="left"/>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9897"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481"/>
        <w:gridCol w:w="2481"/>
        <w:gridCol w:w="352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q22024er-exhibit991q2xq4.htm">
              <w:r>
                <w:rPr>
                  <w:rStyle w:val="InternetLink"/>
                  <w:rFonts w:ascii="Times New Roman;sans-serif" w:hAnsi="Times New Roman;sans-serif"/>
                  <w:b w:val="false"/>
                  <w:color w:val="0000FF"/>
                  <w:sz w:val="20"/>
                  <w:u w:val="single"/>
                </w:rPr>
                <w:t>Press Release entitled "Dropbox Announces Fiscal 2024 Second Quarter Results" dated August 8, 2024</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p>
      <w:pPr>
        <w:pStyle w:val="TextBody"/>
        <w:bidi w:val="0"/>
        <w:spacing w:lineRule="auto" w:line="288" w:before="0" w:after="0"/>
        <w:jc w:val="center"/>
        <w:rPr>
          <w:color w:val="000000"/>
        </w:rPr>
      </w:pPr>
      <w:r>
        <w:rPr>
          <w:color w:val="000000"/>
        </w:rPr>
        <w:t>    </w:t>
      </w:r>
    </w:p>
    <w:tbl>
      <w:tblPr>
        <w:tblW w:w="2024" w:type="dxa"/>
        <w:jc w:val="center"/>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Dropbox Announces Fiscal 2024 Second Quarter Results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Second Quarter Revenue of $634.5 Million, up 1.9% year-over-year; on a constant currency basis, up 1.8% year-over-year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GAAP Operating Margin of 20.0% and Non-GAAP Operating Margin of 35.9%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$230.6 Million and Free Cash Flow of $224.7 Million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SAN FRANCISCO, Calif.</w:t>
      </w:r>
      <w:r>
        <w:rPr>
          <w:color w:val="000000"/>
        </w:rPr>
        <w:t xml:space="preserve"> </w:t>
      </w:r>
      <w:r>
        <w:rPr>
          <w:rFonts w:ascii="Times New Roman;sans-serif" w:hAnsi="Times New Roman;sans-serif"/>
          <w:b w:val="false"/>
          <w:color w:val="000000"/>
          <w:sz w:val="20"/>
        </w:rPr>
        <w:t>- August 8, 2024 - Dropbox, Inc. (NASDAQ: DBX), today announced financial results for its second quarter ended June 30, 2024.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In Q2, we improved the functionality and experience of our core FSS product, and made it easier for our customers to discover, try, and buy everything we have to offer,” said Dropbox Co-Founder and Chief Executive Officer Drew Houston. “As we navigate the natural pressures of a maturing FSS business, we’re focused on solving our customers’ biggest new pain points in securing, organizing and sharing their content, and are investing in our future bets for AI-powered universal search with Dropbox Dash. As this work continues, we remain committed to operating efficiently and driving improved shareholder returns.”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Second Quarter Fiscal 2024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revenue was $634.5 million, an increase of 1.9% from the same period last year. On a constant currency basis, year-over-year growth would have been 1.8%.</w:t>
      </w:r>
      <w:r>
        <w:rPr>
          <w:rFonts w:ascii="Times New Roman;sans-serif" w:hAnsi="Times New Roman;sans-serif"/>
          <w:b w:val="false"/>
          <w:color w:val="000000"/>
          <w:sz w:val="13"/>
        </w:rPr>
        <w:t xml:space="preserve">(1)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Total ARR was $2.573 billion, an increase of 2.9% from the same period last year. On a constant currency basis, year-over-year growth would have been 2.2%.</w:t>
      </w: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Total ARR increased $17.3 million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Paying users was 18.22 million, as compared to 18.04 million for the same period last year. Average revenue per paying user was $139.93, as compared to $138.94 for the same period last year. Paying users increased 63,000 quarter-over-quarter.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gross margin was 83.1%, as compared to 80.7% for the same period last year. Non-GAAP gross margin was 84.5%, as compared to 82.7% for the same period last year. Effective January 1, 2024, the Company increased the useful lives of certain infrastructure assets from four to five years due to recent technological advancements. In the second quarter of 2024, the change in useful life reduced depreciation expense in the amount of $9.0 million for assets that existed as of the effective date of the change and applying the revised estimated useful lives prospectively.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GAAP operating margin was 20.0%, as compared to 9.1% for the same period last year which included $37.5 million in expenses incurred in the second quarter of 2023 related to the Company's reduction in workforce, including severance, benefits and other related items. Non-GAAP operating margin was 35.9%, as compared to 34.2%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GAAP net income was $110.5 million, as compared to $43.2 million for the same period last year which included expenses related to the reduction in workforce in the second quarter of 2023. Non-GAAP net income was $194.1 million, as compared to $174.0 million for the same period last year.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cash provided by operating activities was $230.6 million, as compared to $187.6 million for the same period last year. Free cash flow was $224.7 million, as compared to $184.6 million for the same period last year. In the second quarter of 2024, the Company paid $14.9 million for the second tranche of the partial termination of the Company's lease in San Francisco. In the second quarter of 2023, the Company had $34.0 million of expenditures relating to the reduction in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GAAP diluted net income per share attributable to common stockholders was $0.34, as compared to $0.13 in the same period last year. Non-GAAP diluted net income per share attributable to common stockholders was $0.60, as compared to $0.51 in the same period last year.</w:t>
      </w:r>
      <w:r>
        <w:rPr>
          <w:rFonts w:ascii="Times New Roman;sans-serif" w:hAnsi="Times New Roman;sans-serif"/>
          <w:b w:val="false"/>
          <w:color w:val="000000"/>
          <w:sz w:val="13"/>
        </w:rPr>
        <w:t>(3)</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Cash, cash equivalents and short-term investments ended at $1.063 billion.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We calculate constant currency revenue growth rates by applying the prior period weighted average exchange rates to current period results.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 xml:space="preserve">GAAP and Non-GAAP diluted net income per share attributable to common stockholders is calculated based upon 323.7 million and 343.8 million diluted weighted-average shares of common stock for the three months ended June 30, 2024 and 2023, respectively.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Outlook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ans-serif" w:hAnsi="Times New Roman;sans-serif"/>
          <w:b w:val="false"/>
          <w:color w:val="000000"/>
          <w:sz w:val="20"/>
          <w:u w:val="single"/>
        </w:rPr>
        <w:t>http://investors.dropbox.com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plans to host a conference call today to review its second quarter financial results and to discuss its financial outlook. This call is scheduled to begin at 2:00 p.m. PT / 5:00 p.m. ET and can be accessed by using the web link at http://investors.dropbox.com.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Dropbox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ans-serif" w:hAnsi="Times New Roman;sans-serif"/>
          <w:b w:val="false"/>
          <w:color w:val="000000"/>
          <w:sz w:val="20"/>
          <w:u w:val="single"/>
        </w:rPr>
        <w:t>http://dropbox.com</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as well as our ability to improve shareholder returns.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or other potential legal, regulatory, or reputational consequences of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transition to a Virtual First model with an increasingly distributed workforce;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March 31, 2024. Additional information will be made available in our quarterly report on Form 10-Q for the quarter ended June 30, 2024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1"/>
        <w:gridCol w:w="1569"/>
        <w:gridCol w:w="151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rPr/>
        <w:tc>
          <w:tcPr>
            <w:tcW w:w="205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and marketing</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loss on real estate assets</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Includes stock-based compensation expense as follows (in millions):</w:t>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three and six months ended June 30, 2023.</w:t>
      </w:r>
    </w:p>
    <w:p>
      <w:pPr>
        <w:pStyle w:val="TextBody"/>
        <w:bidi w:val="0"/>
        <w:spacing w:lineRule="auto" w:line="288" w:before="0" w:after="12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 xml:space="preserve">Includes impairment charges related to real estate assets as a result of our Virtual First work model. </w:t>
      </w:r>
    </w:p>
    <w:p>
      <w:pPr>
        <w:pStyle w:val="TextBody"/>
        <w:bidi w:val="0"/>
        <w:spacing w:lineRule="auto" w:line="288" w:before="0" w:after="12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 xml:space="preserve">On March 15, 2023, the former President resigned, resulting in the reversal of $6.7 million in stock-based compensation expense. Of the total amount reversed, $4.4 million related to expense recognized prior to January 1, 2023. </w:t>
      </w:r>
    </w:p>
    <w:p>
      <w:pPr>
        <w:pStyle w:val="TextBody"/>
        <w:bidi w:val="0"/>
        <w:spacing w:before="0" w:after="120"/>
        <w:jc w:val="left"/>
        <w:rPr/>
      </w:pPr>
      <w:r>
        <w:rPr/>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6897" w:type="dxa"/>
        <w:jc w:val="center"/>
        <w:tblInd w:w="0" w:type="dxa"/>
        <w:tblLayout w:type="fixed"/>
        <w:tblCellMar>
          <w:top w:w="28" w:type="dxa"/>
          <w:left w:w="28" w:type="dxa"/>
          <w:bottom w:w="28" w:type="dxa"/>
          <w:right w:w="28" w:type="dxa"/>
        </w:tblCellMar>
      </w:tblPr>
      <w:tblGrid>
        <w:gridCol w:w="1270"/>
        <w:gridCol w:w="1120"/>
        <w:gridCol w:w="1135"/>
        <w:gridCol w:w="247"/>
        <w:gridCol w:w="900"/>
        <w:gridCol w:w="128"/>
        <w:gridCol w:w="109"/>
        <w:gridCol w:w="109"/>
        <w:gridCol w:w="109"/>
        <w:gridCol w:w="330"/>
        <w:gridCol w:w="1199"/>
        <w:gridCol w:w="241"/>
      </w:tblGrid>
      <w:tr>
        <w:trPr/>
        <w:tc>
          <w:tcPr>
            <w:tcW w:w="12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Dropbox,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108"/>
        <w:gridCol w:w="1728"/>
        <w:gridCol w:w="1741"/>
        <w:gridCol w:w="196"/>
        <w:gridCol w:w="556"/>
        <w:gridCol w:w="109"/>
        <w:gridCol w:w="109"/>
        <w:gridCol w:w="109"/>
        <w:gridCol w:w="109"/>
        <w:gridCol w:w="196"/>
        <w:gridCol w:w="556"/>
        <w:gridCol w:w="109"/>
        <w:gridCol w:w="109"/>
        <w:gridCol w:w="109"/>
        <w:gridCol w:w="109"/>
        <w:gridCol w:w="210"/>
        <w:gridCol w:w="598"/>
        <w:gridCol w:w="116"/>
        <w:gridCol w:w="116"/>
        <w:gridCol w:w="116"/>
        <w:gridCol w:w="116"/>
        <w:gridCol w:w="210"/>
        <w:gridCol w:w="598"/>
        <w:gridCol w:w="172"/>
      </w:tblGrid>
      <w:tr>
        <w:trPr/>
        <w:tc>
          <w:tcPr>
            <w:tcW w:w="2108"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flows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on real estate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lease termination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combinations, net of cash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(679.4)</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June 30,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873"/>
        <w:gridCol w:w="394"/>
        <w:gridCol w:w="395"/>
        <w:gridCol w:w="211"/>
        <w:gridCol w:w="616"/>
        <w:gridCol w:w="271"/>
        <w:gridCol w:w="109"/>
        <w:gridCol w:w="109"/>
        <w:gridCol w:w="109"/>
        <w:gridCol w:w="318"/>
        <w:gridCol w:w="769"/>
        <w:gridCol w:w="409"/>
        <w:gridCol w:w="109"/>
        <w:gridCol w:w="109"/>
        <w:gridCol w:w="109"/>
        <w:gridCol w:w="491"/>
        <w:gridCol w:w="946"/>
        <w:gridCol w:w="632"/>
        <w:gridCol w:w="109"/>
        <w:gridCol w:w="109"/>
        <w:gridCol w:w="109"/>
        <w:gridCol w:w="332"/>
        <w:gridCol w:w="663"/>
        <w:gridCol w:w="428"/>
        <w:gridCol w:w="109"/>
        <w:gridCol w:w="109"/>
        <w:gridCol w:w="109"/>
        <w:gridCol w:w="211"/>
        <w:gridCol w:w="616"/>
        <w:gridCol w:w="322"/>
      </w:tblGrid>
      <w:tr>
        <w:trPr/>
        <w:tc>
          <w:tcPr>
            <w:tcW w:w="8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Months Ended June 30,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1651"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366"/>
        <w:gridCol w:w="888"/>
        <w:gridCol w:w="472"/>
        <w:gridCol w:w="109"/>
        <w:gridCol w:w="109"/>
        <w:gridCol w:w="109"/>
        <w:gridCol w:w="284"/>
        <w:gridCol w:w="566"/>
        <w:gridCol w:w="366"/>
        <w:gridCol w:w="109"/>
        <w:gridCol w:w="109"/>
        <w:gridCol w:w="109"/>
        <w:gridCol w:w="211"/>
        <w:gridCol w:w="406"/>
        <w:gridCol w:w="271"/>
        <w:gridCol w:w="109"/>
        <w:gridCol w:w="109"/>
        <w:gridCol w:w="109"/>
        <w:gridCol w:w="211"/>
        <w:gridCol w:w="511"/>
        <w:gridCol w:w="314"/>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Net loss on real estate assets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Workforce reduction expense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Includes expenses related to our reduction in workforce such as severance, benefits and other related items.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Six Months Ended June 30, 2024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82"/>
        <w:gridCol w:w="488"/>
        <w:gridCol w:w="376"/>
        <w:gridCol w:w="211"/>
        <w:gridCol w:w="616"/>
        <w:gridCol w:w="271"/>
        <w:gridCol w:w="109"/>
        <w:gridCol w:w="109"/>
        <w:gridCol w:w="109"/>
        <w:gridCol w:w="276"/>
        <w:gridCol w:w="807"/>
        <w:gridCol w:w="360"/>
        <w:gridCol w:w="109"/>
        <w:gridCol w:w="109"/>
        <w:gridCol w:w="109"/>
        <w:gridCol w:w="472"/>
        <w:gridCol w:w="909"/>
        <w:gridCol w:w="607"/>
        <w:gridCol w:w="109"/>
        <w:gridCol w:w="109"/>
        <w:gridCol w:w="109"/>
        <w:gridCol w:w="291"/>
        <w:gridCol w:w="706"/>
        <w:gridCol w:w="376"/>
        <w:gridCol w:w="109"/>
        <w:gridCol w:w="109"/>
        <w:gridCol w:w="109"/>
        <w:gridCol w:w="211"/>
        <w:gridCol w:w="616"/>
        <w:gridCol w:w="322"/>
      </w:tblGrid>
      <w:tr>
        <w:trPr/>
        <w:tc>
          <w:tcPr>
            <w:tcW w:w="98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Six Months Ended June 30,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to Non-GAAP results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 which may not foot due to rounding)</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1651"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45"/>
        <w:gridCol w:w="715"/>
        <w:gridCol w:w="316"/>
        <w:gridCol w:w="109"/>
        <w:gridCol w:w="109"/>
        <w:gridCol w:w="109"/>
        <w:gridCol w:w="366"/>
        <w:gridCol w:w="888"/>
        <w:gridCol w:w="472"/>
        <w:gridCol w:w="109"/>
        <w:gridCol w:w="109"/>
        <w:gridCol w:w="109"/>
        <w:gridCol w:w="258"/>
        <w:gridCol w:w="625"/>
        <w:gridCol w:w="333"/>
        <w:gridCol w:w="109"/>
        <w:gridCol w:w="109"/>
        <w:gridCol w:w="109"/>
        <w:gridCol w:w="211"/>
        <w:gridCol w:w="406"/>
        <w:gridCol w:w="271"/>
        <w:gridCol w:w="109"/>
        <w:gridCol w:w="109"/>
        <w:gridCol w:w="109"/>
        <w:gridCol w:w="211"/>
        <w:gridCol w:w="511"/>
        <w:gridCol w:w="314"/>
        <w:gridCol w:w="109"/>
        <w:gridCol w:w="109"/>
        <w:gridCol w:w="109"/>
        <w:gridCol w:w="211"/>
        <w:gridCol w:w="616"/>
        <w:gridCol w:w="316"/>
      </w:tblGrid>
      <w:tr>
        <w:trP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Net loss on real estate assets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Workforce reduction expense</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Non-GAAP</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Includes impairment charges related to real estate assets as a result of our Virtual First work model.</w:t>
      </w:r>
    </w:p>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Includes expenses related to our reduction in workforce such as severance, benefits and other related items.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Dropbox, Inc.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and Six Months Ended June 30, 2024 and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GAAP net income to Non-GAAP net income and Non-GAAP diluted net income per share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99"/>
        <w:gridCol w:w="1419"/>
        <w:gridCol w:w="1289"/>
        <w:gridCol w:w="211"/>
        <w:gridCol w:w="616"/>
        <w:gridCol w:w="109"/>
        <w:gridCol w:w="109"/>
        <w:gridCol w:w="109"/>
        <w:gridCol w:w="109"/>
        <w:gridCol w:w="211"/>
        <w:gridCol w:w="616"/>
        <w:gridCol w:w="109"/>
        <w:gridCol w:w="418"/>
        <w:gridCol w:w="418"/>
        <w:gridCol w:w="420"/>
        <w:gridCol w:w="219"/>
        <w:gridCol w:w="642"/>
        <w:gridCol w:w="113"/>
        <w:gridCol w:w="113"/>
        <w:gridCol w:w="113"/>
        <w:gridCol w:w="113"/>
        <w:gridCol w:w="219"/>
        <w:gridCol w:w="642"/>
        <w:gridCol w:w="169"/>
      </w:tblGrid>
      <w:tr>
        <w:trPr/>
        <w:tc>
          <w:tcPr>
            <w:tcW w:w="1699"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407" w:type="dxa"/>
            <w:gridSpan w:val="3"/>
            <w:tcBorders/>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Workforce reduction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effects of non-GAAP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346.8 </w:t>
            </w:r>
          </w:p>
        </w:tc>
        <w:tc>
          <w:tcPr>
            <w:tcW w:w="16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Dropbox,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Three and Six Months Ended June 30, 2024 and 2023 </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Reconciliation of free cash flow and supplemental cash flow disclosure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for percentages)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94"/>
        <w:gridCol w:w="1228"/>
        <w:gridCol w:w="1234"/>
        <w:gridCol w:w="211"/>
        <w:gridCol w:w="616"/>
        <w:gridCol w:w="271"/>
        <w:gridCol w:w="109"/>
        <w:gridCol w:w="109"/>
        <w:gridCol w:w="109"/>
        <w:gridCol w:w="211"/>
        <w:gridCol w:w="616"/>
        <w:gridCol w:w="271"/>
        <w:gridCol w:w="418"/>
        <w:gridCol w:w="418"/>
        <w:gridCol w:w="420"/>
        <w:gridCol w:w="211"/>
        <w:gridCol w:w="616"/>
        <w:gridCol w:w="271"/>
        <w:gridCol w:w="109"/>
        <w:gridCol w:w="109"/>
        <w:gridCol w:w="109"/>
        <w:gridCol w:w="211"/>
        <w:gridCol w:w="616"/>
        <w:gridCol w:w="318"/>
      </w:tblGrid>
      <w:tr>
        <w:trPr/>
        <w:tc>
          <w:tcPr>
            <w:tcW w:w="139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8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Key employee holdback payments related to acquisitions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Payments related to workforce reduction</w:t>
            </w:r>
            <w:r>
              <w:rPr>
                <w:rFonts w:ascii="Times New Roman;sans-serif" w:hAnsi="Times New Roman;sans-serif"/>
                <w:b w:val="false"/>
                <w:color w:val="000000"/>
                <w:sz w:val="13"/>
              </w:rPr>
              <w:t>(2)</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paid for lease termination</w:t>
            </w:r>
            <w:r>
              <w:rPr>
                <w:rFonts w:ascii="Times New Roman;sans-serif" w:hAnsi="Times New Roman;sans-serif"/>
                <w:b w:val="false"/>
                <w:color w:val="000000"/>
                <w:sz w:val="13"/>
              </w:rPr>
              <w:t>(3)</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payments related to employee holdbacks pertaining to our acquisitions. The related expenses are recognized within research and development expenses over the required service period during the three and six months ended June 30, 2024.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payments made related to our reduction in workforce such as severance, benefits, and other related items.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(3)</w:t>
      </w:r>
      <w:r>
        <w:rPr>
          <w:color w:val="000000"/>
        </w:rPr>
        <w:t xml:space="preserve"> </w:t>
      </w:r>
      <w:r>
        <w:rPr>
          <w:rFonts w:ascii="Times New Roman;sans-serif" w:hAnsi="Times New Roman;sans-serif"/>
          <w:b w:val="false"/>
          <w:color w:val="000000"/>
          <w:sz w:val="18"/>
        </w:rPr>
        <w:t>Includes the second tranche payment made for the partial termination of the Company's lease for its San Francisco, California corporate headquarters.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Non-GAAP Financial Measures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net loss on real estate assets, expenses related to our reduction in workforce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June 30, 2024,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jc w:val="left"/>
        <w:rPr/>
      </w:pPr>
      <w:r>
        <w:rPr/>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Peter Stabler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ir@dropbox.com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Maddy Pelton</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press@dropbox.com </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5050</Words>
  <Characters>27201</Characters>
  <CharactersWithSpaces>31617</CharactersWithSpaces>
  <Paragraphs>1361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