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(Rule 13d-102)</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Dropbox,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par value $0.00001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26210C 10 4</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March 27, 2018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306070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3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31" w:lineRule="exact"/>
        <w:rPr>
          <w:sz w:val="24"/>
          <w:szCs w:val="24"/>
          <w:color w:val="auto"/>
        </w:rPr>
      </w:pPr>
    </w:p>
    <w:p>
      <w:pPr>
        <w:ind w:left="460" w:right="8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firstLine="456"/>
        <w:spacing w:after="0" w:line="308"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CUSIP No. 26210C 10 4</w:t>
            </w:r>
          </w:p>
        </w:tc>
        <w:tc>
          <w:tcPr>
            <w:tcW w:w="3740" w:type="dxa"/>
            <w:vAlign w:val="bottom"/>
          </w:tcPr>
          <w:p>
            <w:pPr>
              <w:ind w:left="1180"/>
              <w:spacing w:after="0"/>
              <w:rPr>
                <w:sz w:val="20"/>
                <w:szCs w:val="20"/>
                <w:color w:val="auto"/>
              </w:rPr>
            </w:pPr>
            <w:r>
              <w:rPr>
                <w:rFonts w:ascii="Arial" w:cs="Arial" w:eastAsia="Arial" w:hAnsi="Arial"/>
                <w:sz w:val="18"/>
                <w:szCs w:val="18"/>
                <w:color w:val="auto"/>
              </w:rPr>
              <w:t>13G</w:t>
            </w:r>
          </w:p>
        </w:tc>
        <w:tc>
          <w:tcPr>
            <w:tcW w:w="3080" w:type="dxa"/>
            <w:vAlign w:val="bottom"/>
          </w:tcPr>
          <w:p>
            <w:pPr>
              <w:ind w:left="2240"/>
              <w:spacing w:after="0"/>
              <w:rPr>
                <w:sz w:val="20"/>
                <w:szCs w:val="20"/>
                <w:color w:val="auto"/>
              </w:rPr>
            </w:pPr>
            <w:r>
              <w:rPr>
                <w:rFonts w:ascii="Arial" w:cs="Arial" w:eastAsia="Arial" w:hAnsi="Arial"/>
                <w:sz w:val="18"/>
                <w:szCs w:val="18"/>
                <w:color w:val="auto"/>
                <w:w w:val="89"/>
              </w:rPr>
              <w:t>Page 1 of 7</w:t>
            </w:r>
          </w:p>
        </w:tc>
      </w:tr>
      <w:tr>
        <w:trPr>
          <w:trHeight w:val="149"/>
        </w:trPr>
        <w:tc>
          <w:tcPr>
            <w:tcW w:w="4620" w:type="dxa"/>
            <w:vAlign w:val="bottom"/>
            <w:tcBorders>
              <w:bottom w:val="single" w:sz="8" w:color="auto"/>
            </w:tcBorders>
          </w:tcPr>
          <w:p>
            <w:pPr>
              <w:spacing w:after="0"/>
              <w:rPr>
                <w:sz w:val="12"/>
                <w:szCs w:val="12"/>
                <w:color w:val="auto"/>
              </w:rPr>
            </w:pPr>
          </w:p>
        </w:tc>
        <w:tc>
          <w:tcPr>
            <w:tcW w:w="3740" w:type="dxa"/>
            <w:vAlign w:val="bottom"/>
            <w:tcBorders>
              <w:bottom w:val="single" w:sz="8" w:color="auto"/>
            </w:tcBorders>
          </w:tcPr>
          <w:p>
            <w:pPr>
              <w:spacing w:after="0"/>
              <w:rPr>
                <w:sz w:val="12"/>
                <w:szCs w:val="12"/>
                <w:color w:val="auto"/>
              </w:rPr>
            </w:pPr>
          </w:p>
        </w:tc>
        <w:tc>
          <w:tcPr>
            <w:tcW w:w="3080" w:type="dxa"/>
            <w:vAlign w:val="bottom"/>
            <w:tcBorders>
              <w:bottom w:val="single" w:sz="8" w:color="auto"/>
            </w:tcBorders>
          </w:tcPr>
          <w:p>
            <w:pPr>
              <w:spacing w:after="0"/>
              <w:rPr>
                <w:sz w:val="12"/>
                <w:szCs w:val="12"/>
                <w:color w:val="auto"/>
              </w:rPr>
            </w:pPr>
          </w:p>
        </w:tc>
      </w:tr>
      <w:tr>
        <w:trPr>
          <w:trHeight w:val="224"/>
        </w:trPr>
        <w:tc>
          <w:tcPr>
            <w:tcW w:w="462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3740" w:type="dxa"/>
            <w:vAlign w:val="bottom"/>
          </w:tcPr>
          <w:p>
            <w:pPr>
              <w:spacing w:after="0"/>
              <w:rPr>
                <w:sz w:val="19"/>
                <w:szCs w:val="19"/>
                <w:color w:val="auto"/>
              </w:rPr>
            </w:pPr>
          </w:p>
        </w:tc>
        <w:tc>
          <w:tcPr>
            <w:tcW w:w="30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-154305</wp:posOffset>
            </wp:positionV>
            <wp:extent cx="8890" cy="1689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689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524002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40" w:type="dxa"/>
            <w:vAlign w:val="bottom"/>
            <w:tcBorders>
              <w:bottom w:val="single" w:sz="8" w:color="auto"/>
            </w:tcBorders>
            <w:gridSpan w:val="4"/>
          </w:tcPr>
          <w:p>
            <w:pPr>
              <w:ind w:left="60"/>
              <w:spacing w:after="0"/>
              <w:rPr>
                <w:sz w:val="20"/>
                <w:szCs w:val="20"/>
                <w:color w:val="auto"/>
              </w:rPr>
            </w:pPr>
            <w:r>
              <w:rPr>
                <w:rFonts w:ascii="Arial" w:cs="Arial" w:eastAsia="Arial" w:hAnsi="Arial"/>
                <w:sz w:val="22"/>
                <w:szCs w:val="22"/>
                <w:color w:val="auto"/>
              </w:rPr>
              <w:t>salesforce.com, inc.</w:t>
            </w:r>
          </w:p>
        </w:tc>
        <w:tc>
          <w:tcPr>
            <w:tcW w:w="0" w:type="dxa"/>
            <w:vAlign w:val="bottom"/>
          </w:tcPr>
          <w:p>
            <w:pPr>
              <w:spacing w:after="0"/>
              <w:rPr>
                <w:sz w:val="1"/>
                <w:szCs w:val="1"/>
                <w:color w:val="auto"/>
              </w:rPr>
            </w:pPr>
          </w:p>
        </w:tc>
      </w:tr>
      <w:tr>
        <w:trPr>
          <w:trHeight w:val="164"/>
        </w:trPr>
        <w:tc>
          <w:tcPr>
            <w:tcW w:w="4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4"/>
                <w:szCs w:val="14"/>
                <w:color w:val="auto"/>
              </w:rPr>
            </w:pPr>
          </w:p>
        </w:tc>
        <w:tc>
          <w:tcPr>
            <w:tcW w:w="10840" w:type="dxa"/>
            <w:vAlign w:val="bottom"/>
            <w:gridSpan w:val="4"/>
          </w:tcPr>
          <w:p>
            <w:pPr>
              <w:ind w:left="6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ind w:lef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cente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5"/>
                <w:szCs w:val="15"/>
                <w:color w:val="auto"/>
              </w:rPr>
              <w:t>1</w:t>
            </w:r>
          </w:p>
        </w:tc>
        <w:tc>
          <w:tcPr>
            <w:tcW w:w="9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9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084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22"/>
                <w:szCs w:val="22"/>
                <w:color w:val="auto"/>
              </w:rPr>
              <w:t>Delaware</w:t>
            </w: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5.</w:t>
            </w:r>
          </w:p>
        </w:tc>
        <w:tc>
          <w:tcPr>
            <w:tcW w:w="93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460" w:type="dxa"/>
            <w:vAlign w:val="bottom"/>
            <w:gridSpan w:val="3"/>
            <w:vMerge w:val="restart"/>
          </w:tcPr>
          <w:p>
            <w:pPr>
              <w:jc w:val="center"/>
              <w:ind w:left="190"/>
              <w:spacing w:after="0"/>
              <w:rPr>
                <w:sz w:val="20"/>
                <w:szCs w:val="20"/>
                <w:color w:val="auto"/>
              </w:rPr>
            </w:pPr>
            <w:r>
              <w:rPr>
                <w:rFonts w:ascii="Arial" w:cs="Arial" w:eastAsia="Arial" w:hAnsi="Arial"/>
                <w:sz w:val="18"/>
                <w:szCs w:val="18"/>
                <w:b w:val="1"/>
                <w:bCs w:val="1"/>
                <w:color w:val="auto"/>
              </w:rPr>
              <w:t>NUMBER OF</w:t>
            </w:r>
          </w:p>
        </w:tc>
        <w:tc>
          <w:tcPr>
            <w:tcW w:w="140" w:type="dxa"/>
            <w:vAlign w:val="bottom"/>
            <w:tcBorders>
              <w:right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4"/>
        </w:trPr>
        <w:tc>
          <w:tcPr>
            <w:tcW w:w="1460" w:type="dxa"/>
            <w:vAlign w:val="bottom"/>
            <w:gridSpan w:val="3"/>
            <w:vMerge w:val="continue"/>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46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2"/>
              </w:rPr>
              <w:t>6.</w:t>
            </w:r>
          </w:p>
        </w:tc>
        <w:tc>
          <w:tcPr>
            <w:tcW w:w="93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1000" w:type="dxa"/>
            <w:vAlign w:val="bottom"/>
            <w:gridSpan w:val="2"/>
            <w:vMerge w:val="restart"/>
          </w:tcPr>
          <w:p>
            <w:pPr>
              <w:jc w:val="center"/>
              <w:ind w:right="64"/>
              <w:spacing w:after="0"/>
              <w:rPr>
                <w:sz w:val="20"/>
                <w:szCs w:val="20"/>
                <w:color w:val="auto"/>
              </w:rPr>
            </w:pPr>
            <w:r>
              <w:rPr>
                <w:rFonts w:ascii="Arial" w:cs="Arial" w:eastAsia="Arial" w:hAnsi="Arial"/>
                <w:sz w:val="18"/>
                <w:szCs w:val="18"/>
                <w:b w:val="1"/>
                <w:bCs w:val="1"/>
                <w:color w:val="auto"/>
                <w:w w:val="95"/>
              </w:rPr>
              <w:t>SHARES</w:t>
            </w:r>
          </w:p>
        </w:tc>
        <w:tc>
          <w:tcPr>
            <w:tcW w:w="14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9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9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600" w:type="dxa"/>
            <w:vAlign w:val="bottom"/>
            <w:tcBorders>
              <w:right w:val="single" w:sz="8" w:color="auto"/>
            </w:tcBorders>
            <w:gridSpan w:val="4"/>
          </w:tcPr>
          <w:p>
            <w:pPr>
              <w:jc w:val="center"/>
              <w:ind w:left="90"/>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Borders>
              <w:right w:val="single" w:sz="8" w:color="auto"/>
            </w:tcBorders>
          </w:tcPr>
          <w:p>
            <w:pPr>
              <w:spacing w:after="0"/>
              <w:rPr>
                <w:sz w:val="18"/>
                <w:szCs w:val="18"/>
                <w:color w:val="auto"/>
              </w:rPr>
            </w:pPr>
          </w:p>
        </w:tc>
        <w:tc>
          <w:tcPr>
            <w:tcW w:w="9380" w:type="dxa"/>
            <w:vAlign w:val="bottom"/>
            <w:vMerge w:val="restart"/>
          </w:tcPr>
          <w:p>
            <w:pPr>
              <w:ind w:left="100"/>
              <w:spacing w:after="0"/>
              <w:rPr>
                <w:sz w:val="20"/>
                <w:szCs w:val="20"/>
                <w:color w:val="auto"/>
              </w:rPr>
            </w:pPr>
            <w:r>
              <w:rPr>
                <w:rFonts w:ascii="Arial" w:cs="Arial" w:eastAsia="Arial" w:hAnsi="Arial"/>
                <w:sz w:val="22"/>
                <w:szCs w:val="22"/>
                <w:color w:val="auto"/>
              </w:rPr>
              <w:t>4,938,567</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4"/>
        </w:trPr>
        <w:tc>
          <w:tcPr>
            <w:tcW w:w="146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rPr>
              <w:t>OWNED BY</w:t>
            </w:r>
          </w:p>
        </w:tc>
        <w:tc>
          <w:tcPr>
            <w:tcW w:w="140" w:type="dxa"/>
            <w:vAlign w:val="bottom"/>
            <w:tcBorders>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93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204"/>
              <w:spacing w:after="0" w:line="178" w:lineRule="exact"/>
              <w:rPr>
                <w:sz w:val="20"/>
                <w:szCs w:val="20"/>
                <w:color w:val="auto"/>
              </w:rPr>
            </w:pPr>
            <w:r>
              <w:rPr>
                <w:rFonts w:ascii="Arial" w:cs="Arial" w:eastAsia="Arial" w:hAnsi="Arial"/>
                <w:sz w:val="18"/>
                <w:szCs w:val="18"/>
                <w:b w:val="1"/>
                <w:bCs w:val="1"/>
                <w:color w:val="auto"/>
              </w:rPr>
              <w:t>EACH</w:t>
            </w:r>
          </w:p>
        </w:tc>
        <w:tc>
          <w:tcPr>
            <w:tcW w:w="14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jc w:val="center"/>
              <w:ind w:right="30"/>
              <w:spacing w:after="0" w:line="178" w:lineRule="exact"/>
              <w:rPr>
                <w:sz w:val="20"/>
                <w:szCs w:val="20"/>
                <w:color w:val="auto"/>
              </w:rPr>
            </w:pPr>
            <w:r>
              <w:rPr>
                <w:rFonts w:ascii="Arial" w:cs="Arial" w:eastAsia="Arial" w:hAnsi="Arial"/>
                <w:sz w:val="18"/>
                <w:szCs w:val="18"/>
                <w:color w:val="auto"/>
                <w:w w:val="92"/>
              </w:rPr>
              <w:t>7.</w:t>
            </w:r>
          </w:p>
        </w:tc>
        <w:tc>
          <w:tcPr>
            <w:tcW w:w="9380" w:type="dxa"/>
            <w:vAlign w:val="bottom"/>
          </w:tcPr>
          <w:p>
            <w:pPr>
              <w:ind w:left="100"/>
              <w:spacing w:after="0" w:line="17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6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rPr>
              <w:t>REPORTING</w:t>
            </w:r>
          </w:p>
        </w:tc>
        <w:tc>
          <w:tcPr>
            <w:tcW w:w="1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1000" w:type="dxa"/>
            <w:vAlign w:val="bottom"/>
            <w:gridSpan w:val="2"/>
          </w:tcPr>
          <w:p>
            <w:pPr>
              <w:jc w:val="center"/>
              <w:ind w:right="64"/>
              <w:spacing w:after="0"/>
              <w:rPr>
                <w:sz w:val="20"/>
                <w:szCs w:val="20"/>
                <w:color w:val="auto"/>
              </w:rPr>
            </w:pPr>
            <w:r>
              <w:rPr>
                <w:rFonts w:ascii="Arial" w:cs="Arial" w:eastAsia="Arial" w:hAnsi="Arial"/>
                <w:sz w:val="18"/>
                <w:szCs w:val="18"/>
                <w:b w:val="1"/>
                <w:bCs w:val="1"/>
                <w:color w:val="auto"/>
                <w:w w:val="94"/>
              </w:rPr>
              <w:t>PERSON</w:t>
            </w:r>
          </w:p>
        </w:tc>
        <w:tc>
          <w:tcPr>
            <w:tcW w:w="14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9380" w:type="dxa"/>
            <w:vAlign w:val="bottom"/>
          </w:tcPr>
          <w:p>
            <w:pPr>
              <w:ind w:left="100"/>
              <w:spacing w:after="0" w:line="236"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6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860" w:type="dxa"/>
            <w:vAlign w:val="bottom"/>
            <w:vMerge w:val="restart"/>
          </w:tcPr>
          <w:p>
            <w:pPr>
              <w:jc w:val="center"/>
              <w:ind w:right="204"/>
              <w:spacing w:after="0"/>
              <w:rPr>
                <w:sz w:val="20"/>
                <w:szCs w:val="20"/>
                <w:color w:val="auto"/>
              </w:rPr>
            </w:pPr>
            <w:r>
              <w:rPr>
                <w:rFonts w:ascii="Arial" w:cs="Arial" w:eastAsia="Arial" w:hAnsi="Arial"/>
                <w:sz w:val="18"/>
                <w:szCs w:val="18"/>
                <w:b w:val="1"/>
                <w:bCs w:val="1"/>
                <w:color w:val="auto"/>
              </w:rPr>
              <w:t>WITH:</w:t>
            </w:r>
          </w:p>
        </w:tc>
        <w:tc>
          <w:tcPr>
            <w:tcW w:w="140" w:type="dxa"/>
            <w:vAlign w:val="bottom"/>
            <w:tcBorders>
              <w:right w:val="single" w:sz="8" w:color="auto"/>
            </w:tcBorders>
          </w:tcPr>
          <w:p>
            <w:pPr>
              <w:spacing w:after="0"/>
              <w:rPr>
                <w:sz w:val="6"/>
                <w:szCs w:val="6"/>
                <w:color w:val="auto"/>
              </w:rPr>
            </w:pPr>
          </w:p>
        </w:tc>
        <w:tc>
          <w:tcPr>
            <w:tcW w:w="460" w:type="dxa"/>
            <w:vAlign w:val="bottom"/>
            <w:tcBorders>
              <w:bottom w:val="single" w:sz="8" w:color="auto"/>
              <w:right w:val="single" w:sz="8" w:color="auto"/>
            </w:tcBorders>
          </w:tcPr>
          <w:p>
            <w:pPr>
              <w:spacing w:after="0"/>
              <w:rPr>
                <w:sz w:val="6"/>
                <w:szCs w:val="6"/>
                <w:color w:val="auto"/>
              </w:rPr>
            </w:pPr>
          </w:p>
        </w:tc>
        <w:tc>
          <w:tcPr>
            <w:tcW w:w="93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2"/>
              </w:rPr>
              <w:t>8.</w:t>
            </w:r>
          </w:p>
        </w:tc>
        <w:tc>
          <w:tcPr>
            <w:tcW w:w="93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9"/>
        </w:trPr>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vMerge w:val="continue"/>
          </w:tcPr>
          <w:p>
            <w:pPr>
              <w:spacing w:after="0"/>
              <w:rPr>
                <w:sz w:val="7"/>
                <w:szCs w:val="7"/>
                <w:color w:val="auto"/>
              </w:rPr>
            </w:pPr>
          </w:p>
        </w:tc>
        <w:tc>
          <w:tcPr>
            <w:tcW w:w="9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4,938,567</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19"/>
                <w:szCs w:val="19"/>
                <w:color w:val="auto"/>
              </w:rPr>
            </w:pPr>
          </w:p>
        </w:tc>
        <w:tc>
          <w:tcPr>
            <w:tcW w:w="1084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22"/>
                <w:szCs w:val="22"/>
                <w:color w:val="auto"/>
              </w:rPr>
              <w:t>4,938,5672</w:t>
            </w:r>
            <w:r>
              <w:rPr>
                <w:rFonts w:ascii="Arial" w:cs="Arial" w:eastAsia="Arial" w:hAnsi="Arial"/>
                <w:sz w:val="18"/>
                <w:szCs w:val="18"/>
                <w:color w:val="auto"/>
              </w:rPr>
              <w:t>2</w:t>
            </w: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tcPr>
          <w:p>
            <w:pPr>
              <w:spacing w:after="0"/>
              <w:rPr>
                <w:sz w:val="24"/>
                <w:szCs w:val="24"/>
                <w:color w:val="auto"/>
              </w:rPr>
            </w:pPr>
          </w:p>
        </w:tc>
        <w:tc>
          <w:tcPr>
            <w:tcW w:w="10840" w:type="dxa"/>
            <w:vAlign w:val="bottom"/>
            <w:gridSpan w:val="4"/>
          </w:tcPr>
          <w:p>
            <w:pPr>
              <w:ind w:left="6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6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1084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19"/>
                <w:szCs w:val="19"/>
                <w:color w:val="auto"/>
              </w:rPr>
            </w:pPr>
          </w:p>
        </w:tc>
        <w:tc>
          <w:tcPr>
            <w:tcW w:w="1084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w w:val="92"/>
              </w:rPr>
              <w:t>7.310%</w:t>
            </w:r>
            <w:r>
              <w:rPr>
                <w:rFonts w:ascii="Arial" w:cs="Arial" w:eastAsia="Arial" w:hAnsi="Arial"/>
                <w:sz w:val="18"/>
                <w:szCs w:val="18"/>
                <w:color w:val="auto"/>
                <w:w w:val="92"/>
              </w:rPr>
              <w:t>3</w:t>
            </w: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19"/>
                <w:szCs w:val="19"/>
                <w:color w:val="auto"/>
              </w:rPr>
            </w:pPr>
          </w:p>
        </w:tc>
        <w:tc>
          <w:tcPr>
            <w:tcW w:w="1084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HC, CO</w:t>
            </w: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8" w:lineRule="exact"/>
        <w:rPr>
          <w:sz w:val="20"/>
          <w:szCs w:val="20"/>
          <w:color w:val="auto"/>
        </w:rPr>
      </w:pPr>
    </w:p>
    <w:p>
      <w:pPr>
        <w:ind w:left="460" w:right="440" w:hanging="452"/>
        <w:spacing w:after="0" w:line="258"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This Schedule 13G is filed by salesforce.com, inc. (“Salesforce”) and Marc R. Benioff (together, the “Reporting Persons”). The Reporting Persons expressly disclaim status as a “group” for purposes of this Schedule 13G.</w:t>
      </w:r>
    </w:p>
    <w:p>
      <w:pPr>
        <w:ind w:left="460" w:hanging="452"/>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6"/>
          <w:szCs w:val="16"/>
          <w:color w:val="auto"/>
        </w:rPr>
        <w:t>Consists of 4,761,905 shares of the Issuer’s Class A common stock and 176,662 shares of the Issuer’s Class B common stock held by Salesforce. Mr.</w:t>
      </w:r>
    </w:p>
    <w:p>
      <w:pPr>
        <w:spacing w:after="0" w:line="33" w:lineRule="exact"/>
        <w:rPr>
          <w:sz w:val="20"/>
          <w:szCs w:val="20"/>
          <w:color w:val="auto"/>
        </w:rPr>
      </w:pPr>
    </w:p>
    <w:p>
      <w:pPr>
        <w:ind w:left="460" w:right="360"/>
        <w:spacing w:after="0" w:line="250" w:lineRule="auto"/>
        <w:rPr>
          <w:sz w:val="20"/>
          <w:szCs w:val="20"/>
          <w:color w:val="auto"/>
        </w:rPr>
      </w:pPr>
      <w:r>
        <w:rPr>
          <w:rFonts w:ascii="Arial" w:cs="Arial" w:eastAsia="Arial" w:hAnsi="Arial"/>
          <w:sz w:val="18"/>
          <w:szCs w:val="18"/>
          <w:color w:val="auto"/>
        </w:rPr>
        <w:t>Benioff is the Chairman of the Board and Chief Executive Officer of Salesforce. By virtue of this relationship, Mr. Benioff may be deemed to share beneficial ownership of the shares of Class A common stock and Class B common stock of the Issuer held by Salesforce. Mr. Benioff disclaims beneficial ownership of the shares.</w:t>
      </w:r>
    </w:p>
    <w:p>
      <w:pPr>
        <w:ind w:left="460" w:right="280" w:hanging="452"/>
        <w:spacing w:after="0" w:line="289"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6"/>
          <w:szCs w:val="16"/>
          <w:color w:val="auto"/>
        </w:rPr>
        <w:t>The percentage is calculated based upon 67,562,820 outstanding Class A common shares, comprised of (i) 67,312,486 outstanding Class A common shares (including 14,733,333 Class A common shares subject to restricted stock awards) reported in the Issuer’s Prospectus Supplement filed under Rule 424(b)(4), filed with the Securities and Exchange Commission on March 23, 2018 relating to the Issuer’s Registration Statement on Form S-1 (Registration No. 333-223182), (ii) 176,662 Class B common shares (on an as-converted basis) held by Salesforce and (iii) 73,672 Class B common shares (on an as-converted basis) held by Mr. Benioff. The rights of the holders of Class A common stock and Class B common stock are identical, except with respect to voting and conversion. Each share of Class A common stock is entitled to one vote per share. Each share of Class B common stock is entitled to ten votes per share and is convertible at any time into one share of Class A common stock.</w:t>
      </w:r>
    </w:p>
    <w:p>
      <w:pPr>
        <w:sectPr>
          <w:pgSz w:w="11900" w:h="16838" w:orient="portrait"/>
          <w:cols w:equalWidth="0" w:num="1">
            <w:col w:w="11440"/>
          </w:cols>
          <w:pgMar w:left="240" w:top="27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CUSIP No. 26210C 10 4</w:t>
            </w:r>
          </w:p>
        </w:tc>
        <w:tc>
          <w:tcPr>
            <w:tcW w:w="3740" w:type="dxa"/>
            <w:vAlign w:val="bottom"/>
          </w:tcPr>
          <w:p>
            <w:pPr>
              <w:ind w:left="1180"/>
              <w:spacing w:after="0"/>
              <w:rPr>
                <w:sz w:val="20"/>
                <w:szCs w:val="20"/>
                <w:color w:val="auto"/>
              </w:rPr>
            </w:pPr>
            <w:r>
              <w:rPr>
                <w:rFonts w:ascii="Arial" w:cs="Arial" w:eastAsia="Arial" w:hAnsi="Arial"/>
                <w:sz w:val="18"/>
                <w:szCs w:val="18"/>
                <w:color w:val="auto"/>
              </w:rPr>
              <w:t>13G</w:t>
            </w:r>
          </w:p>
        </w:tc>
        <w:tc>
          <w:tcPr>
            <w:tcW w:w="3080" w:type="dxa"/>
            <w:vAlign w:val="bottom"/>
          </w:tcPr>
          <w:p>
            <w:pPr>
              <w:ind w:left="2240"/>
              <w:spacing w:after="0"/>
              <w:rPr>
                <w:sz w:val="20"/>
                <w:szCs w:val="20"/>
                <w:color w:val="auto"/>
              </w:rPr>
            </w:pPr>
            <w:r>
              <w:rPr>
                <w:rFonts w:ascii="Arial" w:cs="Arial" w:eastAsia="Arial" w:hAnsi="Arial"/>
                <w:sz w:val="18"/>
                <w:szCs w:val="18"/>
                <w:color w:val="auto"/>
                <w:w w:val="89"/>
              </w:rPr>
              <w:t>Page 2 of 7</w:t>
            </w:r>
          </w:p>
        </w:tc>
      </w:tr>
      <w:tr>
        <w:trPr>
          <w:trHeight w:val="149"/>
        </w:trPr>
        <w:tc>
          <w:tcPr>
            <w:tcW w:w="4620" w:type="dxa"/>
            <w:vAlign w:val="bottom"/>
            <w:tcBorders>
              <w:bottom w:val="single" w:sz="8" w:color="auto"/>
            </w:tcBorders>
          </w:tcPr>
          <w:p>
            <w:pPr>
              <w:spacing w:after="0"/>
              <w:rPr>
                <w:sz w:val="12"/>
                <w:szCs w:val="12"/>
                <w:color w:val="auto"/>
              </w:rPr>
            </w:pPr>
          </w:p>
        </w:tc>
        <w:tc>
          <w:tcPr>
            <w:tcW w:w="3740" w:type="dxa"/>
            <w:vAlign w:val="bottom"/>
            <w:tcBorders>
              <w:bottom w:val="single" w:sz="8" w:color="auto"/>
            </w:tcBorders>
          </w:tcPr>
          <w:p>
            <w:pPr>
              <w:spacing w:after="0"/>
              <w:rPr>
                <w:sz w:val="12"/>
                <w:szCs w:val="12"/>
                <w:color w:val="auto"/>
              </w:rPr>
            </w:pPr>
          </w:p>
        </w:tc>
        <w:tc>
          <w:tcPr>
            <w:tcW w:w="3080" w:type="dxa"/>
            <w:vAlign w:val="bottom"/>
            <w:tcBorders>
              <w:bottom w:val="single" w:sz="8" w:color="auto"/>
            </w:tcBorders>
          </w:tcPr>
          <w:p>
            <w:pPr>
              <w:spacing w:after="0"/>
              <w:rPr>
                <w:sz w:val="12"/>
                <w:szCs w:val="12"/>
                <w:color w:val="auto"/>
              </w:rPr>
            </w:pPr>
          </w:p>
        </w:tc>
      </w:tr>
      <w:tr>
        <w:trPr>
          <w:trHeight w:val="224"/>
        </w:trPr>
        <w:tc>
          <w:tcPr>
            <w:tcW w:w="462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3740" w:type="dxa"/>
            <w:vAlign w:val="bottom"/>
          </w:tcPr>
          <w:p>
            <w:pPr>
              <w:spacing w:after="0"/>
              <w:rPr>
                <w:sz w:val="19"/>
                <w:szCs w:val="19"/>
                <w:color w:val="auto"/>
              </w:rPr>
            </w:pPr>
          </w:p>
        </w:tc>
        <w:tc>
          <w:tcPr>
            <w:tcW w:w="30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-154305</wp:posOffset>
            </wp:positionV>
            <wp:extent cx="8890" cy="1689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689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524002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ind w:left="60"/>
              <w:spacing w:after="0"/>
              <w:rPr>
                <w:sz w:val="20"/>
                <w:szCs w:val="20"/>
                <w:color w:val="auto"/>
              </w:rPr>
            </w:pPr>
            <w:r>
              <w:rPr>
                <w:rFonts w:ascii="Arial" w:cs="Arial" w:eastAsia="Arial" w:hAnsi="Arial"/>
                <w:sz w:val="22"/>
                <w:szCs w:val="22"/>
                <w:color w:val="auto"/>
                <w:w w:val="94"/>
              </w:rPr>
              <w:t>Marc R. Benioff</w:t>
            </w:r>
          </w:p>
        </w:tc>
        <w:tc>
          <w:tcPr>
            <w:tcW w:w="9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4"/>
                <w:szCs w:val="14"/>
                <w:color w:val="auto"/>
              </w:rPr>
            </w:pPr>
          </w:p>
        </w:tc>
        <w:tc>
          <w:tcPr>
            <w:tcW w:w="10840" w:type="dxa"/>
            <w:vAlign w:val="bottom"/>
            <w:gridSpan w:val="5"/>
          </w:tcPr>
          <w:p>
            <w:pPr>
              <w:ind w:left="6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ind w:lef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60" w:type="dxa"/>
            <w:vAlign w:val="bottom"/>
            <w:gridSpan w:val="3"/>
          </w:tcPr>
          <w:p>
            <w:pPr>
              <w:jc w:val="center"/>
              <w:ind w:righ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5"/>
                <w:szCs w:val="15"/>
                <w:color w:val="auto"/>
              </w:rPr>
              <w:t>1</w:t>
            </w:r>
          </w:p>
        </w:tc>
        <w:tc>
          <w:tcPr>
            <w:tcW w:w="9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520" w:type="dxa"/>
            <w:vAlign w:val="bottom"/>
            <w:gridSpan w:val="4"/>
          </w:tcPr>
          <w:p>
            <w:pPr>
              <w:ind w:left="60"/>
              <w:spacing w:after="0"/>
              <w:rPr>
                <w:sz w:val="20"/>
                <w:szCs w:val="20"/>
                <w:color w:val="auto"/>
              </w:rPr>
            </w:pPr>
            <w:r>
              <w:rPr>
                <w:rFonts w:ascii="Arial" w:cs="Arial" w:eastAsia="Arial" w:hAnsi="Arial"/>
                <w:sz w:val="18"/>
                <w:szCs w:val="18"/>
                <w:color w:val="auto"/>
              </w:rPr>
              <w:t>SEC USE ONLY</w:t>
            </w:r>
          </w:p>
        </w:tc>
        <w:tc>
          <w:tcPr>
            <w:tcW w:w="9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38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0840" w:type="dxa"/>
            <w:vAlign w:val="bottom"/>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40" w:type="dxa"/>
            <w:vAlign w:val="bottom"/>
            <w:tcBorders>
              <w:bottom w:val="single" w:sz="8" w:color="auto"/>
            </w:tcBorders>
            <w:gridSpan w:val="5"/>
          </w:tcPr>
          <w:p>
            <w:pPr>
              <w:ind w:left="60"/>
              <w:spacing w:after="0"/>
              <w:rPr>
                <w:sz w:val="20"/>
                <w:szCs w:val="20"/>
                <w:color w:val="auto"/>
              </w:rPr>
            </w:pPr>
            <w:r>
              <w:rPr>
                <w:rFonts w:ascii="Arial" w:cs="Arial" w:eastAsia="Arial" w:hAnsi="Arial"/>
                <w:sz w:val="22"/>
                <w:szCs w:val="22"/>
                <w:color w:val="auto"/>
              </w:rPr>
              <w:t>United States of America</w:t>
            </w:r>
          </w:p>
        </w:tc>
        <w:tc>
          <w:tcPr>
            <w:tcW w:w="0" w:type="dxa"/>
            <w:vAlign w:val="bottom"/>
          </w:tcPr>
          <w:p>
            <w:pPr>
              <w:spacing w:after="0"/>
              <w:rPr>
                <w:sz w:val="1"/>
                <w:szCs w:val="1"/>
                <w:color w:val="auto"/>
              </w:rPr>
            </w:pPr>
          </w:p>
        </w:tc>
      </w:tr>
      <w:tr>
        <w:trPr>
          <w:trHeight w:val="226"/>
        </w:trPr>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5.</w:t>
            </w:r>
          </w:p>
        </w:tc>
        <w:tc>
          <w:tcPr>
            <w:tcW w:w="60" w:type="dxa"/>
            <w:vAlign w:val="bottom"/>
          </w:tcPr>
          <w:p>
            <w:pPr>
              <w:spacing w:after="0"/>
              <w:rPr>
                <w:sz w:val="19"/>
                <w:szCs w:val="19"/>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460" w:type="dxa"/>
            <w:vAlign w:val="bottom"/>
            <w:gridSpan w:val="3"/>
            <w:vMerge w:val="restart"/>
          </w:tcPr>
          <w:p>
            <w:pPr>
              <w:jc w:val="center"/>
              <w:ind w:left="190"/>
              <w:spacing w:after="0"/>
              <w:rPr>
                <w:sz w:val="20"/>
                <w:szCs w:val="20"/>
                <w:color w:val="auto"/>
              </w:rPr>
            </w:pPr>
            <w:r>
              <w:rPr>
                <w:rFonts w:ascii="Arial" w:cs="Arial" w:eastAsia="Arial" w:hAnsi="Arial"/>
                <w:sz w:val="18"/>
                <w:szCs w:val="18"/>
                <w:b w:val="1"/>
                <w:bCs w:val="1"/>
                <w:color w:val="auto"/>
              </w:rPr>
              <w:t>NUMBER OF</w:t>
            </w:r>
          </w:p>
        </w:tc>
        <w:tc>
          <w:tcPr>
            <w:tcW w:w="140" w:type="dxa"/>
            <w:vAlign w:val="bottom"/>
            <w:tcBorders>
              <w:right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73,672</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4"/>
        </w:trPr>
        <w:tc>
          <w:tcPr>
            <w:tcW w:w="1460" w:type="dxa"/>
            <w:vAlign w:val="bottom"/>
            <w:gridSpan w:val="3"/>
            <w:vMerge w:val="continue"/>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46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2"/>
              </w:rPr>
              <w:t>6.</w:t>
            </w:r>
          </w:p>
        </w:tc>
        <w:tc>
          <w:tcPr>
            <w:tcW w:w="60" w:type="dxa"/>
            <w:vAlign w:val="bottom"/>
          </w:tcPr>
          <w:p>
            <w:pPr>
              <w:spacing w:after="0"/>
              <w:rPr>
                <w:sz w:val="3"/>
                <w:szCs w:val="3"/>
                <w:color w:val="auto"/>
              </w:rPr>
            </w:pPr>
          </w:p>
        </w:tc>
        <w:tc>
          <w:tcPr>
            <w:tcW w:w="932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1000" w:type="dxa"/>
            <w:vAlign w:val="bottom"/>
            <w:gridSpan w:val="2"/>
            <w:vMerge w:val="restart"/>
          </w:tcPr>
          <w:p>
            <w:pPr>
              <w:jc w:val="center"/>
              <w:ind w:right="64"/>
              <w:spacing w:after="0"/>
              <w:rPr>
                <w:sz w:val="20"/>
                <w:szCs w:val="20"/>
                <w:color w:val="auto"/>
              </w:rPr>
            </w:pPr>
            <w:r>
              <w:rPr>
                <w:rFonts w:ascii="Arial" w:cs="Arial" w:eastAsia="Arial" w:hAnsi="Arial"/>
                <w:sz w:val="18"/>
                <w:szCs w:val="18"/>
                <w:b w:val="1"/>
                <w:bCs w:val="1"/>
                <w:color w:val="auto"/>
                <w:w w:val="95"/>
              </w:rPr>
              <w:t>SHARES</w:t>
            </w:r>
          </w:p>
        </w:tc>
        <w:tc>
          <w:tcPr>
            <w:tcW w:w="14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9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600" w:type="dxa"/>
            <w:vAlign w:val="bottom"/>
            <w:tcBorders>
              <w:right w:val="single" w:sz="8" w:color="auto"/>
            </w:tcBorders>
            <w:gridSpan w:val="4"/>
          </w:tcPr>
          <w:p>
            <w:pPr>
              <w:jc w:val="center"/>
              <w:ind w:left="90"/>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320" w:type="dxa"/>
            <w:vAlign w:val="bottom"/>
            <w:vMerge w:val="restart"/>
          </w:tcPr>
          <w:p>
            <w:pPr>
              <w:ind w:left="40"/>
              <w:spacing w:after="0"/>
              <w:rPr>
                <w:sz w:val="20"/>
                <w:szCs w:val="20"/>
                <w:color w:val="auto"/>
              </w:rPr>
            </w:pPr>
            <w:r>
              <w:rPr>
                <w:rFonts w:ascii="Arial" w:cs="Arial" w:eastAsia="Arial" w:hAnsi="Arial"/>
                <w:sz w:val="22"/>
                <w:szCs w:val="22"/>
                <w:color w:val="auto"/>
              </w:rPr>
              <w:t>4,938,567</w:t>
            </w: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4"/>
        </w:trPr>
        <w:tc>
          <w:tcPr>
            <w:tcW w:w="146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rPr>
              <w:t>OWNED BY</w:t>
            </w:r>
          </w:p>
        </w:tc>
        <w:tc>
          <w:tcPr>
            <w:tcW w:w="140" w:type="dxa"/>
            <w:vAlign w:val="bottom"/>
            <w:tcBorders>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204"/>
              <w:spacing w:after="0" w:line="178" w:lineRule="exact"/>
              <w:rPr>
                <w:sz w:val="20"/>
                <w:szCs w:val="20"/>
                <w:color w:val="auto"/>
              </w:rPr>
            </w:pPr>
            <w:r>
              <w:rPr>
                <w:rFonts w:ascii="Arial" w:cs="Arial" w:eastAsia="Arial" w:hAnsi="Arial"/>
                <w:sz w:val="18"/>
                <w:szCs w:val="18"/>
                <w:b w:val="1"/>
                <w:bCs w:val="1"/>
                <w:color w:val="auto"/>
              </w:rPr>
              <w:t>EACH</w:t>
            </w:r>
          </w:p>
        </w:tc>
        <w:tc>
          <w:tcPr>
            <w:tcW w:w="14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jc w:val="center"/>
              <w:ind w:right="30"/>
              <w:spacing w:after="0" w:line="178" w:lineRule="exact"/>
              <w:rPr>
                <w:sz w:val="20"/>
                <w:szCs w:val="20"/>
                <w:color w:val="auto"/>
              </w:rPr>
            </w:pPr>
            <w:r>
              <w:rPr>
                <w:rFonts w:ascii="Arial" w:cs="Arial" w:eastAsia="Arial" w:hAnsi="Arial"/>
                <w:sz w:val="18"/>
                <w:szCs w:val="18"/>
                <w:color w:val="auto"/>
                <w:w w:val="92"/>
              </w:rPr>
              <w:t>7.</w:t>
            </w:r>
          </w:p>
        </w:tc>
        <w:tc>
          <w:tcPr>
            <w:tcW w:w="60" w:type="dxa"/>
            <w:vAlign w:val="bottom"/>
          </w:tcPr>
          <w:p>
            <w:pPr>
              <w:spacing w:after="0"/>
              <w:rPr>
                <w:sz w:val="15"/>
                <w:szCs w:val="15"/>
                <w:color w:val="auto"/>
              </w:rPr>
            </w:pPr>
          </w:p>
        </w:tc>
        <w:tc>
          <w:tcPr>
            <w:tcW w:w="9320" w:type="dxa"/>
            <w:vAlign w:val="bottom"/>
          </w:tcPr>
          <w:p>
            <w:pPr>
              <w:ind w:left="40"/>
              <w:spacing w:after="0" w:line="17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6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rPr>
              <w:t>REPORTING</w:t>
            </w:r>
          </w:p>
        </w:tc>
        <w:tc>
          <w:tcPr>
            <w:tcW w:w="1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60" w:type="dxa"/>
            <w:vAlign w:val="bottom"/>
          </w:tcPr>
          <w:p>
            <w:pPr>
              <w:spacing w:after="0"/>
              <w:rPr>
                <w:sz w:val="21"/>
                <w:szCs w:val="21"/>
                <w:color w:val="auto"/>
              </w:rPr>
            </w:pPr>
          </w:p>
        </w:tc>
        <w:tc>
          <w:tcPr>
            <w:tcW w:w="1000" w:type="dxa"/>
            <w:vAlign w:val="bottom"/>
            <w:gridSpan w:val="2"/>
          </w:tcPr>
          <w:p>
            <w:pPr>
              <w:jc w:val="center"/>
              <w:ind w:right="64"/>
              <w:spacing w:after="0"/>
              <w:rPr>
                <w:sz w:val="20"/>
                <w:szCs w:val="20"/>
                <w:color w:val="auto"/>
              </w:rPr>
            </w:pPr>
            <w:r>
              <w:rPr>
                <w:rFonts w:ascii="Arial" w:cs="Arial" w:eastAsia="Arial" w:hAnsi="Arial"/>
                <w:sz w:val="18"/>
                <w:szCs w:val="18"/>
                <w:b w:val="1"/>
                <w:bCs w:val="1"/>
                <w:color w:val="auto"/>
                <w:w w:val="94"/>
              </w:rPr>
              <w:t>PERSON</w:t>
            </w:r>
          </w:p>
        </w:tc>
        <w:tc>
          <w:tcPr>
            <w:tcW w:w="140" w:type="dxa"/>
            <w:vAlign w:val="bottom"/>
            <w:tcBorders>
              <w:right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320" w:type="dxa"/>
            <w:vAlign w:val="bottom"/>
          </w:tcPr>
          <w:p>
            <w:pPr>
              <w:ind w:left="40"/>
              <w:spacing w:after="0" w:line="248" w:lineRule="exact"/>
              <w:rPr>
                <w:sz w:val="20"/>
                <w:szCs w:val="20"/>
                <w:color w:val="auto"/>
              </w:rPr>
            </w:pPr>
            <w:r>
              <w:rPr>
                <w:rFonts w:ascii="Arial" w:cs="Arial" w:eastAsia="Arial" w:hAnsi="Arial"/>
                <w:sz w:val="22"/>
                <w:szCs w:val="22"/>
                <w:color w:val="auto"/>
              </w:rPr>
              <w:t>73,672</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68"/>
        </w:trPr>
        <w:tc>
          <w:tcPr>
            <w:tcW w:w="46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860" w:type="dxa"/>
            <w:vAlign w:val="bottom"/>
            <w:vMerge w:val="restart"/>
          </w:tcPr>
          <w:p>
            <w:pPr>
              <w:jc w:val="center"/>
              <w:ind w:right="204"/>
              <w:spacing w:after="0"/>
              <w:rPr>
                <w:sz w:val="20"/>
                <w:szCs w:val="20"/>
                <w:color w:val="auto"/>
              </w:rPr>
            </w:pPr>
            <w:r>
              <w:rPr>
                <w:rFonts w:ascii="Arial" w:cs="Arial" w:eastAsia="Arial" w:hAnsi="Arial"/>
                <w:sz w:val="18"/>
                <w:szCs w:val="18"/>
                <w:b w:val="1"/>
                <w:bCs w:val="1"/>
                <w:color w:val="auto"/>
              </w:rPr>
              <w:t>WITH:</w:t>
            </w:r>
          </w:p>
        </w:tc>
        <w:tc>
          <w:tcPr>
            <w:tcW w:w="140" w:type="dxa"/>
            <w:vAlign w:val="bottom"/>
            <w:tcBorders>
              <w:right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2"/>
              </w:rPr>
              <w:t>8.</w:t>
            </w:r>
          </w:p>
        </w:tc>
        <w:tc>
          <w:tcPr>
            <w:tcW w:w="60" w:type="dxa"/>
            <w:vAlign w:val="bottom"/>
          </w:tcPr>
          <w:p>
            <w:pPr>
              <w:spacing w:after="0"/>
              <w:rPr>
                <w:sz w:val="12"/>
                <w:szCs w:val="12"/>
                <w:color w:val="auto"/>
              </w:rPr>
            </w:pPr>
          </w:p>
        </w:tc>
        <w:tc>
          <w:tcPr>
            <w:tcW w:w="932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7"/>
        </w:trPr>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46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9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4"/>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4,938,567</w:t>
            </w: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19"/>
                <w:szCs w:val="19"/>
                <w:color w:val="auto"/>
              </w:rPr>
            </w:pPr>
          </w:p>
        </w:tc>
        <w:tc>
          <w:tcPr>
            <w:tcW w:w="10840" w:type="dxa"/>
            <w:vAlign w:val="bottom"/>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22"/>
                <w:szCs w:val="22"/>
                <w:color w:val="auto"/>
              </w:rPr>
              <w:t>5,012,239</w:t>
            </w:r>
            <w:r>
              <w:rPr>
                <w:rFonts w:ascii="Arial" w:cs="Arial" w:eastAsia="Arial" w:hAnsi="Arial"/>
                <w:sz w:val="18"/>
                <w:szCs w:val="18"/>
                <w:color w:val="auto"/>
              </w:rPr>
              <w:t>2</w:t>
            </w: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tcPr>
          <w:p>
            <w:pPr>
              <w:spacing w:after="0"/>
              <w:rPr>
                <w:sz w:val="24"/>
                <w:szCs w:val="24"/>
                <w:color w:val="auto"/>
              </w:rPr>
            </w:pPr>
          </w:p>
        </w:tc>
        <w:tc>
          <w:tcPr>
            <w:tcW w:w="10840" w:type="dxa"/>
            <w:vAlign w:val="bottom"/>
            <w:gridSpan w:val="5"/>
          </w:tcPr>
          <w:p>
            <w:pPr>
              <w:ind w:left="6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6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10840" w:type="dxa"/>
            <w:vAlign w:val="bottom"/>
            <w:tcBorders>
              <w:bottom w:val="single" w:sz="8" w:color="auto"/>
            </w:tcBorders>
            <w:gridSpan w:val="5"/>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19"/>
                <w:szCs w:val="19"/>
                <w:color w:val="auto"/>
              </w:rPr>
            </w:pPr>
          </w:p>
        </w:tc>
        <w:tc>
          <w:tcPr>
            <w:tcW w:w="10840" w:type="dxa"/>
            <w:vAlign w:val="bottom"/>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w w:val="92"/>
              </w:rPr>
              <w:t>7.419%</w:t>
            </w:r>
            <w:r>
              <w:rPr>
                <w:rFonts w:ascii="Arial" w:cs="Arial" w:eastAsia="Arial" w:hAnsi="Arial"/>
                <w:sz w:val="18"/>
                <w:szCs w:val="18"/>
                <w:color w:val="auto"/>
                <w:w w:val="92"/>
              </w:rPr>
              <w:t>4</w:t>
            </w: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19"/>
                <w:szCs w:val="19"/>
                <w:color w:val="auto"/>
              </w:rPr>
            </w:pPr>
          </w:p>
        </w:tc>
        <w:tc>
          <w:tcPr>
            <w:tcW w:w="10840" w:type="dxa"/>
            <w:vAlign w:val="bottom"/>
            <w:gridSpan w:val="5"/>
          </w:tcPr>
          <w:p>
            <w:pPr>
              <w:ind w:left="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IN</w:t>
            </w: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Reporting Persons expressly disclaim status as a “group” for purposes of this Schedule 13G.</w:t>
      </w:r>
    </w:p>
    <w:p>
      <w:pPr>
        <w:spacing w:after="0" w:line="22" w:lineRule="exact"/>
        <w:rPr>
          <w:sz w:val="20"/>
          <w:szCs w:val="20"/>
          <w:color w:val="auto"/>
        </w:rPr>
      </w:pPr>
    </w:p>
    <w:p>
      <w:pPr>
        <w:ind w:left="460" w:right="60" w:hanging="452"/>
        <w:spacing w:after="0" w:line="303" w:lineRule="auto"/>
        <w:tabs>
          <w:tab w:leader="none" w:pos="460" w:val="left"/>
        </w:tabs>
        <w:numPr>
          <w:ilvl w:val="0"/>
          <w:numId w:val="9"/>
        </w:numPr>
        <w:rPr>
          <w:rFonts w:ascii="Arial" w:cs="Arial" w:eastAsia="Arial" w:hAnsi="Arial"/>
          <w:sz w:val="14"/>
          <w:szCs w:val="14"/>
          <w:color w:val="auto"/>
        </w:rPr>
      </w:pPr>
      <w:r>
        <w:rPr>
          <w:rFonts w:ascii="Arial" w:cs="Arial" w:eastAsia="Arial" w:hAnsi="Arial"/>
          <w:sz w:val="16"/>
          <w:szCs w:val="16"/>
          <w:color w:val="auto"/>
        </w:rPr>
        <w:t>Consists entirely of shares of the Issuer’s Class B common stock held by The Marc R. Benioff Revocable Trust U/A/D 12/3/04. Each share of Class B common stock is entitled to ten votes per share and is convertible at any time into one share of Class A common stock. Mr. Benioff’s interest represents less than 1% of the outstanding equity interests of the Issuer. Mr. Benioff disclaims beneficial ownership of the Issuer’s Class A common stock and</w:t>
      </w:r>
    </w:p>
    <w:p>
      <w:pPr>
        <w:spacing w:after="0" w:line="15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6"/>
          <w:szCs w:val="16"/>
          <w:color w:val="auto"/>
        </w:rPr>
        <w:t>Consists of 4,761,905 shares of the Issuer’s Class A common stock and 176,662 shares of the Issuer’s Class B common stock held by Salesforce. Mr.</w:t>
      </w:r>
    </w:p>
    <w:p>
      <w:pPr>
        <w:spacing w:after="0" w:line="46" w:lineRule="exact"/>
        <w:rPr>
          <w:sz w:val="20"/>
          <w:szCs w:val="20"/>
          <w:color w:val="auto"/>
        </w:rPr>
      </w:pPr>
    </w:p>
    <w:p>
      <w:pPr>
        <w:ind w:left="460" w:right="360"/>
        <w:spacing w:after="0" w:line="250" w:lineRule="auto"/>
        <w:rPr>
          <w:sz w:val="20"/>
          <w:szCs w:val="20"/>
          <w:color w:val="auto"/>
        </w:rPr>
      </w:pPr>
      <w:r>
        <w:rPr>
          <w:rFonts w:ascii="Arial" w:cs="Arial" w:eastAsia="Arial" w:hAnsi="Arial"/>
          <w:sz w:val="18"/>
          <w:szCs w:val="18"/>
          <w:color w:val="auto"/>
        </w:rPr>
        <w:t>Benioff is the Chairman of the Board and Chief Executive Officer of Salesforce. By virtue of this relationship, Mr. Benioff may be deemed to share beneficial ownership of the shares of Class A common stock and Class B common stock of the Issuer held by Salesforce. Mr. Benioff disclaims beneficial ownership of the shares.</w:t>
      </w:r>
    </w:p>
    <w:p>
      <w:pPr>
        <w:ind w:left="460" w:right="280" w:hanging="452"/>
        <w:spacing w:after="0" w:line="289" w:lineRule="auto"/>
        <w:tabs>
          <w:tab w:leader="none" w:pos="460" w:val="left"/>
        </w:tabs>
        <w:numPr>
          <w:ilvl w:val="0"/>
          <w:numId w:val="11"/>
        </w:numPr>
        <w:rPr>
          <w:rFonts w:ascii="Arial" w:cs="Arial" w:eastAsia="Arial" w:hAnsi="Arial"/>
          <w:sz w:val="14"/>
          <w:szCs w:val="14"/>
          <w:color w:val="auto"/>
        </w:rPr>
      </w:pPr>
      <w:r>
        <w:rPr>
          <w:rFonts w:ascii="Arial" w:cs="Arial" w:eastAsia="Arial" w:hAnsi="Arial"/>
          <w:sz w:val="16"/>
          <w:szCs w:val="16"/>
          <w:color w:val="auto"/>
        </w:rPr>
        <w:t>The percentage is calculated based upon 67,562,820 outstanding Class A common shares, comprised of (i) 67,312,486 outstanding Class A common shares (including 14,733,333 Class A common shares subject to restricted stock awards) reported in the Issuer’s Prospectus Supplement filed under Rule 424(b)(4), filed with the Securities and Exchange Commission on March 23, 2018 relating to the Issuer’s Registration Statement on Form S-1 (Registration No. 333-223182), (ii) 176,662 Class B common shares (on an as-converted basis) held by Salesforce and (iii) 73,672 Class B common shares (on an as-converted basis) held by Mr. Benioff. The rights of the holders of Class A common stock and Class B common stock are identical, except with respect to voting and conversion. Each share of Class A common stock is entitled to one vote per share. Each share of Class B common stock is entitled to ten votes per share and is convertible at any time into one share of Class A common stock.</w:t>
      </w:r>
    </w:p>
    <w:p>
      <w:pPr>
        <w:sectPr>
          <w:pgSz w:w="11900" w:h="16838" w:orient="portrait"/>
          <w:cols w:equalWidth="0" w:num="1">
            <w:col w:w="11440"/>
          </w:cols>
          <w:pgMar w:left="240" w:top="274" w:right="219" w:bottom="1440" w:gutter="0" w:footer="0" w:header="0"/>
        </w:sectPr>
      </w:pPr>
    </w:p>
    <w:bookmarkStart w:id="3" w:name="page4"/>
    <w:bookmarkEnd w:id="3"/>
    <w:p>
      <w:pPr>
        <w:spacing w:after="0"/>
        <w:tabs>
          <w:tab w:leader="none" w:pos="5780" w:val="left"/>
          <w:tab w:leader="none" w:pos="10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26210C 10 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3 of 7</w:t>
      </w:r>
    </w:p>
    <w:p>
      <w:pPr>
        <w:spacing w:after="0" w:line="1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Dropbox, Inc., a Delaware corporation (“Issuer”)</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333 Brannan Street</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San Francisco, CA 94107</w:t>
      </w:r>
    </w:p>
    <w:p>
      <w:pPr>
        <w:spacing w:after="0" w:line="3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This Schedule 13G is filed jointly by:</w:t>
      </w:r>
    </w:p>
    <w:p>
      <w:pPr>
        <w:spacing w:after="0" w:line="117" w:lineRule="exact"/>
        <w:rPr>
          <w:sz w:val="20"/>
          <w:szCs w:val="20"/>
          <w:color w:val="auto"/>
        </w:rPr>
      </w:pPr>
    </w:p>
    <w:p>
      <w:pPr>
        <w:ind w:left="1300" w:hanging="26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salesforce.com, inc. (“Salesforce”)</w:t>
      </w:r>
    </w:p>
    <w:p>
      <w:pPr>
        <w:spacing w:after="0" w:line="117" w:lineRule="exact"/>
        <w:rPr>
          <w:rFonts w:ascii="Arial" w:cs="Arial" w:eastAsia="Arial" w:hAnsi="Arial"/>
          <w:sz w:val="18"/>
          <w:szCs w:val="18"/>
          <w:color w:val="auto"/>
        </w:rPr>
      </w:pPr>
    </w:p>
    <w:p>
      <w:pPr>
        <w:ind w:left="1300" w:hanging="26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Marc R. Benioff</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1300" w:hanging="26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principal business address of Salesforce is 1 Market Street, Suite 300, San Francisco, CA 94105.</w:t>
      </w:r>
    </w:p>
    <w:p>
      <w:pPr>
        <w:spacing w:after="0" w:line="117" w:lineRule="exact"/>
        <w:rPr>
          <w:rFonts w:ascii="Arial" w:cs="Arial" w:eastAsia="Arial" w:hAnsi="Arial"/>
          <w:sz w:val="18"/>
          <w:szCs w:val="18"/>
          <w:color w:val="auto"/>
        </w:rPr>
      </w:pPr>
    </w:p>
    <w:p>
      <w:pPr>
        <w:ind w:left="1300" w:hanging="26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principal business address of Mr. Marc R. Benioff is 1 Market Street, Suite 300, San Francisco, CA 94105.</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1300" w:hanging="26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Salesforce is a Delaware limited liability company.</w:t>
      </w:r>
    </w:p>
    <w:p>
      <w:pPr>
        <w:spacing w:after="0" w:line="117" w:lineRule="exact"/>
        <w:rPr>
          <w:rFonts w:ascii="Arial" w:cs="Arial" w:eastAsia="Arial" w:hAnsi="Arial"/>
          <w:sz w:val="18"/>
          <w:szCs w:val="18"/>
          <w:color w:val="auto"/>
        </w:rPr>
      </w:pPr>
    </w:p>
    <w:p>
      <w:pPr>
        <w:ind w:left="1300" w:hanging="26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Marc R. Benioff is a United States citizen.</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Class A common stock, par value $0.00001</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26210C 10 4</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35" w:lineRule="exact"/>
        <w:rPr>
          <w:sz w:val="20"/>
          <w:szCs w:val="20"/>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Broker or dealer registered under section 15 of the Act (15 U.S.C. 78o).</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Bank as defined in section 3(a)(6) of the Act (15 U.S.C. 78c).</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Insurance company as defined in section 3(a)(19) of the Act (15 U.S.C. 78c).</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Investment company registered under section 8 of the Investment Company Act of 1940 (15 U.S.C. 80a-8).</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investment adviser in accordance with §240.13d-1(b)(1)(ii)(E).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employee benefit plan or endowment fund in accordance with §240.13d-1(b)(1)(ii)(F).</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parent holding company or control person in accordance with § 240.13d-1(b)(1)(ii)(G).</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1480" w:right="200" w:hanging="567"/>
        <w:spacing w:after="0" w:line="277"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church plan that is excluded from the definition of an investment company under section 3(c)(14) of the Investment Company Act of 1940 (15 U.S.C. 80a-3).</w:t>
      </w:r>
    </w:p>
    <w:p>
      <w:pPr>
        <w:sectPr>
          <w:pgSz w:w="11900" w:h="16838" w:orient="portrait"/>
          <w:cols w:equalWidth="0" w:num="1">
            <w:col w:w="11420"/>
          </w:cols>
          <w:pgMar w:left="240" w:top="274" w:right="239" w:bottom="1440" w:gutter="0" w:footer="0" w:header="0"/>
        </w:sectPr>
      </w:pPr>
    </w:p>
    <w:bookmarkStart w:id="4" w:name="page5"/>
    <w:bookmarkEnd w:id="4"/>
    <w:p>
      <w:pPr>
        <w:spacing w:after="0"/>
        <w:tabs>
          <w:tab w:leader="none" w:pos="5780" w:val="left"/>
          <w:tab w:leader="none" w:pos="10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26210C 10 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4 of 7</w:t>
      </w:r>
    </w:p>
    <w:p>
      <w:pPr>
        <w:spacing w:after="0" w:line="158" w:lineRule="exact"/>
        <w:rPr>
          <w:sz w:val="20"/>
          <w:szCs w:val="20"/>
          <w:color w:val="auto"/>
        </w:rPr>
      </w:pPr>
    </w:p>
    <w:p>
      <w:pPr>
        <w:ind w:left="1480" w:hanging="567"/>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non-U.S. institution in accordance with §240.13d-1(b)(1)(ii)(J).</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Group, in accordance with §240.13d-1(b)(1)(ii)(K).</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154" w:lineRule="exact"/>
        <w:rPr>
          <w:sz w:val="20"/>
          <w:szCs w:val="20"/>
          <w:color w:val="auto"/>
        </w:rPr>
      </w:pPr>
    </w:p>
    <w:p>
      <w:pPr>
        <w:ind w:left="1480" w:hanging="567"/>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beneficially owned: 5,012,239</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Salesforce is the beneficial owner of 4,761,905 shares of Class A common stock and 176,662 shares of Class B common stock; and</w:t>
      </w:r>
    </w:p>
    <w:p>
      <w:pPr>
        <w:spacing w:after="0" w:line="140"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Mr. Marc R. Benioff is the beneficial owner of 4,761,905 shares of Class A common stock and 250,334 shares of Class B common stock.</w:t>
      </w:r>
    </w:p>
    <w:p>
      <w:pPr>
        <w:spacing w:after="0" w:line="154" w:lineRule="exact"/>
        <w:rPr>
          <w:sz w:val="20"/>
          <w:szCs w:val="20"/>
          <w:color w:val="auto"/>
        </w:rPr>
      </w:pPr>
    </w:p>
    <w:p>
      <w:pPr>
        <w:ind w:left="1480" w:hanging="567"/>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 7.419%</w:t>
      </w:r>
      <w:r>
        <w:rPr>
          <w:rFonts w:ascii="Arial" w:cs="Arial" w:eastAsia="Arial" w:hAnsi="Arial"/>
          <w:sz w:val="15"/>
          <w:szCs w:val="15"/>
          <w:color w:val="auto"/>
        </w:rPr>
        <w:t>1</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Salesforce is the beneficial owner of 7.310% of the outstanding shares of common stock; and</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Mr. Marc R. Benioff is the beneficial owner of 7.419% of the outstanding shares of common stock.</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1" w:lineRule="exact"/>
        <w:rPr>
          <w:sz w:val="20"/>
          <w:szCs w:val="20"/>
          <w:color w:val="auto"/>
        </w:rPr>
      </w:pPr>
    </w:p>
    <w:p>
      <w:pPr>
        <w:ind w:left="2040" w:hanging="438"/>
        <w:spacing w:after="0"/>
        <w:tabs>
          <w:tab w:leader="none" w:pos="2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17" w:lineRule="exact"/>
        <w:rPr>
          <w:sz w:val="20"/>
          <w:szCs w:val="20"/>
          <w:color w:val="auto"/>
        </w:rPr>
      </w:pPr>
    </w:p>
    <w:p>
      <w:pPr>
        <w:ind w:left="2400" w:right="280"/>
        <w:spacing w:after="0" w:line="277" w:lineRule="auto"/>
        <w:rPr>
          <w:sz w:val="20"/>
          <w:szCs w:val="20"/>
          <w:color w:val="auto"/>
        </w:rPr>
      </w:pPr>
      <w:r>
        <w:rPr>
          <w:rFonts w:ascii="Arial" w:cs="Arial" w:eastAsia="Arial" w:hAnsi="Arial"/>
          <w:sz w:val="18"/>
          <w:szCs w:val="18"/>
          <w:color w:val="auto"/>
        </w:rPr>
        <w:t>Salesforce has the sole power to vote or to direct the vote over 0 shares of Class A common stock and 0 shares of Class B common stock; and</w:t>
      </w:r>
    </w:p>
    <w:p>
      <w:pPr>
        <w:spacing w:after="0" w:line="62" w:lineRule="exact"/>
        <w:rPr>
          <w:sz w:val="20"/>
          <w:szCs w:val="20"/>
          <w:color w:val="auto"/>
        </w:rPr>
      </w:pPr>
    </w:p>
    <w:p>
      <w:pPr>
        <w:ind w:left="2400" w:right="420"/>
        <w:spacing w:after="0" w:line="277" w:lineRule="auto"/>
        <w:rPr>
          <w:sz w:val="20"/>
          <w:szCs w:val="20"/>
          <w:color w:val="auto"/>
        </w:rPr>
      </w:pPr>
      <w:r>
        <w:rPr>
          <w:rFonts w:ascii="Arial" w:cs="Arial" w:eastAsia="Arial" w:hAnsi="Arial"/>
          <w:sz w:val="18"/>
          <w:szCs w:val="18"/>
          <w:color w:val="auto"/>
        </w:rPr>
        <w:t>Mr. Marc R. Benioff has the sole power to vote or to direct the vote over 0 shares of Class A common stock and 73,672 shares of Class B common stock.</w:t>
      </w:r>
    </w:p>
    <w:p>
      <w:pPr>
        <w:spacing w:after="0" w:line="76" w:lineRule="exact"/>
        <w:rPr>
          <w:sz w:val="20"/>
          <w:szCs w:val="20"/>
          <w:color w:val="auto"/>
        </w:rPr>
      </w:pPr>
    </w:p>
    <w:p>
      <w:pPr>
        <w:ind w:left="2040" w:hanging="438"/>
        <w:spacing w:after="0"/>
        <w:tabs>
          <w:tab w:leader="none" w:pos="2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17" w:lineRule="exact"/>
        <w:rPr>
          <w:sz w:val="20"/>
          <w:szCs w:val="20"/>
          <w:color w:val="auto"/>
        </w:rPr>
      </w:pPr>
    </w:p>
    <w:p>
      <w:pPr>
        <w:ind w:left="2400" w:right="260"/>
        <w:spacing w:after="0" w:line="277" w:lineRule="auto"/>
        <w:rPr>
          <w:sz w:val="20"/>
          <w:szCs w:val="20"/>
          <w:color w:val="auto"/>
        </w:rPr>
      </w:pPr>
      <w:r>
        <w:rPr>
          <w:rFonts w:ascii="Arial" w:cs="Arial" w:eastAsia="Arial" w:hAnsi="Arial"/>
          <w:sz w:val="18"/>
          <w:szCs w:val="18"/>
          <w:color w:val="auto"/>
        </w:rPr>
        <w:t>Salesforce has the shared power to vote or to direct the vote over 4,761,905 shares of Class A common stock and 176,662 shares of Class B common stock; and</w:t>
      </w:r>
    </w:p>
    <w:p>
      <w:pPr>
        <w:spacing w:after="0" w:line="62" w:lineRule="exact"/>
        <w:rPr>
          <w:sz w:val="20"/>
          <w:szCs w:val="20"/>
          <w:color w:val="auto"/>
        </w:rPr>
      </w:pPr>
    </w:p>
    <w:p>
      <w:pPr>
        <w:ind w:left="2400" w:right="160"/>
        <w:spacing w:after="0" w:line="277" w:lineRule="auto"/>
        <w:rPr>
          <w:sz w:val="20"/>
          <w:szCs w:val="20"/>
          <w:color w:val="auto"/>
        </w:rPr>
      </w:pPr>
      <w:r>
        <w:rPr>
          <w:rFonts w:ascii="Arial" w:cs="Arial" w:eastAsia="Arial" w:hAnsi="Arial"/>
          <w:sz w:val="18"/>
          <w:szCs w:val="18"/>
          <w:color w:val="auto"/>
        </w:rPr>
        <w:t>Mr. Marc R. Benioff has the shared power to vote or to direct the vote over 4,761,905 shares of Class A common stock and 176,662 shares of Class B common stock.</w:t>
      </w:r>
    </w:p>
    <w:p>
      <w:pPr>
        <w:spacing w:after="0" w:line="76" w:lineRule="exact"/>
        <w:rPr>
          <w:sz w:val="20"/>
          <w:szCs w:val="20"/>
          <w:color w:val="auto"/>
        </w:rPr>
      </w:pPr>
    </w:p>
    <w:p>
      <w:pPr>
        <w:ind w:left="1600"/>
        <w:spacing w:after="0"/>
        <w:tabs>
          <w:tab w:leader="none" w:pos="202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Sole power to dispose or to direct the disposition of:</w:t>
      </w:r>
    </w:p>
    <w:p>
      <w:pPr>
        <w:spacing w:after="0" w:line="117" w:lineRule="exact"/>
        <w:rPr>
          <w:sz w:val="20"/>
          <w:szCs w:val="20"/>
          <w:color w:val="auto"/>
        </w:rPr>
      </w:pPr>
    </w:p>
    <w:p>
      <w:pPr>
        <w:ind w:left="2400" w:right="340"/>
        <w:spacing w:after="0" w:line="277" w:lineRule="auto"/>
        <w:rPr>
          <w:sz w:val="20"/>
          <w:szCs w:val="20"/>
          <w:color w:val="auto"/>
        </w:rPr>
      </w:pPr>
      <w:r>
        <w:rPr>
          <w:rFonts w:ascii="Arial" w:cs="Arial" w:eastAsia="Arial" w:hAnsi="Arial"/>
          <w:sz w:val="18"/>
          <w:szCs w:val="18"/>
          <w:color w:val="auto"/>
        </w:rPr>
        <w:t>Salesforce has the sole power to dispose or to direct the disposition of 0 shares of Class A common stock and 0 shares of Class B common stock; and</w:t>
      </w:r>
    </w:p>
    <w:p>
      <w:pPr>
        <w:spacing w:after="0" w:line="62" w:lineRule="exact"/>
        <w:rPr>
          <w:sz w:val="20"/>
          <w:szCs w:val="20"/>
          <w:color w:val="auto"/>
        </w:rPr>
      </w:pPr>
    </w:p>
    <w:p>
      <w:pPr>
        <w:ind w:left="2400" w:right="420"/>
        <w:spacing w:after="0" w:line="277" w:lineRule="auto"/>
        <w:rPr>
          <w:sz w:val="20"/>
          <w:szCs w:val="20"/>
          <w:color w:val="auto"/>
        </w:rPr>
      </w:pPr>
      <w:r>
        <w:rPr>
          <w:rFonts w:ascii="Arial" w:cs="Arial" w:eastAsia="Arial" w:hAnsi="Arial"/>
          <w:sz w:val="18"/>
          <w:szCs w:val="18"/>
          <w:color w:val="auto"/>
        </w:rPr>
        <w:t>Mr. Marc R. Benioff has the sole power to dispose or to direct the disposition of 0 shares of Class A common stock and 73,672 shares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right="280" w:hanging="452"/>
        <w:spacing w:after="0" w:line="291"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6"/>
          <w:szCs w:val="16"/>
          <w:color w:val="auto"/>
        </w:rPr>
        <w:t>The percentage is calculated based upon 67,562,820 outstanding Class A common shares, comprised of (i) 67,312,486 outstanding Class A common shares (including 14,733,333 Class A common shares subject to restricted stock awards) reported in the Issuer’s Prospectus Supplement filed under Rule 424(b)(4), filed with the Securities and Exchange Commission on March 23, 2018 relating to the Issuer’s Registration Statement on Form S-1 (Registration No. 333-223182), (ii) 176,662 Class B common shares (on an as-converted basis) held by Salesforce and (iii) 73,672 Class B common shares (on an as-converted basis) held by Mr. Benioff. The rights of the holders of Class A common stock and Class B common stock are identical, except with respect to voting and conversion. Each share of Class A common stock is entitled to one vote per share. Each share of Class B common stock is entitled to ten votes per share and is convertible at any time into one share of Class A common stock.</w:t>
      </w:r>
    </w:p>
    <w:p>
      <w:pPr>
        <w:sectPr>
          <w:pgSz w:w="11900" w:h="16838" w:orient="portrait"/>
          <w:cols w:equalWidth="0" w:num="1">
            <w:col w:w="11420"/>
          </w:cols>
          <w:pgMar w:left="240" w:top="274" w:right="239" w:bottom="1440" w:gutter="0" w:footer="0" w:header="0"/>
        </w:sectPr>
      </w:pPr>
    </w:p>
    <w:bookmarkStart w:id="5" w:name="page6"/>
    <w:bookmarkEnd w:id="5"/>
    <w:p>
      <w:pPr>
        <w:spacing w:after="0"/>
        <w:tabs>
          <w:tab w:leader="none" w:pos="5780" w:val="left"/>
          <w:tab w:leader="none" w:pos="10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26210C 10 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5 of 7</w:t>
      </w:r>
    </w:p>
    <w:p>
      <w:pPr>
        <w:spacing w:after="0" w:line="158" w:lineRule="exact"/>
        <w:rPr>
          <w:sz w:val="20"/>
          <w:szCs w:val="20"/>
          <w:color w:val="auto"/>
        </w:rPr>
      </w:pPr>
    </w:p>
    <w:p>
      <w:pPr>
        <w:ind w:left="2040" w:hanging="438"/>
        <w:spacing w:after="0"/>
        <w:tabs>
          <w:tab w:leader="none" w:pos="2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17" w:lineRule="exact"/>
        <w:rPr>
          <w:sz w:val="20"/>
          <w:szCs w:val="20"/>
          <w:color w:val="auto"/>
        </w:rPr>
      </w:pPr>
    </w:p>
    <w:p>
      <w:pPr>
        <w:ind w:left="2400" w:right="340"/>
        <w:spacing w:after="0" w:line="277" w:lineRule="auto"/>
        <w:rPr>
          <w:sz w:val="20"/>
          <w:szCs w:val="20"/>
          <w:color w:val="auto"/>
        </w:rPr>
      </w:pPr>
      <w:r>
        <w:rPr>
          <w:rFonts w:ascii="Arial" w:cs="Arial" w:eastAsia="Arial" w:hAnsi="Arial"/>
          <w:sz w:val="18"/>
          <w:szCs w:val="18"/>
          <w:color w:val="auto"/>
        </w:rPr>
        <w:t>Salesforce has the shared power to dispose or to direct the disposition of 4,761,905 shares of Class A common stock and 176,662 shares of Class B common stock; and</w:t>
      </w:r>
    </w:p>
    <w:p>
      <w:pPr>
        <w:spacing w:after="0" w:line="62" w:lineRule="exact"/>
        <w:rPr>
          <w:sz w:val="20"/>
          <w:szCs w:val="20"/>
          <w:color w:val="auto"/>
        </w:rPr>
      </w:pPr>
    </w:p>
    <w:p>
      <w:pPr>
        <w:ind w:left="2400" w:right="340"/>
        <w:spacing w:after="0" w:line="277" w:lineRule="auto"/>
        <w:rPr>
          <w:sz w:val="20"/>
          <w:szCs w:val="20"/>
          <w:color w:val="auto"/>
        </w:rPr>
      </w:pPr>
      <w:r>
        <w:rPr>
          <w:rFonts w:ascii="Arial" w:cs="Arial" w:eastAsia="Arial" w:hAnsi="Arial"/>
          <w:sz w:val="18"/>
          <w:szCs w:val="18"/>
          <w:color w:val="auto"/>
        </w:rPr>
        <w:t>Mr. Marc R. Benioff has the shared power to dispose or to direct the disposition of 4,761,905 shares of Class A common stock and 176,662 shares of Class B common stock.</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40" w:right="4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jc w:val="both"/>
        <w:ind w:left="1040" w:right="100"/>
        <w:spacing w:after="0" w:line="277" w:lineRule="auto"/>
        <w:rPr>
          <w:sz w:val="20"/>
          <w:szCs w:val="20"/>
          <w:color w:val="auto"/>
        </w:rPr>
      </w:pPr>
      <w:r>
        <w:rPr>
          <w:rFonts w:ascii="Arial" w:cs="Arial" w:eastAsia="Arial" w:hAnsi="Arial"/>
          <w:sz w:val="18"/>
          <w:szCs w:val="18"/>
          <w:color w:val="auto"/>
        </w:rPr>
        <w:t>Salesforce Ventures LLC, a Delaware limited liability company and a wholly owned subsidiary of Salesforce, is the record owner of 4,761,905 shares of Class A common stock and 176,662 shares of Class B common stock beneficially owned by Salesforce.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jc w:val="both"/>
        <w:ind w:left="1040" w:right="1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420"/>
          </w:cols>
          <w:pgMar w:left="240" w:top="274" w:right="239" w:bottom="1440" w:gutter="0" w:footer="0" w:header="0"/>
        </w:sectPr>
      </w:pPr>
    </w:p>
    <w:bookmarkStart w:id="6" w:name="page7"/>
    <w:bookmarkEnd w:id="6"/>
    <w:p>
      <w:pPr>
        <w:spacing w:after="0"/>
        <w:tabs>
          <w:tab w:leader="none" w:pos="5780" w:val="left"/>
          <w:tab w:leader="none" w:pos="10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26210C 10 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6 of 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each of the undersigned certifies that the information set forth in this statement is true, complete and correct.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SALESFORCE.COM, INC.</w:t>
            </w:r>
          </w:p>
        </w:tc>
        <w:tc>
          <w:tcPr>
            <w:tcW w:w="1820" w:type="dxa"/>
            <w:vAlign w:val="bottom"/>
          </w:tcPr>
          <w:p>
            <w:pPr>
              <w:spacing w:after="0"/>
              <w:rPr>
                <w:sz w:val="20"/>
                <w:szCs w:val="20"/>
                <w:color w:val="auto"/>
              </w:rPr>
            </w:pPr>
          </w:p>
        </w:tc>
      </w:tr>
      <w:tr>
        <w:trPr>
          <w:trHeight w:val="432"/>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Amy Weaver</w:t>
            </w:r>
          </w:p>
        </w:tc>
        <w:tc>
          <w:tcPr>
            <w:tcW w:w="1820" w:type="dxa"/>
            <w:vAlign w:val="bottom"/>
          </w:tcPr>
          <w:p>
            <w:pPr>
              <w:ind w:left="680"/>
              <w:spacing w:after="0"/>
              <w:rPr>
                <w:sz w:val="20"/>
                <w:szCs w:val="20"/>
                <w:color w:val="auto"/>
              </w:rPr>
            </w:pPr>
            <w:r>
              <w:rPr>
                <w:rFonts w:ascii="Arial" w:cs="Arial" w:eastAsia="Arial" w:hAnsi="Arial"/>
                <w:sz w:val="18"/>
                <w:szCs w:val="18"/>
                <w:color w:val="auto"/>
                <w:w w:val="89"/>
              </w:rPr>
              <w:t>March 30, 2018</w:t>
            </w:r>
          </w:p>
        </w:tc>
      </w:tr>
      <w:tr>
        <w:trPr>
          <w:trHeight w:val="195"/>
        </w:trPr>
        <w:tc>
          <w:tcPr>
            <w:tcW w:w="5380" w:type="dxa"/>
            <w:vAlign w:val="bottom"/>
          </w:tcPr>
          <w:p>
            <w:pPr>
              <w:spacing w:after="0" w:line="195" w:lineRule="exact"/>
              <w:rPr>
                <w:sz w:val="20"/>
                <w:szCs w:val="20"/>
                <w:color w:val="auto"/>
              </w:rPr>
            </w:pPr>
            <w:r>
              <w:rPr>
                <w:rFonts w:ascii="Arial" w:cs="Arial" w:eastAsia="Arial" w:hAnsi="Arial"/>
                <w:sz w:val="18"/>
                <w:szCs w:val="18"/>
                <w:color w:val="auto"/>
              </w:rPr>
              <w:t>Amy Weaver</w:t>
            </w:r>
          </w:p>
        </w:tc>
        <w:tc>
          <w:tcPr>
            <w:tcW w:w="1820" w:type="dxa"/>
            <w:vAlign w:val="bottom"/>
          </w:tcPr>
          <w:p>
            <w:pPr>
              <w:spacing w:after="0"/>
              <w:rPr>
                <w:sz w:val="16"/>
                <w:szCs w:val="16"/>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President, Legal, General Counsel and Secretary</w:t>
            </w:r>
          </w:p>
        </w:tc>
        <w:tc>
          <w:tcPr>
            <w:tcW w:w="1820" w:type="dxa"/>
            <w:vAlign w:val="bottom"/>
          </w:tcPr>
          <w:p>
            <w:pPr>
              <w:spacing w:after="0"/>
              <w:rPr>
                <w:sz w:val="20"/>
                <w:szCs w:val="20"/>
                <w:color w:val="auto"/>
              </w:rPr>
            </w:pPr>
          </w:p>
        </w:tc>
      </w:tr>
      <w:tr>
        <w:trPr>
          <w:trHeight w:val="459"/>
        </w:trPr>
        <w:tc>
          <w:tcPr>
            <w:tcW w:w="5380" w:type="dxa"/>
            <w:vAlign w:val="bottom"/>
          </w:tcPr>
          <w:p>
            <w:pPr>
              <w:spacing w:after="0"/>
              <w:rPr>
                <w:sz w:val="20"/>
                <w:szCs w:val="20"/>
                <w:color w:val="auto"/>
              </w:rPr>
            </w:pPr>
            <w:r>
              <w:rPr>
                <w:rFonts w:ascii="Arial" w:cs="Arial" w:eastAsia="Arial" w:hAnsi="Arial"/>
                <w:sz w:val="18"/>
                <w:szCs w:val="18"/>
                <w:color w:val="auto"/>
              </w:rPr>
              <w:t>MARC R. BENIOFF</w:t>
            </w:r>
          </w:p>
        </w:tc>
        <w:tc>
          <w:tcPr>
            <w:tcW w:w="1820" w:type="dxa"/>
            <w:vAlign w:val="bottom"/>
          </w:tcPr>
          <w:p>
            <w:pPr>
              <w:spacing w:after="0"/>
              <w:rPr>
                <w:sz w:val="24"/>
                <w:szCs w:val="24"/>
                <w:color w:val="auto"/>
              </w:rPr>
            </w:pPr>
          </w:p>
        </w:tc>
      </w:tr>
      <w:tr>
        <w:trPr>
          <w:trHeight w:val="432"/>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Siamas</w:t>
            </w:r>
          </w:p>
        </w:tc>
        <w:tc>
          <w:tcPr>
            <w:tcW w:w="1820" w:type="dxa"/>
            <w:vAlign w:val="bottom"/>
          </w:tcPr>
          <w:p>
            <w:pPr>
              <w:ind w:left="680"/>
              <w:spacing w:after="0"/>
              <w:rPr>
                <w:sz w:val="20"/>
                <w:szCs w:val="20"/>
                <w:color w:val="auto"/>
              </w:rPr>
            </w:pPr>
            <w:r>
              <w:rPr>
                <w:rFonts w:ascii="Arial" w:cs="Arial" w:eastAsia="Arial" w:hAnsi="Arial"/>
                <w:sz w:val="18"/>
                <w:szCs w:val="18"/>
                <w:color w:val="auto"/>
                <w:w w:val="89"/>
              </w:rPr>
              <w:t>March 30, 2018</w:t>
            </w: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Attorney-in-fact for Marc R. Benioff</w:t>
            </w:r>
          </w:p>
        </w:tc>
        <w:tc>
          <w:tcPr>
            <w:tcW w:w="182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800" w:type="dxa"/>
            <w:vAlign w:val="bottom"/>
            <w:gridSpan w:val="4"/>
          </w:tcPr>
          <w:p>
            <w:pPr>
              <w:spacing w:after="0"/>
              <w:rPr>
                <w:sz w:val="20"/>
                <w:szCs w:val="20"/>
                <w:color w:val="auto"/>
              </w:rPr>
            </w:pPr>
            <w:r>
              <w:rPr>
                <w:rFonts w:ascii="Arial" w:cs="Arial" w:eastAsia="Arial" w:hAnsi="Arial"/>
                <w:sz w:val="18"/>
                <w:szCs w:val="18"/>
                <w:color w:val="auto"/>
              </w:rPr>
              <w:t>CUSIP No. 26210C 10 4</w:t>
            </w:r>
          </w:p>
        </w:tc>
        <w:tc>
          <w:tcPr>
            <w:tcW w:w="4900" w:type="dxa"/>
            <w:vAlign w:val="bottom"/>
          </w:tcPr>
          <w:p>
            <w:pPr>
              <w:ind w:left="2000"/>
              <w:spacing w:after="0"/>
              <w:rPr>
                <w:sz w:val="20"/>
                <w:szCs w:val="20"/>
                <w:color w:val="auto"/>
              </w:rPr>
            </w:pPr>
            <w:r>
              <w:rPr>
                <w:rFonts w:ascii="Arial" w:cs="Arial" w:eastAsia="Arial" w:hAnsi="Arial"/>
                <w:sz w:val="18"/>
                <w:szCs w:val="18"/>
                <w:color w:val="auto"/>
              </w:rPr>
              <w:t>13G</w:t>
            </w:r>
          </w:p>
        </w:tc>
        <w:tc>
          <w:tcPr>
            <w:tcW w:w="2720" w:type="dxa"/>
            <w:vAlign w:val="bottom"/>
          </w:tcPr>
          <w:p>
            <w:pPr>
              <w:ind w:left="1900"/>
              <w:spacing w:after="0"/>
              <w:rPr>
                <w:sz w:val="20"/>
                <w:szCs w:val="20"/>
                <w:color w:val="auto"/>
              </w:rPr>
            </w:pPr>
            <w:r>
              <w:rPr>
                <w:rFonts w:ascii="Arial" w:cs="Arial" w:eastAsia="Arial" w:hAnsi="Arial"/>
                <w:sz w:val="18"/>
                <w:szCs w:val="18"/>
                <w:color w:val="auto"/>
                <w:w w:val="86"/>
              </w:rPr>
              <w:t>Page 7 of 7</w:t>
            </w:r>
          </w:p>
        </w:tc>
      </w:tr>
      <w:tr>
        <w:trPr>
          <w:trHeight w:val="31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ind w:left="2300"/>
              <w:spacing w:after="0"/>
              <w:rPr>
                <w:sz w:val="20"/>
                <w:szCs w:val="20"/>
                <w:color w:val="auto"/>
              </w:rPr>
            </w:pPr>
            <w:r>
              <w:rPr>
                <w:rFonts w:ascii="Arial" w:cs="Arial" w:eastAsia="Arial" w:hAnsi="Arial"/>
                <w:sz w:val="14"/>
                <w:szCs w:val="14"/>
                <w:b w:val="1"/>
                <w:bCs w:val="1"/>
                <w:color w:val="auto"/>
              </w:rPr>
              <w:t>Description</w:t>
            </w:r>
          </w:p>
        </w:tc>
        <w:tc>
          <w:tcPr>
            <w:tcW w:w="2720" w:type="dxa"/>
            <w:vAlign w:val="bottom"/>
            <w:tcBorders>
              <w:bottom w:val="single" w:sz="8" w:color="auto"/>
            </w:tcBorders>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380" w:type="dxa"/>
            <w:vAlign w:val="bottom"/>
          </w:tcPr>
          <w:p>
            <w:pPr>
              <w:spacing w:after="0"/>
              <w:rPr>
                <w:sz w:val="24"/>
                <w:szCs w:val="24"/>
                <w:color w:val="auto"/>
              </w:rPr>
            </w:pPr>
          </w:p>
        </w:tc>
        <w:tc>
          <w:tcPr>
            <w:tcW w:w="7600" w:type="dxa"/>
            <w:vAlign w:val="bottom"/>
            <w:gridSpan w:val="3"/>
          </w:tcPr>
          <w:p>
            <w:pPr>
              <w:ind w:left="400"/>
              <w:spacing w:after="0"/>
              <w:rPr>
                <w:sz w:val="20"/>
                <w:szCs w:val="20"/>
                <w:color w:val="auto"/>
              </w:rPr>
            </w:pPr>
            <w:r>
              <w:rPr>
                <w:rFonts w:ascii="Arial" w:cs="Arial" w:eastAsia="Arial" w:hAnsi="Arial"/>
                <w:sz w:val="18"/>
                <w:szCs w:val="18"/>
                <w:color w:val="auto"/>
              </w:rPr>
              <w:t>Power-of-Attorney granted by Marc R. Benioff, dated March 30, 2018.</w:t>
            </w:r>
          </w:p>
        </w:tc>
        <w:tc>
          <w:tcPr>
            <w:tcW w:w="27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LIMITED POWER OF ATTORNEY</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FOR SECTION 16(a) REPORTING</w:t>
      </w:r>
    </w:p>
    <w:p>
      <w:pPr>
        <w:spacing w:after="0" w:line="211"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KNOW ALL PERSONS BY THESE PRESENTS, that the undersigned hereby makes, constitutes and appoints Amy Weaver, Sarah Dods, Scott Siamas and Lisa Yun, and each of them, as the undersigned’s true and lawful attorney-in-fact (the “Attorney-in-Fact”), with full power of substitution and resubstitution, with the power to act alone for the undersigned and in the undersigned’s name, place and stead, in any and all capacities to:</w:t>
      </w:r>
    </w:p>
    <w:p>
      <w:pPr>
        <w:spacing w:after="0" w:line="39" w:lineRule="exact"/>
        <w:rPr>
          <w:sz w:val="20"/>
          <w:szCs w:val="20"/>
          <w:color w:val="auto"/>
        </w:rPr>
      </w:pPr>
    </w:p>
    <w:p>
      <w:pPr>
        <w:ind w:right="220" w:firstLine="464"/>
        <w:spacing w:after="0" w:line="259" w:lineRule="auto"/>
        <w:tabs>
          <w:tab w:leader="none" w:pos="771"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prepare, execute and file with the Securities and Exchange Commission, any national securities exchange or securities quotation system and Dropbox, Inc. (the “Company”) any and all reports (including any amendment thereto) of the undersigned required or considered advisable under Section 16(a) of the Securities Exchange Act of 1934 (the “Exchange Act”) and the rules and regulations thereunder, with respect to the equity securities of the Company, including Form ID, Schedule 13G and Forms 3, 4 and 5; and</w:t>
      </w:r>
    </w:p>
    <w:p>
      <w:pPr>
        <w:spacing w:after="0" w:line="78" w:lineRule="exact"/>
        <w:rPr>
          <w:rFonts w:ascii="Arial" w:cs="Arial" w:eastAsia="Arial" w:hAnsi="Arial"/>
          <w:sz w:val="18"/>
          <w:szCs w:val="18"/>
          <w:color w:val="auto"/>
        </w:rPr>
      </w:pPr>
    </w:p>
    <w:p>
      <w:pPr>
        <w:ind w:right="140" w:firstLine="464"/>
        <w:spacing w:after="0" w:line="308" w:lineRule="auto"/>
        <w:tabs>
          <w:tab w:leader="none" w:pos="771"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obtain, as the undersigned’s representative and on the undersigned’s behalf, information regarding transactions in the Company’s equity securities from any third party, and the undersigned hereby authorizes any such third party to release any such information to the Attorney-in-Fact.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acknowledges that:</w:t>
      </w:r>
    </w:p>
    <w:p>
      <w:pPr>
        <w:spacing w:after="0" w:line="117" w:lineRule="exact"/>
        <w:rPr>
          <w:sz w:val="20"/>
          <w:szCs w:val="20"/>
          <w:color w:val="auto"/>
        </w:rPr>
      </w:pPr>
    </w:p>
    <w:p>
      <w:pPr>
        <w:ind w:right="40" w:firstLine="464"/>
        <w:spacing w:after="0" w:line="277" w:lineRule="auto"/>
        <w:tabs>
          <w:tab w:leader="none" w:pos="77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62" w:lineRule="exact"/>
        <w:rPr>
          <w:rFonts w:ascii="Arial" w:cs="Arial" w:eastAsia="Arial" w:hAnsi="Arial"/>
          <w:sz w:val="18"/>
          <w:szCs w:val="18"/>
          <w:color w:val="auto"/>
        </w:rPr>
      </w:pPr>
    </w:p>
    <w:p>
      <w:pPr>
        <w:ind w:right="280" w:firstLine="464"/>
        <w:spacing w:after="0" w:line="308" w:lineRule="auto"/>
        <w:tabs>
          <w:tab w:leader="none" w:pos="771"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38" w:lineRule="exact"/>
        <w:rPr>
          <w:rFonts w:ascii="Arial" w:cs="Arial" w:eastAsia="Arial" w:hAnsi="Arial"/>
          <w:sz w:val="17"/>
          <w:szCs w:val="17"/>
          <w:color w:val="auto"/>
        </w:rPr>
      </w:pPr>
    </w:p>
    <w:p>
      <w:pPr>
        <w:ind w:right="420" w:firstLine="464"/>
        <w:spacing w:after="0" w:line="264" w:lineRule="auto"/>
        <w:tabs>
          <w:tab w:leader="none" w:pos="771"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73" w:lineRule="exact"/>
        <w:rPr>
          <w:rFonts w:ascii="Arial" w:cs="Arial" w:eastAsia="Arial" w:hAnsi="Arial"/>
          <w:sz w:val="18"/>
          <w:szCs w:val="18"/>
          <w:color w:val="auto"/>
        </w:rPr>
      </w:pPr>
    </w:p>
    <w:p>
      <w:pPr>
        <w:ind w:right="480" w:firstLine="464"/>
        <w:spacing w:after="0" w:line="308" w:lineRule="auto"/>
        <w:tabs>
          <w:tab w:leader="none" w:pos="77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14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This Limited Power of Attorney shall be governed and construed in accordance the laws of the State of California without regard to conflict-of-law principles.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Limited Power of Attorney as of March 30, 2018.</w:t>
      </w:r>
    </w:p>
    <w:p>
      <w:pPr>
        <w:spacing w:after="0" w:line="200" w:lineRule="exact"/>
        <w:rPr>
          <w:sz w:val="20"/>
          <w:szCs w:val="20"/>
          <w:color w:val="auto"/>
        </w:rPr>
      </w:pPr>
    </w:p>
    <w:p>
      <w:pPr>
        <w:spacing w:after="0" w:line="268"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Signature:</w:t>
            </w:r>
          </w:p>
        </w:tc>
        <w:tc>
          <w:tcPr>
            <w:tcW w:w="35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/s/ Marc Benioff</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Print Name:</w:t>
            </w:r>
          </w:p>
        </w:tc>
        <w:tc>
          <w:tcPr>
            <w:tcW w:w="35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Marc Benioff</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bullet"/>
      <w:start w:val="1"/>
    </w:lvl>
  </w:abstractNum>
  <w:abstractNum w:abstractNumId="5">
    <w:nsid w:val="1BEFD79F"/>
    <w:multiLevelType w:val="hybridMultilevel"/>
    <w:lvl w:ilvl="0">
      <w:lvlJc w:val="left"/>
      <w:lvlText w:val="2"/>
      <w:numFmt w:val="bullet"/>
      <w:start w:val="1"/>
    </w:lvl>
  </w:abstractNum>
  <w:abstractNum w:abstractNumId="6">
    <w:nsid w:val="41A7C4C9"/>
    <w:multiLevelType w:val="hybridMultilevel"/>
    <w:lvl w:ilvl="0">
      <w:lvlJc w:val="left"/>
      <w:lvlText w:val="3"/>
      <w:numFmt w:val="bullet"/>
      <w:start w:val="1"/>
    </w:lvl>
  </w:abstractNum>
  <w:abstractNum w:abstractNumId="7">
    <w:nsid w:val="6B68079A"/>
    <w:multiLevelType w:val="hybridMultilevel"/>
    <w:lvl w:ilvl="0">
      <w:lvlJc w:val="left"/>
      <w:lvlText w:val="1"/>
      <w:numFmt w:val="bullet"/>
      <w:start w:val="1"/>
    </w:lvl>
  </w:abstractNum>
  <w:abstractNum w:abstractNumId="8">
    <w:nsid w:val="4E6AFB66"/>
    <w:multiLevelType w:val="hybridMultilevel"/>
    <w:lvl w:ilvl="0">
      <w:lvlJc w:val="left"/>
      <w:lvlText w:val="2"/>
      <w:numFmt w:val="bullet"/>
      <w:start w:val="1"/>
    </w:lvl>
  </w:abstractNum>
  <w:abstractNum w:abstractNumId="9">
    <w:nsid w:val="25E45D32"/>
    <w:multiLevelType w:val="hybridMultilevel"/>
    <w:lvl w:ilvl="0">
      <w:lvlJc w:val="left"/>
      <w:lvlText w:val="3"/>
      <w:numFmt w:val="bullet"/>
      <w:start w:val="1"/>
    </w:lvl>
  </w:abstractNum>
  <w:abstractNum w:abstractNumId="10">
    <w:nsid w:val="519B500D"/>
    <w:multiLevelType w:val="hybridMultilevel"/>
    <w:lvl w:ilvl="0">
      <w:lvlJc w:val="left"/>
      <w:lvlText w:val="4"/>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lowerLetter"/>
      <w:start w:val="10"/>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2"/>
    </w:lvl>
  </w:abstractNum>
  <w:abstractNum w:abstractNumId="18">
    <w:nsid w:val="333AB105"/>
    <w:multiLevelType w:val="hybridMultilevel"/>
    <w:lvl w:ilvl="0">
      <w:lvlJc w:val="left"/>
      <w:lvlText w:val="(%1)"/>
      <w:numFmt w:val="lowerRoman"/>
      <w:start w:val="1"/>
    </w:lvl>
  </w:abstractNum>
  <w:abstractNum w:abstractNumId="19">
    <w:nsid w:val="721DA317"/>
    <w:multiLevelType w:val="hybridMultilevel"/>
    <w:lvl w:ilvl="0">
      <w:lvlJc w:val="left"/>
      <w:lvlText w:val="(%1)"/>
      <w:numFmt w:val="lowerRoman"/>
      <w:start w:val="2"/>
    </w:lvl>
  </w:abstractNum>
  <w:abstractNum w:abstractNumId="20">
    <w:nsid w:val="2443A858"/>
    <w:multiLevelType w:val="hybridMultilevel"/>
    <w:lvl w:ilvl="0">
      <w:lvlJc w:val="left"/>
      <w:lvlText w:val="1"/>
      <w:numFmt w:val="bullet"/>
      <w:start w:val="1"/>
    </w:lvl>
  </w:abstractNum>
  <w:abstractNum w:abstractNumId="21">
    <w:nsid w:val="2D1D5AE9"/>
    <w:multiLevelType w:val="hybridMultilevel"/>
    <w:lvl w:ilvl="0">
      <w:lvlJc w:val="left"/>
      <w:lvlText w:val="(%1)"/>
      <w:numFmt w:val="lowerRoman"/>
      <w:start w:val="4"/>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2019-12-20T23:05:57Z</dcterms:created>
  <dcterms:modified xsi:type="dcterms:W3CDTF">2019-12-20T23:05:57Z</dcterms:modified>
</cp:coreProperties>
</file>