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JACOBS PAUL 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300" w:type="dxa"/>
            <w:vAlign w:val="bottom"/>
            <w:gridSpan w:val="4"/>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DROPBOX,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280" w:type="dxa"/>
            <w:vAlign w:val="bottom"/>
          </w:tcPr>
          <w:p>
            <w:pPr>
              <w:spacing w:after="0"/>
              <w:rPr>
                <w:sz w:val="13"/>
                <w:szCs w:val="13"/>
                <w:color w:val="auto"/>
              </w:rPr>
            </w:pPr>
          </w:p>
        </w:tc>
        <w:tc>
          <w:tcPr>
            <w:tcW w:w="1560" w:type="dxa"/>
            <w:vAlign w:val="bottom"/>
            <w:gridSpan w:val="6"/>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60" w:type="dxa"/>
            <w:vAlign w:val="bottom"/>
            <w:gridSpan w:val="6"/>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6"/>
                <w:szCs w:val="16"/>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1800 OWENS STREET</w:t>
            </w:r>
          </w:p>
        </w:tc>
        <w:tc>
          <w:tcPr>
            <w:tcW w:w="1340" w:type="dxa"/>
            <w:vAlign w:val="bottom"/>
          </w:tcPr>
          <w:p>
            <w:pPr>
              <w:spacing w:after="0"/>
              <w:rPr>
                <w:sz w:val="19"/>
                <w:szCs w:val="19"/>
                <w:color w:val="auto"/>
              </w:rPr>
            </w:pPr>
          </w:p>
        </w:tc>
        <w:tc>
          <w:tcPr>
            <w:tcW w:w="1540" w:type="dxa"/>
            <w:vAlign w:val="bottom"/>
            <w:gridSpan w:val="5"/>
          </w:tcPr>
          <w:p>
            <w:pPr>
              <w:ind w:left="160"/>
              <w:spacing w:after="0"/>
              <w:rPr>
                <w:sz w:val="20"/>
                <w:szCs w:val="20"/>
                <w:color w:val="auto"/>
              </w:rPr>
            </w:pPr>
            <w:r>
              <w:rPr>
                <w:rFonts w:ascii="Arial" w:cs="Arial" w:eastAsia="Arial" w:hAnsi="Arial"/>
                <w:sz w:val="17"/>
                <w:szCs w:val="17"/>
                <w:color w:val="0000FF"/>
              </w:rPr>
              <w:t>05/21/2020</w:t>
            </w: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200</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40" w:type="dxa"/>
            <w:vAlign w:val="bottom"/>
            <w:gridSpan w:val="9"/>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4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4"/>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4"/>
          </w:tcPr>
          <w:p>
            <w:pPr>
              <w:ind w:left="800"/>
              <w:spacing w:after="0"/>
              <w:rPr>
                <w:sz w:val="20"/>
                <w:szCs w:val="20"/>
                <w:color w:val="auto"/>
              </w:rPr>
            </w:pPr>
            <w:r>
              <w:rPr>
                <w:rFonts w:ascii="Arial" w:cs="Arial" w:eastAsia="Arial" w:hAnsi="Arial"/>
                <w:sz w:val="17"/>
                <w:szCs w:val="17"/>
                <w:color w:val="0000FF"/>
              </w:rPr>
              <w:t>05/21/2020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1"/>
              </w:rPr>
              <w:t>11,297</w:t>
            </w:r>
            <w:r>
              <w:rPr>
                <w:rFonts w:ascii="Arial" w:cs="Arial" w:eastAsia="Arial" w:hAnsi="Arial"/>
                <w:sz w:val="22"/>
                <w:szCs w:val="22"/>
                <w:color w:val="008000"/>
                <w:w w:val="91"/>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00" w:type="dxa"/>
            <w:vAlign w:val="bottom"/>
            <w:tcBorders>
              <w:bottom w:val="single" w:sz="8" w:color="2C2C2C"/>
            </w:tcBorders>
            <w:gridSpan w:val="3"/>
          </w:tcPr>
          <w:p>
            <w:pPr>
              <w:jc w:val="center"/>
              <w:ind w:right="240"/>
              <w:spacing w:after="0"/>
              <w:rPr>
                <w:sz w:val="20"/>
                <w:szCs w:val="20"/>
                <w:color w:val="auto"/>
              </w:rPr>
            </w:pPr>
            <w:r>
              <w:rPr>
                <w:rFonts w:ascii="Arial" w:cs="Arial" w:eastAsia="Arial" w:hAnsi="Arial"/>
                <w:sz w:val="17"/>
                <w:szCs w:val="17"/>
                <w:color w:val="0000FF"/>
              </w:rPr>
              <w:t>92,214</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center"/>
              <w:ind w:right="200"/>
              <w:spacing w:after="0"/>
              <w:rPr>
                <w:sz w:val="20"/>
                <w:szCs w:val="20"/>
                <w:color w:val="auto"/>
              </w:rPr>
            </w:pPr>
            <w:r>
              <w:rPr>
                <w:rFonts w:ascii="Arial" w:cs="Arial" w:eastAsia="Arial" w:hAnsi="Arial"/>
                <w:sz w:val="17"/>
                <w:szCs w:val="17"/>
                <w:color w:val="0000FF"/>
              </w:rPr>
              <w:t>178,058</w:t>
            </w:r>
            <w:r>
              <w:rPr>
                <w:rFonts w:ascii="Arial" w:cs="Arial" w:eastAsia="Arial" w:hAnsi="Arial"/>
                <w:sz w:val="22"/>
                <w:szCs w:val="22"/>
                <w:color w:val="008000"/>
                <w:vertAlign w:val="superscript"/>
              </w:rPr>
              <w:t>(3)</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5"/>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-3228975</wp:posOffset>
            </wp:positionV>
            <wp:extent cx="7031355" cy="3274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2746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A Common Stock. The restricted stock units vest in full on the earlier of May 21, 2021 or the day prior to the date of the Issuer's next annual meeting of stockholders.</w:t>
      </w:r>
    </w:p>
    <w:p>
      <w:pPr>
        <w:spacing w:after="0" w:line="15" w:lineRule="exact"/>
        <w:rPr>
          <w:rFonts w:ascii="Arial" w:cs="Arial" w:eastAsia="Arial" w:hAnsi="Arial"/>
          <w:sz w:val="13"/>
          <w:szCs w:val="13"/>
          <w:color w:val="008000"/>
        </w:rPr>
      </w:pPr>
    </w:p>
    <w:p>
      <w:pPr>
        <w:jc w:val="both"/>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May 21, 2021 or the day prior to the date of the Issuer's next annual meeting of stockholders. In the event the Reporting Person ceases to be a Service Provider, the unvested restricted stock units will be cancelled by the Issuer.</w:t>
      </w:r>
    </w:p>
    <w:p>
      <w:pPr>
        <w:spacing w:after="0" w:line="25" w:lineRule="exact"/>
        <w:rPr>
          <w:rFonts w:ascii="Arial" w:cs="Arial" w:eastAsia="Arial" w:hAnsi="Arial"/>
          <w:sz w:val="13"/>
          <w:szCs w:val="13"/>
          <w:color w:val="008000"/>
        </w:rPr>
      </w:pPr>
    </w:p>
    <w:p>
      <w:pPr>
        <w:ind w:left="40" w:right="4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a total of 3,241 shares received pursuant to pro rata distributions from Accel X Strategic Partners LP, of which the Reporting Person is a limited partner. The acquisition of such shares was exempt pursuant to Rule 16a-9.</w:t>
      </w:r>
    </w:p>
    <w:p>
      <w:pPr>
        <w:sectPr>
          <w:pgSz w:w="11900" w:h="16838" w:orient="portrait"/>
          <w:cols w:equalWidth="0" w:num="1">
            <w:col w:w="11080"/>
          </w:cols>
          <w:pgMar w:left="460" w:top="225" w:right="359" w:bottom="1440" w:gutter="0" w:footer="0" w:header="0"/>
          <w:type w:val="continuous"/>
        </w:sectPr>
      </w:pPr>
    </w:p>
    <w:p>
      <w:pPr>
        <w:spacing w:after="0" w:line="15"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4. Shares are held by Paul E. Jacobs Trust u/a/d November 7, 2014, for which the Reporting Person serves as trustee.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05/26/2020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131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2020-05-26T20:45:30Z</dcterms:created>
  <dcterms:modified xsi:type="dcterms:W3CDTF">2020-05-26T20:45:30Z</dcterms:modified>
</cp:coreProperties>
</file>