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-226695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-612140</wp:posOffset>
            </wp:positionV>
            <wp:extent cx="57150" cy="62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724535</wp:posOffset>
            </wp:positionV>
            <wp:extent cx="6996430" cy="7613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761301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280" w:space="360"/>
            <w:col w:w="8440"/>
          </w:cols>
          <w:pgMar w:left="460" w:top="215" w:right="359" w:bottom="0" w:gutter="0" w:footer="0" w:header="0"/>
        </w:sectPr>
      </w:pPr>
    </w:p>
    <w:p>
      <w:pPr>
        <w:spacing w:after="0" w:line="2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Houston Andrew</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1800 OWENS STREET</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SUITE 200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DROPBOX,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DBX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11/14/2024</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right="680"/>
        <w:spacing w:after="0" w:line="24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0"/>
        <w:spacing w:after="0"/>
        <w:tabs>
          <w:tab w:leader="none" w:pos="1719"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001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001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438" w:lineRule="exact"/>
        <w:rPr>
          <w:sz w:val="24"/>
          <w:szCs w:val="24"/>
          <w:color w:val="auto"/>
        </w:rPr>
      </w:pPr>
    </w:p>
    <w:p>
      <w:pPr>
        <w:sectPr>
          <w:pgSz w:w="11900" w:h="16838" w:orient="portrait"/>
          <w:cols w:equalWidth="0" w:num="3">
            <w:col w:w="3180" w:space="720"/>
            <w:col w:w="3120" w:space="720"/>
            <w:col w:w="3340"/>
          </w:cols>
          <w:pgMar w:left="460" w:top="215" w:right="359" w:bottom="0" w:gutter="0" w:footer="0" w:header="0"/>
          <w:type w:val="continuous"/>
        </w:sectPr>
      </w:pPr>
    </w:p>
    <w:tbl>
      <w:tblPr>
        <w:tblLayout w:type="fixed"/>
        <w:tblInd w:w="8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36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580" w:type="dxa"/>
            <w:vAlign w:val="bottom"/>
            <w:tcBorders>
              <w:top w:val="single" w:sz="8" w:color="2C2C2C"/>
              <w:bottom w:val="single" w:sz="8" w:color="2C2C2C"/>
            </w:tcBorders>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40" w:type="dxa"/>
            <w:vAlign w:val="bottom"/>
            <w:tcBorders>
              <w:top w:val="single" w:sz="8" w:color="2C2C2C"/>
              <w:bottom w:val="single" w:sz="8" w:color="2C2C2C"/>
            </w:tcBorders>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80" w:type="dxa"/>
            <w:vAlign w:val="bottom"/>
            <w:vMerge w:val="continue"/>
          </w:tcPr>
          <w:p>
            <w:pPr>
              <w:spacing w:after="0" w:line="20" w:lineRule="exact"/>
              <w:rPr>
                <w:sz w:val="1"/>
                <w:szCs w:val="1"/>
                <w:color w:val="auto"/>
              </w:rPr>
            </w:pPr>
          </w:p>
        </w:tc>
        <w:tc>
          <w:tcPr>
            <w:tcW w:w="3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0"/>
                <w:szCs w:val="10"/>
                <w:color w:val="auto"/>
              </w:rPr>
            </w:pPr>
          </w:p>
        </w:tc>
        <w:tc>
          <w:tcPr>
            <w:tcW w:w="3580" w:type="dxa"/>
            <w:vAlign w:val="bottom"/>
            <w:vMerge w:val="continue"/>
          </w:tcPr>
          <w:p>
            <w:pPr>
              <w:spacing w:after="0"/>
              <w:rPr>
                <w:sz w:val="10"/>
                <w:szCs w:val="10"/>
                <w:color w:val="auto"/>
              </w:rPr>
            </w:pPr>
          </w:p>
        </w:tc>
        <w:tc>
          <w:tcPr>
            <w:tcW w:w="3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35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184"/>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94158</w:t>
            </w:r>
          </w:p>
        </w:tc>
        <w:tc>
          <w:tcPr>
            <w:tcW w:w="670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8"/>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FRANCISCO</w:t>
            </w:r>
          </w:p>
        </w:tc>
        <w:tc>
          <w:tcPr>
            <w:tcW w:w="96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6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08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700" w:type="dxa"/>
            <w:vAlign w:val="bottom"/>
          </w:tcPr>
          <w:p>
            <w:pPr>
              <w:ind w:left="4500"/>
              <w:spacing w:after="0" w:line="139" w:lineRule="exact"/>
              <w:rPr>
                <w:sz w:val="20"/>
                <w:szCs w:val="20"/>
                <w:color w:val="auto"/>
              </w:rPr>
            </w:pPr>
            <w:r>
              <w:rPr>
                <w:rFonts w:ascii="Arial" w:cs="Arial" w:eastAsia="Arial" w:hAnsi="Arial"/>
                <w:sz w:val="13"/>
                <w:szCs w:val="13"/>
                <w:color w:val="auto"/>
                <w:w w:val="96"/>
              </w:rPr>
              <w:t>Form filed by More than One Reporting</w:t>
            </w:r>
          </w:p>
        </w:tc>
        <w:tc>
          <w:tcPr>
            <w:tcW w:w="0" w:type="dxa"/>
            <w:vAlign w:val="bottom"/>
          </w:tcPr>
          <w:p>
            <w:pPr>
              <w:spacing w:after="0"/>
              <w:rPr>
                <w:sz w:val="1"/>
                <w:szCs w:val="1"/>
                <w:color w:val="auto"/>
              </w:rPr>
            </w:pPr>
          </w:p>
        </w:tc>
      </w:tr>
      <w:tr>
        <w:trPr>
          <w:trHeight w:val="131"/>
        </w:trPr>
        <w:tc>
          <w:tcPr>
            <w:tcW w:w="108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620" w:type="dxa"/>
            <w:vAlign w:val="bottom"/>
            <w:tcBorders>
              <w:bottom w:val="single" w:sz="8" w:color="9A9A9A"/>
            </w:tcBorders>
          </w:tcPr>
          <w:p>
            <w:pPr>
              <w:spacing w:after="0"/>
              <w:rPr>
                <w:sz w:val="11"/>
                <w:szCs w:val="11"/>
                <w:color w:val="auto"/>
              </w:rPr>
            </w:pPr>
          </w:p>
        </w:tc>
        <w:tc>
          <w:tcPr>
            <w:tcW w:w="6700" w:type="dxa"/>
            <w:vAlign w:val="bottom"/>
          </w:tcPr>
          <w:p>
            <w:pPr>
              <w:ind w:left="4500"/>
              <w:spacing w:after="0" w:line="106" w:lineRule="exact"/>
              <w:rPr>
                <w:sz w:val="20"/>
                <w:szCs w:val="20"/>
                <w:color w:val="auto"/>
              </w:rPr>
            </w:pPr>
            <w:r>
              <w:rPr>
                <w:rFonts w:ascii="Arial" w:cs="Arial" w:eastAsia="Arial" w:hAnsi="Arial"/>
                <w:sz w:val="12"/>
                <w:szCs w:val="12"/>
                <w:color w:val="auto"/>
              </w:rPr>
              <w:t>Person</w:t>
            </w:r>
          </w:p>
        </w:tc>
        <w:tc>
          <w:tcPr>
            <w:tcW w:w="0" w:type="dxa"/>
            <w:vAlign w:val="bottom"/>
          </w:tcPr>
          <w:p>
            <w:pPr>
              <w:spacing w:after="0"/>
              <w:rPr>
                <w:sz w:val="1"/>
                <w:szCs w:val="1"/>
                <w:color w:val="auto"/>
              </w:rPr>
            </w:pPr>
          </w:p>
        </w:tc>
      </w:tr>
      <w:tr>
        <w:trPr>
          <w:trHeight w:val="292"/>
        </w:trPr>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6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2"/>
          </w:tcPr>
          <w:p>
            <w:pPr>
              <w:ind w:left="60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6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6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16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40" w:type="dxa"/>
            <w:vAlign w:val="bottom"/>
            <w:gridSpan w:val="2"/>
          </w:tcPr>
          <w:p>
            <w:pPr>
              <w:ind w:left="60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Beneficially</w:t>
            </w:r>
          </w:p>
        </w:tc>
        <w:tc>
          <w:tcPr>
            <w:tcW w:w="48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980" w:type="dxa"/>
            <w:vAlign w:val="bottom"/>
            <w:gridSpan w:val="4"/>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vMerge w:val="continue"/>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0000FF"/>
              </w:rPr>
              <w:t>11/14/2024</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624,533</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0.00</w:t>
            </w:r>
            <w:r>
              <w:rPr>
                <w:rFonts w:ascii="Times New Roman" w:cs="Times New Roman" w:eastAsia="Times New Roman" w:hAnsi="Times New Roman"/>
                <w:sz w:val="20"/>
                <w:szCs w:val="20"/>
                <w:color w:val="008000"/>
                <w:w w:val="95"/>
                <w:vertAlign w:val="superscript"/>
              </w:rPr>
              <w:t>(1)</w:t>
            </w:r>
          </w:p>
        </w:tc>
        <w:tc>
          <w:tcPr>
            <w:tcW w:w="60" w:type="dxa"/>
            <w:vAlign w:val="bottom"/>
          </w:tcPr>
          <w:p>
            <w:pPr>
              <w:spacing w:after="0"/>
              <w:rPr>
                <w:sz w:val="20"/>
                <w:szCs w:val="20"/>
                <w:color w:val="auto"/>
              </w:rPr>
            </w:pPr>
          </w:p>
        </w:tc>
        <w:tc>
          <w:tcPr>
            <w:tcW w:w="116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6"/>
                <w:szCs w:val="16"/>
                <w:color w:val="0000FF"/>
              </w:rPr>
              <w:t>624,533</w:t>
            </w:r>
          </w:p>
        </w:tc>
        <w:tc>
          <w:tcPr>
            <w:tcW w:w="320" w:type="dxa"/>
            <w:vAlign w:val="bottom"/>
          </w:tcPr>
          <w:p>
            <w:pPr>
              <w:spacing w:after="0"/>
              <w:rPr>
                <w:sz w:val="20"/>
                <w:szCs w:val="20"/>
                <w:color w:val="auto"/>
              </w:rPr>
            </w:pPr>
          </w:p>
        </w:tc>
        <w:tc>
          <w:tcPr>
            <w:tcW w:w="520" w:type="dxa"/>
            <w:vAlign w:val="bottom"/>
            <w:vMerge w:val="restart"/>
          </w:tcPr>
          <w:p>
            <w:pPr>
              <w:jc w:val="center"/>
              <w:ind w:right="273"/>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0000FF"/>
              </w:rPr>
              <w:t>11/14/2024</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624,533</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27.6938</w:t>
            </w:r>
            <w:r>
              <w:rPr>
                <w:rFonts w:ascii="Times New Roman" w:cs="Times New Roman" w:eastAsia="Times New Roman" w:hAnsi="Times New Roman"/>
                <w:sz w:val="20"/>
                <w:szCs w:val="20"/>
                <w:color w:val="008000"/>
                <w:w w:val="96"/>
                <w:vertAlign w:val="superscript"/>
              </w:rPr>
              <w:t>(4)</w:t>
            </w:r>
          </w:p>
        </w:tc>
        <w:tc>
          <w:tcPr>
            <w:tcW w:w="60" w:type="dxa"/>
            <w:vAlign w:val="bottom"/>
          </w:tcPr>
          <w:p>
            <w:pPr>
              <w:spacing w:after="0"/>
              <w:rPr>
                <w:sz w:val="20"/>
                <w:szCs w:val="20"/>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0.00</w:t>
            </w:r>
          </w:p>
        </w:tc>
        <w:tc>
          <w:tcPr>
            <w:tcW w:w="320" w:type="dxa"/>
            <w:vAlign w:val="bottom"/>
          </w:tcPr>
          <w:p>
            <w:pPr>
              <w:spacing w:after="0"/>
              <w:rPr>
                <w:sz w:val="20"/>
                <w:szCs w:val="20"/>
                <w:color w:val="auto"/>
              </w:rPr>
            </w:pPr>
          </w:p>
        </w:tc>
        <w:tc>
          <w:tcPr>
            <w:tcW w:w="520" w:type="dxa"/>
            <w:vAlign w:val="bottom"/>
            <w:vMerge w:val="restart"/>
          </w:tcPr>
          <w:p>
            <w:pPr>
              <w:jc w:val="center"/>
              <w:ind w:right="273"/>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0000FF"/>
              </w:rPr>
              <w:t>11/15/2024</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13,444</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0.00</w:t>
            </w:r>
            <w:r>
              <w:rPr>
                <w:rFonts w:ascii="Times New Roman" w:cs="Times New Roman" w:eastAsia="Times New Roman" w:hAnsi="Times New Roman"/>
                <w:sz w:val="20"/>
                <w:szCs w:val="20"/>
                <w:color w:val="008000"/>
                <w:w w:val="95"/>
                <w:vertAlign w:val="superscript"/>
              </w:rPr>
              <w:t>(5)</w:t>
            </w:r>
          </w:p>
        </w:tc>
        <w:tc>
          <w:tcPr>
            <w:tcW w:w="60" w:type="dxa"/>
            <w:vAlign w:val="bottom"/>
          </w:tcPr>
          <w:p>
            <w:pPr>
              <w:spacing w:after="0"/>
              <w:rPr>
                <w:sz w:val="20"/>
                <w:szCs w:val="20"/>
                <w:color w:val="auto"/>
              </w:rPr>
            </w:pPr>
          </w:p>
        </w:tc>
        <w:tc>
          <w:tcPr>
            <w:tcW w:w="116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6"/>
                <w:szCs w:val="16"/>
                <w:color w:val="0000FF"/>
              </w:rPr>
              <w:t>13,444</w:t>
            </w:r>
          </w:p>
        </w:tc>
        <w:tc>
          <w:tcPr>
            <w:tcW w:w="320" w:type="dxa"/>
            <w:vAlign w:val="bottom"/>
          </w:tcPr>
          <w:p>
            <w:pPr>
              <w:spacing w:after="0"/>
              <w:rPr>
                <w:sz w:val="20"/>
                <w:szCs w:val="20"/>
                <w:color w:val="auto"/>
              </w:rPr>
            </w:pPr>
          </w:p>
        </w:tc>
        <w:tc>
          <w:tcPr>
            <w:tcW w:w="520" w:type="dxa"/>
            <w:vAlign w:val="bottom"/>
            <w:vMerge w:val="restart"/>
          </w:tcPr>
          <w:p>
            <w:pPr>
              <w:jc w:val="center"/>
              <w:ind w:right="273"/>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0000FF"/>
              </w:rPr>
              <w:t>11/15/2024</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13,444</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27.6047</w:t>
            </w:r>
            <w:r>
              <w:rPr>
                <w:rFonts w:ascii="Times New Roman" w:cs="Times New Roman" w:eastAsia="Times New Roman" w:hAnsi="Times New Roman"/>
                <w:sz w:val="20"/>
                <w:szCs w:val="20"/>
                <w:color w:val="008000"/>
                <w:w w:val="96"/>
                <w:vertAlign w:val="superscript"/>
              </w:rPr>
              <w:t>(6)</w:t>
            </w:r>
          </w:p>
        </w:tc>
        <w:tc>
          <w:tcPr>
            <w:tcW w:w="60" w:type="dxa"/>
            <w:vAlign w:val="bottom"/>
          </w:tcPr>
          <w:p>
            <w:pPr>
              <w:spacing w:after="0"/>
              <w:rPr>
                <w:sz w:val="20"/>
                <w:szCs w:val="20"/>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0.00</w:t>
            </w:r>
          </w:p>
        </w:tc>
        <w:tc>
          <w:tcPr>
            <w:tcW w:w="320" w:type="dxa"/>
            <w:vAlign w:val="bottom"/>
          </w:tcPr>
          <w:p>
            <w:pPr>
              <w:spacing w:after="0"/>
              <w:rPr>
                <w:sz w:val="20"/>
                <w:szCs w:val="20"/>
                <w:color w:val="auto"/>
              </w:rPr>
            </w:pPr>
          </w:p>
        </w:tc>
        <w:tc>
          <w:tcPr>
            <w:tcW w:w="520" w:type="dxa"/>
            <w:vAlign w:val="bottom"/>
            <w:vMerge w:val="restart"/>
          </w:tcPr>
          <w:p>
            <w:pPr>
              <w:jc w:val="center"/>
              <w:ind w:right="273"/>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6"/>
                <w:szCs w:val="16"/>
                <w:color w:val="0000FF"/>
              </w:rPr>
              <w:t>444,444</w:t>
            </w:r>
          </w:p>
        </w:tc>
        <w:tc>
          <w:tcPr>
            <w:tcW w:w="320" w:type="dxa"/>
            <w:vAlign w:val="bottom"/>
          </w:tcPr>
          <w:p>
            <w:pPr>
              <w:spacing w:after="0"/>
              <w:rPr>
                <w:sz w:val="20"/>
                <w:szCs w:val="20"/>
                <w:color w:val="auto"/>
              </w:rPr>
            </w:pPr>
          </w:p>
        </w:tc>
        <w:tc>
          <w:tcPr>
            <w:tcW w:w="520" w:type="dxa"/>
            <w:vAlign w:val="bottom"/>
            <w:vMerge w:val="restart"/>
          </w:tcPr>
          <w:p>
            <w:pPr>
              <w:jc w:val="center"/>
              <w:ind w:right="273"/>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4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160" w:type="dxa"/>
            <w:vAlign w:val="bottom"/>
            <w:tcBorders>
              <w:top w:val="single" w:sz="8" w:color="2C2C2C"/>
              <w:bottom w:val="single" w:sz="8" w:color="2C2C2C"/>
            </w:tcBorders>
            <w:gridSpan w:val="2"/>
          </w:tcPr>
          <w:p>
            <w:pPr>
              <w:jc w:val="center"/>
              <w:ind w:right="4"/>
              <w:spacing w:after="0"/>
              <w:rPr>
                <w:sz w:val="20"/>
                <w:szCs w:val="20"/>
                <w:color w:val="auto"/>
              </w:rPr>
            </w:pPr>
            <w:r>
              <w:rPr>
                <w:rFonts w:ascii="Times New Roman" w:cs="Times New Roman" w:eastAsia="Times New Roman" w:hAnsi="Times New Roman"/>
                <w:sz w:val="16"/>
                <w:szCs w:val="16"/>
                <w:color w:val="0000FF"/>
                <w:w w:val="97"/>
              </w:rPr>
              <w:t>8,266,666</w:t>
            </w:r>
            <w:r>
              <w:rPr>
                <w:rFonts w:ascii="Times New Roman" w:cs="Times New Roman" w:eastAsia="Times New Roman" w:hAnsi="Times New Roman"/>
                <w:sz w:val="20"/>
                <w:szCs w:val="20"/>
                <w:color w:val="008000"/>
                <w:w w:val="97"/>
                <w:vertAlign w:val="superscript"/>
              </w:rPr>
              <w:t>(8)</w:t>
            </w:r>
          </w:p>
        </w:tc>
        <w:tc>
          <w:tcPr>
            <w:tcW w:w="32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jc w:val="center"/>
              <w:ind w:right="253"/>
              <w:spacing w:after="0"/>
              <w:rPr>
                <w:sz w:val="20"/>
                <w:szCs w:val="20"/>
                <w:color w:val="auto"/>
              </w:rPr>
            </w:pPr>
            <w:r>
              <w:rPr>
                <w:rFonts w:ascii="Times New Roman" w:cs="Times New Roman" w:eastAsia="Times New Roman" w:hAnsi="Times New Roman"/>
                <w:sz w:val="16"/>
                <w:szCs w:val="16"/>
                <w:color w:val="0000FF"/>
              </w:rPr>
              <w:t>D</w:t>
            </w:r>
          </w:p>
        </w:tc>
        <w:tc>
          <w:tcPr>
            <w:tcW w:w="24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6"/>
                <w:szCs w:val="16"/>
                <w:color w:val="0000FF"/>
              </w:rPr>
              <w:t>716,728</w:t>
            </w:r>
          </w:p>
        </w:tc>
        <w:tc>
          <w:tcPr>
            <w:tcW w:w="320" w:type="dxa"/>
            <w:vAlign w:val="bottom"/>
          </w:tcPr>
          <w:p>
            <w:pPr>
              <w:spacing w:after="0"/>
              <w:rPr>
                <w:sz w:val="20"/>
                <w:szCs w:val="20"/>
                <w:color w:val="auto"/>
              </w:rPr>
            </w:pPr>
          </w:p>
        </w:tc>
        <w:tc>
          <w:tcPr>
            <w:tcW w:w="520" w:type="dxa"/>
            <w:vAlign w:val="bottom"/>
            <w:vMerge w:val="restart"/>
          </w:tcPr>
          <w:p>
            <w:pPr>
              <w:jc w:val="center"/>
              <w:ind w:right="273"/>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(9)</w:t>
            </w: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80" w:type="dxa"/>
            <w:vAlign w:val="bottom"/>
            <w:gridSpan w:val="10"/>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0" w:type="dxa"/>
            <w:vAlign w:val="bottom"/>
            <w:gridSpan w:val="9"/>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3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(10)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(10)</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624,533</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3"/>
                <w:szCs w:val="3"/>
                <w:color w:val="auto"/>
              </w:rPr>
            </w:pPr>
          </w:p>
        </w:tc>
        <w:tc>
          <w:tcPr>
            <w:tcW w:w="1060" w:type="dxa"/>
            <w:vAlign w:val="bottom"/>
            <w:vMerge w:val="restart"/>
          </w:tcPr>
          <w:p>
            <w:pPr>
              <w:jc w:val="right"/>
              <w:ind w:right="183"/>
              <w:spacing w:after="0" w:line="101" w:lineRule="exact"/>
              <w:rPr>
                <w:sz w:val="20"/>
                <w:szCs w:val="20"/>
                <w:color w:val="auto"/>
              </w:rPr>
            </w:pPr>
            <w:r>
              <w:rPr>
                <w:rFonts w:ascii="Times New Roman" w:cs="Times New Roman" w:eastAsia="Times New Roman" w:hAnsi="Times New Roman"/>
                <w:sz w:val="11"/>
                <w:szCs w:val="11"/>
                <w:color w:val="0000FF"/>
              </w:rPr>
              <w:t>11/14/2024</w:t>
            </w:r>
          </w:p>
        </w:tc>
        <w:tc>
          <w:tcPr>
            <w:tcW w:w="1060" w:type="dxa"/>
            <w:vAlign w:val="bottom"/>
          </w:tcPr>
          <w:p>
            <w:pPr>
              <w:spacing w:after="0"/>
              <w:rPr>
                <w:sz w:val="3"/>
                <w:szCs w:val="3"/>
                <w:color w:val="auto"/>
              </w:rPr>
            </w:pPr>
          </w:p>
        </w:tc>
        <w:tc>
          <w:tcPr>
            <w:tcW w:w="580" w:type="dxa"/>
            <w:vAlign w:val="bottom"/>
            <w:vMerge w:val="restart"/>
          </w:tcPr>
          <w:p>
            <w:pPr>
              <w:ind w:left="180"/>
              <w:spacing w:after="0" w:line="101" w:lineRule="exact"/>
              <w:rPr>
                <w:sz w:val="20"/>
                <w:szCs w:val="20"/>
                <w:color w:val="auto"/>
              </w:rPr>
            </w:pPr>
            <w:r>
              <w:rPr>
                <w:rFonts w:ascii="Times New Roman" w:cs="Times New Roman" w:eastAsia="Times New Roman" w:hAnsi="Times New Roman"/>
                <w:sz w:val="11"/>
                <w:szCs w:val="11"/>
                <w:color w:val="0000FF"/>
              </w:rPr>
              <w:t>C</w:t>
            </w:r>
          </w:p>
        </w:tc>
        <w:tc>
          <w:tcPr>
            <w:tcW w:w="200" w:type="dxa"/>
            <w:vAlign w:val="bottom"/>
          </w:tcPr>
          <w:p>
            <w:pPr>
              <w:spacing w:after="0"/>
              <w:rPr>
                <w:sz w:val="3"/>
                <w:szCs w:val="3"/>
                <w:color w:val="auto"/>
              </w:rPr>
            </w:pPr>
          </w:p>
        </w:tc>
        <w:tc>
          <w:tcPr>
            <w:tcW w:w="820" w:type="dxa"/>
            <w:vAlign w:val="bottom"/>
            <w:vMerge w:val="restart"/>
          </w:tcPr>
          <w:p>
            <w:pPr>
              <w:jc w:val="right"/>
              <w:spacing w:after="0" w:line="101" w:lineRule="exact"/>
              <w:rPr>
                <w:sz w:val="20"/>
                <w:szCs w:val="20"/>
                <w:color w:val="auto"/>
              </w:rPr>
            </w:pPr>
            <w:r>
              <w:rPr>
                <w:rFonts w:ascii="Times New Roman" w:cs="Times New Roman" w:eastAsia="Times New Roman" w:hAnsi="Times New Roman"/>
                <w:sz w:val="11"/>
                <w:szCs w:val="11"/>
                <w:color w:val="0000FF"/>
              </w:rPr>
              <w:t>624,533</w:t>
            </w:r>
          </w:p>
        </w:tc>
        <w:tc>
          <w:tcPr>
            <w:tcW w:w="7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58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8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restart"/>
          </w:tcPr>
          <w:p>
            <w:pPr>
              <w:ind w:left="140"/>
              <w:spacing w:after="0" w:line="102"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80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68,793,593</w:t>
            </w:r>
          </w:p>
        </w:tc>
        <w:tc>
          <w:tcPr>
            <w:tcW w:w="520" w:type="dxa"/>
            <w:vAlign w:val="bottom"/>
            <w:vMerge w:val="restart"/>
          </w:tcPr>
          <w:p>
            <w:pPr>
              <w:ind w:left="38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24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Borders>
              <w:right w:val="single" w:sz="8" w:color="2C2C2C"/>
            </w:tcBorders>
            <w:gridSpan w:val="3"/>
          </w:tcPr>
          <w:p>
            <w:pPr>
              <w:ind w:left="80"/>
              <w:spacing w:after="0" w:line="55" w:lineRule="exact"/>
              <w:rPr>
                <w:sz w:val="20"/>
                <w:szCs w:val="20"/>
                <w:color w:val="auto"/>
              </w:rPr>
            </w:pPr>
            <w:r>
              <w:rPr>
                <w:rFonts w:ascii="Times New Roman" w:cs="Times New Roman" w:eastAsia="Times New Roman" w:hAnsi="Times New Roman"/>
                <w:sz w:val="5"/>
                <w:szCs w:val="5"/>
                <w:color w:val="0000FF"/>
              </w:rPr>
              <w:t>foonote</w:t>
            </w:r>
            <w:r>
              <w:rPr>
                <w:rFonts w:ascii="Times New Roman" w:cs="Times New Roman" w:eastAsia="Times New Roman" w:hAnsi="Times New Roman"/>
                <w:sz w:val="6"/>
                <w:szCs w:val="6"/>
                <w:color w:val="008000"/>
                <w:vertAlign w:val="superscript"/>
              </w:rPr>
              <w:t>(2)</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(10)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(10)</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13,444</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3"/>
                <w:szCs w:val="3"/>
                <w:color w:val="auto"/>
              </w:rPr>
            </w:pPr>
          </w:p>
        </w:tc>
        <w:tc>
          <w:tcPr>
            <w:tcW w:w="1060" w:type="dxa"/>
            <w:vAlign w:val="bottom"/>
            <w:vMerge w:val="restart"/>
          </w:tcPr>
          <w:p>
            <w:pPr>
              <w:jc w:val="right"/>
              <w:ind w:right="183"/>
              <w:spacing w:after="0"/>
              <w:rPr>
                <w:sz w:val="20"/>
                <w:szCs w:val="20"/>
                <w:color w:val="auto"/>
              </w:rPr>
            </w:pPr>
            <w:r>
              <w:rPr>
                <w:rFonts w:ascii="Times New Roman" w:cs="Times New Roman" w:eastAsia="Times New Roman" w:hAnsi="Times New Roman"/>
                <w:sz w:val="13"/>
                <w:szCs w:val="13"/>
                <w:color w:val="0000FF"/>
              </w:rPr>
              <w:t>11/15/2024</w:t>
            </w:r>
          </w:p>
        </w:tc>
        <w:tc>
          <w:tcPr>
            <w:tcW w:w="1060" w:type="dxa"/>
            <w:vAlign w:val="bottom"/>
          </w:tcPr>
          <w:p>
            <w:pPr>
              <w:spacing w:after="0"/>
              <w:rPr>
                <w:sz w:val="3"/>
                <w:szCs w:val="3"/>
                <w:color w:val="auto"/>
              </w:rPr>
            </w:pPr>
          </w:p>
        </w:tc>
        <w:tc>
          <w:tcPr>
            <w:tcW w:w="5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3"/>
                <w:szCs w:val="3"/>
                <w:color w:val="auto"/>
              </w:rPr>
            </w:pPr>
          </w:p>
        </w:tc>
        <w:tc>
          <w:tcPr>
            <w:tcW w:w="820" w:type="dxa"/>
            <w:vAlign w:val="bottom"/>
            <w:vMerge w:val="restart"/>
          </w:tcPr>
          <w:p>
            <w:pPr>
              <w:jc w:val="right"/>
              <w:ind w:right="3"/>
              <w:spacing w:after="0"/>
              <w:rPr>
                <w:sz w:val="20"/>
                <w:szCs w:val="20"/>
                <w:color w:val="auto"/>
              </w:rPr>
            </w:pPr>
            <w:r>
              <w:rPr>
                <w:rFonts w:ascii="Times New Roman" w:cs="Times New Roman" w:eastAsia="Times New Roman" w:hAnsi="Times New Roman"/>
                <w:sz w:val="13"/>
                <w:szCs w:val="13"/>
                <w:color w:val="0000FF"/>
              </w:rPr>
              <w:t>13,444</w:t>
            </w:r>
          </w:p>
        </w:tc>
        <w:tc>
          <w:tcPr>
            <w:tcW w:w="7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8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68,780,149</w:t>
            </w:r>
          </w:p>
        </w:tc>
        <w:tc>
          <w:tcPr>
            <w:tcW w:w="5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24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Borders>
              <w:right w:val="single" w:sz="8" w:color="2C2C2C"/>
            </w:tcBorders>
            <w:gridSpan w:val="3"/>
            <w:vMerge w:val="restart"/>
          </w:tcPr>
          <w:p>
            <w:pPr>
              <w:ind w:left="80"/>
              <w:spacing w:after="0" w:line="156" w:lineRule="exact"/>
              <w:rPr>
                <w:sz w:val="20"/>
                <w:szCs w:val="20"/>
                <w:color w:val="auto"/>
              </w:rPr>
            </w:pPr>
            <w:r>
              <w:rPr>
                <w:rFonts w:ascii="Times New Roman" w:cs="Times New Roman" w:eastAsia="Times New Roman" w:hAnsi="Times New Roman"/>
                <w:sz w:val="12"/>
                <w:szCs w:val="12"/>
                <w:color w:val="0000FF"/>
              </w:rPr>
              <w:t>Footnote</w:t>
            </w:r>
            <w:r>
              <w:rPr>
                <w:rFonts w:ascii="Times New Roman" w:cs="Times New Roman" w:eastAsia="Times New Roman" w:hAnsi="Times New Roman"/>
                <w:sz w:val="18"/>
                <w:szCs w:val="18"/>
                <w:color w:val="008000"/>
                <w:vertAlign w:val="superscript"/>
              </w:rPr>
              <w:t>(2)</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tcBorders>
              <w:bottom w:val="single" w:sz="8" w:color="2C2C2C"/>
            </w:tcBorders>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8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(10)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(10)</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7,743,764</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58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8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7,743,764</w:t>
            </w:r>
          </w:p>
        </w:tc>
        <w:tc>
          <w:tcPr>
            <w:tcW w:w="520" w:type="dxa"/>
            <w:vAlign w:val="bottom"/>
            <w:vMerge w:val="restart"/>
          </w:tcPr>
          <w:p>
            <w:pPr>
              <w:ind w:left="38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24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Borders>
              <w:right w:val="single" w:sz="8" w:color="2C2C2C"/>
            </w:tcBorders>
            <w:gridSpan w:val="3"/>
          </w:tcPr>
          <w:p>
            <w:pPr>
              <w:ind w:left="8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(9)</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(10)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(10)</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500,500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58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8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500,500</w:t>
            </w:r>
          </w:p>
        </w:tc>
        <w:tc>
          <w:tcPr>
            <w:tcW w:w="520" w:type="dxa"/>
            <w:vAlign w:val="bottom"/>
            <w:vMerge w:val="restart"/>
          </w:tcPr>
          <w:p>
            <w:pPr>
              <w:ind w:left="38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24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Borders>
              <w:right w:val="single" w:sz="8" w:color="2C2C2C"/>
            </w:tcBorders>
            <w:gridSpan w:val="3"/>
          </w:tcPr>
          <w:p>
            <w:pPr>
              <w:ind w:left="8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(11)</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-2677160</wp:posOffset>
            </wp:positionV>
            <wp:extent cx="28575" cy="2682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268287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624,533 shares of Class B Common Stock were converted into 624,533 shares of Class A Common Stock at the election of the Reporting Person and had no expiration date.</w:t>
      </w:r>
    </w:p>
    <w:p>
      <w:pPr>
        <w:spacing w:after="0" w:line="39"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Andrew Houston Revocable Trust u/a/d 9/7/2011, for which Reporting Person serves as trustee.</w:t>
      </w:r>
    </w:p>
    <w:p>
      <w:pPr>
        <w:spacing w:after="0" w:line="39"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December 5, 2023.</w:t>
      </w:r>
    </w:p>
    <w:p>
      <w:pPr>
        <w:spacing w:after="0" w:line="39" w:lineRule="exact"/>
        <w:rPr>
          <w:rFonts w:ascii="Times New Roman" w:cs="Times New Roman" w:eastAsia="Times New Roman" w:hAnsi="Times New Roman"/>
          <w:sz w:val="13"/>
          <w:szCs w:val="13"/>
          <w:color w:val="008000"/>
        </w:rPr>
      </w:pPr>
    </w:p>
    <w:p>
      <w:pPr>
        <w:ind w:left="40" w:right="160" w:hanging="1"/>
        <w:spacing w:after="0" w:line="24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$27.22 to $27.94.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21"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13,444 shares of Class B Common Stock were converted into 13,444 shares of Class A Common Stock at the election of the Reporting Person and had no expiration date.</w:t>
      </w:r>
    </w:p>
    <w:p>
      <w:pPr>
        <w:spacing w:after="0" w:line="39" w:lineRule="exact"/>
        <w:rPr>
          <w:rFonts w:ascii="Times New Roman" w:cs="Times New Roman" w:eastAsia="Times New Roman" w:hAnsi="Times New Roman"/>
          <w:sz w:val="13"/>
          <w:szCs w:val="13"/>
          <w:color w:val="008000"/>
        </w:rPr>
      </w:pPr>
    </w:p>
    <w:p>
      <w:pPr>
        <w:ind w:left="40" w:right="160" w:hanging="1"/>
        <w:spacing w:after="0" w:line="24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$27.50 to $27.67.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ectPr>
          <w:pgSz w:w="11900" w:h="16838" w:orient="portrait"/>
          <w:cols w:equalWidth="0" w:num="1">
            <w:col w:w="11080"/>
          </w:cols>
          <w:pgMar w:left="460" w:top="215" w:right="359" w:bottom="0" w:gutter="0" w:footer="0" w:header="0"/>
          <w:type w:val="continuous"/>
        </w:sectPr>
      </w:pPr>
    </w:p>
    <w:bookmarkStart w:id="1" w:name="page2"/>
    <w:bookmarkEnd w:id="1"/>
    <w:p>
      <w:pPr>
        <w:ind w:left="121" w:hanging="121"/>
        <w:spacing w:after="0"/>
        <w:tabs>
          <w:tab w:leader="none" w:pos="12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Erin Yu Houston Revocable Trust u/a/d 1/18/2024, for which the Reporting Person's spouse serves as trustee.</w:t>
      </w:r>
    </w:p>
    <w:p>
      <w:pPr>
        <w:spacing w:after="0" w:line="39" w:lineRule="exact"/>
        <w:rPr>
          <w:rFonts w:ascii="Times New Roman" w:cs="Times New Roman" w:eastAsia="Times New Roman" w:hAnsi="Times New Roman"/>
          <w:sz w:val="13"/>
          <w:szCs w:val="13"/>
          <w:color w:val="008000"/>
        </w:rPr>
      </w:pPr>
    </w:p>
    <w:p>
      <w:pPr>
        <w:ind w:left="1" w:hanging="1"/>
        <w:spacing w:after="0" w:line="246"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awards of Class A Common Stock. The restricted stock awards vest over a period of up to ten years following the closing of the Issuer's initial public offering of Class A Common Stock, or March 27, 2028, upon achievement of service-based, market-based, and liquidity event-related performance vesting conditions.</w:t>
      </w:r>
    </w:p>
    <w:p>
      <w:pPr>
        <w:spacing w:after="0" w:line="21" w:lineRule="exact"/>
        <w:rPr>
          <w:rFonts w:ascii="Times New Roman" w:cs="Times New Roman" w:eastAsia="Times New Roman" w:hAnsi="Times New Roman"/>
          <w:sz w:val="13"/>
          <w:szCs w:val="13"/>
          <w:color w:val="008000"/>
        </w:rPr>
      </w:pPr>
    </w:p>
    <w:p>
      <w:pPr>
        <w:ind w:left="121" w:hanging="121"/>
        <w:spacing w:after="0"/>
        <w:tabs>
          <w:tab w:leader="none" w:pos="12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Houston Remainder Trust u/a/d 12/30/2010, for which Reporting Person serves as trustee.</w:t>
      </w:r>
    </w:p>
    <w:p>
      <w:pPr>
        <w:spacing w:after="0" w:line="39" w:lineRule="exact"/>
        <w:rPr>
          <w:rFonts w:ascii="Times New Roman" w:cs="Times New Roman" w:eastAsia="Times New Roman" w:hAnsi="Times New Roman"/>
          <w:sz w:val="13"/>
          <w:szCs w:val="13"/>
          <w:color w:val="008000"/>
        </w:rPr>
      </w:pPr>
    </w:p>
    <w:p>
      <w:pPr>
        <w:ind w:left="181" w:hanging="181"/>
        <w:spacing w:after="0"/>
        <w:tabs>
          <w:tab w:leader="none" w:pos="18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Issuer's Class B Common Stock is convertible into the Issuer's Class A Common Stock on a one-for-one basis at the Reporting Person's election and has no expiration date.</w:t>
      </w:r>
    </w:p>
    <w:p>
      <w:pPr>
        <w:spacing w:after="0" w:line="39" w:lineRule="exact"/>
        <w:rPr>
          <w:rFonts w:ascii="Times New Roman" w:cs="Times New Roman" w:eastAsia="Times New Roman" w:hAnsi="Times New Roman"/>
          <w:sz w:val="13"/>
          <w:szCs w:val="13"/>
          <w:color w:val="008000"/>
        </w:rPr>
      </w:pPr>
    </w:p>
    <w:p>
      <w:pPr>
        <w:ind w:left="181" w:hanging="181"/>
        <w:spacing w:after="0"/>
        <w:tabs>
          <w:tab w:leader="none" w:pos="18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Houston 2012 Irrevocable Children's Trust u/a/d 4/12/2012, for which Reporting Person serves as trustee.</w:t>
      </w:r>
    </w:p>
    <w:p>
      <w:pPr>
        <w:spacing w:after="0" w:line="3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Remarks:</w:t>
      </w:r>
    </w:p>
    <w:p>
      <w:pPr>
        <w:ind w:left="6561"/>
        <w:spacing w:after="0" w:line="228" w:lineRule="auto"/>
        <w:rPr>
          <w:sz w:val="20"/>
          <w:szCs w:val="20"/>
          <w:color w:val="auto"/>
        </w:rPr>
      </w:pPr>
      <w:r>
        <w:rPr>
          <w:rFonts w:ascii="Times New Roman" w:cs="Times New Roman" w:eastAsia="Times New Roman" w:hAnsi="Times New Roman"/>
          <w:sz w:val="16"/>
          <w:szCs w:val="16"/>
          <w:color w:val="0000FF"/>
        </w:rPr>
        <w:t xml:space="preserve">/s/ Cara Angelmar, Attorney-in-  </w:t>
      </w:r>
      <w:r>
        <w:rPr>
          <w:rFonts w:ascii="Times New Roman" w:cs="Times New Roman" w:eastAsia="Times New Roman" w:hAnsi="Times New Roman"/>
          <w:sz w:val="32"/>
          <w:szCs w:val="32"/>
          <w:color w:val="0000FF"/>
          <w:vertAlign w:val="subscript"/>
        </w:rPr>
        <w:t>11/18/2024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-26035</wp:posOffset>
            </wp:positionV>
            <wp:extent cx="1330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032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-15240</wp:posOffset>
            </wp:positionV>
            <wp:extent cx="1790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79070" cy="8255"/>
                    </a:xfrm>
                    <a:prstGeom prst="rect">
                      <a:avLst/>
                    </a:prstGeom>
                    <a:noFill/>
                  </pic:spPr>
                </pic:pic>
              </a:graphicData>
            </a:graphic>
          </wp:anchor>
        </w:drawing>
        <w:drawing>
          <wp:anchor simplePos="0" relativeHeight="251657728" behindDoc="1" locked="0" layoutInCell="0" allowOverlap="1">
            <wp:simplePos x="0" y="0"/>
            <wp:positionH relativeFrom="column">
              <wp:posOffset>5562600</wp:posOffset>
            </wp:positionH>
            <wp:positionV relativeFrom="paragraph">
              <wp:posOffset>-79375</wp:posOffset>
            </wp:positionV>
            <wp:extent cx="4699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69900" cy="8255"/>
                    </a:xfrm>
                    <a:prstGeom prst="rect">
                      <a:avLst/>
                    </a:prstGeom>
                    <a:noFill/>
                  </pic:spPr>
                </pic:pic>
              </a:graphicData>
            </a:graphic>
          </wp:anchor>
        </w:drawing>
      </w:r>
    </w:p>
    <w:p>
      <w:pPr>
        <w:spacing w:after="0" w:line="30" w:lineRule="exact"/>
        <w:rPr>
          <w:sz w:val="20"/>
          <w:szCs w:val="20"/>
          <w:color w:val="auto"/>
        </w:rPr>
      </w:pPr>
    </w:p>
    <w:p>
      <w:pPr>
        <w:ind w:left="6561"/>
        <w:spacing w:after="0"/>
        <w:tabs>
          <w:tab w:leader="none" w:pos="8741"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3200" w:hanging="1"/>
        <w:spacing w:after="0" w:line="328"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481"/>
          </w:cols>
          <w:pgMar w:left="499" w:top="127" w:right="91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LIMITED POWER OF ATTORNEY - SECURITIES LAW COMPLIANCE</w:t>
      </w:r>
    </w:p>
    <w:p>
      <w:pPr>
        <w:spacing w:after="0" w:line="197" w:lineRule="exact"/>
        <w:rPr>
          <w:sz w:val="20"/>
          <w:szCs w:val="20"/>
          <w:color w:val="auto"/>
        </w:rPr>
      </w:pPr>
    </w:p>
    <w:p>
      <w:pPr>
        <w:ind w:left="100" w:right="4499" w:hanging="97"/>
        <w:spacing w:after="0" w:line="254" w:lineRule="auto"/>
        <w:rPr>
          <w:sz w:val="20"/>
          <w:szCs w:val="20"/>
          <w:color w:val="auto"/>
        </w:rPr>
      </w:pPr>
      <w:r>
        <w:rPr>
          <w:rFonts w:ascii="Courier New" w:cs="Courier New" w:eastAsia="Courier New" w:hAnsi="Courier New"/>
          <w:sz w:val="16"/>
          <w:szCs w:val="16"/>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w:t>
      </w:r>
    </w:p>
    <w:p>
      <w:pPr>
        <w:spacing w:after="0" w:line="183" w:lineRule="exact"/>
        <w:rPr>
          <w:sz w:val="20"/>
          <w:szCs w:val="20"/>
          <w:color w:val="auto"/>
        </w:rPr>
      </w:pPr>
    </w:p>
    <w:p>
      <w:pPr>
        <w:ind w:left="100" w:right="4299"/>
        <w:spacing w:after="0" w:line="271" w:lineRule="auto"/>
        <w:rPr>
          <w:sz w:val="20"/>
          <w:szCs w:val="20"/>
          <w:color w:val="auto"/>
        </w:rPr>
      </w:pPr>
      <w:r>
        <w:rPr>
          <w:rFonts w:ascii="Courier New" w:cs="Courier New" w:eastAsia="Courier New" w:hAnsi="Courier New"/>
          <w:sz w:val="16"/>
          <w:szCs w:val="16"/>
          <w:color w:val="auto"/>
        </w:rPr>
        <w:t>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81" w:lineRule="exact"/>
        <w:rPr>
          <w:sz w:val="20"/>
          <w:szCs w:val="20"/>
          <w:color w:val="auto"/>
        </w:rPr>
      </w:pPr>
    </w:p>
    <w:p>
      <w:pPr>
        <w:ind w:left="100" w:right="4779" w:hanging="97"/>
        <w:spacing w:after="0" w:line="266" w:lineRule="auto"/>
        <w:rPr>
          <w:sz w:val="20"/>
          <w:szCs w:val="20"/>
          <w:color w:val="auto"/>
        </w:rPr>
      </w:pPr>
      <w:r>
        <w:rPr>
          <w:rFonts w:ascii="Courier New" w:cs="Courier New" w:eastAsia="Courier New" w:hAnsi="Courier New"/>
          <w:sz w:val="16"/>
          <w:szCs w:val="16"/>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3" w:lineRule="exact"/>
        <w:rPr>
          <w:sz w:val="20"/>
          <w:szCs w:val="20"/>
          <w:color w:val="auto"/>
        </w:rPr>
      </w:pPr>
    </w:p>
    <w:p>
      <w:pPr>
        <w:ind w:left="100" w:right="4699" w:hanging="97"/>
        <w:spacing w:after="0" w:line="256" w:lineRule="auto"/>
        <w:rPr>
          <w:sz w:val="20"/>
          <w:szCs w:val="20"/>
          <w:color w:val="auto"/>
        </w:rPr>
      </w:pPr>
      <w:r>
        <w:rPr>
          <w:rFonts w:ascii="Courier New" w:cs="Courier New" w:eastAsia="Courier New" w:hAnsi="Courier New"/>
          <w:sz w:val="16"/>
          <w:szCs w:val="16"/>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to the foregoing attorneys-in-fact.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Limited Power of Attorney is executed as of</w:t>
      </w:r>
    </w:p>
    <w:p>
      <w:pPr>
        <w:spacing w:after="0" w:line="3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the date set forth below.</w:t>
      </w:r>
    </w:p>
    <w:p>
      <w:pPr>
        <w:spacing w:after="0" w:line="35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/s/ Andrew Houston</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Print Name: Andrew Houston</w:t>
      </w:r>
    </w:p>
    <w:p>
      <w:pPr>
        <w:spacing w:after="0" w:line="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Dated:</w:t>
        <w:tab/>
        <w:t>1/22/2021</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34563"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2024-11-18T15:25:16Z</dcterms:created>
  <dcterms:modified xsi:type="dcterms:W3CDTF">2024-11-18T15:25:16Z</dcterms:modified>
</cp:coreProperties>
</file>