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2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1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5"/>
          <w:szCs w:val="35"/>
          <w:b w:val="1"/>
          <w:bCs w:val="1"/>
          <w:color w:val="auto"/>
        </w:rPr>
        <w:t>Form 8-K</w:t>
      </w:r>
    </w:p>
    <w:p>
      <w:pPr>
        <w:spacing w:after="0" w:line="27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3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Pursuant to Section 13 or 15(d)</w:t>
      </w:r>
    </w:p>
    <w:p>
      <w:pPr>
        <w:spacing w:after="0" w:line="1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22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May 16, 2024</w:t>
      </w:r>
    </w:p>
    <w:p>
      <w:pPr>
        <w:spacing w:after="0" w:line="4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w:t>
      </w:r>
    </w:p>
    <w:p>
      <w:pPr>
        <w:spacing w:after="0" w:line="2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5"/>
          <w:szCs w:val="35"/>
          <w:b w:val="1"/>
          <w:bCs w:val="1"/>
          <w:color w:val="auto"/>
        </w:rPr>
        <w:t>DROPBOX, INC.</w:t>
      </w:r>
    </w:p>
    <w:p>
      <w:pPr>
        <w:spacing w:after="0" w:line="1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340"/>
          </w:cols>
          <w:pgMar w:left="320" w:top="849" w:right="239" w:bottom="1440" w:gutter="0" w:footer="0" w:header="0"/>
        </w:sectPr>
      </w:pPr>
    </w:p>
    <w:p>
      <w:pPr>
        <w:spacing w:after="0" w:line="103" w:lineRule="exact"/>
        <w:rPr>
          <w:sz w:val="24"/>
          <w:szCs w:val="24"/>
          <w:color w:val="auto"/>
        </w:rPr>
      </w:pPr>
    </w:p>
    <w:p>
      <w:pPr>
        <w:jc w:val="center"/>
        <w:ind w:left="8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7" w:lineRule="exact"/>
        <w:rPr>
          <w:sz w:val="24"/>
          <w:szCs w:val="24"/>
          <w:color w:val="auto"/>
        </w:rPr>
      </w:pPr>
    </w:p>
    <w:p>
      <w:pPr>
        <w:jc w:val="center"/>
        <w:ind w:left="800"/>
        <w:spacing w:after="0"/>
        <w:rPr>
          <w:sz w:val="20"/>
          <w:szCs w:val="20"/>
          <w:color w:val="auto"/>
        </w:rPr>
      </w:pPr>
      <w:r>
        <w:rPr>
          <w:rFonts w:ascii="Times New Roman" w:cs="Times New Roman" w:eastAsia="Times New Roman" w:hAnsi="Times New Roman"/>
          <w:sz w:val="17"/>
          <w:szCs w:val="17"/>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001-38434</w:t>
      </w:r>
    </w:p>
    <w:p>
      <w:pPr>
        <w:spacing w:after="0" w:line="27"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26-0138832</w:t>
      </w:r>
    </w:p>
    <w:p>
      <w:pPr>
        <w:spacing w:after="0" w:line="2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7"/>
          <w:szCs w:val="17"/>
          <w:b w:val="1"/>
          <w:bCs w:val="1"/>
          <w:color w:val="auto"/>
        </w:rPr>
        <w:t>(I. R. S. Employer Identification No.)</w:t>
      </w:r>
    </w:p>
    <w:p>
      <w:pPr>
        <w:spacing w:after="0" w:line="20" w:lineRule="exact"/>
        <w:rPr>
          <w:sz w:val="24"/>
          <w:szCs w:val="24"/>
          <w:color w:val="auto"/>
        </w:rPr>
      </w:pPr>
    </w:p>
    <w:p>
      <w:pPr>
        <w:sectPr>
          <w:pgSz w:w="11900" w:h="16838" w:orient="portrait"/>
          <w:cols w:equalWidth="0" w:num="3">
            <w:col w:w="3860" w:space="720"/>
            <w:col w:w="2200" w:space="720"/>
            <w:col w:w="3840"/>
          </w:cols>
          <w:pgMar w:left="320" w:top="849" w:right="239" w:bottom="1440" w:gutter="0" w:footer="0" w:header="0"/>
          <w:type w:val="continuous"/>
        </w:sectPr>
      </w:pPr>
    </w:p>
    <w:p>
      <w:pPr>
        <w:ind w:left="1780"/>
        <w:spacing w:after="0"/>
        <w:rPr>
          <w:sz w:val="20"/>
          <w:szCs w:val="20"/>
          <w:color w:val="auto"/>
        </w:rPr>
      </w:pPr>
      <w:r>
        <w:rPr>
          <w:rFonts w:ascii="Times New Roman" w:cs="Times New Roman" w:eastAsia="Times New Roman" w:hAnsi="Times New Roman"/>
          <w:sz w:val="17"/>
          <w:szCs w:val="17"/>
          <w:b w:val="1"/>
          <w:bCs w:val="1"/>
          <w:color w:val="auto"/>
        </w:rPr>
        <w:t>incorporation)</w:t>
      </w:r>
    </w:p>
    <w:p>
      <w:pPr>
        <w:sectPr>
          <w:pgSz w:w="11900" w:h="16838" w:orient="portrait"/>
          <w:cols w:equalWidth="0" w:num="1">
            <w:col w:w="11340"/>
          </w:cols>
          <w:pgMar w:left="320" w:top="849" w:right="239" w:bottom="1440" w:gutter="0" w:footer="0" w:header="0"/>
          <w:type w:val="continuous"/>
        </w:sectPr>
      </w:pPr>
    </w:p>
    <w:p>
      <w:pPr>
        <w:spacing w:after="0" w:line="310"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1800 Owens St.</w:t>
      </w:r>
    </w:p>
    <w:p>
      <w:pPr>
        <w:spacing w:after="0" w:line="2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San Francisco, California 94158</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(415) 930-7766</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5" w:lineRule="exact"/>
        <w:rPr>
          <w:sz w:val="24"/>
          <w:szCs w:val="24"/>
          <w:color w:val="auto"/>
        </w:rPr>
      </w:pPr>
    </w:p>
    <w:p>
      <w:pPr>
        <w:ind w:right="240"/>
        <w:spacing w:after="0" w:line="25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1" w:lineRule="exact"/>
        <w:rPr>
          <w:sz w:val="24"/>
          <w:szCs w:val="24"/>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1"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1"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84"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82550</wp:posOffset>
            </wp:positionV>
            <wp:extent cx="62585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58560" cy="8255"/>
                    </a:xfrm>
                    <a:prstGeom prst="rect">
                      <a:avLst/>
                    </a:prstGeom>
                    <a:noFill/>
                  </pic:spPr>
                </pic:pic>
              </a:graphicData>
            </a:graphic>
          </wp:anchor>
        </w:drawing>
      </w:r>
    </w:p>
    <w:p>
      <w:pPr>
        <w:spacing w:after="0" w:line="148" w:lineRule="exact"/>
        <w:rPr>
          <w:sz w:val="24"/>
          <w:szCs w:val="24"/>
          <w:color w:val="auto"/>
        </w:rPr>
      </w:pPr>
    </w:p>
    <w:tbl>
      <w:tblPr>
        <w:tblLayout w:type="fixed"/>
        <w:tblInd w:w="740" w:type="dxa"/>
        <w:tblCellMar>
          <w:top w:w="0" w:type="dxa"/>
          <w:left w:w="0" w:type="dxa"/>
          <w:bottom w:w="0" w:type="dxa"/>
          <w:right w:w="0" w:type="dxa"/>
        </w:tblCellMar>
      </w:tblPr>
      <w:tr>
        <w:trPr>
          <w:trHeight w:val="161"/>
        </w:trPr>
        <w:tc>
          <w:tcPr>
            <w:tcW w:w="102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80" w:type="dxa"/>
            <w:vAlign w:val="bottom"/>
          </w:tcPr>
          <w:p>
            <w:pPr>
              <w:spacing w:after="0"/>
              <w:rPr>
                <w:sz w:val="13"/>
                <w:szCs w:val="13"/>
                <w:color w:val="auto"/>
              </w:rPr>
            </w:pPr>
          </w:p>
        </w:tc>
        <w:tc>
          <w:tcPr>
            <w:tcW w:w="190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100" w:type="dxa"/>
            <w:vAlign w:val="bottom"/>
            <w:gridSpan w:val="2"/>
          </w:tcPr>
          <w:p>
            <w:pPr>
              <w:jc w:val="center"/>
              <w:ind w:left="709"/>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r>
      <w:tr>
        <w:trPr>
          <w:trHeight w:val="20"/>
        </w:trPr>
        <w:tc>
          <w:tcPr>
            <w:tcW w:w="10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r>
      <w:tr>
        <w:trPr>
          <w:trHeight w:val="208"/>
        </w:trPr>
        <w:tc>
          <w:tcPr>
            <w:tcW w:w="4260" w:type="dxa"/>
            <w:vAlign w:val="bottom"/>
            <w:gridSpan w:val="3"/>
          </w:tcPr>
          <w:p>
            <w:pPr>
              <w:jc w:val="center"/>
              <w:ind w:right="1180"/>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190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color w:val="auto"/>
              </w:rPr>
              <w:t>DBX</w:t>
            </w:r>
          </w:p>
        </w:tc>
        <w:tc>
          <w:tcPr>
            <w:tcW w:w="78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99"/>
        </w:trPr>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391" w:lineRule="exact"/>
        <w:rPr>
          <w:sz w:val="24"/>
          <w:szCs w:val="24"/>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7"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160" w:lineRule="exact"/>
        <w:rPr>
          <w:sz w:val="24"/>
          <w:szCs w:val="24"/>
          <w:color w:val="auto"/>
        </w:rPr>
      </w:pPr>
    </w:p>
    <w:p>
      <w:pPr>
        <w:ind w:right="260"/>
        <w:spacing w:after="0" w:line="264"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431165</wp:posOffset>
            </wp:positionV>
            <wp:extent cx="71602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849" w:right="239" w:bottom="1440" w:gutter="0" w:footer="0" w:header="0"/>
          <w:type w:val="continuous"/>
        </w:sectPr>
      </w:pPr>
    </w:p>
    <w:bookmarkStart w:id="1" w:name="page2"/>
    <w:bookmarkEnd w:id="1"/>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16, 2024, at the 2024 Annual Meeting of Stockholders (the “Annual Meeting”) of Dropbox, Inc. (the “Company”), the Company’s stockholders voted upon the following proposals described in the Company’s definitive proxy statement filed with the Securities and Exchange Commission on April 2, 2024: (1) to elect nine directors to the Board of Directors of the Company to serve until the next annual meeting of stockholders and until their successors are duly elected and qualified; (2) to ratify the appointment of Ernst &amp; Young LLP, an independent registered public accounting firm, as auditors for the fiscal year ending December 31, 2024; and (3) to approve, on an advisory basis, the compensation of the Company’s named executive officers.</w:t>
      </w:r>
    </w:p>
    <w:p>
      <w:pPr>
        <w:spacing w:after="0" w:line="20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All nominated directors were elected and the other proposals were approved by the required stockholder vote. The final voting results with respect to each proposal is as set forth below.</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Proposal for election of nine directors:</w:t>
            </w: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344"/>
        </w:trPr>
        <w:tc>
          <w:tcPr>
            <w:tcW w:w="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28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Withhold</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Broker Non-Votes</w:t>
            </w:r>
          </w:p>
        </w:tc>
      </w:tr>
      <w:tr>
        <w:trPr>
          <w:trHeight w:val="219"/>
        </w:trPr>
        <w:tc>
          <w:tcPr>
            <w:tcW w:w="40" w:type="dxa"/>
            <w:vAlign w:val="bottom"/>
          </w:tcPr>
          <w:p>
            <w:pPr>
              <w:spacing w:after="0"/>
              <w:rPr>
                <w:sz w:val="19"/>
                <w:szCs w:val="19"/>
                <w:color w:val="auto"/>
              </w:rPr>
            </w:pPr>
          </w:p>
        </w:tc>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Donald W. Blair</w:t>
            </w:r>
          </w:p>
        </w:tc>
        <w:tc>
          <w:tcPr>
            <w:tcW w:w="2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995,111,800</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3,685,041</w:t>
            </w:r>
          </w:p>
        </w:tc>
        <w:tc>
          <w:tcPr>
            <w:tcW w:w="100" w:type="dxa"/>
            <w:vAlign w:val="bottom"/>
            <w:tcBorders>
              <w:top w:val="single" w:sz="8" w:color="CCEEFF"/>
            </w:tcBorders>
            <w:shd w:val="clear" w:color="auto" w:fill="CCEEFF"/>
          </w:tcPr>
          <w:p>
            <w:pPr>
              <w:spacing w:after="0"/>
              <w:rPr>
                <w:sz w:val="19"/>
                <w:szCs w:val="19"/>
                <w:color w:val="auto"/>
              </w:rPr>
            </w:pPr>
          </w:p>
        </w:tc>
        <w:tc>
          <w:tcPr>
            <w:tcW w:w="2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15,168,354</w:t>
            </w:r>
          </w:p>
        </w:tc>
      </w:tr>
      <w:tr>
        <w:trPr>
          <w:trHeight w:val="226"/>
        </w:trPr>
        <w:tc>
          <w:tcPr>
            <w:tcW w:w="4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Lisa Campbell</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931,404,325</w:t>
            </w:r>
          </w:p>
        </w:tc>
        <w:tc>
          <w:tcPr>
            <w:tcW w:w="10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67,392,516</w:t>
            </w:r>
          </w:p>
        </w:tc>
        <w:tc>
          <w:tcPr>
            <w:tcW w:w="100" w:type="dxa"/>
            <w:vAlign w:val="bottom"/>
          </w:tcPr>
          <w:p>
            <w:pPr>
              <w:spacing w:after="0"/>
              <w:rPr>
                <w:sz w:val="19"/>
                <w:szCs w:val="19"/>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15,168,354</w:t>
            </w:r>
          </w:p>
        </w:tc>
      </w:tr>
      <w:tr>
        <w:trPr>
          <w:trHeight w:val="226"/>
        </w:trPr>
        <w:tc>
          <w:tcPr>
            <w:tcW w:w="40" w:type="dxa"/>
            <w:vAlign w:val="bottom"/>
          </w:tcPr>
          <w:p>
            <w:pPr>
              <w:spacing w:after="0"/>
              <w:rPr>
                <w:sz w:val="19"/>
                <w:szCs w:val="19"/>
                <w:color w:val="auto"/>
              </w:rPr>
            </w:pPr>
          </w:p>
        </w:tc>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Andrew W. Houston</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919,706,543</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79,090,298</w:t>
            </w:r>
          </w:p>
        </w:tc>
        <w:tc>
          <w:tcPr>
            <w:tcW w:w="100" w:type="dxa"/>
            <w:vAlign w:val="bottom"/>
            <w:shd w:val="clear" w:color="auto" w:fill="CCEEFF"/>
          </w:tcPr>
          <w:p>
            <w:pPr>
              <w:spacing w:after="0"/>
              <w:rPr>
                <w:sz w:val="19"/>
                <w:szCs w:val="19"/>
                <w:color w:val="auto"/>
              </w:rPr>
            </w:pP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15,168,354</w:t>
            </w:r>
          </w:p>
        </w:tc>
      </w:tr>
      <w:tr>
        <w:trPr>
          <w:trHeight w:val="226"/>
        </w:trPr>
        <w:tc>
          <w:tcPr>
            <w:tcW w:w="4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Paul E. Jacobs</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902,203,746</w:t>
            </w:r>
          </w:p>
        </w:tc>
        <w:tc>
          <w:tcPr>
            <w:tcW w:w="10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96,593,095</w:t>
            </w:r>
          </w:p>
        </w:tc>
        <w:tc>
          <w:tcPr>
            <w:tcW w:w="100" w:type="dxa"/>
            <w:vAlign w:val="bottom"/>
          </w:tcPr>
          <w:p>
            <w:pPr>
              <w:spacing w:after="0"/>
              <w:rPr>
                <w:sz w:val="19"/>
                <w:szCs w:val="19"/>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15,168,354</w:t>
            </w:r>
          </w:p>
        </w:tc>
      </w:tr>
      <w:tr>
        <w:trPr>
          <w:trHeight w:val="226"/>
        </w:trPr>
        <w:tc>
          <w:tcPr>
            <w:tcW w:w="40" w:type="dxa"/>
            <w:vAlign w:val="bottom"/>
          </w:tcPr>
          <w:p>
            <w:pPr>
              <w:spacing w:after="0"/>
              <w:rPr>
                <w:sz w:val="19"/>
                <w:szCs w:val="19"/>
                <w:color w:val="auto"/>
              </w:rPr>
            </w:pPr>
          </w:p>
        </w:tc>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Sara Mathew</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993,104,006</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5,692,835</w:t>
            </w:r>
          </w:p>
        </w:tc>
        <w:tc>
          <w:tcPr>
            <w:tcW w:w="100" w:type="dxa"/>
            <w:vAlign w:val="bottom"/>
            <w:shd w:val="clear" w:color="auto" w:fill="CCEEFF"/>
          </w:tcPr>
          <w:p>
            <w:pPr>
              <w:spacing w:after="0"/>
              <w:rPr>
                <w:sz w:val="19"/>
                <w:szCs w:val="19"/>
                <w:color w:val="auto"/>
              </w:rPr>
            </w:pP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15,168,354</w:t>
            </w:r>
          </w:p>
        </w:tc>
      </w:tr>
      <w:tr>
        <w:trPr>
          <w:trHeight w:val="226"/>
        </w:trPr>
        <w:tc>
          <w:tcPr>
            <w:tcW w:w="4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Moore</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996,721,376</w:t>
            </w:r>
          </w:p>
        </w:tc>
        <w:tc>
          <w:tcPr>
            <w:tcW w:w="10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2,075,465</w:t>
            </w:r>
          </w:p>
        </w:tc>
        <w:tc>
          <w:tcPr>
            <w:tcW w:w="100" w:type="dxa"/>
            <w:vAlign w:val="bottom"/>
          </w:tcPr>
          <w:p>
            <w:pPr>
              <w:spacing w:after="0"/>
              <w:rPr>
                <w:sz w:val="19"/>
                <w:szCs w:val="19"/>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15,168,354</w:t>
            </w:r>
          </w:p>
        </w:tc>
      </w:tr>
      <w:tr>
        <w:trPr>
          <w:trHeight w:val="226"/>
        </w:trPr>
        <w:tc>
          <w:tcPr>
            <w:tcW w:w="40" w:type="dxa"/>
            <w:vAlign w:val="bottom"/>
          </w:tcPr>
          <w:p>
            <w:pPr>
              <w:spacing w:after="0"/>
              <w:rPr>
                <w:sz w:val="19"/>
                <w:szCs w:val="19"/>
                <w:color w:val="auto"/>
              </w:rPr>
            </w:pPr>
          </w:p>
        </w:tc>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Abhay Parasnis</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994,980,744</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3,816,097</w:t>
            </w:r>
          </w:p>
        </w:tc>
        <w:tc>
          <w:tcPr>
            <w:tcW w:w="100" w:type="dxa"/>
            <w:vAlign w:val="bottom"/>
            <w:shd w:val="clear" w:color="auto" w:fill="CCEEFF"/>
          </w:tcPr>
          <w:p>
            <w:pPr>
              <w:spacing w:after="0"/>
              <w:rPr>
                <w:sz w:val="19"/>
                <w:szCs w:val="19"/>
                <w:color w:val="auto"/>
              </w:rPr>
            </w:pP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15,168,354</w:t>
            </w:r>
          </w:p>
        </w:tc>
      </w:tr>
      <w:tr>
        <w:trPr>
          <w:trHeight w:val="226"/>
        </w:trPr>
        <w:tc>
          <w:tcPr>
            <w:tcW w:w="4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Karen Peacock</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995,437,052</w:t>
            </w:r>
          </w:p>
        </w:tc>
        <w:tc>
          <w:tcPr>
            <w:tcW w:w="10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3,359,789</w:t>
            </w:r>
          </w:p>
        </w:tc>
        <w:tc>
          <w:tcPr>
            <w:tcW w:w="100" w:type="dxa"/>
            <w:vAlign w:val="bottom"/>
          </w:tcPr>
          <w:p>
            <w:pPr>
              <w:spacing w:after="0"/>
              <w:rPr>
                <w:sz w:val="19"/>
                <w:szCs w:val="19"/>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15,168,354</w:t>
            </w:r>
          </w:p>
        </w:tc>
      </w:tr>
      <w:tr>
        <w:trPr>
          <w:trHeight w:val="252"/>
        </w:trPr>
        <w:tc>
          <w:tcPr>
            <w:tcW w:w="40" w:type="dxa"/>
            <w:vAlign w:val="bottom"/>
          </w:tcPr>
          <w:p>
            <w:pPr>
              <w:spacing w:after="0"/>
              <w:rPr>
                <w:sz w:val="21"/>
                <w:szCs w:val="21"/>
                <w:color w:val="auto"/>
              </w:rPr>
            </w:pPr>
          </w:p>
        </w:tc>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Seibel</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994,974,449</w:t>
            </w:r>
          </w:p>
        </w:tc>
        <w:tc>
          <w:tcPr>
            <w:tcW w:w="100" w:type="dxa"/>
            <w:vAlign w:val="bottom"/>
            <w:shd w:val="clear" w:color="auto" w:fill="CCEEFF"/>
          </w:tcPr>
          <w:p>
            <w:pPr>
              <w:spacing w:after="0"/>
              <w:rPr>
                <w:sz w:val="21"/>
                <w:szCs w:val="21"/>
                <w:color w:val="auto"/>
              </w:rPr>
            </w:pP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3,822,392</w:t>
            </w:r>
          </w:p>
        </w:tc>
        <w:tc>
          <w:tcPr>
            <w:tcW w:w="100" w:type="dxa"/>
            <w:vAlign w:val="bottom"/>
            <w:shd w:val="clear" w:color="auto" w:fill="CCEEFF"/>
          </w:tcPr>
          <w:p>
            <w:pPr>
              <w:spacing w:after="0"/>
              <w:rPr>
                <w:sz w:val="21"/>
                <w:szCs w:val="21"/>
                <w:color w:val="auto"/>
              </w:rPr>
            </w:pP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15,168,354</w:t>
            </w:r>
          </w:p>
        </w:tc>
      </w:tr>
    </w:tbl>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Proposal to ratify Ernst &amp; Young LLP as auditors for the fiscal year ending December 31, 2024:</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280" w:type="dxa"/>
            <w:vAlign w:val="bottom"/>
            <w:gridSpan w:val="2"/>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280" w:type="dxa"/>
            <w:vAlign w:val="bottom"/>
            <w:gridSpan w:val="2"/>
          </w:tcPr>
          <w:p>
            <w:pPr>
              <w:jc w:val="center"/>
              <w:ind w:right="110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18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19"/>
        </w:trPr>
        <w:tc>
          <w:tcPr>
            <w:tcW w:w="2180" w:type="dxa"/>
            <w:vAlign w:val="bottom"/>
            <w:tcBorders>
              <w:top w:val="single" w:sz="8" w:color="auto"/>
            </w:tcBorders>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rPr>
              <w:t>1,010,588,069</w:t>
            </w:r>
          </w:p>
        </w:tc>
        <w:tc>
          <w:tcPr>
            <w:tcW w:w="1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color w:val="auto"/>
              </w:rPr>
              <w:t>3,237,697</w:t>
            </w:r>
          </w:p>
        </w:tc>
        <w:tc>
          <w:tcPr>
            <w:tcW w:w="1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139,429</w:t>
            </w: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Proposal to approve, on an advisory basis, the compensation of the Company's named executive officers:</w:t>
      </w:r>
    </w:p>
    <w:p>
      <w:pPr>
        <w:spacing w:after="0" w:line="375" w:lineRule="exact"/>
        <w:rPr>
          <w:sz w:val="20"/>
          <w:szCs w:val="20"/>
          <w:color w:val="auto"/>
        </w:rPr>
      </w:pPr>
    </w:p>
    <w:tbl>
      <w:tblPr>
        <w:tblLayout w:type="fixed"/>
        <w:tblInd w:w="40" w:type="dxa"/>
        <w:tblCellMar>
          <w:top w:w="0" w:type="dxa"/>
          <w:left w:w="0" w:type="dxa"/>
          <w:bottom w:w="0" w:type="dxa"/>
          <w:right w:w="0" w:type="dxa"/>
        </w:tblCellMar>
      </w:tblPr>
      <w:tr>
        <w:trPr>
          <w:trHeight w:val="233"/>
        </w:trPr>
        <w:tc>
          <w:tcPr>
            <w:tcW w:w="302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06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306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Broker Non-Votes</w:t>
            </w:r>
          </w:p>
        </w:tc>
      </w:tr>
      <w:tr>
        <w:trPr>
          <w:trHeight w:val="219"/>
        </w:trPr>
        <w:tc>
          <w:tcPr>
            <w:tcW w:w="2000" w:type="dxa"/>
            <w:vAlign w:val="bottom"/>
            <w:tcBorders>
              <w:top w:val="single" w:sz="8" w:color="auto"/>
            </w:tcBorders>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981,705,939</w:t>
            </w:r>
          </w:p>
        </w:tc>
        <w:tc>
          <w:tcPr>
            <w:tcW w:w="102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16,895,190</w:t>
            </w:r>
          </w:p>
        </w:tc>
        <w:tc>
          <w:tcPr>
            <w:tcW w:w="104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195,712</w:t>
            </w:r>
          </w:p>
        </w:tc>
        <w:tc>
          <w:tcPr>
            <w:tcW w:w="102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15,168,354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575310</wp:posOffset>
            </wp:positionV>
            <wp:extent cx="71602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 w:name="page3"/>
    <w:bookmarkEnd w:id="2"/>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20, 2024</w:t>
      </w:r>
    </w:p>
    <w:p>
      <w:pPr>
        <w:spacing w:after="0" w:line="28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2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 Bart Volkmer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2235835</wp:posOffset>
            </wp:positionH>
            <wp:positionV relativeFrom="paragraph">
              <wp:posOffset>11430</wp:posOffset>
            </wp:positionV>
            <wp:extent cx="27800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80030" cy="8255"/>
                    </a:xfrm>
                    <a:prstGeom prst="rect">
                      <a:avLst/>
                    </a:prstGeom>
                    <a:noFill/>
                  </pic:spPr>
                </pic:pic>
              </a:graphicData>
            </a:graphic>
          </wp:anchor>
        </w:drawing>
      </w:r>
    </w:p>
    <w:p>
      <w:pPr>
        <w:spacing w:after="0" w:line="6"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Bart Volkmer</w:t>
      </w:r>
    </w:p>
    <w:p>
      <w:pPr>
        <w:spacing w:after="0" w:line="25"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Chief Legal Officer</w:t>
      </w:r>
    </w:p>
    <w:sectPr>
      <w:pgSz w:w="11900" w:h="16838" w:orient="portrait"/>
      <w:cols w:equalWidth="0" w:num="1">
        <w:col w:w="11080"/>
      </w:cols>
      <w:pgMar w:left="320" w:top="875"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2024-05-20T15:44:10Z</dcterms:created>
  <dcterms:modified xsi:type="dcterms:W3CDTF">2024-05-20T15:44:10Z</dcterms:modified>
</cp:coreProperties>
</file>