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5443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5443855"/>
                    </a:xfrm>
                    <a:prstGeom prst="rect">
                      <a:avLst/>
                    </a:prstGeom>
                    <a:noFill/>
                  </pic:spPr>
                </pic:pic>
              </a:graphicData>
            </a:graphic>
          </wp:anchor>
        </w:drawing>
      </w:r>
    </w:p>
    <w:p>
      <w:pPr>
        <w:spacing w:after="0" w:line="376" w:lineRule="exact"/>
        <w:rPr>
          <w:sz w:val="24"/>
          <w:szCs w:val="24"/>
          <w:color w:val="auto"/>
        </w:rPr>
      </w:pPr>
    </w:p>
    <w:p>
      <w:pPr>
        <w:ind w:left="1180"/>
        <w:spacing w:after="0"/>
        <w:rPr>
          <w:sz w:val="20"/>
          <w:szCs w:val="20"/>
          <w:color w:val="auto"/>
        </w:rPr>
      </w:pPr>
      <w:r>
        <w:rPr>
          <w:rFonts w:ascii="Arial" w:cs="Arial" w:eastAsia="Arial" w:hAnsi="Arial"/>
          <w:sz w:val="55"/>
          <w:szCs w:val="55"/>
          <w:color w:val="F9F8F4"/>
        </w:rPr>
        <w:t>2025 Annual Report</w:t>
      </w:r>
    </w:p>
    <w:p>
      <w:pPr>
        <w:ind w:left="1060"/>
        <w:spacing w:after="0" w:line="239" w:lineRule="auto"/>
        <w:rPr>
          <w:sz w:val="20"/>
          <w:szCs w:val="20"/>
          <w:color w:val="auto"/>
        </w:rPr>
      </w:pPr>
      <w:r>
        <w:rPr>
          <w:rFonts w:ascii="Arial" w:cs="Arial" w:eastAsia="Arial" w:hAnsi="Arial"/>
          <w:sz w:val="55"/>
          <w:szCs w:val="55"/>
          <w:color w:val="F9F8F4"/>
        </w:rPr>
        <w:t>and Notice of Annual</w:t>
      </w:r>
    </w:p>
    <w:p>
      <w:pPr>
        <w:ind w:left="1440"/>
        <w:spacing w:after="0" w:line="239" w:lineRule="auto"/>
        <w:rPr>
          <w:sz w:val="20"/>
          <w:szCs w:val="20"/>
          <w:color w:val="auto"/>
        </w:rPr>
      </w:pPr>
      <w:r>
        <w:rPr>
          <w:rFonts w:ascii="Arial" w:cs="Arial" w:eastAsia="Arial" w:hAnsi="Arial"/>
          <w:sz w:val="55"/>
          <w:szCs w:val="55"/>
          <w:color w:val="F9F8F4"/>
        </w:rPr>
        <w:t>Meeting and Proxy</w:t>
      </w:r>
    </w:p>
    <w:p>
      <w:pPr>
        <w:spacing w:after="0" w:line="1" w:lineRule="exact"/>
        <w:rPr>
          <w:sz w:val="24"/>
          <w:szCs w:val="24"/>
          <w:color w:val="auto"/>
        </w:rPr>
      </w:pPr>
    </w:p>
    <w:p>
      <w:pPr>
        <w:ind w:left="2680"/>
        <w:spacing w:after="0"/>
        <w:rPr>
          <w:sz w:val="20"/>
          <w:szCs w:val="20"/>
          <w:color w:val="auto"/>
        </w:rPr>
      </w:pPr>
      <w:r>
        <w:rPr>
          <w:rFonts w:ascii="Arial" w:cs="Arial" w:eastAsia="Arial" w:hAnsi="Arial"/>
          <w:sz w:val="55"/>
          <w:szCs w:val="55"/>
          <w:color w:val="F9F8F4"/>
        </w:rPr>
        <w:t>Statement</w:t>
      </w:r>
    </w:p>
    <w:p>
      <w:pPr>
        <w:spacing w:after="0" w:line="379" w:lineRule="exact"/>
        <w:rPr>
          <w:sz w:val="24"/>
          <w:szCs w:val="24"/>
          <w:color w:val="auto"/>
        </w:rPr>
      </w:pPr>
    </w:p>
    <w:p>
      <w:pPr>
        <w:jc w:val="center"/>
        <w:ind w:right="40"/>
        <w:spacing w:after="0"/>
        <w:rPr>
          <w:sz w:val="20"/>
          <w:szCs w:val="20"/>
          <w:color w:val="auto"/>
        </w:rPr>
      </w:pPr>
      <w:r>
        <w:rPr>
          <w:rFonts w:ascii="Arial" w:cs="Arial" w:eastAsia="Arial" w:hAnsi="Arial"/>
          <w:sz w:val="27"/>
          <w:szCs w:val="27"/>
          <w:color w:val="F9F8F4"/>
        </w:rPr>
        <w:t>Annual Meeting to be hel</w:t>
      </w:r>
      <w:r>
        <w:rPr>
          <w:rFonts w:ascii="Arial" w:cs="Arial" w:eastAsia="Arial" w:hAnsi="Arial"/>
          <w:sz w:val="27"/>
          <w:szCs w:val="27"/>
          <w:b w:val="1"/>
          <w:bCs w:val="1"/>
          <w:color w:val="F9F8F4"/>
        </w:rPr>
        <w:t>d on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4009390</wp:posOffset>
            </wp:positionV>
            <wp:extent cx="2296160" cy="750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96160" cy="750570"/>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ind w:left="7"/>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25400</wp:posOffset>
            </wp:positionV>
            <wp:extent cx="4358640" cy="854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58640" cy="854075"/>
                    </a:xfrm>
                    <a:prstGeom prst="rect">
                      <a:avLst/>
                    </a:prstGeom>
                    <a:noFill/>
                  </pic:spPr>
                </pic:pic>
              </a:graphicData>
            </a:graphic>
          </wp:anchor>
        </w:drawing>
      </w:r>
    </w:p>
    <w:p>
      <w:pPr>
        <w:spacing w:after="0" w:line="193" w:lineRule="exact"/>
        <w:rPr>
          <w:sz w:val="20"/>
          <w:szCs w:val="20"/>
          <w:color w:val="auto"/>
        </w:rPr>
      </w:pPr>
    </w:p>
    <w:p>
      <w:pPr>
        <w:ind w:left="7327"/>
        <w:spacing w:after="0"/>
        <w:rPr>
          <w:sz w:val="20"/>
          <w:szCs w:val="20"/>
          <w:color w:val="auto"/>
        </w:rPr>
      </w:pPr>
      <w:r>
        <w:rPr>
          <w:rFonts w:ascii="Arial" w:cs="Arial" w:eastAsia="Arial" w:hAnsi="Arial"/>
          <w:sz w:val="20"/>
          <w:szCs w:val="20"/>
          <w:color w:val="auto"/>
        </w:rPr>
        <w:t>DROPBOX, INC.</w:t>
      </w:r>
    </w:p>
    <w:p>
      <w:pPr>
        <w:spacing w:after="0" w:line="27" w:lineRule="exact"/>
        <w:rPr>
          <w:sz w:val="20"/>
          <w:szCs w:val="20"/>
          <w:color w:val="auto"/>
        </w:rPr>
      </w:pPr>
    </w:p>
    <w:p>
      <w:pPr>
        <w:ind w:left="7327" w:right="260"/>
        <w:spacing w:after="0" w:line="267" w:lineRule="auto"/>
        <w:rPr>
          <w:sz w:val="20"/>
          <w:szCs w:val="20"/>
          <w:color w:val="auto"/>
        </w:rPr>
      </w:pPr>
      <w:r>
        <w:rPr>
          <w:rFonts w:ascii="Arial" w:cs="Arial" w:eastAsia="Arial" w:hAnsi="Arial"/>
          <w:sz w:val="19"/>
          <w:szCs w:val="19"/>
          <w:color w:val="auto"/>
        </w:rPr>
        <w:t>1800 OWENS STREET SAN FRANCISCO, CALIFORNIA 94158</w:t>
      </w:r>
    </w:p>
    <w:p>
      <w:pPr>
        <w:spacing w:after="0" w:line="2" w:lineRule="exact"/>
        <w:rPr>
          <w:sz w:val="20"/>
          <w:szCs w:val="20"/>
          <w:color w:val="auto"/>
        </w:rPr>
      </w:pPr>
    </w:p>
    <w:p>
      <w:pPr>
        <w:ind w:left="47"/>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5" w:lineRule="exact"/>
        <w:rPr>
          <w:sz w:val="20"/>
          <w:szCs w:val="20"/>
          <w:color w:val="auto"/>
        </w:rPr>
      </w:pPr>
    </w:p>
    <w:p>
      <w:pPr>
        <w:ind w:left="7"/>
        <w:spacing w:after="0"/>
        <w:rPr>
          <w:sz w:val="20"/>
          <w:szCs w:val="20"/>
          <w:color w:val="auto"/>
        </w:rPr>
      </w:pPr>
      <w:r>
        <w:rPr>
          <w:rFonts w:ascii="Arial" w:cs="Arial" w:eastAsia="Arial" w:hAnsi="Arial"/>
          <w:sz w:val="31"/>
          <w:szCs w:val="31"/>
          <w:b w:val="1"/>
          <w:bCs w:val="1"/>
          <w:color w:val="0A248E"/>
        </w:rPr>
        <w:t>NOTICE OF ANNUAL MEETING OF STOCKHOLDERS</w:t>
      </w:r>
    </w:p>
    <w:p>
      <w:pPr>
        <w:spacing w:after="0" w:line="60" w:lineRule="exact"/>
        <w:rPr>
          <w:sz w:val="20"/>
          <w:szCs w:val="20"/>
          <w:color w:val="auto"/>
        </w:rPr>
      </w:pPr>
    </w:p>
    <w:p>
      <w:pPr>
        <w:ind w:left="7"/>
        <w:spacing w:after="0"/>
        <w:rPr>
          <w:sz w:val="20"/>
          <w:szCs w:val="20"/>
          <w:color w:val="auto"/>
        </w:rPr>
      </w:pPr>
      <w:r>
        <w:rPr>
          <w:rFonts w:ascii="Arial" w:cs="Arial" w:eastAsia="Arial" w:hAnsi="Arial"/>
          <w:sz w:val="31"/>
          <w:szCs w:val="31"/>
          <w:b w:val="1"/>
          <w:bCs w:val="1"/>
          <w:color w:val="0A248E"/>
        </w:rPr>
        <w:t>to be held at 9:00 am Pacific Time on Thursday, May 21, 2026</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8"/>
          <w:szCs w:val="18"/>
          <w:color w:val="auto"/>
        </w:rPr>
        <w:t>Dear Stockholders of Dropbox, Inc.:</w:t>
      </w:r>
    </w:p>
    <w:p>
      <w:pPr>
        <w:spacing w:after="0" w:line="195" w:lineRule="exact"/>
        <w:rPr>
          <w:sz w:val="20"/>
          <w:szCs w:val="20"/>
          <w:color w:val="auto"/>
        </w:rPr>
      </w:pPr>
    </w:p>
    <w:p>
      <w:pPr>
        <w:ind w:left="7" w:right="40"/>
        <w:spacing w:after="0" w:line="279" w:lineRule="auto"/>
        <w:rPr>
          <w:sz w:val="20"/>
          <w:szCs w:val="20"/>
          <w:color w:val="auto"/>
        </w:rPr>
      </w:pPr>
      <w:r>
        <w:rPr>
          <w:rFonts w:ascii="Arial" w:cs="Arial" w:eastAsia="Arial" w:hAnsi="Arial"/>
          <w:sz w:val="18"/>
          <w:szCs w:val="18"/>
          <w:color w:val="auto"/>
        </w:rPr>
        <w:t>We cordially invite you to attend the 2026 annual meeting of stockholders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of Dropbox, Inc., a Nevada corporation, to be held on May 21, 2026 at 9:00 am Pacific Time. The Annual Meeting will be conducted virtually via live audio webcast. You will be able to attend the Annual Meeting virtually by visiting www.virtualshareholdermeeting.com/DBX2026, where you will be able to listen to the meeting live, submit questions and vote online.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8"/>
          <w:szCs w:val="18"/>
          <w:color w:val="auto"/>
        </w:rPr>
        <w:t>Whether or not you attend the Annual Meeting, it is important that your shares be represented and voted at the meeting.</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Therefore, we urge you to promptly vote and submit your proxy via the Internet, by telephone, or by mail.</w:t>
      </w:r>
    </w:p>
    <w:p>
      <w:pPr>
        <w:spacing w:after="0" w:line="200" w:lineRule="exact"/>
        <w:rPr>
          <w:sz w:val="20"/>
          <w:szCs w:val="20"/>
          <w:color w:val="auto"/>
        </w:rPr>
      </w:pPr>
    </w:p>
    <w:p>
      <w:pPr>
        <w:ind w:left="7" w:right="820"/>
        <w:spacing w:after="0" w:line="310" w:lineRule="auto"/>
        <w:rPr>
          <w:sz w:val="20"/>
          <w:szCs w:val="20"/>
          <w:color w:val="auto"/>
        </w:rPr>
      </w:pPr>
      <w:r>
        <w:rPr>
          <w:rFonts w:ascii="Arial" w:cs="Arial" w:eastAsia="Arial" w:hAnsi="Arial"/>
          <w:sz w:val="18"/>
          <w:szCs w:val="18"/>
          <w:color w:val="auto"/>
        </w:rPr>
        <w:t>We are holding the Annual Meeting for the following purposes, as more fully described in the accompanying proxy statement:</w:t>
      </w:r>
    </w:p>
    <w:p>
      <w:pPr>
        <w:spacing w:after="0" w:line="102" w:lineRule="exact"/>
        <w:rPr>
          <w:sz w:val="20"/>
          <w:szCs w:val="20"/>
          <w:color w:val="auto"/>
        </w:rPr>
      </w:pPr>
    </w:p>
    <w:p>
      <w:pPr>
        <w:ind w:left="347" w:right="560" w:hanging="347"/>
        <w:spacing w:after="0" w:line="310"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seven directors to serve until the next annual meeting of stockholders and until their successors are duly elected and qualified;</w:t>
      </w:r>
    </w:p>
    <w:p>
      <w:pPr>
        <w:spacing w:after="0" w:line="106" w:lineRule="exact"/>
        <w:rPr>
          <w:rFonts w:ascii="Arial" w:cs="Arial" w:eastAsia="Arial" w:hAnsi="Arial"/>
          <w:sz w:val="18"/>
          <w:szCs w:val="18"/>
          <w:color w:val="auto"/>
        </w:rPr>
      </w:pPr>
    </w:p>
    <w:p>
      <w:pPr>
        <w:ind w:left="347" w:right="140" w:hanging="347"/>
        <w:spacing w:after="0" w:line="310"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our fiscal year ending December 31, 2026;</w:t>
      </w:r>
    </w:p>
    <w:p>
      <w:pPr>
        <w:spacing w:after="0" w:line="106" w:lineRule="exact"/>
        <w:rPr>
          <w:rFonts w:ascii="Arial" w:cs="Arial" w:eastAsia="Arial" w:hAnsi="Arial"/>
          <w:sz w:val="18"/>
          <w:szCs w:val="18"/>
          <w:color w:val="auto"/>
        </w:rPr>
      </w:pPr>
    </w:p>
    <w:p>
      <w:pPr>
        <w:ind w:left="347" w:hanging="347"/>
        <w:spacing w:after="0"/>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200" w:lineRule="exact"/>
        <w:rPr>
          <w:rFonts w:ascii="Arial" w:cs="Arial" w:eastAsia="Arial" w:hAnsi="Arial"/>
          <w:sz w:val="18"/>
          <w:szCs w:val="18"/>
          <w:color w:val="auto"/>
        </w:rPr>
      </w:pPr>
    </w:p>
    <w:p>
      <w:pPr>
        <w:ind w:left="347" w:right="600" w:hanging="346"/>
        <w:spacing w:after="0" w:line="310"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and restatement of our articles of incorporation (our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to waive jury trials for internal actions, together with contextual and other ministerial changes; and</w:t>
      </w:r>
    </w:p>
    <w:p>
      <w:pPr>
        <w:spacing w:after="0" w:line="101" w:lineRule="exact"/>
        <w:rPr>
          <w:rFonts w:ascii="Arial" w:cs="Arial" w:eastAsia="Arial" w:hAnsi="Arial"/>
          <w:sz w:val="18"/>
          <w:szCs w:val="18"/>
          <w:color w:val="auto"/>
        </w:rPr>
      </w:pPr>
    </w:p>
    <w:p>
      <w:pPr>
        <w:ind w:left="347" w:right="1100" w:hanging="347"/>
        <w:spacing w:after="0" w:line="310"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06" w:lineRule="exact"/>
        <w:rPr>
          <w:sz w:val="20"/>
          <w:szCs w:val="20"/>
          <w:color w:val="auto"/>
        </w:rPr>
      </w:pPr>
    </w:p>
    <w:p>
      <w:pPr>
        <w:ind w:left="7" w:right="300"/>
        <w:spacing w:after="0" w:line="315" w:lineRule="auto"/>
        <w:rPr>
          <w:sz w:val="20"/>
          <w:szCs w:val="20"/>
          <w:color w:val="auto"/>
        </w:rPr>
      </w:pPr>
      <w:r>
        <w:rPr>
          <w:rFonts w:ascii="Arial" w:cs="Arial" w:eastAsia="Arial" w:hAnsi="Arial"/>
          <w:sz w:val="17"/>
          <w:szCs w:val="17"/>
          <w:color w:val="auto"/>
        </w:rPr>
        <w:t>Our board of directors has fixed the close of business on March 26, 2026 as the record date for the Annual Meeting. Stockholders of record on March 26, 2026 are entitled to notice of and to vote at the Annual Meeting. Further information regarding voting rights and the matters to be voted upon is presented in the accompanying proxy statement.</w:t>
      </w:r>
    </w:p>
    <w:p>
      <w:pPr>
        <w:spacing w:after="0" w:line="101" w:lineRule="exact"/>
        <w:rPr>
          <w:sz w:val="20"/>
          <w:szCs w:val="20"/>
          <w:color w:val="auto"/>
        </w:rPr>
      </w:pPr>
    </w:p>
    <w:p>
      <w:pPr>
        <w:ind w:left="7" w:right="360"/>
        <w:spacing w:after="0" w:line="310" w:lineRule="auto"/>
        <w:rPr>
          <w:sz w:val="20"/>
          <w:szCs w:val="20"/>
          <w:color w:val="auto"/>
        </w:rPr>
      </w:pPr>
      <w:r>
        <w:rPr>
          <w:rFonts w:ascii="Arial" w:cs="Arial" w:eastAsia="Arial" w:hAnsi="Arial"/>
          <w:sz w:val="18"/>
          <w:szCs w:val="18"/>
          <w:color w:val="auto"/>
        </w:rPr>
        <w:t>The accompanying proxy statement and our annual report can be accessed by visiting: www.proxyvote.com. You will be asked to enter the 16-digit control number located on your proxy card.</w:t>
      </w:r>
    </w:p>
    <w:p>
      <w:pPr>
        <w:spacing w:after="0" w:line="104" w:lineRule="exact"/>
        <w:rPr>
          <w:sz w:val="20"/>
          <w:szCs w:val="20"/>
          <w:color w:val="auto"/>
        </w:rPr>
      </w:pPr>
    </w:p>
    <w:p>
      <w:pPr>
        <w:ind w:left="7" w:right="160"/>
        <w:spacing w:after="0" w:line="309" w:lineRule="auto"/>
        <w:rPr>
          <w:sz w:val="20"/>
          <w:szCs w:val="20"/>
          <w:color w:val="auto"/>
        </w:rPr>
      </w:pPr>
      <w:r>
        <w:rPr>
          <w:rFonts w:ascii="Arial" w:cs="Arial" w:eastAsia="Arial" w:hAnsi="Arial"/>
          <w:sz w:val="17"/>
          <w:szCs w:val="17"/>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1918970" cy="755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8970" cy="75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Andrew W. Houston</w:t>
      </w:r>
    </w:p>
    <w:p>
      <w:pPr>
        <w:spacing w:after="0" w:line="30" w:lineRule="exact"/>
        <w:rPr>
          <w:sz w:val="20"/>
          <w:szCs w:val="20"/>
          <w:color w:val="auto"/>
        </w:rPr>
      </w:pPr>
    </w:p>
    <w:p>
      <w:pPr>
        <w:ind w:left="7"/>
        <w:spacing w:after="0"/>
        <w:rPr>
          <w:sz w:val="20"/>
          <w:szCs w:val="20"/>
          <w:color w:val="auto"/>
        </w:rPr>
      </w:pPr>
      <w:r>
        <w:rPr>
          <w:rFonts w:ascii="Arial" w:cs="Arial" w:eastAsia="Arial" w:hAnsi="Arial"/>
          <w:sz w:val="18"/>
          <w:szCs w:val="18"/>
          <w:color w:val="auto"/>
        </w:rPr>
        <w:t>Chief Executive Officer, Co-Founder, and Chair of the Board</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8"/>
          <w:szCs w:val="18"/>
          <w:color w:val="auto"/>
        </w:rPr>
        <w:t>San Francisco, California</w:t>
      </w:r>
    </w:p>
    <w:p>
      <w:pPr>
        <w:spacing w:after="0" w:line="210" w:lineRule="exact"/>
        <w:rPr>
          <w:sz w:val="20"/>
          <w:szCs w:val="20"/>
          <w:color w:val="auto"/>
        </w:rPr>
      </w:pPr>
    </w:p>
    <w:p>
      <w:pPr>
        <w:ind w:left="7"/>
        <w:spacing w:after="0"/>
        <w:rPr>
          <w:sz w:val="20"/>
          <w:szCs w:val="20"/>
          <w:color w:val="auto"/>
        </w:rPr>
      </w:pPr>
      <w:r>
        <w:rPr>
          <w:rFonts w:ascii="Arial" w:cs="Arial" w:eastAsia="Arial" w:hAnsi="Arial"/>
          <w:sz w:val="18"/>
          <w:szCs w:val="18"/>
          <w:color w:val="auto"/>
        </w:rPr>
        <w:t>April 7, 2026</w:t>
      </w:r>
    </w:p>
    <w:p>
      <w:pPr>
        <w:sectPr>
          <w:pgSz w:w="11880" w:h="15480" w:orient="portrait"/>
          <w:cols w:equalWidth="0" w:num="1">
            <w:col w:w="9647"/>
          </w:cols>
          <w:pgMar w:left="1133" w:top="334" w:right="1100" w:bottom="0" w:gutter="0" w:footer="0" w:header="0"/>
        </w:sectPr>
      </w:pPr>
    </w:p>
    <w:p>
      <w:pPr>
        <w:spacing w:after="0" w:line="199" w:lineRule="exact"/>
        <w:rPr>
          <w:sz w:val="20"/>
          <w:szCs w:val="20"/>
          <w:color w:val="auto"/>
        </w:rPr>
      </w:pPr>
    </w:p>
    <w:p>
      <w:pPr>
        <w:ind w:left="3867"/>
        <w:spacing w:after="0"/>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34" w:right="1100" w:bottom="0" w:gutter="0" w:footer="0" w:header="0"/>
          <w:type w:val="continuous"/>
        </w:sectPr>
      </w:pPr>
    </w:p>
    <w:bookmarkStart w:id="3" w:name="page4"/>
    <w:bookmarkEnd w:id="3"/>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33"/>
          <w:szCs w:val="33"/>
          <w:color w:val="0A248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9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r>
      <w:tr>
        <w:trPr>
          <w:trHeight w:val="22"/>
        </w:trPr>
        <w:tc>
          <w:tcPr>
            <w:tcW w:w="9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511"/>
        </w:trPr>
        <w:tc>
          <w:tcPr>
            <w:tcW w:w="9020" w:type="dxa"/>
            <w:vAlign w:val="bottom"/>
          </w:tcPr>
          <w:p>
            <w:pPr>
              <w:spacing w:after="0"/>
              <w:rPr>
                <w:sz w:val="20"/>
                <w:szCs w:val="20"/>
                <w:color w:val="auto"/>
              </w:rPr>
            </w:pPr>
            <w:r>
              <w:rPr>
                <w:rFonts w:ascii="Arial" w:cs="Arial" w:eastAsia="Arial" w:hAnsi="Arial"/>
                <w:sz w:val="23"/>
                <w:szCs w:val="23"/>
                <w:b w:val="1"/>
                <w:bCs w:val="1"/>
                <w:color w:val="0A248E"/>
              </w:rPr>
              <w:t>GENERAL INFORMATION</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1</w:t>
            </w:r>
          </w:p>
        </w:tc>
      </w:tr>
      <w:tr>
        <w:trPr>
          <w:trHeight w:val="552"/>
        </w:trPr>
        <w:tc>
          <w:tcPr>
            <w:tcW w:w="9020" w:type="dxa"/>
            <w:vAlign w:val="bottom"/>
          </w:tcPr>
          <w:p>
            <w:pPr>
              <w:spacing w:after="0"/>
              <w:rPr>
                <w:sz w:val="20"/>
                <w:szCs w:val="20"/>
                <w:color w:val="auto"/>
              </w:rPr>
            </w:pPr>
            <w:r>
              <w:rPr>
                <w:rFonts w:ascii="Arial" w:cs="Arial" w:eastAsia="Arial" w:hAnsi="Arial"/>
                <w:sz w:val="23"/>
                <w:szCs w:val="23"/>
                <w:b w:val="1"/>
                <w:bCs w:val="1"/>
                <w:color w:val="0A248E"/>
              </w:rPr>
              <w:t>BOARD OF DIRECTORS AND CORPORATE GOVERNANCE</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8</w:t>
            </w:r>
          </w:p>
        </w:tc>
      </w:tr>
      <w:tr>
        <w:trPr>
          <w:trHeight w:val="429"/>
        </w:trPr>
        <w:tc>
          <w:tcPr>
            <w:tcW w:w="9020" w:type="dxa"/>
            <w:vAlign w:val="bottom"/>
          </w:tcPr>
          <w:p>
            <w:pPr>
              <w:ind w:left="280"/>
              <w:spacing w:after="0"/>
              <w:rPr>
                <w:sz w:val="20"/>
                <w:szCs w:val="20"/>
                <w:color w:val="auto"/>
              </w:rPr>
            </w:pPr>
            <w:r>
              <w:rPr>
                <w:rFonts w:ascii="Arial" w:cs="Arial" w:eastAsia="Arial" w:hAnsi="Arial"/>
                <w:sz w:val="18"/>
                <w:szCs w:val="18"/>
                <w:color w:val="0A248E"/>
              </w:rPr>
              <w:t>Nominees for Director</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9</w:t>
            </w:r>
          </w:p>
        </w:tc>
      </w:tr>
      <w:tr>
        <w:trPr>
          <w:trHeight w:val="477"/>
        </w:trPr>
        <w:tc>
          <w:tcPr>
            <w:tcW w:w="9020" w:type="dxa"/>
            <w:vAlign w:val="bottom"/>
          </w:tcPr>
          <w:p>
            <w:pPr>
              <w:ind w:left="280"/>
              <w:spacing w:after="0"/>
              <w:rPr>
                <w:sz w:val="20"/>
                <w:szCs w:val="20"/>
                <w:color w:val="auto"/>
              </w:rPr>
            </w:pPr>
            <w:r>
              <w:rPr>
                <w:rFonts w:ascii="Arial" w:cs="Arial" w:eastAsia="Arial" w:hAnsi="Arial"/>
                <w:sz w:val="18"/>
                <w:szCs w:val="18"/>
                <w:color w:val="0A248E"/>
              </w:rPr>
              <w:t>Non-Continuing Director</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13</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Director Independence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14</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Board Leadership Structure and Role of the Lead Independent Director</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14</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Board Committees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16</w:t>
            </w:r>
          </w:p>
        </w:tc>
      </w:tr>
      <w:tr>
        <w:trPr>
          <w:trHeight w:val="426"/>
        </w:trPr>
        <w:tc>
          <w:tcPr>
            <w:tcW w:w="9020" w:type="dxa"/>
            <w:vAlign w:val="bottom"/>
          </w:tcPr>
          <w:p>
            <w:pPr>
              <w:ind w:left="280"/>
              <w:spacing w:after="0"/>
              <w:rPr>
                <w:sz w:val="20"/>
                <w:szCs w:val="20"/>
                <w:color w:val="auto"/>
              </w:rPr>
            </w:pPr>
            <w:r>
              <w:rPr>
                <w:rFonts w:ascii="Arial" w:cs="Arial" w:eastAsia="Arial" w:hAnsi="Arial"/>
                <w:sz w:val="18"/>
                <w:szCs w:val="18"/>
                <w:color w:val="0A248E"/>
              </w:rPr>
              <w:t>Attendance at Board and Stockholder Meetings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19</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Compensation Committee Interlocks and Insider Participation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19</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Considerations in Evaluating Director Nominees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19</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Board Evaluations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20</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Stockholder Recommendations and Nominations to the Board of Directors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20</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Communications with the Board of Directors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20</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Corporate Governance Guidelines and Code of Business Conduct and Ethics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21</w:t>
            </w:r>
          </w:p>
        </w:tc>
      </w:tr>
      <w:tr>
        <w:trPr>
          <w:trHeight w:val="417"/>
        </w:trPr>
        <w:tc>
          <w:tcPr>
            <w:tcW w:w="9020" w:type="dxa"/>
            <w:vAlign w:val="bottom"/>
          </w:tcPr>
          <w:p>
            <w:pPr>
              <w:ind w:left="280"/>
              <w:spacing w:after="0"/>
              <w:rPr>
                <w:sz w:val="20"/>
                <w:szCs w:val="20"/>
                <w:color w:val="auto"/>
              </w:rPr>
            </w:pPr>
            <w:r>
              <w:rPr>
                <w:rFonts w:ascii="Arial" w:cs="Arial" w:eastAsia="Arial" w:hAnsi="Arial"/>
                <w:sz w:val="18"/>
                <w:szCs w:val="18"/>
                <w:color w:val="0A248E"/>
              </w:rPr>
              <w:t>Stock Ownership Guidelines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21</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Role of Board in Risk Oversight Process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21</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Cybersecurity and Data Privacy Governance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22</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Corporate Responsibility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23</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Director Compensation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25</w:t>
            </w:r>
          </w:p>
        </w:tc>
      </w:tr>
      <w:tr>
        <w:trPr>
          <w:trHeight w:val="549"/>
        </w:trPr>
        <w:tc>
          <w:tcPr>
            <w:tcW w:w="9020" w:type="dxa"/>
            <w:vAlign w:val="bottom"/>
          </w:tcPr>
          <w:p>
            <w:pPr>
              <w:spacing w:after="0"/>
              <w:rPr>
                <w:sz w:val="20"/>
                <w:szCs w:val="20"/>
                <w:color w:val="auto"/>
              </w:rPr>
            </w:pPr>
            <w:r>
              <w:rPr>
                <w:rFonts w:ascii="Arial" w:cs="Arial" w:eastAsia="Arial" w:hAnsi="Arial"/>
                <w:sz w:val="23"/>
                <w:szCs w:val="23"/>
                <w:b w:val="1"/>
                <w:bCs w:val="1"/>
                <w:color w:val="0A248E"/>
              </w:rPr>
              <w:t>PROPOSAL NO. 1—ELECTION OF DIRECTORS</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29</w:t>
            </w:r>
          </w:p>
        </w:tc>
      </w:tr>
      <w:tr>
        <w:trPr>
          <w:trHeight w:val="429"/>
        </w:trPr>
        <w:tc>
          <w:tcPr>
            <w:tcW w:w="9020" w:type="dxa"/>
            <w:vAlign w:val="bottom"/>
          </w:tcPr>
          <w:p>
            <w:pPr>
              <w:ind w:left="280"/>
              <w:spacing w:after="0"/>
              <w:rPr>
                <w:sz w:val="20"/>
                <w:szCs w:val="20"/>
                <w:color w:val="auto"/>
              </w:rPr>
            </w:pPr>
            <w:r>
              <w:rPr>
                <w:rFonts w:ascii="Arial" w:cs="Arial" w:eastAsia="Arial" w:hAnsi="Arial"/>
                <w:sz w:val="18"/>
                <w:szCs w:val="18"/>
                <w:color w:val="0A248E"/>
              </w:rPr>
              <w:t>Nominees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29</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Vote Required</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29</w:t>
            </w:r>
          </w:p>
        </w:tc>
      </w:tr>
      <w:tr>
        <w:trPr>
          <w:trHeight w:val="525"/>
        </w:trPr>
        <w:tc>
          <w:tcPr>
            <w:tcW w:w="9020" w:type="dxa"/>
            <w:vAlign w:val="bottom"/>
          </w:tcPr>
          <w:p>
            <w:pPr>
              <w:spacing w:after="0"/>
              <w:rPr>
                <w:sz w:val="20"/>
                <w:szCs w:val="20"/>
                <w:color w:val="auto"/>
              </w:rPr>
            </w:pPr>
            <w:r>
              <w:rPr>
                <w:rFonts w:ascii="Arial" w:cs="Arial" w:eastAsia="Arial" w:hAnsi="Arial"/>
                <w:sz w:val="23"/>
                <w:szCs w:val="23"/>
                <w:b w:val="1"/>
                <w:bCs w:val="1"/>
                <w:color w:val="0A248E"/>
              </w:rPr>
              <w:t>PROPOSAL NO. 2—RATIFICATION OF APPOINTMENT OF INDEPENDENT</w:t>
            </w:r>
          </w:p>
        </w:tc>
        <w:tc>
          <w:tcPr>
            <w:tcW w:w="580" w:type="dxa"/>
            <w:vAlign w:val="bottom"/>
          </w:tcPr>
          <w:p>
            <w:pPr>
              <w:spacing w:after="0"/>
              <w:rPr>
                <w:sz w:val="24"/>
                <w:szCs w:val="24"/>
                <w:color w:val="auto"/>
              </w:rPr>
            </w:pPr>
          </w:p>
        </w:tc>
      </w:tr>
      <w:tr>
        <w:trPr>
          <w:trHeight w:val="333"/>
        </w:trPr>
        <w:tc>
          <w:tcPr>
            <w:tcW w:w="9020" w:type="dxa"/>
            <w:vAlign w:val="bottom"/>
          </w:tcPr>
          <w:p>
            <w:pPr>
              <w:spacing w:after="0"/>
              <w:rPr>
                <w:sz w:val="20"/>
                <w:szCs w:val="20"/>
                <w:color w:val="auto"/>
              </w:rPr>
            </w:pPr>
            <w:r>
              <w:rPr>
                <w:rFonts w:ascii="Arial" w:cs="Arial" w:eastAsia="Arial" w:hAnsi="Arial"/>
                <w:sz w:val="23"/>
                <w:szCs w:val="23"/>
                <w:b w:val="1"/>
                <w:bCs w:val="1"/>
                <w:color w:val="0A248E"/>
              </w:rPr>
              <w:t>REGISTERED PUBLIC ACCOUNTING FIRM</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30</w:t>
            </w:r>
          </w:p>
        </w:tc>
      </w:tr>
      <w:tr>
        <w:trPr>
          <w:trHeight w:val="434"/>
        </w:trPr>
        <w:tc>
          <w:tcPr>
            <w:tcW w:w="9020" w:type="dxa"/>
            <w:vAlign w:val="bottom"/>
          </w:tcPr>
          <w:p>
            <w:pPr>
              <w:ind w:left="280"/>
              <w:spacing w:after="0"/>
              <w:rPr>
                <w:sz w:val="20"/>
                <w:szCs w:val="20"/>
                <w:color w:val="auto"/>
              </w:rPr>
            </w:pPr>
            <w:r>
              <w:rPr>
                <w:rFonts w:ascii="Arial" w:cs="Arial" w:eastAsia="Arial" w:hAnsi="Arial"/>
                <w:sz w:val="18"/>
                <w:szCs w:val="18"/>
                <w:color w:val="0A248E"/>
              </w:rPr>
              <w:t>Fees Paid to the Independent Registered Public Accounting Firm</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30</w:t>
            </w:r>
          </w:p>
        </w:tc>
      </w:tr>
      <w:tr>
        <w:trPr>
          <w:trHeight w:val="426"/>
        </w:trPr>
        <w:tc>
          <w:tcPr>
            <w:tcW w:w="9020" w:type="dxa"/>
            <w:vAlign w:val="bottom"/>
          </w:tcPr>
          <w:p>
            <w:pPr>
              <w:ind w:left="280"/>
              <w:spacing w:after="0"/>
              <w:rPr>
                <w:sz w:val="20"/>
                <w:szCs w:val="20"/>
                <w:color w:val="auto"/>
              </w:rPr>
            </w:pPr>
            <w:r>
              <w:rPr>
                <w:rFonts w:ascii="Arial" w:cs="Arial" w:eastAsia="Arial" w:hAnsi="Arial"/>
                <w:sz w:val="18"/>
                <w:szCs w:val="18"/>
                <w:color w:val="0A248E"/>
              </w:rPr>
              <w:t>Auditor Independence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31</w:t>
            </w:r>
          </w:p>
        </w:tc>
      </w:tr>
      <w:tr>
        <w:trPr>
          <w:trHeight w:val="409"/>
        </w:trPr>
        <w:tc>
          <w:tcPr>
            <w:tcW w:w="9020" w:type="dxa"/>
            <w:vAlign w:val="bottom"/>
          </w:tcPr>
          <w:p>
            <w:pPr>
              <w:ind w:left="280"/>
              <w:spacing w:after="0"/>
              <w:rPr>
                <w:sz w:val="20"/>
                <w:szCs w:val="20"/>
                <w:color w:val="auto"/>
              </w:rPr>
            </w:pPr>
            <w:r>
              <w:rPr>
                <w:rFonts w:ascii="Arial" w:cs="Arial" w:eastAsia="Arial" w:hAnsi="Arial"/>
                <w:sz w:val="18"/>
                <w:szCs w:val="18"/>
                <w:color w:val="0A248E"/>
              </w:rPr>
              <w:t>Audit Committee Policy on Pre-Approval of Audit and Permissible Non-Audit Services of Independent</w:t>
            </w:r>
          </w:p>
        </w:tc>
        <w:tc>
          <w:tcPr>
            <w:tcW w:w="580" w:type="dxa"/>
            <w:vAlign w:val="bottom"/>
          </w:tcPr>
          <w:p>
            <w:pPr>
              <w:spacing w:after="0"/>
              <w:rPr>
                <w:sz w:val="24"/>
                <w:szCs w:val="24"/>
                <w:color w:val="auto"/>
              </w:rPr>
            </w:pPr>
          </w:p>
        </w:tc>
      </w:tr>
      <w:tr>
        <w:trPr>
          <w:trHeight w:val="256"/>
        </w:trPr>
        <w:tc>
          <w:tcPr>
            <w:tcW w:w="9020" w:type="dxa"/>
            <w:vAlign w:val="bottom"/>
          </w:tcPr>
          <w:p>
            <w:pPr>
              <w:ind w:left="560"/>
              <w:spacing w:after="0"/>
              <w:rPr>
                <w:sz w:val="20"/>
                <w:szCs w:val="20"/>
                <w:color w:val="auto"/>
              </w:rPr>
            </w:pPr>
            <w:r>
              <w:rPr>
                <w:rFonts w:ascii="Arial" w:cs="Arial" w:eastAsia="Arial" w:hAnsi="Arial"/>
                <w:sz w:val="18"/>
                <w:szCs w:val="18"/>
                <w:color w:val="0A248E"/>
              </w:rPr>
              <w:t>Registered Public Accounting Firm</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31</w:t>
            </w:r>
          </w:p>
        </w:tc>
      </w:tr>
    </w:tbl>
    <w:p>
      <w:pPr>
        <w:sectPr>
          <w:pgSz w:w="11880" w:h="15480" w:orient="portrait"/>
          <w:cols w:equalWidth="0" w:num="1">
            <w:col w:w="9640"/>
          </w:cols>
          <w:pgMar w:left="1140" w:top="340" w:right="1100" w:bottom="746" w:gutter="0" w:footer="0" w:header="0"/>
        </w:sectPr>
      </w:pPr>
    </w:p>
    <w:bookmarkStart w:id="5" w:name="page6"/>
    <w:bookmarkEnd w:id="5"/>
    <w:p>
      <w:pPr>
        <w:spacing w:after="0"/>
        <w:rPr>
          <w:sz w:val="20"/>
          <w:szCs w:val="20"/>
          <w:color w:val="auto"/>
        </w:rPr>
      </w:pPr>
      <w:r>
        <w:rPr>
          <w:rFonts w:ascii="Arial" w:cs="Arial" w:eastAsia="Arial" w:hAnsi="Arial"/>
          <w:sz w:val="33"/>
          <w:szCs w:val="33"/>
          <w:color w:val="0A248E"/>
        </w:rPr>
        <w:t>TABLE OF CONTENTS (continued)</w:t>
      </w:r>
    </w:p>
    <w:p>
      <w:pPr>
        <w:spacing w:after="0" w:line="200" w:lineRule="exact"/>
        <w:rPr>
          <w:sz w:val="20"/>
          <w:szCs w:val="20"/>
          <w:color w:val="auto"/>
        </w:rPr>
      </w:pPr>
    </w:p>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237"/>
        </w:trPr>
        <w:tc>
          <w:tcPr>
            <w:tcW w:w="87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Page</w:t>
            </w:r>
          </w:p>
        </w:tc>
      </w:tr>
      <w:tr>
        <w:trPr>
          <w:trHeight w:val="436"/>
        </w:trPr>
        <w:tc>
          <w:tcPr>
            <w:tcW w:w="8740" w:type="dxa"/>
            <w:vAlign w:val="bottom"/>
          </w:tcPr>
          <w:p>
            <w:pPr>
              <w:spacing w:after="0"/>
              <w:rPr>
                <w:sz w:val="20"/>
                <w:szCs w:val="20"/>
                <w:color w:val="auto"/>
              </w:rPr>
            </w:pPr>
            <w:r>
              <w:rPr>
                <w:rFonts w:ascii="Arial" w:cs="Arial" w:eastAsia="Arial" w:hAnsi="Arial"/>
                <w:sz w:val="18"/>
                <w:szCs w:val="18"/>
                <w:color w:val="0A248E"/>
              </w:rPr>
              <w:t>Vote Required</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31</w:t>
            </w:r>
          </w:p>
        </w:tc>
      </w:tr>
      <w:tr>
        <w:trPr>
          <w:trHeight w:val="431"/>
        </w:trPr>
        <w:tc>
          <w:tcPr>
            <w:tcW w:w="8740" w:type="dxa"/>
            <w:vAlign w:val="bottom"/>
          </w:tcPr>
          <w:p>
            <w:pPr>
              <w:spacing w:after="0"/>
              <w:rPr>
                <w:sz w:val="20"/>
                <w:szCs w:val="20"/>
                <w:color w:val="auto"/>
              </w:rPr>
            </w:pPr>
            <w:r>
              <w:rPr>
                <w:rFonts w:ascii="Arial" w:cs="Arial" w:eastAsia="Arial" w:hAnsi="Arial"/>
                <w:sz w:val="18"/>
                <w:szCs w:val="18"/>
                <w:color w:val="0A248E"/>
              </w:rPr>
              <w:t>Report of the Audit Committee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32</w:t>
            </w:r>
          </w:p>
        </w:tc>
      </w:tr>
    </w:tbl>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304"/>
        </w:trPr>
        <w:tc>
          <w:tcPr>
            <w:tcW w:w="9120" w:type="dxa"/>
            <w:vAlign w:val="bottom"/>
          </w:tcPr>
          <w:p>
            <w:pPr>
              <w:spacing w:after="0"/>
              <w:rPr>
                <w:sz w:val="20"/>
                <w:szCs w:val="20"/>
                <w:color w:val="auto"/>
              </w:rPr>
            </w:pPr>
            <w:r>
              <w:rPr>
                <w:rFonts w:ascii="Arial" w:cs="Arial" w:eastAsia="Arial" w:hAnsi="Arial"/>
                <w:sz w:val="23"/>
                <w:szCs w:val="23"/>
                <w:b w:val="1"/>
                <w:bCs w:val="1"/>
                <w:color w:val="0A248E"/>
              </w:rPr>
              <w:t>PROPOSAL NO. 3—ADVISORY VOTE ON THE COMPENSATION OF OUR NAMED</w:t>
            </w:r>
          </w:p>
        </w:tc>
        <w:tc>
          <w:tcPr>
            <w:tcW w:w="440" w:type="dxa"/>
            <w:vAlign w:val="bottom"/>
          </w:tcPr>
          <w:p>
            <w:pPr>
              <w:spacing w:after="0"/>
              <w:rPr>
                <w:sz w:val="24"/>
                <w:szCs w:val="24"/>
                <w:color w:val="auto"/>
              </w:rPr>
            </w:pPr>
          </w:p>
        </w:tc>
      </w:tr>
      <w:tr>
        <w:trPr>
          <w:trHeight w:val="333"/>
        </w:trPr>
        <w:tc>
          <w:tcPr>
            <w:tcW w:w="9120" w:type="dxa"/>
            <w:vAlign w:val="bottom"/>
          </w:tcPr>
          <w:p>
            <w:pPr>
              <w:spacing w:after="0"/>
              <w:rPr>
                <w:sz w:val="20"/>
                <w:szCs w:val="20"/>
                <w:color w:val="auto"/>
              </w:rPr>
            </w:pPr>
            <w:r>
              <w:rPr>
                <w:rFonts w:ascii="Arial" w:cs="Arial" w:eastAsia="Arial" w:hAnsi="Arial"/>
                <w:sz w:val="23"/>
                <w:szCs w:val="23"/>
                <w:b w:val="1"/>
                <w:bCs w:val="1"/>
                <w:color w:val="0A248E"/>
              </w:rPr>
              <w:t>EXECUTIVE OFFICERS</w:t>
            </w:r>
          </w:p>
        </w:tc>
        <w:tc>
          <w:tcPr>
            <w:tcW w:w="440" w:type="dxa"/>
            <w:vAlign w:val="bottom"/>
          </w:tcPr>
          <w:p>
            <w:pPr>
              <w:jc w:val="right"/>
              <w:spacing w:after="0"/>
              <w:rPr>
                <w:sz w:val="20"/>
                <w:szCs w:val="20"/>
                <w:color w:val="auto"/>
              </w:rPr>
            </w:pPr>
            <w:r>
              <w:rPr>
                <w:rFonts w:ascii="Arial" w:cs="Arial" w:eastAsia="Arial" w:hAnsi="Arial"/>
                <w:sz w:val="23"/>
                <w:szCs w:val="23"/>
                <w:b w:val="1"/>
                <w:bCs w:val="1"/>
                <w:color w:val="0A248E"/>
              </w:rPr>
              <w:t>33</w:t>
            </w:r>
          </w:p>
        </w:tc>
      </w:tr>
      <w:tr>
        <w:trPr>
          <w:trHeight w:val="434"/>
        </w:trPr>
        <w:tc>
          <w:tcPr>
            <w:tcW w:w="9120" w:type="dxa"/>
            <w:vAlign w:val="bottom"/>
          </w:tcPr>
          <w:p>
            <w:pPr>
              <w:ind w:left="280"/>
              <w:spacing w:after="0"/>
              <w:rPr>
                <w:sz w:val="20"/>
                <w:szCs w:val="20"/>
                <w:color w:val="auto"/>
              </w:rPr>
            </w:pPr>
            <w:r>
              <w:rPr>
                <w:rFonts w:ascii="Arial" w:cs="Arial" w:eastAsia="Arial" w:hAnsi="Arial"/>
                <w:sz w:val="18"/>
                <w:szCs w:val="18"/>
                <w:color w:val="0A248E"/>
              </w:rPr>
              <w:t>Vote Required</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33</w:t>
            </w:r>
          </w:p>
        </w:tc>
      </w:tr>
      <w:tr>
        <w:trPr>
          <w:trHeight w:val="520"/>
        </w:trPr>
        <w:tc>
          <w:tcPr>
            <w:tcW w:w="9120" w:type="dxa"/>
            <w:vAlign w:val="bottom"/>
          </w:tcPr>
          <w:p>
            <w:pPr>
              <w:spacing w:after="0"/>
              <w:rPr>
                <w:sz w:val="20"/>
                <w:szCs w:val="20"/>
                <w:color w:val="auto"/>
              </w:rPr>
            </w:pPr>
            <w:r>
              <w:rPr>
                <w:rFonts w:ascii="Arial" w:cs="Arial" w:eastAsia="Arial" w:hAnsi="Arial"/>
                <w:sz w:val="23"/>
                <w:szCs w:val="23"/>
                <w:b w:val="1"/>
                <w:bCs w:val="1"/>
                <w:color w:val="0A248E"/>
              </w:rPr>
              <w:t>PROPOSAL NO. 4 - PROPOSAL TO APPROVE AN AMENDMENT AND</w:t>
            </w:r>
          </w:p>
        </w:tc>
        <w:tc>
          <w:tcPr>
            <w:tcW w:w="440" w:type="dxa"/>
            <w:vAlign w:val="bottom"/>
          </w:tcPr>
          <w:p>
            <w:pPr>
              <w:spacing w:after="0"/>
              <w:rPr>
                <w:sz w:val="24"/>
                <w:szCs w:val="24"/>
                <w:color w:val="auto"/>
              </w:rPr>
            </w:pPr>
          </w:p>
        </w:tc>
      </w:tr>
      <w:tr>
        <w:trPr>
          <w:trHeight w:val="338"/>
        </w:trPr>
        <w:tc>
          <w:tcPr>
            <w:tcW w:w="9120" w:type="dxa"/>
            <w:vAlign w:val="bottom"/>
          </w:tcPr>
          <w:p>
            <w:pPr>
              <w:spacing w:after="0"/>
              <w:rPr>
                <w:sz w:val="20"/>
                <w:szCs w:val="20"/>
                <w:color w:val="auto"/>
              </w:rPr>
            </w:pPr>
            <w:r>
              <w:rPr>
                <w:rFonts w:ascii="Arial" w:cs="Arial" w:eastAsia="Arial" w:hAnsi="Arial"/>
                <w:sz w:val="23"/>
                <w:szCs w:val="23"/>
                <w:b w:val="1"/>
                <w:bCs w:val="1"/>
                <w:color w:val="0A248E"/>
              </w:rPr>
              <w:t>RESTATEMENT OF OUR ARTICLES (JURY TRIAL WAIVER)</w:t>
            </w:r>
          </w:p>
        </w:tc>
        <w:tc>
          <w:tcPr>
            <w:tcW w:w="440" w:type="dxa"/>
            <w:vAlign w:val="bottom"/>
          </w:tcPr>
          <w:p>
            <w:pPr>
              <w:jc w:val="right"/>
              <w:spacing w:after="0"/>
              <w:rPr>
                <w:sz w:val="20"/>
                <w:szCs w:val="20"/>
                <w:color w:val="auto"/>
              </w:rPr>
            </w:pPr>
            <w:r>
              <w:rPr>
                <w:rFonts w:ascii="Arial" w:cs="Arial" w:eastAsia="Arial" w:hAnsi="Arial"/>
                <w:sz w:val="23"/>
                <w:szCs w:val="23"/>
                <w:b w:val="1"/>
                <w:bCs w:val="1"/>
                <w:color w:val="0A248E"/>
              </w:rPr>
              <w:t>34</w:t>
            </w:r>
          </w:p>
        </w:tc>
      </w:tr>
      <w:tr>
        <w:trPr>
          <w:trHeight w:val="429"/>
        </w:trPr>
        <w:tc>
          <w:tcPr>
            <w:tcW w:w="9120" w:type="dxa"/>
            <w:vAlign w:val="bottom"/>
          </w:tcPr>
          <w:p>
            <w:pPr>
              <w:ind w:left="280"/>
              <w:spacing w:after="0"/>
              <w:rPr>
                <w:sz w:val="20"/>
                <w:szCs w:val="20"/>
                <w:color w:val="auto"/>
              </w:rPr>
            </w:pPr>
            <w:r>
              <w:rPr>
                <w:rFonts w:ascii="Arial" w:cs="Arial" w:eastAsia="Arial" w:hAnsi="Arial"/>
                <w:sz w:val="18"/>
                <w:szCs w:val="18"/>
                <w:color w:val="0A248E"/>
              </w:rPr>
              <w:t>Overview and Background</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34</w:t>
            </w:r>
          </w:p>
        </w:tc>
      </w:tr>
      <w:tr>
        <w:trPr>
          <w:trHeight w:val="445"/>
        </w:trPr>
        <w:tc>
          <w:tcPr>
            <w:tcW w:w="9120" w:type="dxa"/>
            <w:vAlign w:val="bottom"/>
          </w:tcPr>
          <w:p>
            <w:pPr>
              <w:ind w:left="280"/>
              <w:spacing w:after="0"/>
              <w:rPr>
                <w:sz w:val="20"/>
                <w:szCs w:val="20"/>
                <w:color w:val="auto"/>
              </w:rPr>
            </w:pPr>
            <w:r>
              <w:rPr>
                <w:rFonts w:ascii="Arial" w:cs="Arial" w:eastAsia="Arial" w:hAnsi="Arial"/>
                <w:sz w:val="18"/>
                <w:szCs w:val="18"/>
                <w:color w:val="0A248E"/>
              </w:rPr>
              <w:t>Description of Proposed Amendments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34</w:t>
            </w:r>
          </w:p>
        </w:tc>
      </w:tr>
      <w:tr>
        <w:trPr>
          <w:trHeight w:val="445"/>
        </w:trPr>
        <w:tc>
          <w:tcPr>
            <w:tcW w:w="9120" w:type="dxa"/>
            <w:vAlign w:val="bottom"/>
          </w:tcPr>
          <w:p>
            <w:pPr>
              <w:ind w:left="280"/>
              <w:spacing w:after="0"/>
              <w:rPr>
                <w:sz w:val="20"/>
                <w:szCs w:val="20"/>
                <w:color w:val="auto"/>
              </w:rPr>
            </w:pPr>
            <w:r>
              <w:rPr>
                <w:rFonts w:ascii="Arial" w:cs="Arial" w:eastAsia="Arial" w:hAnsi="Arial"/>
                <w:sz w:val="18"/>
                <w:szCs w:val="18"/>
                <w:color w:val="0A248E"/>
              </w:rPr>
              <w:t>Text of Proposed New Article</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36</w:t>
            </w:r>
          </w:p>
        </w:tc>
      </w:tr>
      <w:tr>
        <w:trPr>
          <w:trHeight w:val="445"/>
        </w:trPr>
        <w:tc>
          <w:tcPr>
            <w:tcW w:w="9120" w:type="dxa"/>
            <w:vAlign w:val="bottom"/>
          </w:tcPr>
          <w:p>
            <w:pPr>
              <w:ind w:left="280"/>
              <w:spacing w:after="0"/>
              <w:rPr>
                <w:sz w:val="20"/>
                <w:szCs w:val="20"/>
                <w:color w:val="auto"/>
              </w:rPr>
            </w:pPr>
            <w:r>
              <w:rPr>
                <w:rFonts w:ascii="Arial" w:cs="Arial" w:eastAsia="Arial" w:hAnsi="Arial"/>
                <w:sz w:val="18"/>
                <w:szCs w:val="18"/>
                <w:color w:val="0A248E"/>
              </w:rPr>
              <w:t>Vote Required</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36</w:t>
            </w:r>
          </w:p>
        </w:tc>
      </w:tr>
      <w:tr>
        <w:trPr>
          <w:trHeight w:val="521"/>
        </w:trPr>
        <w:tc>
          <w:tcPr>
            <w:tcW w:w="9120" w:type="dxa"/>
            <w:vAlign w:val="bottom"/>
          </w:tcPr>
          <w:p>
            <w:pPr>
              <w:spacing w:after="0"/>
              <w:rPr>
                <w:sz w:val="20"/>
                <w:szCs w:val="20"/>
                <w:color w:val="auto"/>
              </w:rPr>
            </w:pPr>
            <w:r>
              <w:rPr>
                <w:rFonts w:ascii="Arial" w:cs="Arial" w:eastAsia="Arial" w:hAnsi="Arial"/>
                <w:sz w:val="23"/>
                <w:szCs w:val="23"/>
                <w:b w:val="1"/>
                <w:bCs w:val="1"/>
                <w:color w:val="0A248E"/>
              </w:rPr>
              <w:t>EXECUTIVE OFFICERS</w:t>
            </w:r>
          </w:p>
        </w:tc>
        <w:tc>
          <w:tcPr>
            <w:tcW w:w="440" w:type="dxa"/>
            <w:vAlign w:val="bottom"/>
          </w:tcPr>
          <w:p>
            <w:pPr>
              <w:jc w:val="right"/>
              <w:spacing w:after="0"/>
              <w:rPr>
                <w:sz w:val="20"/>
                <w:szCs w:val="20"/>
                <w:color w:val="auto"/>
              </w:rPr>
            </w:pPr>
            <w:r>
              <w:rPr>
                <w:rFonts w:ascii="Arial" w:cs="Arial" w:eastAsia="Arial" w:hAnsi="Arial"/>
                <w:sz w:val="23"/>
                <w:szCs w:val="23"/>
                <w:b w:val="1"/>
                <w:bCs w:val="1"/>
                <w:color w:val="0A248E"/>
              </w:rPr>
              <w:t>37</w:t>
            </w:r>
          </w:p>
        </w:tc>
      </w:tr>
      <w:tr>
        <w:trPr>
          <w:trHeight w:val="552"/>
        </w:trPr>
        <w:tc>
          <w:tcPr>
            <w:tcW w:w="9120" w:type="dxa"/>
            <w:vAlign w:val="bottom"/>
          </w:tcPr>
          <w:p>
            <w:pPr>
              <w:spacing w:after="0"/>
              <w:rPr>
                <w:sz w:val="20"/>
                <w:szCs w:val="20"/>
                <w:color w:val="auto"/>
              </w:rPr>
            </w:pPr>
            <w:r>
              <w:rPr>
                <w:rFonts w:ascii="Arial" w:cs="Arial" w:eastAsia="Arial" w:hAnsi="Arial"/>
                <w:sz w:val="23"/>
                <w:szCs w:val="23"/>
                <w:b w:val="1"/>
                <w:bCs w:val="1"/>
                <w:color w:val="0A248E"/>
              </w:rPr>
              <w:t>EXECUTIVE COMPENSATION</w:t>
            </w:r>
          </w:p>
        </w:tc>
        <w:tc>
          <w:tcPr>
            <w:tcW w:w="440" w:type="dxa"/>
            <w:vAlign w:val="bottom"/>
          </w:tcPr>
          <w:p>
            <w:pPr>
              <w:jc w:val="right"/>
              <w:spacing w:after="0"/>
              <w:rPr>
                <w:sz w:val="20"/>
                <w:szCs w:val="20"/>
                <w:color w:val="auto"/>
              </w:rPr>
            </w:pPr>
            <w:r>
              <w:rPr>
                <w:rFonts w:ascii="Arial" w:cs="Arial" w:eastAsia="Arial" w:hAnsi="Arial"/>
                <w:sz w:val="23"/>
                <w:szCs w:val="23"/>
                <w:b w:val="1"/>
                <w:bCs w:val="1"/>
                <w:color w:val="0A248E"/>
              </w:rPr>
              <w:t>38</w:t>
            </w:r>
          </w:p>
        </w:tc>
      </w:tr>
      <w:tr>
        <w:trPr>
          <w:trHeight w:val="429"/>
        </w:trPr>
        <w:tc>
          <w:tcPr>
            <w:tcW w:w="9120" w:type="dxa"/>
            <w:vAlign w:val="bottom"/>
          </w:tcPr>
          <w:p>
            <w:pPr>
              <w:ind w:left="280"/>
              <w:spacing w:after="0"/>
              <w:rPr>
                <w:sz w:val="20"/>
                <w:szCs w:val="20"/>
                <w:color w:val="auto"/>
              </w:rPr>
            </w:pPr>
            <w:r>
              <w:rPr>
                <w:rFonts w:ascii="Arial" w:cs="Arial" w:eastAsia="Arial" w:hAnsi="Arial"/>
                <w:sz w:val="18"/>
                <w:szCs w:val="18"/>
                <w:color w:val="0A248E"/>
              </w:rPr>
              <w:t>Compensation Discussion and Analysis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38</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Executive Summary</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38</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Executive Compensation Philosophy and Objectives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40</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Compensation-Setting Process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41</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Compensation Elements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46</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Employment Arrangements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54</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Post-Employment Compensation</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55</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Tax and Accounting Considerations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55</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Report of the Compensation Committee</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57</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Compensation Risk Assessment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58</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Summary Compensation Table for Fiscal Year 2025</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59</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Grants of Plan-Based Awards in 2025</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60</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Outstanding Equity Awards at 2025 Year-End</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61</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Co-Founder Grant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61</w:t>
            </w:r>
          </w:p>
        </w:tc>
      </w:tr>
      <w:tr>
        <w:trPr>
          <w:trHeight w:val="426"/>
        </w:trPr>
        <w:tc>
          <w:tcPr>
            <w:tcW w:w="9120" w:type="dxa"/>
            <w:vAlign w:val="bottom"/>
          </w:tcPr>
          <w:p>
            <w:pPr>
              <w:ind w:left="280"/>
              <w:spacing w:after="0"/>
              <w:rPr>
                <w:sz w:val="20"/>
                <w:szCs w:val="20"/>
                <w:color w:val="auto"/>
              </w:rPr>
            </w:pPr>
            <w:r>
              <w:rPr>
                <w:rFonts w:ascii="Arial" w:cs="Arial" w:eastAsia="Arial" w:hAnsi="Arial"/>
                <w:sz w:val="18"/>
                <w:szCs w:val="18"/>
                <w:color w:val="0A248E"/>
              </w:rPr>
              <w:t>Option Exercises and Stock Vested in 2025</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62</w:t>
            </w:r>
          </w:p>
        </w:tc>
      </w:tr>
      <w:tr>
        <w:trPr>
          <w:trHeight w:val="431"/>
        </w:trPr>
        <w:tc>
          <w:tcPr>
            <w:tcW w:w="9120" w:type="dxa"/>
            <w:vAlign w:val="bottom"/>
          </w:tcPr>
          <w:p>
            <w:pPr>
              <w:ind w:left="280"/>
              <w:spacing w:after="0"/>
              <w:rPr>
                <w:sz w:val="20"/>
                <w:szCs w:val="20"/>
                <w:color w:val="auto"/>
              </w:rPr>
            </w:pPr>
            <w:r>
              <w:rPr>
                <w:rFonts w:ascii="Arial" w:cs="Arial" w:eastAsia="Arial" w:hAnsi="Arial"/>
                <w:sz w:val="18"/>
                <w:szCs w:val="18"/>
                <w:color w:val="0A248E"/>
              </w:rPr>
              <w:t>Potential Payments on Termination or Change in Control</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0A248E"/>
              </w:rPr>
              <w:t>62</w:t>
            </w:r>
          </w:p>
        </w:tc>
      </w:tr>
    </w:tbl>
    <w:p>
      <w:pPr>
        <w:sectPr>
          <w:pgSz w:w="11880" w:h="15480" w:orient="portrait"/>
          <w:cols w:equalWidth="0" w:num="1">
            <w:col w:w="9640"/>
          </w:cols>
          <w:pgMar w:left="1140" w:top="340" w:right="1100" w:bottom="755" w:gutter="0" w:footer="0" w:header="0"/>
        </w:sectPr>
      </w:pPr>
    </w:p>
    <w:bookmarkStart w:id="6" w:name="page7"/>
    <w:bookmarkEnd w:id="6"/>
    <w:p>
      <w:pPr>
        <w:spacing w:after="0"/>
        <w:rPr>
          <w:sz w:val="20"/>
          <w:szCs w:val="20"/>
          <w:color w:val="auto"/>
        </w:rPr>
      </w:pPr>
      <w:r>
        <w:rPr>
          <w:rFonts w:ascii="Arial" w:cs="Arial" w:eastAsia="Arial" w:hAnsi="Arial"/>
          <w:sz w:val="33"/>
          <w:szCs w:val="33"/>
          <w:color w:val="0A248E"/>
        </w:rPr>
        <w:t>TABLE OF CONTENTS (continued)</w:t>
      </w: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90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Page</w:t>
            </w:r>
          </w:p>
        </w:tc>
      </w:tr>
      <w:tr>
        <w:trPr>
          <w:trHeight w:val="440"/>
        </w:trPr>
        <w:tc>
          <w:tcPr>
            <w:tcW w:w="9020" w:type="dxa"/>
            <w:vAlign w:val="bottom"/>
          </w:tcPr>
          <w:p>
            <w:pPr>
              <w:ind w:left="280"/>
              <w:spacing w:after="0"/>
              <w:rPr>
                <w:sz w:val="20"/>
                <w:szCs w:val="20"/>
                <w:color w:val="auto"/>
              </w:rPr>
            </w:pPr>
            <w:r>
              <w:rPr>
                <w:rFonts w:ascii="Arial" w:cs="Arial" w:eastAsia="Arial" w:hAnsi="Arial"/>
                <w:sz w:val="18"/>
                <w:szCs w:val="18"/>
                <w:color w:val="0A248E"/>
              </w:rPr>
              <w:t>CEO Pay Ratio</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66</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Pay Versus Performance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67</w:t>
            </w:r>
          </w:p>
        </w:tc>
      </w:tr>
      <w:tr>
        <w:trPr>
          <w:trHeight w:val="549"/>
        </w:trPr>
        <w:tc>
          <w:tcPr>
            <w:tcW w:w="9020" w:type="dxa"/>
            <w:vAlign w:val="bottom"/>
          </w:tcPr>
          <w:p>
            <w:pPr>
              <w:spacing w:after="0"/>
              <w:rPr>
                <w:sz w:val="20"/>
                <w:szCs w:val="20"/>
                <w:color w:val="auto"/>
              </w:rPr>
            </w:pPr>
            <w:r>
              <w:rPr>
                <w:rFonts w:ascii="Arial" w:cs="Arial" w:eastAsia="Arial" w:hAnsi="Arial"/>
                <w:sz w:val="23"/>
                <w:szCs w:val="23"/>
                <w:b w:val="1"/>
                <w:bCs w:val="1"/>
                <w:color w:val="0A248E"/>
              </w:rPr>
              <w:t>EQUITY COMPENSATION PLAN INFORMATION</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73</w:t>
            </w:r>
          </w:p>
        </w:tc>
      </w:tr>
      <w:tr>
        <w:trPr>
          <w:trHeight w:val="523"/>
        </w:trPr>
        <w:tc>
          <w:tcPr>
            <w:tcW w:w="9020" w:type="dxa"/>
            <w:vAlign w:val="bottom"/>
          </w:tcPr>
          <w:p>
            <w:pPr>
              <w:spacing w:after="0"/>
              <w:rPr>
                <w:sz w:val="20"/>
                <w:szCs w:val="20"/>
                <w:color w:val="auto"/>
              </w:rPr>
            </w:pPr>
            <w:r>
              <w:rPr>
                <w:rFonts w:ascii="Arial" w:cs="Arial" w:eastAsia="Arial" w:hAnsi="Arial"/>
                <w:sz w:val="23"/>
                <w:szCs w:val="23"/>
                <w:b w:val="1"/>
                <w:bCs w:val="1"/>
                <w:color w:val="0A248E"/>
              </w:rPr>
              <w:t>SECURITY OWNERSHIP OF CERTAIN BENEFICIAL OWNERS AND</w:t>
            </w:r>
          </w:p>
        </w:tc>
        <w:tc>
          <w:tcPr>
            <w:tcW w:w="580" w:type="dxa"/>
            <w:vAlign w:val="bottom"/>
          </w:tcPr>
          <w:p>
            <w:pPr>
              <w:spacing w:after="0"/>
              <w:rPr>
                <w:sz w:val="24"/>
                <w:szCs w:val="24"/>
                <w:color w:val="auto"/>
              </w:rPr>
            </w:pPr>
          </w:p>
        </w:tc>
      </w:tr>
      <w:tr>
        <w:trPr>
          <w:trHeight w:val="333"/>
        </w:trPr>
        <w:tc>
          <w:tcPr>
            <w:tcW w:w="9020" w:type="dxa"/>
            <w:vAlign w:val="bottom"/>
          </w:tcPr>
          <w:p>
            <w:pPr>
              <w:spacing w:after="0"/>
              <w:rPr>
                <w:sz w:val="20"/>
                <w:szCs w:val="20"/>
                <w:color w:val="auto"/>
              </w:rPr>
            </w:pPr>
            <w:r>
              <w:rPr>
                <w:rFonts w:ascii="Arial" w:cs="Arial" w:eastAsia="Arial" w:hAnsi="Arial"/>
                <w:sz w:val="23"/>
                <w:szCs w:val="23"/>
                <w:b w:val="1"/>
                <w:bCs w:val="1"/>
                <w:color w:val="0A248E"/>
              </w:rPr>
              <w:t>MANAGEMENT</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74</w:t>
            </w:r>
          </w:p>
        </w:tc>
      </w:tr>
      <w:tr>
        <w:trPr>
          <w:trHeight w:val="552"/>
        </w:trPr>
        <w:tc>
          <w:tcPr>
            <w:tcW w:w="9020" w:type="dxa"/>
            <w:vAlign w:val="bottom"/>
          </w:tcPr>
          <w:p>
            <w:pPr>
              <w:spacing w:after="0"/>
              <w:rPr>
                <w:sz w:val="20"/>
                <w:szCs w:val="20"/>
                <w:color w:val="auto"/>
              </w:rPr>
            </w:pPr>
            <w:r>
              <w:rPr>
                <w:rFonts w:ascii="Arial" w:cs="Arial" w:eastAsia="Arial" w:hAnsi="Arial"/>
                <w:sz w:val="23"/>
                <w:szCs w:val="23"/>
                <w:b w:val="1"/>
                <w:bCs w:val="1"/>
                <w:color w:val="0A248E"/>
              </w:rPr>
              <w:t>CERTAIN RELATIONSHIPS, RELATED PARTY AND OTHER TRANSACTIONS</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76</w:t>
            </w:r>
          </w:p>
        </w:tc>
      </w:tr>
      <w:tr>
        <w:trPr>
          <w:trHeight w:val="429"/>
        </w:trPr>
        <w:tc>
          <w:tcPr>
            <w:tcW w:w="9020" w:type="dxa"/>
            <w:vAlign w:val="bottom"/>
          </w:tcPr>
          <w:p>
            <w:pPr>
              <w:ind w:left="280"/>
              <w:spacing w:after="0"/>
              <w:rPr>
                <w:sz w:val="20"/>
                <w:szCs w:val="20"/>
                <w:color w:val="auto"/>
              </w:rPr>
            </w:pPr>
            <w:r>
              <w:rPr>
                <w:rFonts w:ascii="Arial" w:cs="Arial" w:eastAsia="Arial" w:hAnsi="Arial"/>
                <w:sz w:val="18"/>
                <w:szCs w:val="18"/>
                <w:color w:val="0A248E"/>
              </w:rPr>
              <w:t>Policies and Procedures for Related Person Transactions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76</w:t>
            </w:r>
          </w:p>
        </w:tc>
      </w:tr>
      <w:tr>
        <w:trPr>
          <w:trHeight w:val="554"/>
        </w:trPr>
        <w:tc>
          <w:tcPr>
            <w:tcW w:w="9020" w:type="dxa"/>
            <w:vAlign w:val="bottom"/>
          </w:tcPr>
          <w:p>
            <w:pPr>
              <w:spacing w:after="0"/>
              <w:rPr>
                <w:sz w:val="20"/>
                <w:szCs w:val="20"/>
                <w:color w:val="auto"/>
              </w:rPr>
            </w:pPr>
            <w:r>
              <w:rPr>
                <w:rFonts w:ascii="Arial" w:cs="Arial" w:eastAsia="Arial" w:hAnsi="Arial"/>
                <w:sz w:val="23"/>
                <w:szCs w:val="23"/>
                <w:b w:val="1"/>
                <w:bCs w:val="1"/>
                <w:color w:val="0A248E"/>
              </w:rPr>
              <w:t>OTHER MATTERS</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77</w:t>
            </w:r>
          </w:p>
        </w:tc>
      </w:tr>
      <w:tr>
        <w:trPr>
          <w:trHeight w:val="429"/>
        </w:trPr>
        <w:tc>
          <w:tcPr>
            <w:tcW w:w="9020" w:type="dxa"/>
            <w:vAlign w:val="bottom"/>
          </w:tcPr>
          <w:p>
            <w:pPr>
              <w:ind w:left="280"/>
              <w:spacing w:after="0"/>
              <w:rPr>
                <w:sz w:val="20"/>
                <w:szCs w:val="20"/>
                <w:color w:val="auto"/>
              </w:rPr>
            </w:pPr>
            <w:r>
              <w:rPr>
                <w:rFonts w:ascii="Arial" w:cs="Arial" w:eastAsia="Arial" w:hAnsi="Arial"/>
                <w:sz w:val="18"/>
                <w:szCs w:val="18"/>
                <w:color w:val="0A248E"/>
              </w:rPr>
              <w:t>Section 16(a) Beneficial Ownership Reporting Compliance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77</w:t>
            </w:r>
          </w:p>
        </w:tc>
      </w:tr>
      <w:tr>
        <w:trPr>
          <w:trHeight w:val="431"/>
        </w:trPr>
        <w:tc>
          <w:tcPr>
            <w:tcW w:w="9020" w:type="dxa"/>
            <w:vAlign w:val="bottom"/>
          </w:tcPr>
          <w:p>
            <w:pPr>
              <w:ind w:left="280"/>
              <w:spacing w:after="0"/>
              <w:rPr>
                <w:sz w:val="20"/>
                <w:szCs w:val="20"/>
                <w:color w:val="auto"/>
              </w:rPr>
            </w:pPr>
            <w:r>
              <w:rPr>
                <w:rFonts w:ascii="Arial" w:cs="Arial" w:eastAsia="Arial" w:hAnsi="Arial"/>
                <w:sz w:val="18"/>
                <w:szCs w:val="18"/>
                <w:color w:val="0A248E"/>
              </w:rPr>
              <w:t>Fiscal Year 2025 Annual Report and SEC Filings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77</w:t>
            </w:r>
          </w:p>
        </w:tc>
      </w:tr>
      <w:tr>
        <w:trPr>
          <w:trHeight w:val="558"/>
        </w:trPr>
        <w:tc>
          <w:tcPr>
            <w:tcW w:w="9020" w:type="dxa"/>
            <w:vAlign w:val="bottom"/>
          </w:tcPr>
          <w:p>
            <w:pPr>
              <w:spacing w:after="0"/>
              <w:rPr>
                <w:sz w:val="20"/>
                <w:szCs w:val="20"/>
                <w:color w:val="auto"/>
              </w:rPr>
            </w:pPr>
            <w:r>
              <w:rPr>
                <w:rFonts w:ascii="Arial" w:cs="Arial" w:eastAsia="Arial" w:hAnsi="Arial"/>
                <w:sz w:val="23"/>
                <w:szCs w:val="23"/>
                <w:b w:val="1"/>
                <w:bCs w:val="1"/>
                <w:color w:val="0A248E"/>
              </w:rPr>
              <w:t>APPENDIX A</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A-1</w:t>
            </w:r>
          </w:p>
        </w:tc>
      </w:tr>
      <w:tr>
        <w:trPr>
          <w:trHeight w:val="429"/>
        </w:trPr>
        <w:tc>
          <w:tcPr>
            <w:tcW w:w="9020" w:type="dxa"/>
            <w:vAlign w:val="bottom"/>
          </w:tcPr>
          <w:p>
            <w:pPr>
              <w:ind w:left="280"/>
              <w:spacing w:after="0"/>
              <w:rPr>
                <w:sz w:val="20"/>
                <w:szCs w:val="20"/>
                <w:color w:val="auto"/>
              </w:rPr>
            </w:pPr>
            <w:r>
              <w:rPr>
                <w:rFonts w:ascii="Arial" w:cs="Arial" w:eastAsia="Arial" w:hAnsi="Arial"/>
                <w:sz w:val="18"/>
                <w:szCs w:val="18"/>
                <w:color w:val="0A248E"/>
              </w:rPr>
              <w:t>Reconciliation of GAAP financial measures to non-GAAP financial measures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A-1</w:t>
            </w:r>
          </w:p>
        </w:tc>
      </w:tr>
      <w:tr>
        <w:trPr>
          <w:trHeight w:val="516"/>
        </w:trPr>
        <w:tc>
          <w:tcPr>
            <w:tcW w:w="9020" w:type="dxa"/>
            <w:vAlign w:val="bottom"/>
          </w:tcPr>
          <w:p>
            <w:pPr>
              <w:spacing w:after="0"/>
              <w:rPr>
                <w:sz w:val="20"/>
                <w:szCs w:val="20"/>
                <w:color w:val="auto"/>
              </w:rPr>
            </w:pPr>
            <w:r>
              <w:rPr>
                <w:rFonts w:ascii="Arial" w:cs="Arial" w:eastAsia="Arial" w:hAnsi="Arial"/>
                <w:sz w:val="23"/>
                <w:szCs w:val="23"/>
                <w:b w:val="1"/>
                <w:bCs w:val="1"/>
                <w:color w:val="0A248E"/>
              </w:rPr>
              <w:t>APPENDIX B</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A248E"/>
              </w:rPr>
              <w:t>B-1</w:t>
            </w:r>
          </w:p>
        </w:tc>
      </w:tr>
      <w:tr>
        <w:trPr>
          <w:trHeight w:val="425"/>
        </w:trPr>
        <w:tc>
          <w:tcPr>
            <w:tcW w:w="9020" w:type="dxa"/>
            <w:vAlign w:val="bottom"/>
          </w:tcPr>
          <w:p>
            <w:pPr>
              <w:ind w:left="280"/>
              <w:spacing w:after="0"/>
              <w:rPr>
                <w:sz w:val="20"/>
                <w:szCs w:val="20"/>
                <w:color w:val="auto"/>
              </w:rPr>
            </w:pPr>
            <w:r>
              <w:rPr>
                <w:rFonts w:ascii="Arial" w:cs="Arial" w:eastAsia="Arial" w:hAnsi="Arial"/>
                <w:sz w:val="18"/>
                <w:szCs w:val="18"/>
                <w:color w:val="0A248E"/>
              </w:rPr>
              <w:t>Redline of Proposed Amended and Restated Articles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0A248E"/>
              </w:rPr>
              <w:t>B-1</w:t>
            </w:r>
          </w:p>
        </w:tc>
      </w:tr>
    </w:tbl>
    <w:p>
      <w:pPr>
        <w:sectPr>
          <w:pgSz w:w="11880" w:h="15480" w:orient="portrait"/>
          <w:cols w:equalWidth="0" w:num="1">
            <w:col w:w="9640"/>
          </w:cols>
          <w:pgMar w:left="1140" w:top="340" w:right="1100" w:bottom="1440" w:gutter="0" w:footer="0" w:header="0"/>
        </w:sectPr>
      </w:pPr>
    </w:p>
    <w:bookmarkStart w:id="7" w:name="page8"/>
    <w:bookmarkEnd w:id="7"/>
    <w:p>
      <w:pPr>
        <w:jc w:val="right"/>
        <w:spacing w:after="0"/>
        <w:rPr>
          <w:sz w:val="20"/>
          <w:szCs w:val="20"/>
          <w:color w:val="auto"/>
        </w:rPr>
      </w:pPr>
    </w:p>
    <w:p>
      <w:pPr>
        <w:sectPr>
          <w:pgSz w:w="11880" w:h="15480" w:orient="portrait"/>
          <w:cols w:equalWidth="1" w:num="1" w:space="0"/>
          <w:pgMar w:left="1440" w:top="1440" w:right="1440" w:bottom="875" w:gutter="0" w:footer="0" w:header="0"/>
        </w:sectPr>
      </w:pPr>
    </w:p>
    <w:bookmarkStart w:id="8" w:name="page9"/>
    <w:bookmarkEnd w:id="8"/>
    <w:p>
      <w:pPr>
        <w:ind w:left="7"/>
        <w:spacing w:after="0"/>
        <w:rPr>
          <w:sz w:val="20"/>
          <w:szCs w:val="20"/>
          <w:color w:val="auto"/>
        </w:rPr>
      </w:pPr>
      <w:r>
        <w:rPr>
          <w:rFonts w:ascii="Arial" w:cs="Arial" w:eastAsia="Arial" w:hAnsi="Arial"/>
          <w:sz w:val="33"/>
          <w:szCs w:val="33"/>
          <w:color w:val="0A248E"/>
        </w:rPr>
        <w:t>GENERAL INFORMATION</w:t>
      </w:r>
    </w:p>
    <w:p>
      <w:pPr>
        <w:spacing w:after="0" w:line="200" w:lineRule="exact"/>
        <w:rPr>
          <w:sz w:val="20"/>
          <w:szCs w:val="20"/>
          <w:color w:val="auto"/>
        </w:rPr>
      </w:pPr>
    </w:p>
    <w:p>
      <w:pPr>
        <w:spacing w:after="0" w:line="322" w:lineRule="exact"/>
        <w:rPr>
          <w:sz w:val="20"/>
          <w:szCs w:val="20"/>
          <w:color w:val="auto"/>
        </w:rPr>
      </w:pPr>
    </w:p>
    <w:p>
      <w:pPr>
        <w:jc w:val="center"/>
        <w:ind w:right="-46"/>
        <w:spacing w:after="0"/>
        <w:rPr>
          <w:sz w:val="20"/>
          <w:szCs w:val="20"/>
          <w:color w:val="auto"/>
        </w:rPr>
      </w:pPr>
      <w:r>
        <w:rPr>
          <w:rFonts w:ascii="Arial" w:cs="Arial" w:eastAsia="Arial" w:hAnsi="Arial"/>
          <w:sz w:val="28"/>
          <w:szCs w:val="28"/>
          <w:color w:val="0A248E"/>
        </w:rPr>
        <w:t>DROPBOX, INC.</w:t>
      </w:r>
    </w:p>
    <w:p>
      <w:pPr>
        <w:spacing w:after="0" w:line="200" w:lineRule="exact"/>
        <w:rPr>
          <w:sz w:val="20"/>
          <w:szCs w:val="20"/>
          <w:color w:val="auto"/>
        </w:rPr>
      </w:pPr>
    </w:p>
    <w:p>
      <w:pPr>
        <w:spacing w:after="0" w:line="246" w:lineRule="exact"/>
        <w:rPr>
          <w:sz w:val="20"/>
          <w:szCs w:val="20"/>
          <w:color w:val="auto"/>
        </w:rPr>
      </w:pPr>
    </w:p>
    <w:p>
      <w:pPr>
        <w:jc w:val="center"/>
        <w:ind w:right="-46"/>
        <w:spacing w:after="0"/>
        <w:rPr>
          <w:sz w:val="20"/>
          <w:szCs w:val="20"/>
          <w:color w:val="auto"/>
        </w:rPr>
      </w:pPr>
      <w:r>
        <w:rPr>
          <w:rFonts w:ascii="Arial" w:cs="Arial" w:eastAsia="Arial" w:hAnsi="Arial"/>
          <w:sz w:val="28"/>
          <w:szCs w:val="28"/>
          <w:color w:val="0A248E"/>
        </w:rPr>
        <w:t>PROXY STATEMENT</w:t>
      </w:r>
    </w:p>
    <w:p>
      <w:pPr>
        <w:spacing w:after="0" w:line="169" w:lineRule="exact"/>
        <w:rPr>
          <w:sz w:val="20"/>
          <w:szCs w:val="20"/>
          <w:color w:val="auto"/>
        </w:rPr>
      </w:pPr>
    </w:p>
    <w:p>
      <w:pPr>
        <w:jc w:val="center"/>
        <w:ind w:right="-46"/>
        <w:spacing w:after="0"/>
        <w:rPr>
          <w:sz w:val="20"/>
          <w:szCs w:val="20"/>
          <w:color w:val="auto"/>
        </w:rPr>
      </w:pPr>
      <w:r>
        <w:rPr>
          <w:rFonts w:ascii="Arial" w:cs="Arial" w:eastAsia="Arial" w:hAnsi="Arial"/>
          <w:sz w:val="28"/>
          <w:szCs w:val="28"/>
          <w:color w:val="0A248E"/>
        </w:rPr>
        <w:t>FOR THE 2026 ANNUAL MEETING OF STOCKHOLDERS</w:t>
      </w:r>
    </w:p>
    <w:p>
      <w:pPr>
        <w:spacing w:after="0" w:line="169" w:lineRule="exact"/>
        <w:rPr>
          <w:sz w:val="20"/>
          <w:szCs w:val="20"/>
          <w:color w:val="auto"/>
        </w:rPr>
      </w:pPr>
    </w:p>
    <w:p>
      <w:pPr>
        <w:jc w:val="center"/>
        <w:ind w:right="-46"/>
        <w:spacing w:after="0"/>
        <w:rPr>
          <w:sz w:val="20"/>
          <w:szCs w:val="20"/>
          <w:color w:val="auto"/>
        </w:rPr>
      </w:pPr>
      <w:r>
        <w:rPr>
          <w:rFonts w:ascii="Arial" w:cs="Arial" w:eastAsia="Arial" w:hAnsi="Arial"/>
          <w:sz w:val="28"/>
          <w:szCs w:val="28"/>
          <w:color w:val="0A248E"/>
        </w:rPr>
        <w:t>to be held at 9:00 am Pacific Time on Thursday,</w:t>
      </w:r>
    </w:p>
    <w:p>
      <w:pPr>
        <w:spacing w:after="0" w:line="169" w:lineRule="exact"/>
        <w:rPr>
          <w:sz w:val="20"/>
          <w:szCs w:val="20"/>
          <w:color w:val="auto"/>
        </w:rPr>
      </w:pPr>
    </w:p>
    <w:p>
      <w:pPr>
        <w:jc w:val="center"/>
        <w:ind w:right="-46"/>
        <w:spacing w:after="0"/>
        <w:rPr>
          <w:sz w:val="20"/>
          <w:szCs w:val="20"/>
          <w:color w:val="auto"/>
        </w:rPr>
      </w:pPr>
      <w:r>
        <w:rPr>
          <w:rFonts w:ascii="Arial" w:cs="Arial" w:eastAsia="Arial" w:hAnsi="Arial"/>
          <w:sz w:val="28"/>
          <w:szCs w:val="28"/>
          <w:color w:val="0A248E"/>
        </w:rPr>
        <w:t>May 21, 2026</w:t>
      </w:r>
    </w:p>
    <w:p>
      <w:pPr>
        <w:spacing w:after="0" w:line="234" w:lineRule="exact"/>
        <w:rPr>
          <w:sz w:val="20"/>
          <w:szCs w:val="20"/>
          <w:color w:val="auto"/>
        </w:rPr>
      </w:pPr>
    </w:p>
    <w:p>
      <w:pPr>
        <w:ind w:left="7"/>
        <w:spacing w:after="0" w:line="276"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2026 annual meeting of stockholders of Dropbox, Inc., a Nevada corporation, and any postponements, adjournments or continuations thereof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The Annual Meeting will be held on Thursday, May 21, 2026 at 9:00 am Pacific Time. The Annual Meeting will be conducted virtually via live audio webcast. You will be able to attend the Annual Meeting virtually by visiting www.virtualshareholdermeeting.com/DBX2026, where you will be able to listen to the meeting live, submit questions and vote online. Our proxy statement and 2025 annual report are first being mailed on or about April 7, 2026 to all stockholders entitled to vote at the Annual Meeting.</w:t>
      </w:r>
    </w:p>
    <w:p>
      <w:pPr>
        <w:spacing w:after="0" w:line="131" w:lineRule="exact"/>
        <w:rPr>
          <w:sz w:val="20"/>
          <w:szCs w:val="20"/>
          <w:color w:val="auto"/>
        </w:rPr>
      </w:pPr>
    </w:p>
    <w:p>
      <w:pPr>
        <w:ind w:left="7" w:right="120"/>
        <w:spacing w:after="0" w:line="304" w:lineRule="auto"/>
        <w:rPr>
          <w:sz w:val="20"/>
          <w:szCs w:val="20"/>
          <w:color w:val="auto"/>
        </w:rPr>
      </w:pPr>
      <w:r>
        <w:rPr>
          <w:rFonts w:ascii="Arial" w:cs="Arial" w:eastAsia="Arial" w:hAnsi="Arial"/>
          <w:sz w:val="17"/>
          <w:szCs w:val="17"/>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What matters am I voting on?</w:t>
      </w:r>
    </w:p>
    <w:p>
      <w:pPr>
        <w:spacing w:after="0" w:line="203" w:lineRule="exact"/>
        <w:rPr>
          <w:sz w:val="20"/>
          <w:szCs w:val="20"/>
          <w:color w:val="auto"/>
        </w:rPr>
      </w:pPr>
    </w:p>
    <w:p>
      <w:pPr>
        <w:ind w:left="7"/>
        <w:spacing w:after="0"/>
        <w:rPr>
          <w:sz w:val="20"/>
          <w:szCs w:val="20"/>
          <w:color w:val="auto"/>
        </w:rPr>
      </w:pPr>
      <w:r>
        <w:rPr>
          <w:rFonts w:ascii="Arial" w:cs="Arial" w:eastAsia="Arial" w:hAnsi="Arial"/>
          <w:sz w:val="18"/>
          <w:szCs w:val="18"/>
          <w:color w:val="auto"/>
        </w:rPr>
        <w:t>You are being asked to vote on:</w:t>
      </w:r>
    </w:p>
    <w:p>
      <w:pPr>
        <w:spacing w:after="0" w:line="200" w:lineRule="exact"/>
        <w:rPr>
          <w:sz w:val="20"/>
          <w:szCs w:val="20"/>
          <w:color w:val="auto"/>
        </w:rPr>
      </w:pPr>
    </w:p>
    <w:p>
      <w:pPr>
        <w:ind w:left="347" w:right="160" w:hanging="347"/>
        <w:spacing w:after="0" w:line="310" w:lineRule="auto"/>
        <w:tabs>
          <w:tab w:leader="none" w:pos="347" w:val="left"/>
        </w:tabs>
        <w:numPr>
          <w:ilvl w:val="0"/>
          <w:numId w:val="2"/>
        </w:numPr>
        <w:rPr>
          <w:rFonts w:ascii="Arial" w:cs="Arial" w:eastAsia="Arial" w:hAnsi="Arial"/>
          <w:sz w:val="18"/>
          <w:szCs w:val="18"/>
          <w:color w:val="0A248E"/>
        </w:rPr>
      </w:pPr>
      <w:r>
        <w:rPr>
          <w:rFonts w:ascii="Arial" w:cs="Arial" w:eastAsia="Arial" w:hAnsi="Arial"/>
          <w:sz w:val="18"/>
          <w:szCs w:val="18"/>
          <w:color w:val="auto"/>
        </w:rPr>
        <w:t>the election of seven directors to serve until the next annual meeting of stockholders or until their successors are duly elected and qualified;</w:t>
      </w:r>
    </w:p>
    <w:p>
      <w:pPr>
        <w:spacing w:after="0" w:line="101" w:lineRule="exact"/>
        <w:rPr>
          <w:rFonts w:ascii="Arial" w:cs="Arial" w:eastAsia="Arial" w:hAnsi="Arial"/>
          <w:sz w:val="18"/>
          <w:szCs w:val="18"/>
          <w:color w:val="0A248E"/>
        </w:rPr>
      </w:pPr>
    </w:p>
    <w:p>
      <w:pPr>
        <w:ind w:left="347" w:right="100" w:hanging="347"/>
        <w:spacing w:after="0" w:line="310" w:lineRule="auto"/>
        <w:tabs>
          <w:tab w:leader="none" w:pos="347" w:val="left"/>
        </w:tabs>
        <w:numPr>
          <w:ilvl w:val="0"/>
          <w:numId w:val="2"/>
        </w:numPr>
        <w:rPr>
          <w:rFonts w:ascii="Arial" w:cs="Arial" w:eastAsia="Arial" w:hAnsi="Arial"/>
          <w:sz w:val="18"/>
          <w:szCs w:val="18"/>
          <w:color w:val="0A248E"/>
        </w:rPr>
      </w:pPr>
      <w:r>
        <w:rPr>
          <w:rFonts w:ascii="Arial" w:cs="Arial" w:eastAsia="Arial" w:hAnsi="Arial"/>
          <w:sz w:val="18"/>
          <w:szCs w:val="18"/>
          <w:color w:val="auto"/>
        </w:rPr>
        <w:t>a proposal to ratify the appointment of Ernst &amp; Young LLP as our independent registered public accounting firm for our fiscal year ending December 31, 2026;</w:t>
      </w:r>
    </w:p>
    <w:p>
      <w:pPr>
        <w:spacing w:after="0" w:line="106" w:lineRule="exact"/>
        <w:rPr>
          <w:rFonts w:ascii="Arial" w:cs="Arial" w:eastAsia="Arial" w:hAnsi="Arial"/>
          <w:sz w:val="18"/>
          <w:szCs w:val="18"/>
          <w:color w:val="0A248E"/>
        </w:rPr>
      </w:pPr>
    </w:p>
    <w:p>
      <w:pPr>
        <w:ind w:left="347" w:hanging="347"/>
        <w:spacing w:after="0"/>
        <w:tabs>
          <w:tab w:leader="none" w:pos="347" w:val="left"/>
        </w:tabs>
        <w:numPr>
          <w:ilvl w:val="0"/>
          <w:numId w:val="2"/>
        </w:numPr>
        <w:rPr>
          <w:rFonts w:ascii="Arial" w:cs="Arial" w:eastAsia="Arial" w:hAnsi="Arial"/>
          <w:sz w:val="18"/>
          <w:szCs w:val="18"/>
          <w:color w:val="0A248E"/>
        </w:rPr>
      </w:pPr>
      <w:r>
        <w:rPr>
          <w:rFonts w:ascii="Arial" w:cs="Arial" w:eastAsia="Arial" w:hAnsi="Arial"/>
          <w:sz w:val="18"/>
          <w:szCs w:val="18"/>
          <w:color w:val="auto"/>
        </w:rPr>
        <w:t>a proposal to approve, on an advisory basis, the compensation of our named executive officers;</w:t>
      </w:r>
    </w:p>
    <w:p>
      <w:pPr>
        <w:spacing w:after="0" w:line="200" w:lineRule="exact"/>
        <w:rPr>
          <w:rFonts w:ascii="Arial" w:cs="Arial" w:eastAsia="Arial" w:hAnsi="Arial"/>
          <w:sz w:val="18"/>
          <w:szCs w:val="18"/>
          <w:color w:val="0A248E"/>
        </w:rPr>
      </w:pPr>
    </w:p>
    <w:p>
      <w:pPr>
        <w:ind w:left="347" w:right="240" w:hanging="347"/>
        <w:spacing w:after="0" w:line="310" w:lineRule="auto"/>
        <w:tabs>
          <w:tab w:leader="none" w:pos="347"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proposal to approve an amendment and restatement of our Articles to waive jury trials for internal actions, together with contextual and other ministerial changes; and</w:t>
      </w:r>
    </w:p>
    <w:p>
      <w:pPr>
        <w:spacing w:after="0" w:line="106" w:lineRule="exact"/>
        <w:rPr>
          <w:rFonts w:ascii="Arial" w:cs="Arial" w:eastAsia="Arial" w:hAnsi="Arial"/>
          <w:sz w:val="18"/>
          <w:szCs w:val="18"/>
          <w:color w:val="auto"/>
        </w:rPr>
      </w:pPr>
    </w:p>
    <w:p>
      <w:pPr>
        <w:ind w:left="347" w:hanging="347"/>
        <w:spacing w:after="0"/>
        <w:tabs>
          <w:tab w:leader="none" w:pos="347" w:val="left"/>
        </w:tabs>
        <w:numPr>
          <w:ilvl w:val="0"/>
          <w:numId w:val="2"/>
        </w:numPr>
        <w:rPr>
          <w:rFonts w:ascii="Arial" w:cs="Arial" w:eastAsia="Arial" w:hAnsi="Arial"/>
          <w:sz w:val="18"/>
          <w:szCs w:val="18"/>
          <w:color w:val="0A248E"/>
        </w:rPr>
      </w:pPr>
      <w:r>
        <w:rPr>
          <w:rFonts w:ascii="Arial" w:cs="Arial" w:eastAsia="Arial" w:hAnsi="Arial"/>
          <w:sz w:val="18"/>
          <w:szCs w:val="18"/>
          <w:color w:val="auto"/>
        </w:rPr>
        <w:t>any other business as may properly come before the Annual Meeting.</w:t>
      </w:r>
    </w:p>
    <w:p>
      <w:pPr>
        <w:spacing w:after="0" w:line="25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How does the board of directors recommend I vote on these proposals?</w:t>
      </w:r>
    </w:p>
    <w:p>
      <w:pPr>
        <w:spacing w:after="0" w:line="203" w:lineRule="exact"/>
        <w:rPr>
          <w:sz w:val="20"/>
          <w:szCs w:val="20"/>
          <w:color w:val="auto"/>
        </w:rPr>
      </w:pPr>
    </w:p>
    <w:p>
      <w:pPr>
        <w:ind w:left="7"/>
        <w:spacing w:after="0"/>
        <w:rPr>
          <w:sz w:val="20"/>
          <w:szCs w:val="20"/>
          <w:color w:val="auto"/>
        </w:rPr>
      </w:pPr>
      <w:r>
        <w:rPr>
          <w:rFonts w:ascii="Arial" w:cs="Arial" w:eastAsia="Arial" w:hAnsi="Arial"/>
          <w:sz w:val="18"/>
          <w:szCs w:val="18"/>
          <w:color w:val="auto"/>
        </w:rPr>
        <w:t>Our board of directors recommends a vote:</w:t>
      </w:r>
    </w:p>
    <w:p>
      <w:pPr>
        <w:spacing w:after="0" w:line="200" w:lineRule="exact"/>
        <w:rPr>
          <w:sz w:val="20"/>
          <w:szCs w:val="20"/>
          <w:color w:val="auto"/>
        </w:rPr>
      </w:pPr>
    </w:p>
    <w:p>
      <w:pPr>
        <w:ind w:left="347" w:hanging="347"/>
        <w:spacing w:after="0"/>
        <w:tabs>
          <w:tab w:leader="none" w:pos="347" w:val="left"/>
        </w:tabs>
        <w:numPr>
          <w:ilvl w:val="0"/>
          <w:numId w:val="3"/>
        </w:numPr>
        <w:rPr>
          <w:rFonts w:ascii="Arial" w:cs="Arial" w:eastAsia="Arial" w:hAnsi="Arial"/>
          <w:sz w:val="18"/>
          <w:szCs w:val="18"/>
          <w:color w:val="0A248E"/>
        </w:rPr>
      </w:pPr>
      <w:r>
        <w:rPr>
          <w:rFonts w:ascii="Arial" w:cs="Arial" w:eastAsia="Arial" w:hAnsi="Arial"/>
          <w:sz w:val="18"/>
          <w:szCs w:val="18"/>
          <w:color w:val="auto"/>
        </w:rPr>
        <w:t>“FOR” the election of each director nominee named in this proxy statement;</w:t>
      </w:r>
    </w:p>
    <w:p>
      <w:pPr>
        <w:spacing w:after="0" w:line="200" w:lineRule="exact"/>
        <w:rPr>
          <w:rFonts w:ascii="Arial" w:cs="Arial" w:eastAsia="Arial" w:hAnsi="Arial"/>
          <w:sz w:val="18"/>
          <w:szCs w:val="18"/>
          <w:color w:val="0A248E"/>
        </w:rPr>
      </w:pPr>
    </w:p>
    <w:p>
      <w:pPr>
        <w:ind w:left="347" w:right="20" w:hanging="347"/>
        <w:spacing w:after="0" w:line="310" w:lineRule="auto"/>
        <w:tabs>
          <w:tab w:leader="none" w:pos="347" w:val="left"/>
        </w:tabs>
        <w:numPr>
          <w:ilvl w:val="0"/>
          <w:numId w:val="3"/>
        </w:numPr>
        <w:rPr>
          <w:rFonts w:ascii="Arial" w:cs="Arial" w:eastAsia="Arial" w:hAnsi="Arial"/>
          <w:sz w:val="18"/>
          <w:szCs w:val="18"/>
          <w:color w:val="0A248E"/>
        </w:rPr>
      </w:pPr>
      <w:r>
        <w:rPr>
          <w:rFonts w:ascii="Arial" w:cs="Arial" w:eastAsia="Arial" w:hAnsi="Arial"/>
          <w:sz w:val="18"/>
          <w:szCs w:val="18"/>
          <w:color w:val="auto"/>
        </w:rPr>
        <w:t>“FOR” the ratification of the appointment of Ernst &amp; Young LLP as our independent registered public accounting firm for our fiscal year ending December 31, 2026;</w:t>
      </w:r>
    </w:p>
    <w:p>
      <w:pPr>
        <w:spacing w:after="0" w:line="101" w:lineRule="exact"/>
        <w:rPr>
          <w:rFonts w:ascii="Arial" w:cs="Arial" w:eastAsia="Arial" w:hAnsi="Arial"/>
          <w:sz w:val="18"/>
          <w:szCs w:val="18"/>
          <w:color w:val="0A248E"/>
        </w:rPr>
      </w:pPr>
    </w:p>
    <w:p>
      <w:pPr>
        <w:ind w:left="347" w:hanging="347"/>
        <w:spacing w:after="0"/>
        <w:tabs>
          <w:tab w:leader="none" w:pos="347" w:val="left"/>
        </w:tabs>
        <w:numPr>
          <w:ilvl w:val="0"/>
          <w:numId w:val="3"/>
        </w:numPr>
        <w:rPr>
          <w:rFonts w:ascii="Arial" w:cs="Arial" w:eastAsia="Arial" w:hAnsi="Arial"/>
          <w:sz w:val="18"/>
          <w:szCs w:val="18"/>
          <w:color w:val="0A248E"/>
        </w:rPr>
      </w:pPr>
      <w:r>
        <w:rPr>
          <w:rFonts w:ascii="Arial" w:cs="Arial" w:eastAsia="Arial" w:hAnsi="Arial"/>
          <w:sz w:val="18"/>
          <w:szCs w:val="18"/>
          <w:color w:val="auto"/>
        </w:rPr>
        <w:t>“FOR” the approval, on an advisory basis, of the compensation of our named executive officers; and</w:t>
      </w:r>
    </w:p>
    <w:p>
      <w:pPr>
        <w:spacing w:after="0" w:line="200" w:lineRule="exact"/>
        <w:rPr>
          <w:rFonts w:ascii="Arial" w:cs="Arial" w:eastAsia="Arial" w:hAnsi="Arial"/>
          <w:sz w:val="18"/>
          <w:szCs w:val="18"/>
          <w:color w:val="0A248E"/>
        </w:rPr>
      </w:pPr>
    </w:p>
    <w:p>
      <w:pPr>
        <w:ind w:left="347" w:right="180" w:hanging="347"/>
        <w:spacing w:after="0" w:line="316"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amendment and restatement of our Articles to waive jury trials for internal actions, together with contextual and other ministerial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287" w:type="dxa"/>
        <w:tblCellMar>
          <w:top w:w="0" w:type="dxa"/>
          <w:left w:w="0" w:type="dxa"/>
          <w:bottom w:w="0" w:type="dxa"/>
          <w:right w:w="0" w:type="dxa"/>
        </w:tblCellMar>
      </w:tblPr>
      <w:tr>
        <w:trPr>
          <w:trHeight w:val="221"/>
        </w:trPr>
        <w:tc>
          <w:tcPr>
            <w:tcW w:w="6020" w:type="dxa"/>
            <w:vAlign w:val="bottom"/>
          </w:tcPr>
          <w:p>
            <w:pPr>
              <w:spacing w:after="0"/>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1</w:t>
            </w:r>
          </w:p>
        </w:tc>
      </w:tr>
    </w:tbl>
    <w:p>
      <w:pPr>
        <w:sectPr>
          <w:pgSz w:w="11880" w:h="15480" w:orient="portrait"/>
          <w:cols w:equalWidth="0" w:num="1">
            <w:col w:w="9607"/>
          </w:cols>
          <w:pgMar w:left="1133" w:top="340" w:right="1140" w:bottom="0" w:gutter="0" w:footer="0" w:header="0"/>
        </w:sectPr>
      </w:pPr>
    </w:p>
    <w:bookmarkStart w:id="9" w:name="page10"/>
    <w:bookmarkEnd w:id="9"/>
    <w:p>
      <w:pPr>
        <w:ind w:left="7"/>
        <w:spacing w:after="0"/>
        <w:rPr>
          <w:sz w:val="20"/>
          <w:szCs w:val="20"/>
          <w:color w:val="auto"/>
        </w:rPr>
      </w:pPr>
      <w:r>
        <w:rPr>
          <w:rFonts w:ascii="Arial" w:cs="Arial" w:eastAsia="Arial" w:hAnsi="Arial"/>
          <w:sz w:val="33"/>
          <w:szCs w:val="33"/>
          <w:color w:val="0A248E"/>
        </w:rPr>
        <w:t>GENERAL INFORMATION (continued)</w:t>
      </w:r>
    </w:p>
    <w:p>
      <w:pPr>
        <w:spacing w:after="0" w:line="27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How many votes are needed for approval of each proposal?</w:t>
      </w:r>
    </w:p>
    <w:p>
      <w:pPr>
        <w:spacing w:after="0" w:line="195" w:lineRule="exact"/>
        <w:rPr>
          <w:sz w:val="20"/>
          <w:szCs w:val="20"/>
          <w:color w:val="auto"/>
        </w:rPr>
      </w:pPr>
    </w:p>
    <w:p>
      <w:pPr>
        <w:ind w:left="347" w:right="20" w:hanging="347"/>
        <w:spacing w:after="0" w:line="276" w:lineRule="auto"/>
        <w:tabs>
          <w:tab w:leader="none" w:pos="347" w:val="left"/>
        </w:tabs>
        <w:numPr>
          <w:ilvl w:val="0"/>
          <w:numId w:val="4"/>
        </w:numPr>
        <w:rPr>
          <w:rFonts w:ascii="Arial" w:cs="Arial" w:eastAsia="Arial" w:hAnsi="Arial"/>
          <w:sz w:val="18"/>
          <w:szCs w:val="18"/>
          <w:color w:val="0A248E"/>
        </w:rPr>
      </w:pPr>
      <w:r>
        <w:rPr>
          <w:rFonts w:ascii="Arial" w:cs="Arial" w:eastAsia="Arial" w:hAnsi="Arial"/>
          <w:sz w:val="18"/>
          <w:szCs w:val="18"/>
          <w:b w:val="1"/>
          <w:bCs w:val="1"/>
          <w:color w:val="0A248E"/>
        </w:rPr>
        <w:t xml:space="preserve">Proposal No. 1: </w:t>
      </w:r>
      <w:r>
        <w:rPr>
          <w:rFonts w:ascii="Arial" w:cs="Arial" w:eastAsia="Arial" w:hAnsi="Arial"/>
          <w:sz w:val="18"/>
          <w:szCs w:val="18"/>
          <w:color w:val="000000"/>
        </w:rPr>
        <w:t>Each director is elected by a plurality of the votes of the shares present virtually or represented by</w:t>
      </w:r>
      <w:r>
        <w:rPr>
          <w:rFonts w:ascii="Arial" w:cs="Arial" w:eastAsia="Arial" w:hAnsi="Arial"/>
          <w:sz w:val="18"/>
          <w:szCs w:val="18"/>
          <w:b w:val="1"/>
          <w:bCs w:val="1"/>
          <w:color w:val="0A248E"/>
        </w:rPr>
        <w:t xml:space="preserve"> </w:t>
      </w:r>
      <w:r>
        <w:rPr>
          <w:rFonts w:ascii="Arial" w:cs="Arial" w:eastAsia="Arial" w:hAnsi="Arial"/>
          <w:sz w:val="18"/>
          <w:szCs w:val="18"/>
          <w:color w:val="000000"/>
        </w:rPr>
        <w:t>proxy at the meeting and entitled to vote on the election of directors at the Annual Meeting. Abstentions and broker non-votes will have no effect on the outcome of the vote.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135" w:lineRule="exact"/>
        <w:rPr>
          <w:rFonts w:ascii="Arial" w:cs="Arial" w:eastAsia="Arial" w:hAnsi="Arial"/>
          <w:sz w:val="18"/>
          <w:szCs w:val="18"/>
          <w:color w:val="0A248E"/>
        </w:rPr>
      </w:pPr>
    </w:p>
    <w:p>
      <w:pPr>
        <w:ind w:left="347" w:hanging="347"/>
        <w:spacing w:after="0" w:line="277" w:lineRule="auto"/>
        <w:tabs>
          <w:tab w:leader="none" w:pos="347" w:val="left"/>
        </w:tabs>
        <w:numPr>
          <w:ilvl w:val="0"/>
          <w:numId w:val="4"/>
        </w:numPr>
        <w:rPr>
          <w:rFonts w:ascii="Arial" w:cs="Arial" w:eastAsia="Arial" w:hAnsi="Arial"/>
          <w:sz w:val="18"/>
          <w:szCs w:val="18"/>
          <w:color w:val="0A248E"/>
        </w:rPr>
      </w:pPr>
      <w:r>
        <w:rPr>
          <w:rFonts w:ascii="Arial" w:cs="Arial" w:eastAsia="Arial" w:hAnsi="Arial"/>
          <w:sz w:val="18"/>
          <w:szCs w:val="18"/>
          <w:b w:val="1"/>
          <w:bCs w:val="1"/>
          <w:color w:val="0A248E"/>
        </w:rPr>
        <w:t xml:space="preserve">Proposal No. 2: </w:t>
      </w:r>
      <w:r>
        <w:rPr>
          <w:rFonts w:ascii="Arial" w:cs="Arial" w:eastAsia="Arial" w:hAnsi="Arial"/>
          <w:sz w:val="18"/>
          <w:szCs w:val="18"/>
          <w:color w:val="000000"/>
        </w:rPr>
        <w:t>The ratification of the appointment of Ernst &amp; Young LLP as our independent registered public</w:t>
      </w:r>
      <w:r>
        <w:rPr>
          <w:rFonts w:ascii="Arial" w:cs="Arial" w:eastAsia="Arial" w:hAnsi="Arial"/>
          <w:sz w:val="18"/>
          <w:szCs w:val="18"/>
          <w:b w:val="1"/>
          <w:bCs w:val="1"/>
          <w:color w:val="0A248E"/>
        </w:rPr>
        <w:t xml:space="preserve"> </w:t>
      </w:r>
      <w:r>
        <w:rPr>
          <w:rFonts w:ascii="Arial" w:cs="Arial" w:eastAsia="Arial" w:hAnsi="Arial"/>
          <w:sz w:val="18"/>
          <w:szCs w:val="18"/>
          <w:color w:val="000000"/>
        </w:rPr>
        <w:t>accounting firm for our fiscal year ending December 31, 2026, requires the affirmative vote of a majority of the voting power of the shares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34" w:lineRule="exact"/>
        <w:rPr>
          <w:rFonts w:ascii="Arial" w:cs="Arial" w:eastAsia="Arial" w:hAnsi="Arial"/>
          <w:sz w:val="18"/>
          <w:szCs w:val="18"/>
          <w:color w:val="0A248E"/>
        </w:rPr>
      </w:pPr>
    </w:p>
    <w:p>
      <w:pPr>
        <w:ind w:left="347" w:right="100" w:hanging="347"/>
        <w:spacing w:after="0" w:line="275" w:lineRule="auto"/>
        <w:tabs>
          <w:tab w:leader="none" w:pos="347" w:val="left"/>
        </w:tabs>
        <w:numPr>
          <w:ilvl w:val="0"/>
          <w:numId w:val="4"/>
        </w:numPr>
        <w:rPr>
          <w:rFonts w:ascii="Arial" w:cs="Arial" w:eastAsia="Arial" w:hAnsi="Arial"/>
          <w:sz w:val="18"/>
          <w:szCs w:val="18"/>
          <w:color w:val="0A248E"/>
        </w:rPr>
      </w:pPr>
      <w:r>
        <w:rPr>
          <w:rFonts w:ascii="Arial" w:cs="Arial" w:eastAsia="Arial" w:hAnsi="Arial"/>
          <w:sz w:val="18"/>
          <w:szCs w:val="18"/>
          <w:b w:val="1"/>
          <w:bCs w:val="1"/>
          <w:color w:val="0A248E"/>
        </w:rPr>
        <w:t xml:space="preserve">Proposal No. 3: </w:t>
      </w:r>
      <w:r>
        <w:rPr>
          <w:rFonts w:ascii="Arial" w:cs="Arial" w:eastAsia="Arial" w:hAnsi="Arial"/>
          <w:sz w:val="18"/>
          <w:szCs w:val="18"/>
          <w:color w:val="000000"/>
        </w:rPr>
        <w:t>The approval, on an advisory basis, of the compensation of our named executive officers requires the</w:t>
      </w:r>
      <w:r>
        <w:rPr>
          <w:rFonts w:ascii="Arial" w:cs="Arial" w:eastAsia="Arial" w:hAnsi="Arial"/>
          <w:sz w:val="18"/>
          <w:szCs w:val="18"/>
          <w:b w:val="1"/>
          <w:bCs w:val="1"/>
          <w:color w:val="0A248E"/>
        </w:rPr>
        <w:t xml:space="preserve"> </w:t>
      </w:r>
      <w:r>
        <w:rPr>
          <w:rFonts w:ascii="Arial" w:cs="Arial" w:eastAsia="Arial" w:hAnsi="Arial"/>
          <w:sz w:val="18"/>
          <w:szCs w:val="18"/>
          <w:color w:val="000000"/>
        </w:rPr>
        <w:t>affirmative vote of a majority of the voting power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talent and compensation committee will consider the outcome of the vote when determining named executive officer compensation.</w:t>
      </w:r>
    </w:p>
    <w:p>
      <w:pPr>
        <w:spacing w:after="0" w:line="133" w:lineRule="exact"/>
        <w:rPr>
          <w:rFonts w:ascii="Arial" w:cs="Arial" w:eastAsia="Arial" w:hAnsi="Arial"/>
          <w:sz w:val="18"/>
          <w:szCs w:val="18"/>
          <w:color w:val="0A248E"/>
        </w:rPr>
      </w:pPr>
    </w:p>
    <w:p>
      <w:pPr>
        <w:ind w:left="347" w:right="80" w:hanging="347"/>
        <w:spacing w:after="0" w:line="280" w:lineRule="auto"/>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0A248E"/>
        </w:rPr>
        <w:t xml:space="preserve">Proposal No. 4: </w:t>
      </w:r>
      <w:r>
        <w:rPr>
          <w:rFonts w:ascii="Arial" w:cs="Arial" w:eastAsia="Arial" w:hAnsi="Arial"/>
          <w:sz w:val="18"/>
          <w:szCs w:val="18"/>
          <w:color w:val="000000"/>
        </w:rPr>
        <w:t>The approval of the amendment and restatement of our Articles to waive jury trials for internal actions,</w:t>
      </w:r>
      <w:r>
        <w:rPr>
          <w:rFonts w:ascii="Arial" w:cs="Arial" w:eastAsia="Arial" w:hAnsi="Arial"/>
          <w:sz w:val="18"/>
          <w:szCs w:val="18"/>
          <w:b w:val="1"/>
          <w:bCs w:val="1"/>
          <w:color w:val="0A248E"/>
        </w:rPr>
        <w:t xml:space="preserve"> </w:t>
      </w:r>
      <w:r>
        <w:rPr>
          <w:rFonts w:ascii="Arial" w:cs="Arial" w:eastAsia="Arial" w:hAnsi="Arial"/>
          <w:sz w:val="18"/>
          <w:szCs w:val="18"/>
          <w:color w:val="000000"/>
        </w:rPr>
        <w:t>together with contextual and other ministerial changes, requires the affirmative vote of the holders of at least two-thirds of the voting power of the outstanding shares of our common stock entitled to vote thereon, voting together as a single class. As a result, abstentions and broker non-votes will have the same effect as a vote “Against” this proposal. You may vote “For,” “Against,” or “Abstain” with respect to this proposal.</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Who is entitled to vote?</w:t>
      </w:r>
    </w:p>
    <w:p>
      <w:pPr>
        <w:spacing w:after="0" w:line="119" w:lineRule="exact"/>
        <w:rPr>
          <w:sz w:val="20"/>
          <w:szCs w:val="20"/>
          <w:color w:val="auto"/>
        </w:rPr>
      </w:pPr>
    </w:p>
    <w:p>
      <w:pPr>
        <w:ind w:left="7" w:right="100"/>
        <w:spacing w:after="0" w:line="275" w:lineRule="auto"/>
        <w:rPr>
          <w:sz w:val="20"/>
          <w:szCs w:val="20"/>
          <w:color w:val="auto"/>
        </w:rPr>
      </w:pPr>
      <w:r>
        <w:rPr>
          <w:rFonts w:ascii="Arial" w:cs="Arial" w:eastAsia="Arial" w:hAnsi="Arial"/>
          <w:sz w:val="18"/>
          <w:szCs w:val="18"/>
          <w:color w:val="auto"/>
        </w:rPr>
        <w:t>Holders of our Class A and Class B common stock as of the close of business on March 26, 2026, the record date for the Annual Meeting, may vote at the Annual Meeting. As of the record date, there were 163,263,829 shares of our Class A common stock outstanding and 75,374,718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96" w:lineRule="exact"/>
        <w:rPr>
          <w:sz w:val="20"/>
          <w:szCs w:val="20"/>
          <w:color w:val="auto"/>
        </w:rPr>
      </w:pPr>
    </w:p>
    <w:p>
      <w:pPr>
        <w:ind w:left="7" w:right="280"/>
        <w:spacing w:after="0" w:line="279" w:lineRule="auto"/>
        <w:rPr>
          <w:sz w:val="20"/>
          <w:szCs w:val="20"/>
          <w:color w:val="auto"/>
        </w:rPr>
      </w:pPr>
      <w:r>
        <w:rPr>
          <w:rFonts w:ascii="Arial" w:cs="Arial" w:eastAsia="Arial" w:hAnsi="Arial"/>
          <w:sz w:val="18"/>
          <w:szCs w:val="18"/>
          <w:b w:val="1"/>
          <w:bCs w:val="1"/>
          <w:color w:val="0A248E"/>
        </w:rPr>
        <w:t xml:space="preserve">Registered Stockholders. </w:t>
      </w:r>
      <w:r>
        <w:rPr>
          <w:rFonts w:ascii="Arial" w:cs="Arial" w:eastAsia="Arial" w:hAnsi="Arial"/>
          <w:sz w:val="18"/>
          <w:szCs w:val="18"/>
          <w:color w:val="000000"/>
        </w:rPr>
        <w:t>If shares of our common stock are registered directly in your name with our transfer agent,</w:t>
      </w:r>
      <w:r>
        <w:rPr>
          <w:rFonts w:ascii="Arial" w:cs="Arial" w:eastAsia="Arial" w:hAnsi="Arial"/>
          <w:sz w:val="18"/>
          <w:szCs w:val="18"/>
          <w:b w:val="1"/>
          <w:bCs w:val="1"/>
          <w:color w:val="0A248E"/>
        </w:rPr>
        <w:t xml:space="preserve"> </w:t>
      </w:r>
      <w:r>
        <w:rPr>
          <w:rFonts w:ascii="Arial" w:cs="Arial" w:eastAsia="Arial" w:hAnsi="Arial"/>
          <w:sz w:val="18"/>
          <w:szCs w:val="18"/>
          <w:color w:val="000000"/>
        </w:rPr>
        <w:t>Computershare Trust Company, N.A., you are considered the stockholder of record with respect to those shares, and the proxy materials were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92" w:lineRule="exact"/>
        <w:rPr>
          <w:sz w:val="20"/>
          <w:szCs w:val="20"/>
          <w:color w:val="auto"/>
        </w:rPr>
      </w:pPr>
    </w:p>
    <w:p>
      <w:pPr>
        <w:ind w:left="7" w:right="100"/>
        <w:spacing w:after="0" w:line="291" w:lineRule="auto"/>
        <w:rPr>
          <w:sz w:val="20"/>
          <w:szCs w:val="20"/>
          <w:color w:val="auto"/>
        </w:rPr>
      </w:pPr>
      <w:r>
        <w:rPr>
          <w:rFonts w:ascii="Arial" w:cs="Arial" w:eastAsia="Arial" w:hAnsi="Arial"/>
          <w:sz w:val="17"/>
          <w:szCs w:val="17"/>
          <w:b w:val="1"/>
          <w:bCs w:val="1"/>
          <w:color w:val="0A248E"/>
        </w:rPr>
        <w:t xml:space="preserve">Street Name Stockholders. </w:t>
      </w:r>
      <w:r>
        <w:rPr>
          <w:rFonts w:ascii="Arial" w:cs="Arial" w:eastAsia="Arial" w:hAnsi="Arial"/>
          <w:sz w:val="17"/>
          <w:szCs w:val="17"/>
          <w:color w:val="000000"/>
        </w:rPr>
        <w:t>If shares of our common stock are held on your behalf in a brokerage account or by a bank or</w:t>
      </w:r>
      <w:r>
        <w:rPr>
          <w:rFonts w:ascii="Arial" w:cs="Arial" w:eastAsia="Arial" w:hAnsi="Arial"/>
          <w:sz w:val="17"/>
          <w:szCs w:val="17"/>
          <w:b w:val="1"/>
          <w:bCs w:val="1"/>
          <w:color w:val="0A248E"/>
        </w:rPr>
        <w:t xml:space="preserve"> </w:t>
      </w:r>
      <w:r>
        <w:rPr>
          <w:rFonts w:ascii="Arial" w:cs="Arial" w:eastAsia="Arial" w:hAnsi="Arial"/>
          <w:sz w:val="17"/>
          <w:szCs w:val="17"/>
          <w:color w:val="000000"/>
        </w:rPr>
        <w:t>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7" w:hanging="475"/>
        <w:spacing w:after="0"/>
        <w:tabs>
          <w:tab w:leader="none" w:pos="52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10" w:name="page11"/>
    <w:bookmarkEnd w:id="10"/>
    <w:p>
      <w:pPr>
        <w:ind w:left="7"/>
        <w:spacing w:after="0"/>
        <w:rPr>
          <w:sz w:val="20"/>
          <w:szCs w:val="20"/>
          <w:color w:val="auto"/>
        </w:rPr>
      </w:pPr>
      <w:r>
        <w:rPr>
          <w:rFonts w:ascii="Arial" w:cs="Arial" w:eastAsia="Arial" w:hAnsi="Arial"/>
          <w:sz w:val="33"/>
          <w:szCs w:val="33"/>
          <w:color w:val="0A248E"/>
        </w:rPr>
        <w:t>GENERAL INFORMATION (continued)</w:t>
      </w:r>
    </w:p>
    <w:p>
      <w:pPr>
        <w:spacing w:after="0" w:line="27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Are a certain number of shares required to be present in order to hold the Annual Meeting?</w:t>
      </w:r>
    </w:p>
    <w:p>
      <w:pPr>
        <w:spacing w:after="0" w:line="119" w:lineRule="exact"/>
        <w:rPr>
          <w:sz w:val="20"/>
          <w:szCs w:val="20"/>
          <w:color w:val="auto"/>
        </w:rPr>
      </w:pPr>
    </w:p>
    <w:p>
      <w:pPr>
        <w:ind w:left="7" w:right="200"/>
        <w:spacing w:after="0" w:line="278" w:lineRule="auto"/>
        <w:rPr>
          <w:sz w:val="20"/>
          <w:szCs w:val="20"/>
          <w:color w:val="auto"/>
        </w:rPr>
      </w:pPr>
      <w:r>
        <w:rPr>
          <w:rFonts w:ascii="Arial" w:cs="Arial" w:eastAsia="Arial" w:hAnsi="Arial"/>
          <w:sz w:val="18"/>
          <w:szCs w:val="18"/>
          <w:color w:val="auto"/>
        </w:rPr>
        <w:t>A quorum is the minimum number of voting power required to be present at the Annual Meeting to properly hold an annual meeting of stockholders and conduct business under our bylaws and Nevada law. The presence, virtually or by proxy (regardless of whether the proxy has authority to vote on any matter),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How do I vote?</w:t>
      </w:r>
    </w:p>
    <w:p>
      <w:pPr>
        <w:spacing w:after="0" w:line="203" w:lineRule="exact"/>
        <w:rPr>
          <w:sz w:val="20"/>
          <w:szCs w:val="20"/>
          <w:color w:val="auto"/>
        </w:rPr>
      </w:pPr>
    </w:p>
    <w:p>
      <w:pPr>
        <w:ind w:left="7"/>
        <w:spacing w:after="0"/>
        <w:rPr>
          <w:sz w:val="20"/>
          <w:szCs w:val="20"/>
          <w:color w:val="auto"/>
        </w:rPr>
      </w:pPr>
      <w:r>
        <w:rPr>
          <w:rFonts w:ascii="Arial" w:cs="Arial" w:eastAsia="Arial" w:hAnsi="Arial"/>
          <w:sz w:val="18"/>
          <w:szCs w:val="18"/>
          <w:color w:val="auto"/>
        </w:rPr>
        <w:t>If you are a stockholder of record, there are several ways to vote:</w:t>
      </w:r>
    </w:p>
    <w:p>
      <w:pPr>
        <w:spacing w:after="0" w:line="200" w:lineRule="exact"/>
        <w:rPr>
          <w:sz w:val="20"/>
          <w:szCs w:val="20"/>
          <w:color w:val="auto"/>
        </w:rPr>
      </w:pPr>
    </w:p>
    <w:p>
      <w:pPr>
        <w:ind w:left="347" w:hanging="347"/>
        <w:spacing w:after="0" w:line="321" w:lineRule="auto"/>
        <w:tabs>
          <w:tab w:leader="none" w:pos="347" w:val="left"/>
        </w:tabs>
        <w:numPr>
          <w:ilvl w:val="0"/>
          <w:numId w:val="6"/>
        </w:numPr>
        <w:rPr>
          <w:rFonts w:ascii="Arial" w:cs="Arial" w:eastAsia="Arial" w:hAnsi="Arial"/>
          <w:sz w:val="17"/>
          <w:szCs w:val="17"/>
          <w:color w:val="0A248E"/>
        </w:rPr>
      </w:pPr>
      <w:r>
        <w:rPr>
          <w:rFonts w:ascii="Arial" w:cs="Arial" w:eastAsia="Arial" w:hAnsi="Arial"/>
          <w:sz w:val="17"/>
          <w:szCs w:val="17"/>
          <w:color w:val="auto"/>
        </w:rPr>
        <w:t>by Internet prior to the Annual Meeting at www.proxyvote.com, 24 hours a day, seven days a week, until 11:59 p.m. Eastern Time on May 20, 2026 for shares held directly and by 11:59 p.m. Eastern Time on May 18, 2026 for shares held in a Dropbox, Inc. employee stock ownership plan (a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(have your proxy card in hand when you visit the website);</w:t>
      </w:r>
    </w:p>
    <w:p>
      <w:pPr>
        <w:spacing w:after="0" w:line="86" w:lineRule="exact"/>
        <w:rPr>
          <w:rFonts w:ascii="Arial" w:cs="Arial" w:eastAsia="Arial" w:hAnsi="Arial"/>
          <w:sz w:val="17"/>
          <w:szCs w:val="17"/>
          <w:color w:val="0A248E"/>
        </w:rPr>
      </w:pPr>
    </w:p>
    <w:p>
      <w:pPr>
        <w:ind w:left="347" w:right="40" w:hanging="347"/>
        <w:spacing w:after="0" w:line="343" w:lineRule="auto"/>
        <w:tabs>
          <w:tab w:leader="none" w:pos="347" w:val="left"/>
        </w:tabs>
        <w:numPr>
          <w:ilvl w:val="0"/>
          <w:numId w:val="6"/>
        </w:numPr>
        <w:rPr>
          <w:rFonts w:ascii="Arial" w:cs="Arial" w:eastAsia="Arial" w:hAnsi="Arial"/>
          <w:sz w:val="17"/>
          <w:szCs w:val="17"/>
          <w:color w:val="0A248E"/>
        </w:rPr>
      </w:pPr>
      <w:r>
        <w:rPr>
          <w:rFonts w:ascii="Arial" w:cs="Arial" w:eastAsia="Arial" w:hAnsi="Arial"/>
          <w:sz w:val="17"/>
          <w:szCs w:val="17"/>
          <w:color w:val="auto"/>
        </w:rPr>
        <w:t>by toll-free telephone at 1-800-690-6903, until 11:59 p.m. Eastern Time on May 20, 2026 for shares held directly and by 11:59 p.m. Eastern Time on May 18, 2026 for shares held in a Plan (have your proxy card in hand when you call);</w:t>
      </w:r>
    </w:p>
    <w:p>
      <w:pPr>
        <w:spacing w:after="0" w:line="82" w:lineRule="exact"/>
        <w:rPr>
          <w:rFonts w:ascii="Arial" w:cs="Arial" w:eastAsia="Arial" w:hAnsi="Arial"/>
          <w:sz w:val="17"/>
          <w:szCs w:val="17"/>
          <w:color w:val="0A248E"/>
        </w:rPr>
      </w:pPr>
    </w:p>
    <w:p>
      <w:pPr>
        <w:ind w:left="347" w:hanging="347"/>
        <w:spacing w:after="0"/>
        <w:tabs>
          <w:tab w:leader="none" w:pos="347" w:val="left"/>
        </w:tabs>
        <w:numPr>
          <w:ilvl w:val="0"/>
          <w:numId w:val="6"/>
        </w:numPr>
        <w:rPr>
          <w:rFonts w:ascii="Arial" w:cs="Arial" w:eastAsia="Arial" w:hAnsi="Arial"/>
          <w:sz w:val="18"/>
          <w:szCs w:val="18"/>
          <w:color w:val="0A248E"/>
        </w:rPr>
      </w:pPr>
      <w:r>
        <w:rPr>
          <w:rFonts w:ascii="Arial" w:cs="Arial" w:eastAsia="Arial" w:hAnsi="Arial"/>
          <w:sz w:val="18"/>
          <w:szCs w:val="18"/>
          <w:color w:val="auto"/>
        </w:rPr>
        <w:t>by completing and mailing your proxy card; or</w:t>
      </w:r>
    </w:p>
    <w:p>
      <w:pPr>
        <w:spacing w:after="0" w:line="200" w:lineRule="exact"/>
        <w:rPr>
          <w:rFonts w:ascii="Arial" w:cs="Arial" w:eastAsia="Arial" w:hAnsi="Arial"/>
          <w:sz w:val="18"/>
          <w:szCs w:val="18"/>
          <w:color w:val="0A248E"/>
        </w:rPr>
      </w:pPr>
    </w:p>
    <w:p>
      <w:pPr>
        <w:ind w:left="347" w:right="300" w:hanging="347"/>
        <w:spacing w:after="0" w:line="310" w:lineRule="auto"/>
        <w:tabs>
          <w:tab w:leader="none" w:pos="347" w:val="left"/>
        </w:tabs>
        <w:numPr>
          <w:ilvl w:val="0"/>
          <w:numId w:val="6"/>
        </w:numPr>
        <w:rPr>
          <w:rFonts w:ascii="Arial" w:cs="Arial" w:eastAsia="Arial" w:hAnsi="Arial"/>
          <w:sz w:val="18"/>
          <w:szCs w:val="18"/>
          <w:color w:val="0A248E"/>
        </w:rPr>
      </w:pPr>
      <w:r>
        <w:rPr>
          <w:rFonts w:ascii="Arial" w:cs="Arial" w:eastAsia="Arial" w:hAnsi="Arial"/>
          <w:sz w:val="18"/>
          <w:szCs w:val="18"/>
          <w:color w:val="auto"/>
        </w:rPr>
        <w:t>by attending the Annual Meeting by visiting www.virtualshareholdermeeting.com/DBX2026, where you may vote and submit questions during the meeting (please have your proxy card in hand when you visit the website).</w:t>
      </w:r>
    </w:p>
    <w:p>
      <w:pPr>
        <w:spacing w:after="0" w:line="106" w:lineRule="exact"/>
        <w:rPr>
          <w:sz w:val="20"/>
          <w:szCs w:val="20"/>
          <w:color w:val="auto"/>
        </w:rPr>
      </w:pPr>
    </w:p>
    <w:p>
      <w:pPr>
        <w:ind w:left="7" w:right="120"/>
        <w:spacing w:after="0" w:line="310" w:lineRule="auto"/>
        <w:rPr>
          <w:sz w:val="20"/>
          <w:szCs w:val="20"/>
          <w:color w:val="auto"/>
        </w:rPr>
      </w:pPr>
      <w:r>
        <w:rPr>
          <w:rFonts w:ascii="Arial" w:cs="Arial" w:eastAsia="Arial" w:hAnsi="Arial"/>
          <w:sz w:val="18"/>
          <w:szCs w:val="18"/>
          <w:color w:val="auto"/>
        </w:rPr>
        <w:t>Even if you plan to attend the Annual Meeting, we recommend that you also vote by proxy so that your vote will be counted if you later decide not to attend the Annual Meeting.</w:t>
      </w:r>
    </w:p>
    <w:p>
      <w:pPr>
        <w:spacing w:after="0" w:line="102" w:lineRule="exact"/>
        <w:rPr>
          <w:sz w:val="20"/>
          <w:szCs w:val="20"/>
          <w:color w:val="auto"/>
        </w:rPr>
      </w:pPr>
    </w:p>
    <w:p>
      <w:pPr>
        <w:ind w:left="7" w:right="60"/>
        <w:spacing w:after="0" w:line="276" w:lineRule="auto"/>
        <w:rPr>
          <w:sz w:val="20"/>
          <w:szCs w:val="20"/>
          <w:color w:val="auto"/>
        </w:rPr>
      </w:pPr>
      <w:r>
        <w:rPr>
          <w:rFonts w:ascii="Arial" w:cs="Arial" w:eastAsia="Arial" w:hAnsi="Arial"/>
          <w:sz w:val="18"/>
          <w:szCs w:val="18"/>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How may my brokerage firm or other intermediary vote my shares if I fail to provide timely directions?</w:t>
      </w:r>
    </w:p>
    <w:p>
      <w:pPr>
        <w:spacing w:after="0" w:line="203" w:lineRule="exact"/>
        <w:rPr>
          <w:sz w:val="20"/>
          <w:szCs w:val="20"/>
          <w:color w:val="auto"/>
        </w:rPr>
      </w:pPr>
    </w:p>
    <w:p>
      <w:pPr>
        <w:ind w:left="7" w:right="100"/>
        <w:spacing w:after="0" w:line="277" w:lineRule="auto"/>
        <w:rPr>
          <w:sz w:val="20"/>
          <w:szCs w:val="20"/>
          <w:color w:val="auto"/>
        </w:rPr>
      </w:pPr>
      <w:r>
        <w:rPr>
          <w:rFonts w:ascii="Arial" w:cs="Arial" w:eastAsia="Arial" w:hAnsi="Arial"/>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2026. Your broker will not have discretion to vote on any other proposals, which are “non-routine” matters, absent direction from you (and failure to provide instructions on these matters will result in a “broker non-vote”).</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Can I change my vote?</w:t>
      </w:r>
    </w:p>
    <w:p>
      <w:pPr>
        <w:spacing w:after="0" w:line="198" w:lineRule="exact"/>
        <w:rPr>
          <w:sz w:val="20"/>
          <w:szCs w:val="20"/>
          <w:color w:val="auto"/>
        </w:rPr>
      </w:pPr>
    </w:p>
    <w:p>
      <w:pPr>
        <w:ind w:left="7" w:right="120"/>
        <w:spacing w:after="0" w:line="310" w:lineRule="auto"/>
        <w:rPr>
          <w:sz w:val="20"/>
          <w:szCs w:val="20"/>
          <w:color w:val="auto"/>
        </w:rPr>
      </w:pPr>
      <w:r>
        <w:rPr>
          <w:rFonts w:ascii="Arial" w:cs="Arial" w:eastAsia="Arial" w:hAnsi="Arial"/>
          <w:sz w:val="18"/>
          <w:szCs w:val="18"/>
          <w:color w:val="auto"/>
        </w:rPr>
        <w:t>Yes. If you are a stockholder of record, you can change your vote or revoke your proxy any time before the Annual Meeting by:</w:t>
      </w:r>
    </w:p>
    <w:p>
      <w:pPr>
        <w:spacing w:after="0" w:line="106" w:lineRule="exact"/>
        <w:rPr>
          <w:sz w:val="20"/>
          <w:szCs w:val="20"/>
          <w:color w:val="auto"/>
        </w:rPr>
      </w:pPr>
    </w:p>
    <w:p>
      <w:pPr>
        <w:ind w:left="347" w:hanging="347"/>
        <w:spacing w:after="0"/>
        <w:tabs>
          <w:tab w:leader="none" w:pos="347" w:val="left"/>
        </w:tabs>
        <w:numPr>
          <w:ilvl w:val="0"/>
          <w:numId w:val="7"/>
        </w:numPr>
        <w:rPr>
          <w:rFonts w:ascii="Arial" w:cs="Arial" w:eastAsia="Arial" w:hAnsi="Arial"/>
          <w:sz w:val="18"/>
          <w:szCs w:val="18"/>
          <w:color w:val="0A248E"/>
        </w:rPr>
      </w:pPr>
      <w:r>
        <w:rPr>
          <w:rFonts w:ascii="Arial" w:cs="Arial" w:eastAsia="Arial" w:hAnsi="Arial"/>
          <w:sz w:val="18"/>
          <w:szCs w:val="18"/>
          <w:color w:val="auto"/>
        </w:rPr>
        <w:t>entering a new vote by Internet or by telephone;</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7"/>
        </w:numPr>
        <w:rPr>
          <w:rFonts w:ascii="Arial" w:cs="Arial" w:eastAsia="Arial" w:hAnsi="Arial"/>
          <w:sz w:val="18"/>
          <w:szCs w:val="18"/>
          <w:color w:val="0A248E"/>
        </w:rPr>
      </w:pPr>
      <w:r>
        <w:rPr>
          <w:rFonts w:ascii="Arial" w:cs="Arial" w:eastAsia="Arial" w:hAnsi="Arial"/>
          <w:sz w:val="18"/>
          <w:szCs w:val="18"/>
          <w:color w:val="auto"/>
        </w:rPr>
        <w:t>completing and returning a later-dated proxy card;</w:t>
      </w:r>
    </w:p>
    <w:p>
      <w:pPr>
        <w:spacing w:after="0" w:line="200" w:lineRule="exact"/>
        <w:rPr>
          <w:rFonts w:ascii="Arial" w:cs="Arial" w:eastAsia="Arial" w:hAnsi="Arial"/>
          <w:sz w:val="18"/>
          <w:szCs w:val="18"/>
          <w:color w:val="0A248E"/>
        </w:rPr>
      </w:pPr>
    </w:p>
    <w:p>
      <w:pPr>
        <w:ind w:left="347" w:right="440" w:hanging="347"/>
        <w:spacing w:after="0" w:line="310" w:lineRule="auto"/>
        <w:tabs>
          <w:tab w:leader="none" w:pos="347" w:val="left"/>
        </w:tabs>
        <w:numPr>
          <w:ilvl w:val="0"/>
          <w:numId w:val="7"/>
        </w:numPr>
        <w:rPr>
          <w:rFonts w:ascii="Arial" w:cs="Arial" w:eastAsia="Arial" w:hAnsi="Arial"/>
          <w:sz w:val="18"/>
          <w:szCs w:val="18"/>
          <w:color w:val="0A248E"/>
        </w:rPr>
      </w:pPr>
      <w:r>
        <w:rPr>
          <w:rFonts w:ascii="Arial" w:cs="Arial" w:eastAsia="Arial" w:hAnsi="Arial"/>
          <w:sz w:val="18"/>
          <w:szCs w:val="18"/>
          <w:color w:val="auto"/>
        </w:rPr>
        <w:t>notifying the Corporate Secretary of Dropbox, Inc., in writing, at Dropbox, Inc., 1800 Owens Street, San Francisco, California 94158; or</w:t>
      </w:r>
    </w:p>
    <w:p>
      <w:pPr>
        <w:spacing w:after="0" w:line="106" w:lineRule="exact"/>
        <w:rPr>
          <w:rFonts w:ascii="Arial" w:cs="Arial" w:eastAsia="Arial" w:hAnsi="Arial"/>
          <w:sz w:val="18"/>
          <w:szCs w:val="18"/>
          <w:color w:val="0A248E"/>
        </w:rPr>
      </w:pPr>
    </w:p>
    <w:p>
      <w:pPr>
        <w:ind w:left="347" w:right="500" w:hanging="347"/>
        <w:spacing w:after="0" w:line="310" w:lineRule="auto"/>
        <w:tabs>
          <w:tab w:leader="none" w:pos="347" w:val="left"/>
        </w:tabs>
        <w:numPr>
          <w:ilvl w:val="0"/>
          <w:numId w:val="7"/>
        </w:numPr>
        <w:rPr>
          <w:rFonts w:ascii="Arial" w:cs="Arial" w:eastAsia="Arial" w:hAnsi="Arial"/>
          <w:sz w:val="18"/>
          <w:szCs w:val="18"/>
          <w:color w:val="0A248E"/>
        </w:rPr>
      </w:pPr>
      <w:r>
        <w:rPr>
          <w:rFonts w:ascii="Arial" w:cs="Arial" w:eastAsia="Arial" w:hAnsi="Arial"/>
          <w:sz w:val="18"/>
          <w:szCs w:val="18"/>
          <w:color w:val="auto"/>
        </w:rPr>
        <w:t>you may also change your vote by attending and voting at the Annual Meeting (although attendance at the Annual Meeting will not, by itself, revoke a proxy).</w:t>
      </w:r>
    </w:p>
    <w:p>
      <w:pPr>
        <w:spacing w:after="0" w:line="102" w:lineRule="exact"/>
        <w:rPr>
          <w:sz w:val="20"/>
          <w:szCs w:val="20"/>
          <w:color w:val="auto"/>
        </w:rPr>
      </w:pPr>
    </w:p>
    <w:p>
      <w:pPr>
        <w:ind w:left="7" w:right="580"/>
        <w:spacing w:after="0" w:line="310" w:lineRule="auto"/>
        <w:rPr>
          <w:sz w:val="20"/>
          <w:szCs w:val="20"/>
          <w:color w:val="auto"/>
        </w:rPr>
      </w:pPr>
      <w:r>
        <w:rPr>
          <w:rFonts w:ascii="Arial" w:cs="Arial" w:eastAsia="Arial" w:hAnsi="Arial"/>
          <w:sz w:val="18"/>
          <w:szCs w:val="18"/>
          <w:color w:val="auto"/>
        </w:rPr>
        <w:t>If you are a street name stockholder, your broker, bank, or other nominee can provide you with instructions on how to change your vote.</w:t>
      </w:r>
    </w:p>
    <w:p>
      <w:pPr>
        <w:sectPr>
          <w:pgSz w:w="11880" w:h="15480" w:orient="portrait"/>
          <w:cols w:equalWidth="0" w:num="1">
            <w:col w:w="9647"/>
          </w:cols>
          <w:pgMar w:left="1133" w:top="340" w:right="1100" w:bottom="0" w:gutter="0" w:footer="0" w:header="0"/>
        </w:sectPr>
      </w:pPr>
    </w:p>
    <w:p>
      <w:pPr>
        <w:spacing w:after="0" w:line="367" w:lineRule="exact"/>
        <w:rPr>
          <w:sz w:val="20"/>
          <w:szCs w:val="20"/>
          <w:color w:val="auto"/>
        </w:rPr>
      </w:pPr>
    </w:p>
    <w:p>
      <w:pPr>
        <w:ind w:left="3287"/>
        <w:spacing w:after="0"/>
        <w:tabs>
          <w:tab w:leader="none" w:pos="948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3</w:t>
      </w:r>
    </w:p>
    <w:p>
      <w:pPr>
        <w:sectPr>
          <w:pgSz w:w="11880" w:h="15480" w:orient="portrait"/>
          <w:cols w:equalWidth="0" w:num="1">
            <w:col w:w="9647"/>
          </w:cols>
          <w:pgMar w:left="1133" w:top="340" w:right="1100" w:bottom="0" w:gutter="0" w:footer="0" w:header="0"/>
          <w:type w:val="continuous"/>
        </w:sectPr>
      </w:pPr>
    </w:p>
    <w:bookmarkStart w:id="11" w:name="page12"/>
    <w:bookmarkEnd w:id="11"/>
    <w:p>
      <w:pPr>
        <w:spacing w:after="0"/>
        <w:rPr>
          <w:sz w:val="20"/>
          <w:szCs w:val="20"/>
          <w:color w:val="auto"/>
        </w:rPr>
      </w:pPr>
      <w:r>
        <w:rPr>
          <w:rFonts w:ascii="Arial" w:cs="Arial" w:eastAsia="Arial" w:hAnsi="Arial"/>
          <w:sz w:val="33"/>
          <w:szCs w:val="33"/>
          <w:color w:val="0A248E"/>
        </w:rPr>
        <w:t>GENERAL INFORMATION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What do I need to do to attend the Annual Meeting?</w:t>
      </w:r>
    </w:p>
    <w:p>
      <w:pPr>
        <w:spacing w:after="0" w:line="119"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You will be able to attend and participate in the Annual Meeting virtually, submit your questions during the meeting and vote your shares electronically at the meeting by visiting www.virtualshareholdermeeting.com/DBX2026 and by entering the control number included on your proxy card. The Annual Meeting webcast will begin promptly at 9:00 am Pacific Time. We encourage you to access the meeting prior to the start time. Online check-in will begin at 8:45 am Pacific Time, and you should allow ample time for the check-in procedures.</w:t>
      </w:r>
    </w:p>
    <w:p>
      <w:pPr>
        <w:sectPr>
          <w:pgSz w:w="11880" w:h="15480" w:orient="portrait"/>
          <w:cols w:equalWidth="0" w:num="1">
            <w:col w:w="9540"/>
          </w:cols>
          <w:pgMar w:left="1140" w:top="3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hanging="475"/>
        <w:spacing w:after="0"/>
        <w:tabs>
          <w:tab w:leader="none" w:pos="52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540"/>
          </w:cols>
          <w:pgMar w:left="1140" w:top="340" w:right="1200" w:bottom="0" w:gutter="0" w:footer="0" w:header="0"/>
          <w:type w:val="continuous"/>
        </w:sectPr>
      </w:pPr>
    </w:p>
    <w:bookmarkStart w:id="12" w:name="page13"/>
    <w:bookmarkEnd w:id="12"/>
    <w:p>
      <w:pPr>
        <w:spacing w:after="0"/>
        <w:rPr>
          <w:sz w:val="20"/>
          <w:szCs w:val="20"/>
          <w:color w:val="auto"/>
        </w:rPr>
      </w:pPr>
      <w:r>
        <w:rPr>
          <w:rFonts w:ascii="Arial" w:cs="Arial" w:eastAsia="Arial" w:hAnsi="Arial"/>
          <w:sz w:val="33"/>
          <w:szCs w:val="33"/>
          <w:color w:val="0A248E"/>
        </w:rPr>
        <w:t>GENERAL INFORMATION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What is the effect of giving a proxy?</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auto"/>
        </w:rPr>
        <w:t>Proxies are solicited by and on behalf of our board of directors. Andrew W. Houston and Ross Tennenbaum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postponed or adjourned, the proxy holders can vote the shares at the postponed or adjourned Annual Meeting as well, unless you have properly revoked your proxy, as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How are proxies solicited for the Annual Meeting?</w:t>
      </w:r>
    </w:p>
    <w:p>
      <w:pPr>
        <w:spacing w:after="0" w:line="198"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Where can I find the voting results of the Annual Meeting?</w:t>
      </w:r>
    </w:p>
    <w:p>
      <w:pPr>
        <w:spacing w:after="0" w:line="198"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193" w:lineRule="exact"/>
        <w:rPr>
          <w:sz w:val="20"/>
          <w:szCs w:val="20"/>
          <w:color w:val="auto"/>
        </w:rPr>
      </w:pPr>
    </w:p>
    <w:p>
      <w:pPr>
        <w:ind w:right="20"/>
        <w:spacing w:after="0" w:line="320" w:lineRule="auto"/>
        <w:rPr>
          <w:sz w:val="20"/>
          <w:szCs w:val="20"/>
          <w:color w:val="auto"/>
        </w:rPr>
      </w:pPr>
      <w:r>
        <w:rPr>
          <w:rFonts w:ascii="Arial" w:cs="Arial" w:eastAsia="Arial" w:hAnsi="Arial"/>
          <w:sz w:val="18"/>
          <w:szCs w:val="18"/>
          <w:b w:val="1"/>
          <w:bCs w:val="1"/>
          <w:color w:val="0A248E"/>
        </w:rPr>
        <w:t>I share an address with another stockholder, and we received only one paper copy of the proxy materials. How may I obtain an additional copy of the proxy materials?</w:t>
      </w:r>
    </w:p>
    <w:p>
      <w:pPr>
        <w:spacing w:after="0" w:line="87"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1800 Owens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94158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IR@dropbox.com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58" w:lineRule="exact"/>
        <w:rPr>
          <w:sz w:val="20"/>
          <w:szCs w:val="20"/>
          <w:color w:val="auto"/>
        </w:rPr>
      </w:pPr>
    </w:p>
    <w:p>
      <w:pPr>
        <w:ind w:right="560"/>
        <w:spacing w:after="0" w:line="320" w:lineRule="auto"/>
        <w:rPr>
          <w:sz w:val="20"/>
          <w:szCs w:val="20"/>
          <w:color w:val="auto"/>
        </w:rPr>
      </w:pPr>
      <w:r>
        <w:rPr>
          <w:rFonts w:ascii="Arial" w:cs="Arial" w:eastAsia="Arial" w:hAnsi="Arial"/>
          <w:sz w:val="18"/>
          <w:szCs w:val="18"/>
          <w:b w:val="1"/>
          <w:bCs w:val="1"/>
          <w:color w:val="0A248E"/>
        </w:rPr>
        <w:t>What is the deadline to propose actions for consideration at next year’s annual meeting of stockholders or to nominate individuals to serve as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03"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Stockholders may present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2027 annual meeting of stockholders, our Corporate Secretary must receive the written proposal at our principal executive offices not later than December 8, 2026. In addition, stockholder proposals must comply with the requirements of Rule 14a-8 regarding the inclusion of stockholder proposals in</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80"/>
        <w:spacing w:after="0"/>
        <w:tabs>
          <w:tab w:leader="none" w:pos="948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5</w:t>
      </w:r>
    </w:p>
    <w:p>
      <w:pPr>
        <w:sectPr>
          <w:pgSz w:w="11880" w:h="15480" w:orient="portrait"/>
          <w:cols w:equalWidth="0" w:num="1">
            <w:col w:w="9640"/>
          </w:cols>
          <w:pgMar w:left="1140" w:top="340" w:right="1100" w:bottom="0" w:gutter="0" w:footer="0" w:header="0"/>
          <w:type w:val="continuous"/>
        </w:sectPr>
      </w:pPr>
    </w:p>
    <w:bookmarkStart w:id="13" w:name="page14"/>
    <w:bookmarkEnd w:id="13"/>
    <w:p>
      <w:pPr>
        <w:ind w:left="7"/>
        <w:spacing w:after="0"/>
        <w:rPr>
          <w:sz w:val="20"/>
          <w:szCs w:val="20"/>
          <w:color w:val="auto"/>
        </w:rPr>
      </w:pPr>
      <w:r>
        <w:rPr>
          <w:rFonts w:ascii="Arial" w:cs="Arial" w:eastAsia="Arial" w:hAnsi="Arial"/>
          <w:sz w:val="33"/>
          <w:szCs w:val="33"/>
          <w:color w:val="0A248E"/>
        </w:rPr>
        <w:t>GENERAL INFORMATION (continued)</w:t>
      </w:r>
    </w:p>
    <w:p>
      <w:pPr>
        <w:spacing w:after="0" w:line="282" w:lineRule="exact"/>
        <w:rPr>
          <w:sz w:val="20"/>
          <w:szCs w:val="20"/>
          <w:color w:val="auto"/>
        </w:rPr>
      </w:pPr>
    </w:p>
    <w:p>
      <w:pPr>
        <w:ind w:left="7" w:right="700"/>
        <w:spacing w:after="0" w:line="305" w:lineRule="auto"/>
        <w:rPr>
          <w:sz w:val="20"/>
          <w:szCs w:val="20"/>
          <w:color w:val="auto"/>
        </w:rPr>
      </w:pPr>
      <w:r>
        <w:rPr>
          <w:rFonts w:ascii="Arial" w:cs="Arial" w:eastAsia="Arial" w:hAnsi="Arial"/>
          <w:sz w:val="18"/>
          <w:szCs w:val="18"/>
          <w:color w:val="auto"/>
        </w:rPr>
        <w:t>company-sponsored proxy materials. Stockholder proposals should be addressed to the Corporate Secretary at the company's headquarters. The current address for our headquarters is:</w:t>
      </w:r>
    </w:p>
    <w:p>
      <w:pPr>
        <w:spacing w:after="0" w:line="17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Dropbox, Inc.</w:t>
      </w:r>
    </w:p>
    <w:p>
      <w:pPr>
        <w:spacing w:after="0" w:line="2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Attention: Corporate Secretary</w:t>
      </w:r>
    </w:p>
    <w:p>
      <w:pPr>
        <w:spacing w:after="0" w:line="2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1800 Owens Street</w:t>
      </w:r>
    </w:p>
    <w:p>
      <w:pPr>
        <w:spacing w:after="0" w:line="2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San Francisco, California 94158</w:t>
      </w:r>
    </w:p>
    <w:p>
      <w:pPr>
        <w:spacing w:after="0" w:line="2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IR@dropbox.com</w:t>
      </w:r>
    </w:p>
    <w:p>
      <w:pPr>
        <w:spacing w:after="0" w:line="200" w:lineRule="exact"/>
        <w:rPr>
          <w:sz w:val="20"/>
          <w:szCs w:val="20"/>
          <w:color w:val="auto"/>
        </w:rPr>
      </w:pPr>
    </w:p>
    <w:p>
      <w:pPr>
        <w:spacing w:after="0" w:line="309"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notice of annual meeting (or any supplement thereto),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bylaws. To be timely for the 2027 annual meeting of stockholders, our Corporate Secretary must receive the written notice at our principal executive offices:</w:t>
      </w:r>
    </w:p>
    <w:p>
      <w:pPr>
        <w:spacing w:after="0" w:line="134" w:lineRule="exact"/>
        <w:rPr>
          <w:sz w:val="20"/>
          <w:szCs w:val="20"/>
          <w:color w:val="auto"/>
        </w:rPr>
      </w:pPr>
    </w:p>
    <w:p>
      <w:pPr>
        <w:ind w:left="347" w:hanging="347"/>
        <w:spacing w:after="0"/>
        <w:tabs>
          <w:tab w:leader="none" w:pos="347" w:val="left"/>
        </w:tabs>
        <w:numPr>
          <w:ilvl w:val="0"/>
          <w:numId w:val="9"/>
        </w:numPr>
        <w:rPr>
          <w:rFonts w:ascii="Arial" w:cs="Arial" w:eastAsia="Arial" w:hAnsi="Arial"/>
          <w:sz w:val="18"/>
          <w:szCs w:val="18"/>
          <w:color w:val="0A248E"/>
        </w:rPr>
      </w:pPr>
      <w:r>
        <w:rPr>
          <w:rFonts w:ascii="Arial" w:cs="Arial" w:eastAsia="Arial" w:hAnsi="Arial"/>
          <w:sz w:val="18"/>
          <w:szCs w:val="18"/>
          <w:color w:val="auto"/>
        </w:rPr>
        <w:t>not earlier than January 22, 2027; and</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9"/>
        </w:numPr>
        <w:rPr>
          <w:rFonts w:ascii="Arial" w:cs="Arial" w:eastAsia="Arial" w:hAnsi="Arial"/>
          <w:sz w:val="18"/>
          <w:szCs w:val="18"/>
          <w:color w:val="0A248E"/>
        </w:rPr>
      </w:pPr>
      <w:r>
        <w:rPr>
          <w:rFonts w:ascii="Arial" w:cs="Arial" w:eastAsia="Arial" w:hAnsi="Arial"/>
          <w:sz w:val="18"/>
          <w:szCs w:val="18"/>
          <w:color w:val="auto"/>
        </w:rPr>
        <w:t>not later than February 21, 2027.</w:t>
      </w:r>
    </w:p>
    <w:p>
      <w:pPr>
        <w:spacing w:after="0" w:line="200" w:lineRule="exact"/>
        <w:rPr>
          <w:sz w:val="20"/>
          <w:szCs w:val="20"/>
          <w:color w:val="auto"/>
        </w:rPr>
      </w:pPr>
    </w:p>
    <w:p>
      <w:pPr>
        <w:ind w:left="7" w:right="80"/>
        <w:spacing w:after="0" w:line="262" w:lineRule="auto"/>
        <w:rPr>
          <w:sz w:val="20"/>
          <w:szCs w:val="20"/>
          <w:color w:val="auto"/>
        </w:rPr>
      </w:pPr>
      <w:r>
        <w:rPr>
          <w:rFonts w:ascii="Arial" w:cs="Arial" w:eastAsia="Arial" w:hAnsi="Arial"/>
          <w:sz w:val="18"/>
          <w:szCs w:val="18"/>
          <w:color w:val="auto"/>
        </w:rPr>
        <w:t>In the event that we hold the 2027 annual meeting of stockholders more than 30 days before or more than 60 days after the one-year anniversary of the Annual Meeting, a notice of a stockholder proposal that is not intended to be included in our proxy statement must be received no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before the 2027 annual meeting of stockholders and no later than the close of business on the later of the following two dates:</w:t>
      </w:r>
    </w:p>
    <w:p>
      <w:pPr>
        <w:spacing w:after="0" w:line="138" w:lineRule="exact"/>
        <w:rPr>
          <w:sz w:val="20"/>
          <w:szCs w:val="20"/>
          <w:color w:val="auto"/>
        </w:rPr>
      </w:pPr>
    </w:p>
    <w:p>
      <w:pPr>
        <w:ind w:left="347" w:hanging="347"/>
        <w:spacing w:after="0"/>
        <w:tabs>
          <w:tab w:leader="none" w:pos="347" w:val="left"/>
        </w:tabs>
        <w:numPr>
          <w:ilvl w:val="0"/>
          <w:numId w:val="10"/>
        </w:numPr>
        <w:rPr>
          <w:rFonts w:ascii="Arial" w:cs="Arial" w:eastAsia="Arial" w:hAnsi="Arial"/>
          <w:sz w:val="18"/>
          <w:szCs w:val="18"/>
          <w:color w:val="0A248E"/>
        </w:rPr>
      </w:pPr>
      <w:r>
        <w:rPr>
          <w:rFonts w:ascii="Arial" w:cs="Arial" w:eastAsia="Arial" w:hAnsi="Arial"/>
          <w:sz w:val="18"/>
          <w:szCs w:val="18"/>
          <w:color w:val="auto"/>
        </w:rPr>
        <w:t>the 90th day prior to the 2027 annual meeting of stockholders; or</w:t>
      </w:r>
    </w:p>
    <w:p>
      <w:pPr>
        <w:spacing w:after="0" w:line="200" w:lineRule="exact"/>
        <w:rPr>
          <w:rFonts w:ascii="Arial" w:cs="Arial" w:eastAsia="Arial" w:hAnsi="Arial"/>
          <w:sz w:val="18"/>
          <w:szCs w:val="18"/>
          <w:color w:val="0A248E"/>
        </w:rPr>
      </w:pPr>
    </w:p>
    <w:p>
      <w:pPr>
        <w:ind w:left="347" w:right="60" w:hanging="347"/>
        <w:spacing w:after="0" w:line="310" w:lineRule="auto"/>
        <w:tabs>
          <w:tab w:leader="none" w:pos="347" w:val="left"/>
        </w:tabs>
        <w:numPr>
          <w:ilvl w:val="0"/>
          <w:numId w:val="10"/>
        </w:numPr>
        <w:rPr>
          <w:rFonts w:ascii="Arial" w:cs="Arial" w:eastAsia="Arial" w:hAnsi="Arial"/>
          <w:sz w:val="18"/>
          <w:szCs w:val="18"/>
          <w:color w:val="0A248E"/>
        </w:rPr>
      </w:pPr>
      <w:r>
        <w:rPr>
          <w:rFonts w:ascii="Arial" w:cs="Arial" w:eastAsia="Arial" w:hAnsi="Arial"/>
          <w:sz w:val="18"/>
          <w:szCs w:val="18"/>
          <w:color w:val="auto"/>
        </w:rPr>
        <w:t>the 10th day following the day on which public announcement of the date of the 2027 annual meeting of stockholders is first made.</w:t>
      </w:r>
    </w:p>
    <w:p>
      <w:pPr>
        <w:spacing w:after="0" w:line="106" w:lineRule="exact"/>
        <w:rPr>
          <w:sz w:val="20"/>
          <w:szCs w:val="20"/>
          <w:color w:val="auto"/>
        </w:rPr>
      </w:pPr>
    </w:p>
    <w:p>
      <w:pPr>
        <w:ind w:left="7" w:right="20"/>
        <w:spacing w:after="0" w:line="291"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Recommendation or Nomination of Director Candidates</w:t>
      </w:r>
    </w:p>
    <w:p>
      <w:pPr>
        <w:spacing w:after="0" w:line="203" w:lineRule="exact"/>
        <w:rPr>
          <w:sz w:val="20"/>
          <w:szCs w:val="20"/>
          <w:color w:val="auto"/>
        </w:rPr>
      </w:pPr>
    </w:p>
    <w:p>
      <w:pPr>
        <w:ind w:left="7" w:right="280"/>
        <w:spacing w:after="0" w:line="278" w:lineRule="auto"/>
        <w:rPr>
          <w:sz w:val="20"/>
          <w:szCs w:val="20"/>
          <w:color w:val="auto"/>
        </w:rPr>
      </w:pPr>
      <w:r>
        <w:rPr>
          <w:rFonts w:ascii="Arial" w:cs="Arial" w:eastAsia="Arial" w:hAnsi="Arial"/>
          <w:sz w:val="18"/>
          <w:szCs w:val="18"/>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w:t>
      </w:r>
      <w:r>
        <w:rPr>
          <w:rFonts w:ascii="Arial" w:cs="Arial" w:eastAsia="Arial" w:hAnsi="Arial"/>
          <w:sz w:val="18"/>
          <w:szCs w:val="18"/>
          <w:i w:val="1"/>
          <w:iCs w:val="1"/>
          <w:color w:val="auto"/>
        </w:rPr>
        <w:t>Board of Directors and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Governance—Stockholder Recommendations and Nominations to the Board of Directors</w:t>
      </w:r>
      <w:r>
        <w:rPr>
          <w:rFonts w:ascii="Arial" w:cs="Arial" w:eastAsia="Arial" w:hAnsi="Arial"/>
          <w:sz w:val="18"/>
          <w:szCs w:val="18"/>
          <w:color w:val="auto"/>
        </w:rPr>
        <w:t>.”</w:t>
      </w:r>
    </w:p>
    <w:p>
      <w:pPr>
        <w:spacing w:after="0" w:line="129" w:lineRule="exact"/>
        <w:rPr>
          <w:sz w:val="20"/>
          <w:szCs w:val="20"/>
          <w:color w:val="auto"/>
        </w:rPr>
      </w:pPr>
    </w:p>
    <w:p>
      <w:pPr>
        <w:ind w:left="7" w:right="100"/>
        <w:spacing w:after="0" w:line="276" w:lineRule="auto"/>
        <w:rPr>
          <w:sz w:val="20"/>
          <w:szCs w:val="20"/>
          <w:color w:val="auto"/>
        </w:rPr>
      </w:pPr>
      <w:r>
        <w:rPr>
          <w:rFonts w:ascii="Arial" w:cs="Arial" w:eastAsia="Arial" w:hAnsi="Arial"/>
          <w:sz w:val="18"/>
          <w:szCs w:val="18"/>
          <w:color w:val="auto"/>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w:t>
      </w:r>
      <w:r>
        <w:rPr>
          <w:rFonts w:ascii="Arial" w:cs="Arial" w:eastAsia="Arial" w:hAnsi="Arial"/>
          <w:sz w:val="18"/>
          <w:szCs w:val="18"/>
          <w:i w:val="1"/>
          <w:iCs w:val="1"/>
          <w:color w:val="auto"/>
        </w:rPr>
        <w:t>General Information—What is the</w:t>
      </w:r>
      <w:r>
        <w:rPr>
          <w:rFonts w:ascii="Arial" w:cs="Arial" w:eastAsia="Arial" w:hAnsi="Arial"/>
          <w:sz w:val="18"/>
          <w:szCs w:val="18"/>
          <w:color w:val="auto"/>
        </w:rPr>
        <w:t xml:space="preserve"> </w:t>
      </w:r>
      <w:r>
        <w:rPr>
          <w:rFonts w:ascii="Arial" w:cs="Arial" w:eastAsia="Arial" w:hAnsi="Arial"/>
          <w:sz w:val="18"/>
          <w:szCs w:val="18"/>
          <w:i w:val="1"/>
          <w:iCs w:val="1"/>
          <w:color w:val="auto"/>
        </w:rPr>
        <w:t>deadline to propose actions for consideration at next year’s annual meeting of stockholders or to nominate individuals to serve as directors?</w:t>
      </w:r>
      <w:r>
        <w:rPr>
          <w:rFonts w:ascii="Arial" w:cs="Arial" w:eastAsia="Arial" w:hAnsi="Arial"/>
          <w:sz w:val="18"/>
          <w:szCs w:val="18"/>
          <w:color w:val="auto"/>
        </w:rPr>
        <w:t>—</w:t>
      </w:r>
      <w:r>
        <w:rPr>
          <w:rFonts w:ascii="Arial" w:cs="Arial" w:eastAsia="Arial" w:hAnsi="Arial"/>
          <w:sz w:val="18"/>
          <w:szCs w:val="18"/>
          <w:i w:val="1"/>
          <w:iCs w:val="1"/>
          <w:color w:val="auto"/>
        </w:rPr>
        <w:t>Stockholder Proposals</w:t>
      </w:r>
      <w:r>
        <w:rPr>
          <w:rFonts w:ascii="Arial" w:cs="Arial" w:eastAsia="Arial" w:hAnsi="Arial"/>
          <w:sz w:val="18"/>
          <w:szCs w:val="18"/>
          <w:color w:val="auto"/>
        </w:rPr>
        <w:t>” for stockholder proposals that are not intended to be included in a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w:t>
      </w:r>
    </w:p>
    <w:p>
      <w:pPr>
        <w:spacing w:after="0" w:line="136" w:lineRule="exact"/>
        <w:rPr>
          <w:sz w:val="20"/>
          <w:szCs w:val="20"/>
          <w:color w:val="auto"/>
        </w:rPr>
      </w:pPr>
    </w:p>
    <w:p>
      <w:pPr>
        <w:ind w:left="7" w:right="180"/>
        <w:spacing w:after="0" w:line="278" w:lineRule="auto"/>
        <w:rPr>
          <w:sz w:val="20"/>
          <w:szCs w:val="20"/>
          <w:color w:val="auto"/>
        </w:rPr>
      </w:pPr>
      <w:r>
        <w:rPr>
          <w:rFonts w:ascii="Arial" w:cs="Arial" w:eastAsia="Arial" w:hAnsi="Arial"/>
          <w:sz w:val="18"/>
          <w:szCs w:val="18"/>
          <w:color w:val="auto"/>
        </w:rPr>
        <w:t>In addition, a stockholder who desires to nominate director candidates for election at the 2027 Annual Meeting, which is expected to be held in or about May 2027, must comply with the requirements of the recently enacted Rule 14a-19 by notifying our Corporate Secretary with regard to the intent to solicit proxies in support of director nominees (other than our nominees) as required by Rule 14a-19 no later than March 22, 2027. Please note that the notice requirement under Rule 14a-19 is in addition to the applicable notice requirements under the advance notice provisions of our bylaws as described above.</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18" w:lineRule="exact"/>
        <w:rPr>
          <w:sz w:val="20"/>
          <w:szCs w:val="20"/>
          <w:color w:val="auto"/>
        </w:rPr>
      </w:pPr>
    </w:p>
    <w:p>
      <w:pPr>
        <w:ind w:left="527" w:hanging="475"/>
        <w:spacing w:after="0"/>
        <w:tabs>
          <w:tab w:leader="none" w:pos="527"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14" w:name="page15"/>
    <w:bookmarkEnd w:id="14"/>
    <w:p>
      <w:pPr>
        <w:spacing w:after="0"/>
        <w:rPr>
          <w:sz w:val="20"/>
          <w:szCs w:val="20"/>
          <w:color w:val="auto"/>
        </w:rPr>
      </w:pPr>
      <w:r>
        <w:rPr>
          <w:rFonts w:ascii="Arial" w:cs="Arial" w:eastAsia="Arial" w:hAnsi="Arial"/>
          <w:sz w:val="33"/>
          <w:szCs w:val="33"/>
          <w:color w:val="0A248E"/>
        </w:rPr>
        <w:t>GENERAL INFORMATION (continued)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Bylaws</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 copy of our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80"/>
        <w:spacing w:after="0"/>
        <w:tabs>
          <w:tab w:leader="none" w:pos="948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7</w:t>
      </w:r>
    </w:p>
    <w:p>
      <w:pPr>
        <w:sectPr>
          <w:pgSz w:w="11880" w:h="15480" w:orient="portrait"/>
          <w:cols w:equalWidth="0" w:num="1">
            <w:col w:w="9640"/>
          </w:cols>
          <w:pgMar w:left="1140" w:top="340" w:right="1100" w:bottom="0" w:gutter="0" w:footer="0" w:header="0"/>
          <w:type w:val="continuous"/>
        </w:sectPr>
      </w:pPr>
    </w:p>
    <w:bookmarkStart w:id="15" w:name="page16"/>
    <w:bookmarkEnd w:id="15"/>
    <w:p>
      <w:pPr>
        <w:spacing w:after="0"/>
        <w:rPr>
          <w:sz w:val="20"/>
          <w:szCs w:val="20"/>
          <w:color w:val="auto"/>
        </w:rPr>
      </w:pPr>
      <w:r>
        <w:rPr>
          <w:rFonts w:ascii="Arial" w:cs="Arial" w:eastAsia="Arial" w:hAnsi="Arial"/>
          <w:sz w:val="33"/>
          <w:szCs w:val="33"/>
          <w:color w:val="0A248E"/>
        </w:rPr>
        <w:t>BOARD OF DIRECTORS AND CORPORATE GOVERNANCE</w:t>
      </w:r>
    </w:p>
    <w:p>
      <w:pPr>
        <w:spacing w:after="0" w:line="282" w:lineRule="exact"/>
        <w:rPr>
          <w:sz w:val="20"/>
          <w:szCs w:val="20"/>
          <w:color w:val="auto"/>
        </w:rPr>
      </w:pPr>
    </w:p>
    <w:p>
      <w:pPr>
        <w:ind w:right="440"/>
        <w:spacing w:after="0" w:line="349" w:lineRule="auto"/>
        <w:rPr>
          <w:sz w:val="20"/>
          <w:szCs w:val="20"/>
          <w:color w:val="auto"/>
        </w:rPr>
      </w:pPr>
      <w:r>
        <w:rPr>
          <w:rFonts w:ascii="Arial" w:cs="Arial" w:eastAsia="Arial" w:hAnsi="Arial"/>
          <w:sz w:val="17"/>
          <w:szCs w:val="17"/>
          <w:color w:val="auto"/>
        </w:rPr>
        <w:t>Our business affairs are managed under the direction of our board of directors. Our board of directors consists of eight directors, seven of whom qualified as “independent” under the listing rules of the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determining the composition of our board, our board of directors and nominating and corporate governance committee are committed to ensuring that our directors maintain effective and independent oversight of our business and that they capably represent the interests of our company and our stockholders. In addition, our nominating and corporate governance committee strives to maintain a balance of tenure on our board. Long-serving directors bring valuable experience and institutional knowledge, while newer directors contribute fresh perspectives and viewpoints. The following charts provide summary information about our continuing directors and director nominees with respect to independence and tenure. For additional information regarding our criteria for evaluating director nominees, see the section titled “</w:t>
      </w:r>
      <w:r>
        <w:rPr>
          <w:rFonts w:ascii="Arial" w:cs="Arial" w:eastAsia="Arial" w:hAnsi="Arial"/>
          <w:sz w:val="18"/>
          <w:szCs w:val="18"/>
          <w:i w:val="1"/>
          <w:iCs w:val="1"/>
          <w:color w:val="auto"/>
        </w:rPr>
        <w:t>Board of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Governance—Considerations in Evaluating Director Nominees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267970</wp:posOffset>
            </wp:positionV>
            <wp:extent cx="5739130" cy="2228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913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680" w:type="dxa"/>
        <w:tblCellMar>
          <w:top w:w="0" w:type="dxa"/>
          <w:left w:w="0" w:type="dxa"/>
          <w:bottom w:w="0" w:type="dxa"/>
          <w:right w:w="0" w:type="dxa"/>
        </w:tblCellMar>
      </w:tblPr>
      <w:tr>
        <w:trPr>
          <w:trHeight w:val="266"/>
        </w:trPr>
        <w:tc>
          <w:tcPr>
            <w:tcW w:w="3200" w:type="dxa"/>
            <w:vAlign w:val="bottom"/>
          </w:tcPr>
          <w:p>
            <w:pPr>
              <w:jc w:val="center"/>
              <w:ind w:right="1656"/>
              <w:spacing w:after="0"/>
              <w:rPr>
                <w:sz w:val="20"/>
                <w:szCs w:val="20"/>
                <w:color w:val="auto"/>
              </w:rPr>
            </w:pPr>
            <w:r>
              <w:rPr>
                <w:rFonts w:ascii="Arial" w:cs="Arial" w:eastAsia="Arial" w:hAnsi="Arial"/>
                <w:sz w:val="20"/>
                <w:szCs w:val="20"/>
                <w:color w:val="0A248E"/>
                <w:w w:val="99"/>
              </w:rPr>
              <w:t>6 of 7</w:t>
            </w:r>
          </w:p>
        </w:tc>
        <w:tc>
          <w:tcPr>
            <w:tcW w:w="2980" w:type="dxa"/>
            <w:vAlign w:val="bottom"/>
          </w:tcPr>
          <w:p>
            <w:pPr>
              <w:jc w:val="center"/>
              <w:ind w:left="1636"/>
              <w:spacing w:after="0"/>
              <w:rPr>
                <w:sz w:val="20"/>
                <w:szCs w:val="20"/>
                <w:color w:val="auto"/>
              </w:rPr>
            </w:pPr>
            <w:r>
              <w:rPr>
                <w:rFonts w:ascii="Arial" w:cs="Arial" w:eastAsia="Arial" w:hAnsi="Arial"/>
                <w:sz w:val="20"/>
                <w:szCs w:val="20"/>
                <w:color w:val="0A248E"/>
                <w:w w:val="95"/>
              </w:rPr>
              <w:t>6.4 Years</w:t>
            </w:r>
          </w:p>
        </w:tc>
      </w:tr>
      <w:tr>
        <w:trPr>
          <w:trHeight w:val="222"/>
        </w:trPr>
        <w:tc>
          <w:tcPr>
            <w:tcW w:w="3200" w:type="dxa"/>
            <w:vAlign w:val="bottom"/>
          </w:tcPr>
          <w:p>
            <w:pPr>
              <w:jc w:val="center"/>
              <w:ind w:right="1656"/>
              <w:spacing w:after="0"/>
              <w:rPr>
                <w:sz w:val="20"/>
                <w:szCs w:val="20"/>
                <w:color w:val="auto"/>
              </w:rPr>
            </w:pPr>
            <w:r>
              <w:rPr>
                <w:rFonts w:ascii="Arial" w:cs="Arial" w:eastAsia="Arial" w:hAnsi="Arial"/>
                <w:sz w:val="15"/>
                <w:szCs w:val="15"/>
                <w:color w:val="0A248E"/>
              </w:rPr>
              <w:t>Director nominees</w:t>
            </w:r>
          </w:p>
        </w:tc>
        <w:tc>
          <w:tcPr>
            <w:tcW w:w="2980" w:type="dxa"/>
            <w:vAlign w:val="bottom"/>
          </w:tcPr>
          <w:p>
            <w:pPr>
              <w:jc w:val="center"/>
              <w:ind w:left="1636"/>
              <w:spacing w:after="0"/>
              <w:rPr>
                <w:sz w:val="20"/>
                <w:szCs w:val="20"/>
                <w:color w:val="auto"/>
              </w:rPr>
            </w:pPr>
            <w:r>
              <w:rPr>
                <w:rFonts w:ascii="Arial" w:cs="Arial" w:eastAsia="Arial" w:hAnsi="Arial"/>
                <w:sz w:val="15"/>
                <w:szCs w:val="15"/>
                <w:color w:val="0A248E"/>
              </w:rPr>
              <w:t>Average tenure of</w:t>
            </w:r>
          </w:p>
        </w:tc>
      </w:tr>
      <w:tr>
        <w:trPr>
          <w:trHeight w:val="211"/>
        </w:trPr>
        <w:tc>
          <w:tcPr>
            <w:tcW w:w="3200" w:type="dxa"/>
            <w:vAlign w:val="bottom"/>
          </w:tcPr>
          <w:p>
            <w:pPr>
              <w:jc w:val="center"/>
              <w:ind w:right="1656"/>
              <w:spacing w:after="0"/>
              <w:rPr>
                <w:sz w:val="20"/>
                <w:szCs w:val="20"/>
                <w:color w:val="auto"/>
              </w:rPr>
            </w:pPr>
            <w:r>
              <w:rPr>
                <w:rFonts w:ascii="Arial" w:cs="Arial" w:eastAsia="Arial" w:hAnsi="Arial"/>
                <w:sz w:val="15"/>
                <w:szCs w:val="15"/>
                <w:color w:val="0A248E"/>
              </w:rPr>
              <w:t>who are independent</w:t>
            </w:r>
          </w:p>
        </w:tc>
        <w:tc>
          <w:tcPr>
            <w:tcW w:w="2980" w:type="dxa"/>
            <w:vAlign w:val="bottom"/>
          </w:tcPr>
          <w:p>
            <w:pPr>
              <w:jc w:val="center"/>
              <w:ind w:left="1656"/>
              <w:spacing w:after="0"/>
              <w:rPr>
                <w:sz w:val="20"/>
                <w:szCs w:val="20"/>
                <w:color w:val="auto"/>
              </w:rPr>
            </w:pPr>
            <w:r>
              <w:rPr>
                <w:rFonts w:ascii="Arial" w:cs="Arial" w:eastAsia="Arial" w:hAnsi="Arial"/>
                <w:sz w:val="15"/>
                <w:szCs w:val="15"/>
                <w:color w:val="0A248E"/>
              </w:rPr>
              <w:t>director nominees</w:t>
            </w:r>
          </w:p>
        </w:tc>
      </w:tr>
    </w:tbl>
    <w:p>
      <w:pPr>
        <w:spacing w:after="0" w:line="200" w:lineRule="exact"/>
        <w:rPr>
          <w:sz w:val="20"/>
          <w:szCs w:val="20"/>
          <w:color w:val="auto"/>
        </w:rPr>
      </w:pPr>
    </w:p>
    <w:p>
      <w:pPr>
        <w:sectPr>
          <w:pgSz w:w="11880" w:h="15480" w:orient="portrait"/>
          <w:cols w:equalWidth="0" w:num="1">
            <w:col w:w="9600"/>
          </w:cols>
          <w:pgMar w:left="1140" w:top="3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hanging="468"/>
        <w:spacing w:after="0"/>
        <w:tabs>
          <w:tab w:leader="none" w:pos="52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00"/>
          </w:cols>
          <w:pgMar w:left="1140" w:top="340" w:right="1140" w:bottom="0" w:gutter="0" w:footer="0" w:header="0"/>
          <w:type w:val="continuous"/>
        </w:sectPr>
      </w:pPr>
    </w:p>
    <w:bookmarkStart w:id="16" w:name="page17"/>
    <w:bookmarkEnd w:id="16"/>
    <w:p>
      <w:pPr>
        <w:ind w:right="4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0" w:lineRule="exact"/>
        <w:rPr>
          <w:sz w:val="20"/>
          <w:szCs w:val="20"/>
          <w:color w:val="auto"/>
        </w:rPr>
      </w:pPr>
    </w:p>
    <w:p>
      <w:pPr>
        <w:spacing w:after="0"/>
        <w:rPr>
          <w:sz w:val="20"/>
          <w:szCs w:val="20"/>
          <w:color w:val="auto"/>
        </w:rPr>
      </w:pPr>
      <w:r>
        <w:rPr>
          <w:rFonts w:ascii="Arial" w:cs="Arial" w:eastAsia="Arial" w:hAnsi="Arial"/>
          <w:sz w:val="28"/>
          <w:szCs w:val="28"/>
          <w:color w:val="0A248E"/>
        </w:rPr>
        <w:t>Nominees for Director</w:t>
      </w:r>
    </w:p>
    <w:p>
      <w:pPr>
        <w:spacing w:after="0" w:line="29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board of directors has nominated seven nominees for election at the Annual Meeting. Dr. Jacobs, whose term will end at the Annual Meeting, will not be standing for reelection. He will continue to serve as a director and as a member of the talent and compensation committee of the board of directors until the expiration of his term. The following provides summary information about each of our director nominees as of March 31, 2026:</w:t>
      </w:r>
    </w:p>
    <w:p>
      <w:pPr>
        <w:spacing w:after="0" w:line="250"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0A248E"/>
        </w:rPr>
        <w:t>ANDREW W. HOUSTON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1594485</wp:posOffset>
                </wp:positionH>
                <wp:positionV relativeFrom="paragraph">
                  <wp:posOffset>94615</wp:posOffset>
                </wp:positionV>
                <wp:extent cx="453199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1995" cy="4763"/>
                        </a:xfrm>
                        <a:prstGeom prst="line">
                          <a:avLst/>
                        </a:prstGeom>
                        <a:solidFill>
                          <a:srgbClr val="FFFFFF"/>
                        </a:solidFill>
                        <a:ln w="11887">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55pt,7.45pt" to="482.4pt,7.45pt" o:allowincell="f" strokecolor="#000000" strokeweight="0.936pt"/>
            </w:pict>
          </mc:Fallback>
        </mc:AlternateContent>
      </w:r>
    </w:p>
    <w:p>
      <w:pPr>
        <w:spacing w:after="0" w:line="21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-115570</wp:posOffset>
            </wp:positionV>
            <wp:extent cx="1449070" cy="1584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1449070" cy="1584960"/>
                    </a:xfrm>
                    <a:prstGeom prst="rect">
                      <a:avLst/>
                    </a:prstGeom>
                    <a:noFill/>
                  </pic:spPr>
                </pic:pic>
              </a:graphicData>
            </a:graphic>
          </wp:anchor>
        </w:drawing>
      </w:r>
    </w:p>
    <w:p>
      <w:pPr>
        <w:spacing w:after="0" w:line="12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spacing w:after="0" w:line="13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CHAIR OF THE BOARD</w:t>
      </w:r>
    </w:p>
    <w:p>
      <w:pPr>
        <w:spacing w:after="0" w:line="144" w:lineRule="exact"/>
        <w:rPr>
          <w:sz w:val="20"/>
          <w:szCs w:val="20"/>
          <w:color w:val="auto"/>
        </w:rPr>
      </w:pPr>
    </w:p>
    <w:p>
      <w:pPr>
        <w:ind w:left="2560" w:right="40"/>
        <w:spacing w:after="0" w:line="275" w:lineRule="auto"/>
        <w:rPr>
          <w:sz w:val="20"/>
          <w:szCs w:val="20"/>
          <w:color w:val="auto"/>
        </w:rPr>
      </w:pPr>
      <w:r>
        <w:rPr>
          <w:rFonts w:ascii="Arial" w:cs="Arial" w:eastAsia="Arial" w:hAnsi="Arial"/>
          <w:sz w:val="18"/>
          <w:szCs w:val="18"/>
          <w:b w:val="1"/>
          <w:bCs w:val="1"/>
          <w:color w:val="auto"/>
        </w:rPr>
        <w:t xml:space="preserve">EXPERIENCE: </w:t>
      </w:r>
      <w:r>
        <w:rPr>
          <w:rFonts w:ascii="Arial" w:cs="Arial" w:eastAsia="Arial" w:hAnsi="Arial"/>
          <w:sz w:val="18"/>
          <w:szCs w:val="18"/>
          <w:color w:val="auto"/>
        </w:rPr>
        <w:t>Mr. Houston is one of our co-founders and has served as a member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our Chief Executive Officer since June 2007. Mr. Houston also currently serves as a member of the board of directors of Meta Platforms, Inc. (Nasdaq: META). Mr. Houston holds a B.S. in Electrical Engineering and Computer Science from the Massachusetts Institute of Technology. Mr. Houston was selected to serve on our board of directors because of the perspective and experience he brings as our Chief Executive Officer and as one of our co-founders.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0A248E"/>
        </w:rPr>
        <w:t>LISA CAMPBELL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1594485</wp:posOffset>
                </wp:positionH>
                <wp:positionV relativeFrom="paragraph">
                  <wp:posOffset>94615</wp:posOffset>
                </wp:positionV>
                <wp:extent cx="453199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1995" cy="4763"/>
                        </a:xfrm>
                        <a:prstGeom prst="line">
                          <a:avLst/>
                        </a:prstGeom>
                        <a:solidFill>
                          <a:srgbClr val="FFFFFF"/>
                        </a:solidFill>
                        <a:ln w="11887">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55pt,7.45pt" to="482.4pt,7.45pt" o:allowincell="f" strokecolor="#000000" strokeweight="0.936pt"/>
            </w:pict>
          </mc:Fallback>
        </mc:AlternateContent>
      </w:r>
    </w:p>
    <w:p>
      <w:pPr>
        <w:spacing w:after="0" w:line="22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-117475</wp:posOffset>
            </wp:positionV>
            <wp:extent cx="1448435" cy="1584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1448435" cy="1584960"/>
                    </a:xfrm>
                    <a:prstGeom prst="rect">
                      <a:avLst/>
                    </a:prstGeom>
                    <a:noFill/>
                  </pic:spPr>
                </pic:pic>
              </a:graphicData>
            </a:graphic>
          </wp:anchor>
        </w:drawing>
      </w:r>
    </w:p>
    <w:p>
      <w:pPr>
        <w:spacing w:after="0" w:line="12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13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Nominating &amp; Corporate Governance (</w:t>
      </w:r>
      <w:r>
        <w:rPr>
          <w:rFonts w:ascii="Arial" w:cs="Arial" w:eastAsia="Arial" w:hAnsi="Arial"/>
          <w:sz w:val="18"/>
          <w:szCs w:val="18"/>
          <w:i w:val="1"/>
          <w:iCs w:val="1"/>
          <w:color w:val="auto"/>
        </w:rPr>
        <w:t>Chair</w:t>
      </w:r>
      <w:r>
        <w:rPr>
          <w:rFonts w:ascii="Arial" w:cs="Arial" w:eastAsia="Arial" w:hAnsi="Arial"/>
          <w:sz w:val="18"/>
          <w:szCs w:val="18"/>
          <w:color w:val="auto"/>
        </w:rPr>
        <w:t>); Audit</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INDEPENDENT DIRECTOR</w:t>
      </w:r>
    </w:p>
    <w:p>
      <w:pPr>
        <w:spacing w:after="0" w:line="144" w:lineRule="exact"/>
        <w:rPr>
          <w:sz w:val="20"/>
          <w:szCs w:val="20"/>
          <w:color w:val="auto"/>
        </w:rPr>
      </w:pPr>
    </w:p>
    <w:p>
      <w:pPr>
        <w:ind w:left="2560" w:right="60"/>
        <w:spacing w:after="0" w:line="288" w:lineRule="auto"/>
        <w:rPr>
          <w:sz w:val="20"/>
          <w:szCs w:val="20"/>
          <w:color w:val="auto"/>
        </w:rPr>
      </w:pPr>
      <w:r>
        <w:rPr>
          <w:rFonts w:ascii="Arial" w:cs="Arial" w:eastAsia="Arial" w:hAnsi="Arial"/>
          <w:sz w:val="17"/>
          <w:szCs w:val="17"/>
          <w:b w:val="1"/>
          <w:bCs w:val="1"/>
          <w:color w:val="auto"/>
        </w:rPr>
        <w:t xml:space="preserve">EXPERIENCE: </w:t>
      </w:r>
      <w:r>
        <w:rPr>
          <w:rFonts w:ascii="Arial" w:cs="Arial" w:eastAsia="Arial" w:hAnsi="Arial"/>
          <w:sz w:val="17"/>
          <w:szCs w:val="17"/>
          <w:color w:val="auto"/>
        </w:rPr>
        <w:t>Ms. Campbell has served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August 2019. From July 2021 to August 2024, Ms. Campbell served as Chief Marketing Officer and Partner for OneTrust. From August 2017 to July 2021, Ms. Campbell served as Chief Marketing Officer and Executive Vice President of Business Strategy for Autodesk, Inc. From January 2015 to August 2017, Ms. Campbell served as Vice President, Industry Strategy and Marketing – Manufacturing at Autodesk, and she served as its Vice President, Industry Strategy and Marketing – Architecture, Engineering and Construction from February 2012 through January 2015. She has also held other senior positions at Autodesk, including managing its Global eCommerce business and Autodesk.com, and managing its Geospatial Business and infrastructure business. Prior to joining Autodesk in 2003, Ms. Campbell served in executive-level marketing positions at Evolve (now Oracle), Sterling Software Inc., and Digital Equipment Corporation. Ms. Campbell currently serves as a member of the board of directors for Dynatrace, Inc. (NYSE: DT), an application performance management software company, Similarweb Ltd. (NYSE: SMWB), a digital data and analytics company, and Quickbase, a Vista Equity company. Ms. Campbell holds an M.B.A. from Babson College and a B.A. in Mathematics and Computer Science from</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80"/>
        <w:spacing w:after="0"/>
        <w:tabs>
          <w:tab w:leader="none" w:pos="948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9</w:t>
      </w:r>
    </w:p>
    <w:p>
      <w:pPr>
        <w:sectPr>
          <w:pgSz w:w="11880" w:h="15480" w:orient="portrait"/>
          <w:cols w:equalWidth="0" w:num="1">
            <w:col w:w="9640"/>
          </w:cols>
          <w:pgMar w:left="1140" w:top="340" w:right="1100" w:bottom="0" w:gutter="0" w:footer="0" w:header="0"/>
          <w:type w:val="continuous"/>
        </w:sectPr>
      </w:pPr>
    </w:p>
    <w:bookmarkStart w:id="17" w:name="page18"/>
    <w:bookmarkEnd w:id="17"/>
    <w:p>
      <w:pPr>
        <w:ind w:right="44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10" w:lineRule="exact"/>
        <w:rPr>
          <w:sz w:val="20"/>
          <w:szCs w:val="20"/>
          <w:color w:val="auto"/>
        </w:rPr>
      </w:pPr>
    </w:p>
    <w:p>
      <w:pPr>
        <w:ind w:left="2560" w:right="540"/>
        <w:spacing w:after="0" w:line="304" w:lineRule="auto"/>
        <w:rPr>
          <w:sz w:val="20"/>
          <w:szCs w:val="20"/>
          <w:color w:val="auto"/>
        </w:rPr>
      </w:pPr>
      <w:r>
        <w:rPr>
          <w:rFonts w:ascii="Arial" w:cs="Arial" w:eastAsia="Arial" w:hAnsi="Arial"/>
          <w:sz w:val="18"/>
          <w:szCs w:val="18"/>
          <w:color w:val="auto"/>
        </w:rPr>
        <w:t>Boston College. She was selected to serve on our board of directors because of her valuable expertise in business, industry, and marketing strategy.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0A248E"/>
        </w:rPr>
        <w:t>WARREN JENSON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1594485</wp:posOffset>
                </wp:positionH>
                <wp:positionV relativeFrom="paragraph">
                  <wp:posOffset>46990</wp:posOffset>
                </wp:positionV>
                <wp:extent cx="453199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1995" cy="4763"/>
                        </a:xfrm>
                        <a:prstGeom prst="line">
                          <a:avLst/>
                        </a:prstGeom>
                        <a:solidFill>
                          <a:srgbClr val="FFFFFF"/>
                        </a:solidFill>
                        <a:ln w="1188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55pt,3.7pt" to="482.4pt,3.7pt" o:allowincell="f" strokecolor="#000000" strokeweight="0.9359pt"/>
            </w:pict>
          </mc:Fallback>
        </mc:AlternateContent>
      </w:r>
    </w:p>
    <w:p>
      <w:pPr>
        <w:spacing w:after="0" w:line="3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-115570</wp:posOffset>
            </wp:positionV>
            <wp:extent cx="1448435" cy="1572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1448435" cy="1572260"/>
                    </a:xfrm>
                    <a:prstGeom prst="rect">
                      <a:avLst/>
                    </a:prstGeom>
                    <a:noFill/>
                  </pic:spPr>
                </pic:pic>
              </a:graphicData>
            </a:graphic>
          </wp:anchor>
        </w:drawing>
      </w:r>
    </w:p>
    <w:p>
      <w:pPr>
        <w:spacing w:after="0" w:line="12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w:t>
      </w:r>
      <w:r>
        <w:rPr>
          <w:rFonts w:ascii="Arial" w:cs="Arial" w:eastAsia="Arial" w:hAnsi="Arial"/>
          <w:sz w:val="18"/>
          <w:szCs w:val="18"/>
          <w:i w:val="1"/>
          <w:iCs w:val="1"/>
          <w:color w:val="auto"/>
        </w:rPr>
        <w:t>Chair</w:t>
      </w:r>
      <w:r>
        <w:rPr>
          <w:rFonts w:ascii="Arial" w:cs="Arial" w:eastAsia="Arial" w:hAnsi="Arial"/>
          <w:sz w:val="18"/>
          <w:szCs w:val="18"/>
          <w:color w:val="auto"/>
        </w:rPr>
        <w:t>); Nominating and Corporate Governance</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INDEPENDENT DIRECTOR</w:t>
      </w:r>
    </w:p>
    <w:p>
      <w:pPr>
        <w:spacing w:after="0" w:line="139" w:lineRule="exact"/>
        <w:rPr>
          <w:sz w:val="20"/>
          <w:szCs w:val="20"/>
          <w:color w:val="auto"/>
        </w:rPr>
      </w:pPr>
    </w:p>
    <w:p>
      <w:pPr>
        <w:ind w:left="2560"/>
        <w:spacing w:after="0" w:line="288" w:lineRule="auto"/>
        <w:rPr>
          <w:sz w:val="20"/>
          <w:szCs w:val="20"/>
          <w:color w:val="auto"/>
        </w:rPr>
      </w:pPr>
      <w:r>
        <w:rPr>
          <w:rFonts w:ascii="Arial" w:cs="Arial" w:eastAsia="Arial" w:hAnsi="Arial"/>
          <w:sz w:val="17"/>
          <w:szCs w:val="17"/>
          <w:b w:val="1"/>
          <w:bCs w:val="1"/>
          <w:color w:val="auto"/>
        </w:rPr>
        <w:t xml:space="preserve">EXPERIENCE: </w:t>
      </w:r>
      <w:r>
        <w:rPr>
          <w:rFonts w:ascii="Arial" w:cs="Arial" w:eastAsia="Arial" w:hAnsi="Arial"/>
          <w:sz w:val="17"/>
          <w:szCs w:val="17"/>
          <w:color w:val="auto"/>
        </w:rPr>
        <w:t>Mr. Jenson has served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2025. Mr. Jenson most recently acted as President and Chief Financial Officer of Nielsen Holdings plc, a firm specializing in audience measurement, data, and analytics, where he served from April 2023 to December 2024. From February 2012 to April 2023, Mr. Jenson worked at LiveRamp Holdings, Inc. (formerly known as Acxiom), a software-as-a-service company that provides identity and data connectivity services, where he most recently served as President, Chief Financial Officer and Executive Managing Director of International. Mr. Jenson has also held numerous C-suite positions with Electronic Arts (EA), Amazon.com, Delta Airlines, and NBC. Mr. Jenson currently serves as a member of the board of directors of DigitalOcean Holdings, Inc. (NYSE: DOCN), a cloud service provider, Delivery Hero German SE, a multinational online food ordering and delivery platform, and Ripple Labs, Inc., a provider of cryptocurrency solutions for businesses. Mr. Jenson has a B.S. in Accounting and a Master of Accountancy – Business Taxation from Brigham Young University. Mr. Jenson was selected to serve on our board of directors because of his breadth of experience leading and scaling companies through periods of transition and his track record of operational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0A248E"/>
        </w:rPr>
        <w:t>ANDREW MOORE,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1594485</wp:posOffset>
                </wp:positionH>
                <wp:positionV relativeFrom="paragraph">
                  <wp:posOffset>97155</wp:posOffset>
                </wp:positionV>
                <wp:extent cx="453199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1995" cy="4763"/>
                        </a:xfrm>
                        <a:prstGeom prst="line">
                          <a:avLst/>
                        </a:prstGeom>
                        <a:solidFill>
                          <a:srgbClr val="FFFFFF"/>
                        </a:solidFill>
                        <a:ln w="11887">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55pt,7.65pt" to="482.4pt,7.65pt" o:allowincell="f" strokecolor="#000000" strokeweight="0.936pt"/>
            </w:pict>
          </mc:Fallback>
        </mc:AlternateContent>
      </w:r>
    </w:p>
    <w:p>
      <w:pPr>
        <w:spacing w:after="0" w:line="22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-115570</wp:posOffset>
            </wp:positionV>
            <wp:extent cx="1436370" cy="1584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1436370" cy="1584960"/>
                    </a:xfrm>
                    <a:prstGeom prst="rect">
                      <a:avLst/>
                    </a:prstGeom>
                    <a:noFill/>
                  </pic:spPr>
                </pic:pic>
              </a:graphicData>
            </a:graphic>
          </wp:anchor>
        </w:drawing>
      </w:r>
    </w:p>
    <w:p>
      <w:pPr>
        <w:spacing w:after="0" w:line="12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2023</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INDEPENDENT DIRECTOR</w:t>
      </w:r>
    </w:p>
    <w:p>
      <w:pPr>
        <w:spacing w:after="0" w:line="139" w:lineRule="exact"/>
        <w:rPr>
          <w:sz w:val="20"/>
          <w:szCs w:val="20"/>
          <w:color w:val="auto"/>
        </w:rPr>
      </w:pPr>
    </w:p>
    <w:p>
      <w:pPr>
        <w:ind w:left="2560" w:right="20"/>
        <w:spacing w:after="0" w:line="291" w:lineRule="auto"/>
        <w:rPr>
          <w:sz w:val="20"/>
          <w:szCs w:val="20"/>
          <w:color w:val="auto"/>
        </w:rPr>
      </w:pPr>
      <w:r>
        <w:rPr>
          <w:rFonts w:ascii="Arial" w:cs="Arial" w:eastAsia="Arial" w:hAnsi="Arial"/>
          <w:sz w:val="17"/>
          <w:szCs w:val="17"/>
          <w:b w:val="1"/>
          <w:bCs w:val="1"/>
          <w:color w:val="auto"/>
        </w:rPr>
        <w:t xml:space="preserve">EXPERIENCE: </w:t>
      </w:r>
      <w:r>
        <w:rPr>
          <w:rFonts w:ascii="Arial" w:cs="Arial" w:eastAsia="Arial" w:hAnsi="Arial"/>
          <w:sz w:val="17"/>
          <w:szCs w:val="17"/>
          <w:color w:val="auto"/>
        </w:rPr>
        <w:t>Dr. Moore has served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2023. Since March 2023, Dr. Moore has served as the Founder and CEO of Lovelace AI, a startup AI company building products for national security. From January 2019 to January 2023, Dr. Moore served as General Manager and VP of Google Cloud Artificial Intelligence &amp; Industry Solutions at Google LLC, a wholly owned subsidiary of Alphabet Inc., or Google. From September 2014 to January 2019, Dr. Moore served as the Dean of the School of Computer Science and as Professor of Computer Science and Robotics at Carnegie Mellon University. From October 2011 to July 2014, Dr. Moore served as VP of Engineering, Google Commerce at Google and from January 2006 to October 2011, he served as a Founding Director of Google’s Pittsburgh Engineering office.</w:t>
      </w:r>
    </w:p>
    <w:p>
      <w:pPr>
        <w:sectPr>
          <w:pgSz w:w="11880" w:h="15480" w:orient="portrait"/>
          <w:cols w:equalWidth="0" w:num="1">
            <w:col w:w="9600"/>
          </w:cols>
          <w:pgMar w:left="1140" w:top="340" w:right="1140" w:bottom="0" w:gutter="0" w:footer="0" w:header="0"/>
        </w:sectPr>
      </w:pPr>
    </w:p>
    <w:p>
      <w:pPr>
        <w:spacing w:after="0" w:line="200" w:lineRule="exact"/>
        <w:rPr>
          <w:sz w:val="20"/>
          <w:szCs w:val="20"/>
          <w:color w:val="auto"/>
        </w:rPr>
      </w:pPr>
    </w:p>
    <w:p>
      <w:pPr>
        <w:spacing w:after="0" w:line="248" w:lineRule="exact"/>
        <w:rPr>
          <w:sz w:val="20"/>
          <w:szCs w:val="20"/>
          <w:color w:val="auto"/>
        </w:rPr>
      </w:pPr>
    </w:p>
    <w:p>
      <w:pPr>
        <w:ind w:left="520" w:hanging="475"/>
        <w:spacing w:after="0"/>
        <w:tabs>
          <w:tab w:leader="none" w:pos="52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00"/>
          </w:cols>
          <w:pgMar w:left="1140" w:top="340" w:right="1140" w:bottom="0" w:gutter="0" w:footer="0" w:header="0"/>
          <w:type w:val="continuous"/>
        </w:sectPr>
      </w:pPr>
    </w:p>
    <w:bookmarkStart w:id="18" w:name="page19"/>
    <w:bookmarkEnd w:id="18"/>
    <w:p>
      <w:pPr>
        <w:ind w:right="44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10" w:lineRule="exact"/>
        <w:rPr>
          <w:sz w:val="20"/>
          <w:szCs w:val="20"/>
          <w:color w:val="auto"/>
        </w:rPr>
      </w:pPr>
    </w:p>
    <w:p>
      <w:pPr>
        <w:ind w:left="2560" w:right="20"/>
        <w:spacing w:after="0" w:line="275" w:lineRule="auto"/>
        <w:rPr>
          <w:sz w:val="20"/>
          <w:szCs w:val="20"/>
          <w:color w:val="auto"/>
        </w:rPr>
      </w:pPr>
      <w:r>
        <w:rPr>
          <w:rFonts w:ascii="Arial" w:cs="Arial" w:eastAsia="Arial" w:hAnsi="Arial"/>
          <w:sz w:val="18"/>
          <w:szCs w:val="18"/>
          <w:color w:val="auto"/>
        </w:rPr>
        <w:t>Prior to joining Google, Dr. Moore was an assistant professor and also professor of Computer Science and Robotics at Carnegie Mellon University from 1993-2006. Dr. Moore holds a Ph.D. in Computer Science and a B.A. in Mathematics and Computer Science from the University of Cambridge. Dr. Moore was selected to serve on our board of directors because of his deep academic experience, product knowledge, and engineering leadership.</w:t>
      </w:r>
    </w:p>
    <w:p>
      <w:pPr>
        <w:spacing w:after="0" w:line="200" w:lineRule="exact"/>
        <w:rPr>
          <w:sz w:val="20"/>
          <w:szCs w:val="20"/>
          <w:color w:val="auto"/>
        </w:rPr>
      </w:pPr>
    </w:p>
    <w:p>
      <w:pPr>
        <w:spacing w:after="0" w:line="3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0A248E"/>
        </w:rPr>
        <w:t>ABHAY PARASNIS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1594485</wp:posOffset>
                </wp:positionH>
                <wp:positionV relativeFrom="paragraph">
                  <wp:posOffset>94615</wp:posOffset>
                </wp:positionV>
                <wp:extent cx="453199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1995" cy="4763"/>
                        </a:xfrm>
                        <a:prstGeom prst="line">
                          <a:avLst/>
                        </a:prstGeom>
                        <a:solidFill>
                          <a:srgbClr val="FFFFFF"/>
                        </a:solidFill>
                        <a:ln w="1188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55pt,7.45pt" to="482.4pt,7.45pt" o:allowincell="f" strokecolor="#000000" strokeweight="0.9359pt"/>
            </w:pict>
          </mc:Fallback>
        </mc:AlternateContent>
      </w:r>
    </w:p>
    <w:p>
      <w:pPr>
        <w:spacing w:after="0" w:line="22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-118110</wp:posOffset>
            </wp:positionV>
            <wp:extent cx="1449070" cy="1584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1449070" cy="1584960"/>
                    </a:xfrm>
                    <a:prstGeom prst="rect">
                      <a:avLst/>
                    </a:prstGeom>
                    <a:noFill/>
                  </pic:spPr>
                </pic:pic>
              </a:graphicData>
            </a:graphic>
          </wp:anchor>
        </w:drawing>
      </w:r>
    </w:p>
    <w:p>
      <w:pPr>
        <w:spacing w:after="0" w:line="12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p>
      <w:pPr>
        <w:spacing w:after="0" w:line="13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Talent and Compensation</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INDEPENDENT DIRECTOR</w:t>
      </w:r>
    </w:p>
    <w:p>
      <w:pPr>
        <w:spacing w:after="0" w:line="139" w:lineRule="exact"/>
        <w:rPr>
          <w:sz w:val="20"/>
          <w:szCs w:val="20"/>
          <w:color w:val="auto"/>
        </w:rPr>
      </w:pPr>
    </w:p>
    <w:p>
      <w:pPr>
        <w:ind w:left="2560" w:right="40"/>
        <w:spacing w:after="0" w:line="288" w:lineRule="auto"/>
        <w:rPr>
          <w:sz w:val="20"/>
          <w:szCs w:val="20"/>
          <w:color w:val="auto"/>
        </w:rPr>
      </w:pPr>
      <w:r>
        <w:rPr>
          <w:rFonts w:ascii="Arial" w:cs="Arial" w:eastAsia="Arial" w:hAnsi="Arial"/>
          <w:sz w:val="17"/>
          <w:szCs w:val="17"/>
          <w:b w:val="1"/>
          <w:bCs w:val="1"/>
          <w:color w:val="auto"/>
        </w:rPr>
        <w:t xml:space="preserve">EXPERIENCE: </w:t>
      </w:r>
      <w:r>
        <w:rPr>
          <w:rFonts w:ascii="Arial" w:cs="Arial" w:eastAsia="Arial" w:hAnsi="Arial"/>
          <w:sz w:val="17"/>
          <w:szCs w:val="17"/>
          <w:color w:val="auto"/>
        </w:rPr>
        <w:t>Mr. Parasnis has served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2022. Since May 2022, Mr. Parasnis has served as Chief Executive Officer of Typeface Inc., a company that provides enterprise AI solutions. From July 2015 to February 2022, Mr. Parasnis served as Chief Technology Officer of Adobe Inc., or Adobe, during which time Mr. Parasnis also held additional titles, including Executive Vice President from January 2016 to February 2022, Chief Strategy Officer from February 2020 to December 2020, and Chief Product Officer from December 2020 to February 2022. Prior to joining Adobe, Mr. Parasnis served in executive level positions with Kony, Inc., Oracle Corporation and Microsoft Corporation. Mr. Parasnis also serves as a member of the board of directors of Schneider Electric SE, a French digital automation and energy management company traded on the Euronext (Paris) exchange. Mr. Parasnis holds a B.S. in Electronics &amp; Telecommunications from the College of Engineering Pune in Pune, India and an Advanced Diploma in Computer Science from the National Institute of Information Technology. Mr. Parasnis was selected to serve on our board of directors because of his extensive technical, product, and operational expertise and his experience leading and growing a multi-product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0A248E"/>
        </w:rPr>
        <w:t>KAREN PEACOCK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1594485</wp:posOffset>
                </wp:positionH>
                <wp:positionV relativeFrom="paragraph">
                  <wp:posOffset>94615</wp:posOffset>
                </wp:positionV>
                <wp:extent cx="453199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1995" cy="4763"/>
                        </a:xfrm>
                        <a:prstGeom prst="line">
                          <a:avLst/>
                        </a:prstGeom>
                        <a:solidFill>
                          <a:srgbClr val="FFFFFF"/>
                        </a:solidFill>
                        <a:ln w="11887">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55pt,7.45pt" to="482.4pt,7.45pt" o:allowincell="f" strokecolor="#000000" strokeweight="0.936pt"/>
            </w:pict>
          </mc:Fallback>
        </mc:AlternateContent>
      </w:r>
    </w:p>
    <w:p>
      <w:pPr>
        <w:spacing w:after="0" w:line="21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-114935</wp:posOffset>
            </wp:positionV>
            <wp:extent cx="1449070" cy="1584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1449070" cy="1584960"/>
                    </a:xfrm>
                    <a:prstGeom prst="rect">
                      <a:avLst/>
                    </a:prstGeom>
                    <a:noFill/>
                  </pic:spPr>
                </pic:pic>
              </a:graphicData>
            </a:graphic>
          </wp:anchor>
        </w:drawing>
      </w:r>
    </w:p>
    <w:p>
      <w:pPr>
        <w:spacing w:after="0" w:line="12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13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Talent and Compensation</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LEAD INDEPENDENT DIRECTOR</w:t>
      </w:r>
    </w:p>
    <w:p>
      <w:pPr>
        <w:spacing w:after="0" w:line="139" w:lineRule="exact"/>
        <w:rPr>
          <w:sz w:val="20"/>
          <w:szCs w:val="20"/>
          <w:color w:val="auto"/>
        </w:rPr>
      </w:pPr>
    </w:p>
    <w:p>
      <w:pPr>
        <w:ind w:left="2560" w:right="100"/>
        <w:spacing w:after="0" w:line="295" w:lineRule="auto"/>
        <w:rPr>
          <w:sz w:val="20"/>
          <w:szCs w:val="20"/>
          <w:color w:val="auto"/>
        </w:rPr>
      </w:pPr>
      <w:r>
        <w:rPr>
          <w:rFonts w:ascii="Arial" w:cs="Arial" w:eastAsia="Arial" w:hAnsi="Arial"/>
          <w:sz w:val="17"/>
          <w:szCs w:val="17"/>
          <w:b w:val="1"/>
          <w:bCs w:val="1"/>
          <w:color w:val="auto"/>
        </w:rPr>
        <w:t xml:space="preserve">EXPERIENCE: </w:t>
      </w:r>
      <w:r>
        <w:rPr>
          <w:rFonts w:ascii="Arial" w:cs="Arial" w:eastAsia="Arial" w:hAnsi="Arial"/>
          <w:sz w:val="17"/>
          <w:szCs w:val="17"/>
          <w:color w:val="auto"/>
        </w:rPr>
        <w:t>Ms. Peacock has served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August 2019. From July 2020 to October 2022, Ms. Peacock served as Chief Executive Officer for Intercom, Inc., or Intercom, a corporation that develops and markets business messaging and communication software, and from May 2017 to July 2020, Ms. Peacock served as Chief Operating Officer for Intercom. From January 2016 to March 2017, Ms. Peacock served as Senior Vice President, Small Business at Intuit Inc., or Intuit, and from 2014 to January 2016, she served as VP, General Manager of Intuit’s Employee</w:t>
      </w:r>
    </w:p>
    <w:p>
      <w:pPr>
        <w:sectPr>
          <w:pgSz w:w="11880" w:h="15480" w:orient="portrait"/>
          <w:cols w:equalWidth="0" w:num="1">
            <w:col w:w="9600"/>
          </w:cols>
          <w:pgMar w:left="1140" w:top="340" w:right="1140" w:bottom="0" w:gutter="0" w:footer="0" w:header="0"/>
        </w:sectPr>
      </w:pPr>
    </w:p>
    <w:p>
      <w:pPr>
        <w:spacing w:after="0" w:line="200" w:lineRule="exact"/>
        <w:rPr>
          <w:sz w:val="20"/>
          <w:szCs w:val="20"/>
          <w:color w:val="auto"/>
        </w:rPr>
      </w:pPr>
    </w:p>
    <w:p>
      <w:pPr>
        <w:spacing w:after="0" w:line="389"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11</w:t>
      </w:r>
    </w:p>
    <w:p>
      <w:pPr>
        <w:sectPr>
          <w:pgSz w:w="11880" w:h="15480" w:orient="portrait"/>
          <w:cols w:equalWidth="0" w:num="1">
            <w:col w:w="9600"/>
          </w:cols>
          <w:pgMar w:left="1140" w:top="340" w:right="1140" w:bottom="0" w:gutter="0" w:footer="0" w:header="0"/>
          <w:type w:val="continuous"/>
        </w:sectPr>
      </w:pPr>
    </w:p>
    <w:bookmarkStart w:id="19" w:name="page20"/>
    <w:bookmarkEnd w:id="19"/>
    <w:p>
      <w:pPr>
        <w:ind w:right="40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10" w:lineRule="exact"/>
        <w:rPr>
          <w:sz w:val="20"/>
          <w:szCs w:val="20"/>
          <w:color w:val="auto"/>
        </w:rPr>
      </w:pPr>
    </w:p>
    <w:p>
      <w:pPr>
        <w:ind w:left="2560"/>
        <w:spacing w:after="0" w:line="273" w:lineRule="auto"/>
        <w:rPr>
          <w:sz w:val="20"/>
          <w:szCs w:val="20"/>
          <w:color w:val="auto"/>
        </w:rPr>
      </w:pPr>
      <w:r>
        <w:rPr>
          <w:rFonts w:ascii="Arial" w:cs="Arial" w:eastAsia="Arial" w:hAnsi="Arial"/>
          <w:sz w:val="18"/>
          <w:szCs w:val="18"/>
          <w:color w:val="auto"/>
        </w:rPr>
        <w:t>Management Solutions division. Ms. Peacock has also held other senior roles at Intuit, including Vice President of Marketing and Product Management. Prior to joining Intuit in 2002, Ms. Peacock was Director of Product Management at Allegis Corporation and prior to that, was a management consultant with the Boston Consulting Group. Ms. Peacock currently serves on the board of directors of IDEXX Laboratories Inc. (Nasdaq: IDXX), a veterinary diagnostics company, and Monzo Bank, a UK based bank and fintech company. Ms. Peacock holds an M.B.A. from Stanford Graduate School of Business and a B.A. in Applied Mathematics from Harvard University. She was selected to serve on our board of directors because of her valuable expertise in business, industry, and her extensive experience in executive-level operational roles.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0A248E"/>
        </w:rPr>
        <w:t>MICHAEL SEIBEL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1594485</wp:posOffset>
                </wp:positionH>
                <wp:positionV relativeFrom="paragraph">
                  <wp:posOffset>94615</wp:posOffset>
                </wp:positionV>
                <wp:extent cx="453199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1995" cy="4763"/>
                        </a:xfrm>
                        <a:prstGeom prst="line">
                          <a:avLst/>
                        </a:prstGeom>
                        <a:solidFill>
                          <a:srgbClr val="FFFFFF"/>
                        </a:solidFill>
                        <a:ln w="11887">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55pt,7.45pt" to="482.4pt,7.45pt" o:allowincell="f" strokecolor="#000000" strokeweight="0.936pt"/>
            </w:pict>
          </mc:Fallback>
        </mc:AlternateContent>
      </w:r>
    </w:p>
    <w:p>
      <w:pPr>
        <w:spacing w:after="0" w:line="22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-117475</wp:posOffset>
            </wp:positionV>
            <wp:extent cx="1448435" cy="1584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1448435" cy="1584960"/>
                    </a:xfrm>
                    <a:prstGeom prst="rect">
                      <a:avLst/>
                    </a:prstGeom>
                    <a:noFill/>
                  </pic:spPr>
                </pic:pic>
              </a:graphicData>
            </a:graphic>
          </wp:anchor>
        </w:drawing>
      </w:r>
    </w:p>
    <w:p>
      <w:pPr>
        <w:spacing w:after="0" w:line="12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13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Talent and Compensation</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INDEPENDENT DIRECTOR</w:t>
      </w:r>
    </w:p>
    <w:p>
      <w:pPr>
        <w:spacing w:after="0" w:line="144" w:lineRule="exact"/>
        <w:rPr>
          <w:sz w:val="20"/>
          <w:szCs w:val="20"/>
          <w:color w:val="auto"/>
        </w:rPr>
      </w:pPr>
    </w:p>
    <w:p>
      <w:pPr>
        <w:ind w:left="2560" w:right="20"/>
        <w:spacing w:after="0" w:line="290" w:lineRule="auto"/>
        <w:rPr>
          <w:sz w:val="20"/>
          <w:szCs w:val="20"/>
          <w:color w:val="auto"/>
        </w:rPr>
      </w:pPr>
      <w:r>
        <w:rPr>
          <w:rFonts w:ascii="Arial" w:cs="Arial" w:eastAsia="Arial" w:hAnsi="Arial"/>
          <w:sz w:val="17"/>
          <w:szCs w:val="17"/>
          <w:b w:val="1"/>
          <w:bCs w:val="1"/>
          <w:color w:val="auto"/>
        </w:rPr>
        <w:t xml:space="preserve">EXPERIENCE: </w:t>
      </w:r>
      <w:r>
        <w:rPr>
          <w:rFonts w:ascii="Arial" w:cs="Arial" w:eastAsia="Arial" w:hAnsi="Arial"/>
          <w:sz w:val="17"/>
          <w:szCs w:val="17"/>
          <w:color w:val="auto"/>
        </w:rPr>
        <w:t>Mr. Seibel has served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2020. Mr. Seibel is Partner Emeritus at Y Combinator, an accelerator and investment company for early-stage technology companies, where he previously was a Partner from October 2014 to March 2025, and served as Managing Director of YC Early Stage. From February 2012 to August 2012, Mr. Seibel served as Chief Executive Officer of Socialcam, Inc., a social media company, and from June 2007 to October 2011, Mr. Seibel served as Chief Executive Officer of Justin.tv (now known as Twitch.tv), an online video broadcasting company. Mr. Seibel currently serves on the board of directors of Reddit, Inc. (NYSE: RDDT), a community and discussion platform. Mr. Seibel holds a B.A. in Political Science from Yale University. Mr. Seibel was selected to serve on our board of directors because of his financial and managerial experience.</w:t>
      </w:r>
    </w:p>
    <w:p>
      <w:pPr>
        <w:sectPr>
          <w:pgSz w:w="11880" w:h="15480" w:orient="portrait"/>
          <w:cols w:equalWidth="0" w:num="1">
            <w:col w:w="9560"/>
          </w:cols>
          <w:pgMar w:left="1140" w:top="34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hanging="475"/>
        <w:spacing w:after="0"/>
        <w:tabs>
          <w:tab w:leader="none" w:pos="520"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560"/>
          </w:cols>
          <w:pgMar w:left="1140" w:top="340" w:right="1180" w:bottom="0" w:gutter="0" w:footer="0" w:header="0"/>
          <w:type w:val="continuous"/>
        </w:sectPr>
      </w:pPr>
    </w:p>
    <w:bookmarkStart w:id="20" w:name="page21"/>
    <w:bookmarkEnd w:id="20"/>
    <w:p>
      <w:pPr>
        <w:ind w:right="44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0" w:lineRule="exact"/>
        <w:rPr>
          <w:sz w:val="20"/>
          <w:szCs w:val="20"/>
          <w:color w:val="auto"/>
        </w:rPr>
      </w:pPr>
    </w:p>
    <w:p>
      <w:pPr>
        <w:spacing w:after="0"/>
        <w:rPr>
          <w:sz w:val="20"/>
          <w:szCs w:val="20"/>
          <w:color w:val="auto"/>
        </w:rPr>
      </w:pPr>
      <w:r>
        <w:rPr>
          <w:rFonts w:ascii="Arial" w:cs="Arial" w:eastAsia="Arial" w:hAnsi="Arial"/>
          <w:sz w:val="28"/>
          <w:szCs w:val="28"/>
          <w:color w:val="0A248E"/>
        </w:rPr>
        <w:t>Non-Continuing Director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summary information about Dr. Jacobs, whose term will end at the Annual Meeting:</w:t>
      </w:r>
    </w:p>
    <w:p>
      <w:pPr>
        <w:spacing w:after="0" w:line="31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0A248E"/>
        </w:rPr>
        <w:t>PAUL E. JACOBS,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1603375</wp:posOffset>
                </wp:positionH>
                <wp:positionV relativeFrom="paragraph">
                  <wp:posOffset>97155</wp:posOffset>
                </wp:positionV>
                <wp:extent cx="452310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23105" cy="4763"/>
                        </a:xfrm>
                        <a:prstGeom prst="line">
                          <a:avLst/>
                        </a:prstGeom>
                        <a:solidFill>
                          <a:srgbClr val="FFFFFF"/>
                        </a:solidFill>
                        <a:ln w="1188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25pt,7.65pt" to="482.4pt,7.65pt" o:allowincell="f" strokecolor="#000000" strokeweight="0.9359pt"/>
            </w:pict>
          </mc:Fallback>
        </mc:AlternateContent>
      </w:r>
    </w:p>
    <w:p>
      <w:pPr>
        <w:spacing w:after="0" w:line="269"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-117475</wp:posOffset>
            </wp:positionV>
            <wp:extent cx="1449070" cy="1584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1449070" cy="1584960"/>
                    </a:xfrm>
                    <a:prstGeom prst="rect">
                      <a:avLst/>
                    </a:prstGeom>
                    <a:noFill/>
                  </pic:spPr>
                </pic:pic>
              </a:graphicData>
            </a:graphic>
          </wp:anchor>
        </w:drawing>
      </w:r>
    </w:p>
    <w:p>
      <w:pPr>
        <w:spacing w:after="0" w:line="12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139"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Talent &amp; Compensation (</w:t>
      </w:r>
      <w:r>
        <w:rPr>
          <w:rFonts w:ascii="Arial" w:cs="Arial" w:eastAsia="Arial" w:hAnsi="Arial"/>
          <w:sz w:val="18"/>
          <w:szCs w:val="18"/>
          <w:i w:val="1"/>
          <w:iCs w:val="1"/>
          <w:color w:val="auto"/>
        </w:rPr>
        <w:t>Chair</w:t>
      </w:r>
      <w:r>
        <w:rPr>
          <w:rFonts w:ascii="Arial" w:cs="Arial" w:eastAsia="Arial" w:hAnsi="Arial"/>
          <w:sz w:val="18"/>
          <w:szCs w:val="18"/>
          <w:color w:val="auto"/>
        </w:rPr>
        <w:t>)</w:t>
      </w:r>
    </w:p>
    <w:p>
      <w:pPr>
        <w:spacing w:after="0" w:line="14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INDEPENDENT DIRECTOR</w:t>
      </w:r>
    </w:p>
    <w:p>
      <w:pPr>
        <w:spacing w:after="0" w:line="139" w:lineRule="exact"/>
        <w:rPr>
          <w:sz w:val="20"/>
          <w:szCs w:val="20"/>
          <w:color w:val="auto"/>
        </w:rPr>
      </w:pPr>
    </w:p>
    <w:p>
      <w:pPr>
        <w:ind w:left="2580" w:right="20"/>
        <w:spacing w:after="0" w:line="271" w:lineRule="auto"/>
        <w:rPr>
          <w:sz w:val="20"/>
          <w:szCs w:val="20"/>
          <w:color w:val="auto"/>
        </w:rPr>
      </w:pPr>
      <w:r>
        <w:rPr>
          <w:rFonts w:ascii="Arial" w:cs="Arial" w:eastAsia="Arial" w:hAnsi="Arial"/>
          <w:sz w:val="18"/>
          <w:szCs w:val="18"/>
          <w:b w:val="1"/>
          <w:bCs w:val="1"/>
          <w:color w:val="auto"/>
        </w:rPr>
        <w:t xml:space="preserve">EXPERIENCE: </w:t>
      </w:r>
      <w:r>
        <w:rPr>
          <w:rFonts w:ascii="Arial" w:cs="Arial" w:eastAsia="Arial" w:hAnsi="Arial"/>
          <w:sz w:val="18"/>
          <w:szCs w:val="18"/>
          <w:color w:val="auto"/>
        </w:rPr>
        <w:t>Dr. Jacobs has served as a member of our board of directors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2016. Since August 2023, Dr. Jacobs has served as Chief Executive Officer of Globalstar, Inc., or Globalstar, a telecom infrastructure provider. From April 2018 to May 2024, Dr. Jacobs served as Chief Executive Officer of VIREWIRX, Inc., formerly XCOM Labs, Inc., a wireless technology company. From March 2014 to March 2018, Dr. Jacobs served as Executive Chair for Qualcomm Incorporated, a semiconductor and telecommunications equipment company, or Qualcomm. From March 2009 to March 2018, Dr. Jacobs served as Chair of the board of directors for Qualcomm. From July 2005 to March 2014, Dr. Jacobs served as Chief Executive Officer for Qualcomm. Dr. Jacobs currently serves as a member of the board of directors of Globalstar (Nasdaq: GSAT), a satellite and terrestrial communication services company, and Arm Holdings plc (Nasdaq: ARM), a microchip design company. Dr. Jacobs holds a Ph.D. in Electrical Engineering and Computer Science, an M.S. in Electrical Engineering, and a B.S. in Electrical Engineering and Computer Science from the University of California, Berkeley. Dr. Jacobs was selected to serve on our board of directors because of his extensive business, operations, and management experience.</w:t>
      </w:r>
    </w:p>
    <w:p>
      <w:pPr>
        <w:sectPr>
          <w:pgSz w:w="11880" w:h="15480" w:orient="portrait"/>
          <w:cols w:equalWidth="0" w:num="1">
            <w:col w:w="9600"/>
          </w:cols>
          <w:pgMar w:left="1140" w:top="3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13</w:t>
      </w:r>
    </w:p>
    <w:p>
      <w:pPr>
        <w:sectPr>
          <w:pgSz w:w="11880" w:h="15480" w:orient="portrait"/>
          <w:cols w:equalWidth="0" w:num="1">
            <w:col w:w="9600"/>
          </w:cols>
          <w:pgMar w:left="1140" w:top="340" w:right="1140" w:bottom="0" w:gutter="0" w:footer="0" w:header="0"/>
          <w:type w:val="continuous"/>
        </w:sectPr>
      </w:pPr>
    </w:p>
    <w:bookmarkStart w:id="21" w:name="page22"/>
    <w:bookmarkEnd w:id="21"/>
    <w:p>
      <w:pPr>
        <w:ind w:left="7" w:right="4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0" w:lineRule="exact"/>
        <w:rPr>
          <w:sz w:val="20"/>
          <w:szCs w:val="20"/>
          <w:color w:val="auto"/>
        </w:rPr>
      </w:pPr>
    </w:p>
    <w:p>
      <w:pPr>
        <w:ind w:left="7"/>
        <w:spacing w:after="0"/>
        <w:rPr>
          <w:sz w:val="20"/>
          <w:szCs w:val="20"/>
          <w:color w:val="auto"/>
        </w:rPr>
      </w:pPr>
      <w:r>
        <w:rPr>
          <w:rFonts w:ascii="Arial" w:cs="Arial" w:eastAsia="Arial" w:hAnsi="Arial"/>
          <w:sz w:val="28"/>
          <w:szCs w:val="28"/>
          <w:color w:val="0A248E"/>
        </w:rPr>
        <w:t>Director Independence</w:t>
      </w:r>
    </w:p>
    <w:p>
      <w:pPr>
        <w:spacing w:after="0" w:line="295" w:lineRule="exact"/>
        <w:rPr>
          <w:sz w:val="20"/>
          <w:szCs w:val="20"/>
          <w:color w:val="auto"/>
        </w:rPr>
      </w:pPr>
    </w:p>
    <w:p>
      <w:pPr>
        <w:jc w:val="both"/>
        <w:ind w:left="7" w:right="140"/>
        <w:spacing w:after="0" w:line="299" w:lineRule="auto"/>
        <w:rPr>
          <w:sz w:val="20"/>
          <w:szCs w:val="20"/>
          <w:color w:val="auto"/>
        </w:rPr>
      </w:pPr>
      <w:r>
        <w:rPr>
          <w:rFonts w:ascii="Arial" w:cs="Arial" w:eastAsia="Arial" w:hAnsi="Arial"/>
          <w:sz w:val="17"/>
          <w:szCs w:val="17"/>
          <w:color w:val="auto"/>
        </w:rPr>
        <w:t>Under the listing rules of Nasdaq, independent directors must comprise a majority of a listed company’s board of directors. In addition, Nasdaq rules require that, subject to specified exceptions, each member of a listed company’s audit, talent and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16" w:lineRule="exact"/>
        <w:rPr>
          <w:sz w:val="20"/>
          <w:szCs w:val="20"/>
          <w:color w:val="auto"/>
        </w:rPr>
      </w:pPr>
    </w:p>
    <w:p>
      <w:pPr>
        <w:ind w:left="7" w:right="40"/>
        <w:spacing w:after="0" w:line="292"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Drs. Jacobs and Moore, Messrs. Jenson, Parasnis and Seibel, and Mss. Campbell and Peacock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if any, described in the section titled “</w:t>
      </w:r>
      <w:r>
        <w:rPr>
          <w:rFonts w:ascii="Arial" w:cs="Arial" w:eastAsia="Arial" w:hAnsi="Arial"/>
          <w:sz w:val="17"/>
          <w:szCs w:val="17"/>
          <w:i w:val="1"/>
          <w:iCs w:val="1"/>
          <w:color w:val="auto"/>
        </w:rPr>
        <w:t>Certain Relationships, Related Party and Other Transactions</w:t>
      </w:r>
      <w:r>
        <w:rPr>
          <w:rFonts w:ascii="Arial" w:cs="Arial" w:eastAsia="Arial" w:hAnsi="Arial"/>
          <w:sz w:val="17"/>
          <w:szCs w:val="17"/>
          <w:color w:val="auto"/>
        </w:rPr>
        <w:t>.”</w:t>
      </w:r>
    </w:p>
    <w:p>
      <w:pPr>
        <w:spacing w:after="0" w:line="373" w:lineRule="exact"/>
        <w:rPr>
          <w:sz w:val="20"/>
          <w:szCs w:val="20"/>
          <w:color w:val="auto"/>
        </w:rPr>
      </w:pPr>
    </w:p>
    <w:p>
      <w:pPr>
        <w:ind w:left="7"/>
        <w:spacing w:after="0"/>
        <w:rPr>
          <w:sz w:val="20"/>
          <w:szCs w:val="20"/>
          <w:color w:val="auto"/>
        </w:rPr>
      </w:pPr>
      <w:r>
        <w:rPr>
          <w:rFonts w:ascii="Arial" w:cs="Arial" w:eastAsia="Arial" w:hAnsi="Arial"/>
          <w:sz w:val="28"/>
          <w:szCs w:val="28"/>
          <w:color w:val="0A248E"/>
        </w:rPr>
        <w:t>Board Leadership Structure and Role of the Lead Independent Director</w:t>
      </w:r>
    </w:p>
    <w:p>
      <w:pPr>
        <w:spacing w:after="0" w:line="291" w:lineRule="exact"/>
        <w:rPr>
          <w:sz w:val="20"/>
          <w:szCs w:val="20"/>
          <w:color w:val="auto"/>
        </w:rPr>
      </w:pPr>
    </w:p>
    <w:p>
      <w:pPr>
        <w:ind w:left="7" w:right="440"/>
        <w:spacing w:after="0" w:line="291" w:lineRule="auto"/>
        <w:rPr>
          <w:sz w:val="20"/>
          <w:szCs w:val="20"/>
          <w:color w:val="auto"/>
        </w:rPr>
      </w:pPr>
      <w:r>
        <w:rPr>
          <w:rFonts w:ascii="Arial" w:cs="Arial" w:eastAsia="Arial" w:hAnsi="Arial"/>
          <w:sz w:val="18"/>
          <w:szCs w:val="18"/>
          <w:color w:val="auto"/>
        </w:rPr>
        <w:t>Mr. Houston currently serves as both the chair of our board of directors and as our Chief Executive Officer. As our co-founder, Mr. Houston is best positioned to identify strategic priorities, lead critical discussion, and execute our business plans.</w:t>
      </w:r>
    </w:p>
    <w:p>
      <w:pPr>
        <w:spacing w:after="0" w:line="118" w:lineRule="exact"/>
        <w:rPr>
          <w:sz w:val="20"/>
          <w:szCs w:val="20"/>
          <w:color w:val="auto"/>
        </w:rPr>
      </w:pPr>
    </w:p>
    <w:p>
      <w:pPr>
        <w:ind w:left="7" w:right="140"/>
        <w:spacing w:after="0" w:line="276" w:lineRule="auto"/>
        <w:rPr>
          <w:sz w:val="20"/>
          <w:szCs w:val="20"/>
          <w:color w:val="auto"/>
        </w:rPr>
      </w:pPr>
      <w:r>
        <w:rPr>
          <w:rFonts w:ascii="Arial" w:cs="Arial" w:eastAsia="Arial" w:hAnsi="Arial"/>
          <w:sz w:val="18"/>
          <w:szCs w:val="18"/>
          <w:color w:val="auto"/>
        </w:rPr>
        <w:t>Our board of directors has adopted Corporate Governance Guidelines that provide that one of our independent directors should serve as our lead independent director at any time when the chair of our board of directors is not independent, including when our Chief Executive Officer serves as the chair of our board of directors. Because Mr. Houston is our chair and is not an “independent” director as defined in Nasdaq’s listing rules, our board of directors has determined that it is advisable and in the best interests of the company and our stockholders to have a lead independent director to, among other things, preside over meetings of the independent directors and help set the agenda for board meetings. Ms. Peacock has served as lead independent director since May 2025.</w:t>
      </w:r>
    </w:p>
    <w:p>
      <w:pPr>
        <w:spacing w:after="0" w:line="135"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Our lead independent director presides over periodic meetings of our independent directors, consults with Mr. Houston on the agenda for meetings of the board, serves as a liaison between Mr. Houston and our independent directors, and performs such additional duties as our board of directors may otherwise determine and delegate. The lead independent director’s responsibilities include:</w:t>
      </w:r>
    </w:p>
    <w:p>
      <w:pPr>
        <w:spacing w:after="0" w:line="132" w:lineRule="exact"/>
        <w:rPr>
          <w:sz w:val="20"/>
          <w:szCs w:val="20"/>
          <w:color w:val="auto"/>
        </w:rPr>
      </w:pPr>
    </w:p>
    <w:p>
      <w:pPr>
        <w:ind w:left="347" w:hanging="347"/>
        <w:spacing w:after="0"/>
        <w:tabs>
          <w:tab w:leader="none" w:pos="347" w:val="left"/>
        </w:tabs>
        <w:numPr>
          <w:ilvl w:val="0"/>
          <w:numId w:val="15"/>
        </w:numPr>
        <w:rPr>
          <w:rFonts w:ascii="Arial" w:cs="Arial" w:eastAsia="Arial" w:hAnsi="Arial"/>
          <w:sz w:val="18"/>
          <w:szCs w:val="18"/>
          <w:color w:val="0A248E"/>
        </w:rPr>
      </w:pPr>
      <w:r>
        <w:rPr>
          <w:rFonts w:ascii="Arial" w:cs="Arial" w:eastAsia="Arial" w:hAnsi="Arial"/>
          <w:sz w:val="18"/>
          <w:szCs w:val="18"/>
          <w:color w:val="auto"/>
        </w:rPr>
        <w:t>presiding over all meetings of the board of directors at which the chair is not present;</w:t>
      </w:r>
    </w:p>
    <w:p>
      <w:pPr>
        <w:spacing w:after="0" w:line="200" w:lineRule="exact"/>
        <w:rPr>
          <w:rFonts w:ascii="Arial" w:cs="Arial" w:eastAsia="Arial" w:hAnsi="Arial"/>
          <w:sz w:val="18"/>
          <w:szCs w:val="18"/>
          <w:color w:val="0A248E"/>
        </w:rPr>
      </w:pPr>
    </w:p>
    <w:p>
      <w:pPr>
        <w:ind w:left="347" w:right="80" w:hanging="347"/>
        <w:spacing w:after="0" w:line="310" w:lineRule="auto"/>
        <w:tabs>
          <w:tab w:leader="none" w:pos="347" w:val="left"/>
        </w:tabs>
        <w:numPr>
          <w:ilvl w:val="0"/>
          <w:numId w:val="15"/>
        </w:numPr>
        <w:rPr>
          <w:rFonts w:ascii="Arial" w:cs="Arial" w:eastAsia="Arial" w:hAnsi="Arial"/>
          <w:sz w:val="18"/>
          <w:szCs w:val="18"/>
          <w:color w:val="0A248E"/>
        </w:rPr>
      </w:pPr>
      <w:r>
        <w:rPr>
          <w:rFonts w:ascii="Arial" w:cs="Arial" w:eastAsia="Arial" w:hAnsi="Arial"/>
          <w:sz w:val="18"/>
          <w:szCs w:val="18"/>
          <w:color w:val="auto"/>
        </w:rPr>
        <w:t>calling separate meetings of the independent directors and determining the agenda and serving as chair of meetings of independent directors;</w:t>
      </w:r>
    </w:p>
    <w:p>
      <w:pPr>
        <w:spacing w:after="0" w:line="106" w:lineRule="exact"/>
        <w:rPr>
          <w:rFonts w:ascii="Arial" w:cs="Arial" w:eastAsia="Arial" w:hAnsi="Arial"/>
          <w:sz w:val="18"/>
          <w:szCs w:val="18"/>
          <w:color w:val="0A248E"/>
        </w:rPr>
      </w:pPr>
    </w:p>
    <w:p>
      <w:pPr>
        <w:ind w:left="347" w:hanging="347"/>
        <w:spacing w:after="0"/>
        <w:tabs>
          <w:tab w:leader="none" w:pos="347" w:val="left"/>
        </w:tabs>
        <w:numPr>
          <w:ilvl w:val="0"/>
          <w:numId w:val="15"/>
        </w:numPr>
        <w:rPr>
          <w:rFonts w:ascii="Arial" w:cs="Arial" w:eastAsia="Arial" w:hAnsi="Arial"/>
          <w:sz w:val="18"/>
          <w:szCs w:val="18"/>
          <w:color w:val="0A248E"/>
        </w:rPr>
      </w:pPr>
      <w:r>
        <w:rPr>
          <w:rFonts w:ascii="Arial" w:cs="Arial" w:eastAsia="Arial" w:hAnsi="Arial"/>
          <w:sz w:val="18"/>
          <w:szCs w:val="18"/>
          <w:color w:val="auto"/>
        </w:rPr>
        <w:t>reporting to our Chief Executive Officer and chair regarding feedback from executive sessions; and</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15"/>
        </w:numPr>
        <w:rPr>
          <w:rFonts w:ascii="Arial" w:cs="Arial" w:eastAsia="Arial" w:hAnsi="Arial"/>
          <w:sz w:val="18"/>
          <w:szCs w:val="18"/>
          <w:color w:val="0A248E"/>
        </w:rPr>
      </w:pPr>
      <w:r>
        <w:rPr>
          <w:rFonts w:ascii="Arial" w:cs="Arial" w:eastAsia="Arial" w:hAnsi="Arial"/>
          <w:sz w:val="18"/>
          <w:szCs w:val="18"/>
          <w:color w:val="auto"/>
        </w:rPr>
        <w:t>serving as spokesperson for the company if requested.</w:t>
      </w:r>
    </w:p>
    <w:p>
      <w:pPr>
        <w:spacing w:after="0" w:line="200" w:lineRule="exact"/>
        <w:rPr>
          <w:sz w:val="20"/>
          <w:szCs w:val="20"/>
          <w:color w:val="auto"/>
        </w:rPr>
      </w:pPr>
    </w:p>
    <w:p>
      <w:pPr>
        <w:ind w:left="7" w:right="160"/>
        <w:spacing w:after="0" w:line="304" w:lineRule="auto"/>
        <w:rPr>
          <w:sz w:val="20"/>
          <w:szCs w:val="20"/>
          <w:color w:val="auto"/>
        </w:rPr>
      </w:pPr>
      <w:r>
        <w:rPr>
          <w:rFonts w:ascii="Arial" w:cs="Arial" w:eastAsia="Arial" w:hAnsi="Arial"/>
          <w:sz w:val="17"/>
          <w:szCs w:val="17"/>
          <w:color w:val="auto"/>
        </w:rPr>
        <w:t>Only independent directors serve on the audit committee, the talent and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14" w:lineRule="exact"/>
        <w:rPr>
          <w:sz w:val="20"/>
          <w:szCs w:val="20"/>
          <w:color w:val="auto"/>
        </w:rPr>
      </w:pPr>
    </w:p>
    <w:p>
      <w:pPr>
        <w:ind w:left="7" w:right="40"/>
        <w:spacing w:after="0" w:line="304" w:lineRule="auto"/>
        <w:rPr>
          <w:sz w:val="20"/>
          <w:szCs w:val="20"/>
          <w:color w:val="auto"/>
        </w:rPr>
      </w:pPr>
      <w:r>
        <w:rPr>
          <w:rFonts w:ascii="Arial" w:cs="Arial" w:eastAsia="Arial" w:hAnsi="Arial"/>
          <w:sz w:val="17"/>
          <w:szCs w:val="17"/>
          <w:color w:val="auto"/>
        </w:rPr>
        <w:t>As a result of the board of directors’ committee system and the existence of a majority of independent directors, combined with a strong lead independent director with significant responsibilities and the company’s robust corporate governance policies and procedures, the board of directors believes it maintains effective oversight of our business operations, including independent oversight of our financial statements and risk management, executive compensation, selection of director</w:t>
      </w:r>
    </w:p>
    <w:p>
      <w:pPr>
        <w:sectPr>
          <w:pgSz w:w="11880" w:h="15480" w:orient="portrait"/>
          <w:cols w:equalWidth="0" w:num="1">
            <w:col w:w="9647"/>
          </w:cols>
          <w:pgMar w:left="1133" w:top="340" w:right="1100" w:bottom="0" w:gutter="0" w:footer="0" w:header="0"/>
        </w:sectPr>
      </w:pPr>
    </w:p>
    <w:p>
      <w:pPr>
        <w:spacing w:after="0" w:line="370" w:lineRule="exact"/>
        <w:rPr>
          <w:sz w:val="20"/>
          <w:szCs w:val="20"/>
          <w:color w:val="auto"/>
        </w:rPr>
      </w:pPr>
    </w:p>
    <w:p>
      <w:pPr>
        <w:ind w:left="527" w:hanging="475"/>
        <w:spacing w:after="0"/>
        <w:tabs>
          <w:tab w:leader="none" w:pos="527"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22" w:name="page23"/>
    <w:bookmarkEnd w:id="22"/>
    <w:p>
      <w:pPr>
        <w:ind w:right="44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9"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candidates, and corporate governance programs. We believe that the leadership structure of our board of directors, including the role of a strong lead independent director, as well as the robust independent committees of our board of directors is appropriate and enhances our board of directors’ ability to effectively carry out its roles and responsibilities on behalf of the company. Mr. Houston’s combined role leverages his deep involvement with the company’s business, and his history as a co-founder of the company with knowledge of the company’s development and culture enables strong leadership, creates clear accountability and enhances our ability to communicate our message and strategy clearly and consistently to stockholders.</w:t>
      </w:r>
    </w:p>
    <w:p>
      <w:pPr>
        <w:sectPr>
          <w:pgSz w:w="11880" w:h="15480" w:orient="portrait"/>
          <w:cols w:equalWidth="0" w:num="1">
            <w:col w:w="9600"/>
          </w:cols>
          <w:pgMar w:left="1140" w:top="3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15</w:t>
      </w:r>
    </w:p>
    <w:p>
      <w:pPr>
        <w:sectPr>
          <w:pgSz w:w="11880" w:h="15480" w:orient="portrait"/>
          <w:cols w:equalWidth="0" w:num="1">
            <w:col w:w="9600"/>
          </w:cols>
          <w:pgMar w:left="1140" w:top="340" w:right="1140" w:bottom="0" w:gutter="0" w:footer="0" w:header="0"/>
          <w:type w:val="continuous"/>
        </w:sectPr>
      </w:pPr>
    </w:p>
    <w:bookmarkStart w:id="23" w:name="page24"/>
    <w:bookmarkEnd w:id="23"/>
    <w:p>
      <w:pPr>
        <w:ind w:right="4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0" w:lineRule="exact"/>
        <w:rPr>
          <w:sz w:val="20"/>
          <w:szCs w:val="20"/>
          <w:color w:val="auto"/>
        </w:rPr>
      </w:pPr>
    </w:p>
    <w:p>
      <w:pPr>
        <w:spacing w:after="0"/>
        <w:rPr>
          <w:sz w:val="20"/>
          <w:szCs w:val="20"/>
          <w:color w:val="auto"/>
        </w:rPr>
      </w:pPr>
      <w:r>
        <w:rPr>
          <w:rFonts w:ascii="Arial" w:cs="Arial" w:eastAsia="Arial" w:hAnsi="Arial"/>
          <w:sz w:val="28"/>
          <w:szCs w:val="28"/>
          <w:color w:val="0A248E"/>
        </w:rPr>
        <w:t>Board Committees</w:t>
      </w:r>
    </w:p>
    <w:p>
      <w:pPr>
        <w:spacing w:after="0" w:line="295"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Our board of directors has established an audit committee, a talent and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1529080</wp:posOffset>
                </wp:positionH>
                <wp:positionV relativeFrom="paragraph">
                  <wp:posOffset>98425</wp:posOffset>
                </wp:positionV>
                <wp:extent cx="0" cy="210947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0947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4pt,7.75pt" to="120.4pt,173.8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3059430</wp:posOffset>
                </wp:positionH>
                <wp:positionV relativeFrom="paragraph">
                  <wp:posOffset>98425</wp:posOffset>
                </wp:positionV>
                <wp:extent cx="0" cy="210947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0947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9pt,7.75pt" to="240.9pt,173.8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4592955</wp:posOffset>
                </wp:positionH>
                <wp:positionV relativeFrom="paragraph">
                  <wp:posOffset>98425</wp:posOffset>
                </wp:positionV>
                <wp:extent cx="0" cy="210947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0947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65pt,7.75pt" to="361.65pt,173.85pt" o:allowincell="f" strokecolor="#FFFFFF" strokeweight="1.4039pt"/>
            </w:pict>
          </mc:Fallback>
        </mc:AlternateConten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61"/>
        </w:trPr>
        <w:tc>
          <w:tcPr>
            <w:tcW w:w="238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2360" w:type="dxa"/>
            <w:vAlign w:val="bottom"/>
            <w:gridSpan w:val="2"/>
            <w:vMerge w:val="restart"/>
            <w:shd w:val="clear" w:color="auto" w:fill="0A248E"/>
          </w:tcPr>
          <w:p>
            <w:pPr>
              <w:jc w:val="center"/>
              <w:ind w:right="40"/>
              <w:spacing w:after="0"/>
              <w:rPr>
                <w:sz w:val="20"/>
                <w:szCs w:val="20"/>
                <w:color w:val="auto"/>
              </w:rPr>
            </w:pPr>
            <w:r>
              <w:rPr>
                <w:rFonts w:ascii="Arial" w:cs="Arial" w:eastAsia="Arial" w:hAnsi="Arial"/>
                <w:sz w:val="15"/>
                <w:szCs w:val="15"/>
                <w:b w:val="1"/>
                <w:bCs w:val="1"/>
                <w:color w:val="FFFFFF"/>
              </w:rPr>
              <w:t>Nominating and Corporate</w:t>
            </w:r>
          </w:p>
        </w:tc>
        <w:tc>
          <w:tcPr>
            <w:tcW w:w="0" w:type="dxa"/>
            <w:vAlign w:val="bottom"/>
          </w:tcPr>
          <w:p>
            <w:pPr>
              <w:spacing w:after="0"/>
              <w:rPr>
                <w:sz w:val="1"/>
                <w:szCs w:val="1"/>
                <w:color w:val="auto"/>
              </w:rPr>
            </w:pPr>
          </w:p>
        </w:tc>
      </w:tr>
      <w:tr>
        <w:trPr>
          <w:trHeight w:val="249"/>
        </w:trPr>
        <w:tc>
          <w:tcPr>
            <w:tcW w:w="2380" w:type="dxa"/>
            <w:vAlign w:val="bottom"/>
            <w:shd w:val="clear" w:color="auto" w:fill="0A248E"/>
          </w:tcPr>
          <w:p>
            <w:pPr>
              <w:spacing w:after="0"/>
              <w:rPr>
                <w:sz w:val="21"/>
                <w:szCs w:val="21"/>
                <w:color w:val="auto"/>
              </w:rPr>
            </w:pPr>
          </w:p>
        </w:tc>
        <w:tc>
          <w:tcPr>
            <w:tcW w:w="40" w:type="dxa"/>
            <w:vAlign w:val="bottom"/>
            <w:tcBorders>
              <w:left w:val="single" w:sz="8" w:color="0A248E"/>
            </w:tcBorders>
          </w:tcPr>
          <w:p>
            <w:pPr>
              <w:spacing w:after="0"/>
              <w:rPr>
                <w:sz w:val="21"/>
                <w:szCs w:val="21"/>
                <w:color w:val="auto"/>
              </w:rPr>
            </w:pPr>
          </w:p>
        </w:tc>
        <w:tc>
          <w:tcPr>
            <w:tcW w:w="2380" w:type="dxa"/>
            <w:vAlign w:val="bottom"/>
            <w:shd w:val="clear" w:color="auto" w:fill="0A248E"/>
          </w:tcPr>
          <w:p>
            <w:pPr>
              <w:spacing w:after="0"/>
              <w:rPr>
                <w:sz w:val="21"/>
                <w:szCs w:val="21"/>
                <w:color w:val="auto"/>
              </w:rPr>
            </w:pPr>
          </w:p>
        </w:tc>
        <w:tc>
          <w:tcPr>
            <w:tcW w:w="40" w:type="dxa"/>
            <w:vAlign w:val="bottom"/>
            <w:tcBorders>
              <w:left w:val="single" w:sz="8" w:color="0A248E"/>
            </w:tcBorders>
          </w:tcPr>
          <w:p>
            <w:pPr>
              <w:spacing w:after="0"/>
              <w:rPr>
                <w:sz w:val="21"/>
                <w:szCs w:val="21"/>
                <w:color w:val="auto"/>
              </w:rPr>
            </w:pPr>
          </w:p>
        </w:tc>
        <w:tc>
          <w:tcPr>
            <w:tcW w:w="2380" w:type="dxa"/>
            <w:vAlign w:val="bottom"/>
            <w:shd w:val="clear" w:color="auto" w:fill="0A248E"/>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2360" w:type="dxa"/>
            <w:vAlign w:val="bottom"/>
            <w:gridSpan w:val="2"/>
            <w:vMerge w:val="continue"/>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2380" w:type="dxa"/>
            <w:vAlign w:val="bottom"/>
            <w:tcBorders>
              <w:bottom w:val="single" w:sz="8" w:color="0A248E"/>
            </w:tcBorders>
            <w:shd w:val="clear" w:color="auto" w:fill="0A248E"/>
          </w:tcPr>
          <w:p>
            <w:pPr>
              <w:ind w:left="900"/>
              <w:spacing w:after="0"/>
              <w:rPr>
                <w:sz w:val="20"/>
                <w:szCs w:val="20"/>
                <w:color w:val="auto"/>
              </w:rPr>
            </w:pPr>
            <w:r>
              <w:rPr>
                <w:rFonts w:ascii="Arial" w:cs="Arial" w:eastAsia="Arial" w:hAnsi="Arial"/>
                <w:sz w:val="15"/>
                <w:szCs w:val="15"/>
                <w:b w:val="1"/>
                <w:bCs w:val="1"/>
                <w:color w:val="FFFFFF"/>
              </w:rPr>
              <w:t>Director</w:t>
            </w:r>
          </w:p>
        </w:tc>
        <w:tc>
          <w:tcPr>
            <w:tcW w:w="40" w:type="dxa"/>
            <w:vAlign w:val="bottom"/>
            <w:tcBorders>
              <w:left w:val="single" w:sz="8" w:color="0A248E"/>
            </w:tcBorders>
          </w:tcPr>
          <w:p>
            <w:pPr>
              <w:spacing w:after="0"/>
              <w:rPr>
                <w:sz w:val="24"/>
                <w:szCs w:val="24"/>
                <w:color w:val="auto"/>
              </w:rPr>
            </w:pPr>
          </w:p>
        </w:tc>
        <w:tc>
          <w:tcPr>
            <w:tcW w:w="238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9"/>
              </w:rPr>
              <w:t>Audit</w:t>
            </w:r>
          </w:p>
        </w:tc>
        <w:tc>
          <w:tcPr>
            <w:tcW w:w="40" w:type="dxa"/>
            <w:vAlign w:val="bottom"/>
            <w:tcBorders>
              <w:left w:val="single" w:sz="8" w:color="0A248E"/>
            </w:tcBorders>
          </w:tcPr>
          <w:p>
            <w:pPr>
              <w:spacing w:after="0"/>
              <w:rPr>
                <w:sz w:val="24"/>
                <w:szCs w:val="24"/>
                <w:color w:val="auto"/>
              </w:rPr>
            </w:pPr>
          </w:p>
        </w:tc>
        <w:tc>
          <w:tcPr>
            <w:tcW w:w="238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Talent and Compensation</w:t>
            </w:r>
          </w:p>
        </w:tc>
        <w:tc>
          <w:tcPr>
            <w:tcW w:w="60" w:type="dxa"/>
            <w:vAlign w:val="bottom"/>
            <w:tcBorders>
              <w:bottom w:val="single" w:sz="8" w:color="0A248E"/>
              <w:right w:val="single" w:sz="8" w:color="0A248E"/>
            </w:tcBorders>
            <w:shd w:val="clear" w:color="auto" w:fill="0A248E"/>
          </w:tcPr>
          <w:p>
            <w:pPr>
              <w:spacing w:after="0"/>
              <w:rPr>
                <w:sz w:val="24"/>
                <w:szCs w:val="24"/>
                <w:color w:val="auto"/>
              </w:rPr>
            </w:pPr>
          </w:p>
        </w:tc>
        <w:tc>
          <w:tcPr>
            <w:tcW w:w="2360" w:type="dxa"/>
            <w:vAlign w:val="bottom"/>
            <w:tcBorders>
              <w:bottom w:val="single" w:sz="8" w:color="0A248E"/>
            </w:tcBorders>
            <w:gridSpan w:val="2"/>
            <w:shd w:val="clear" w:color="auto" w:fill="0A248E"/>
          </w:tcPr>
          <w:p>
            <w:pPr>
              <w:jc w:val="center"/>
              <w:ind w:right="60"/>
              <w:spacing w:after="0"/>
              <w:rPr>
                <w:sz w:val="20"/>
                <w:szCs w:val="20"/>
                <w:color w:val="auto"/>
              </w:rPr>
            </w:pPr>
            <w:r>
              <w:rPr>
                <w:rFonts w:ascii="Arial" w:cs="Arial" w:eastAsia="Arial" w:hAnsi="Arial"/>
                <w:sz w:val="15"/>
                <w:szCs w:val="15"/>
                <w:b w:val="1"/>
                <w:bCs w:val="1"/>
                <w:color w:val="FFFFFF"/>
              </w:rPr>
              <w:t>Governance</w:t>
            </w:r>
          </w:p>
        </w:tc>
        <w:tc>
          <w:tcPr>
            <w:tcW w:w="0" w:type="dxa"/>
            <w:vAlign w:val="bottom"/>
          </w:tcPr>
          <w:p>
            <w:pPr>
              <w:spacing w:after="0"/>
              <w:rPr>
                <w:sz w:val="1"/>
                <w:szCs w:val="1"/>
                <w:color w:val="auto"/>
              </w:rPr>
            </w:pPr>
          </w:p>
        </w:tc>
      </w:tr>
      <w:tr>
        <w:trPr>
          <w:trHeight w:val="28"/>
        </w:trPr>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38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Andrew W. Houston</w:t>
            </w:r>
          </w:p>
        </w:tc>
        <w:tc>
          <w:tcPr>
            <w:tcW w:w="40" w:type="dxa"/>
            <w:vAlign w:val="bottom"/>
            <w:tcBorders>
              <w:left w:val="single" w:sz="8" w:color="E6E6E6"/>
            </w:tcBorders>
          </w:tcPr>
          <w:p>
            <w:pPr>
              <w:spacing w:after="0"/>
              <w:rPr>
                <w:sz w:val="23"/>
                <w:szCs w:val="23"/>
                <w:color w:val="auto"/>
              </w:rPr>
            </w:pPr>
          </w:p>
        </w:tc>
        <w:tc>
          <w:tcPr>
            <w:tcW w:w="2380" w:type="dxa"/>
            <w:vAlign w:val="bottom"/>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shd w:val="clear" w:color="auto" w:fill="E6E6E6"/>
          </w:tcPr>
          <w:p>
            <w:pPr>
              <w:spacing w:after="0"/>
              <w:rPr>
                <w:sz w:val="23"/>
                <w:szCs w:val="23"/>
                <w:color w:val="auto"/>
              </w:rPr>
            </w:pPr>
          </w:p>
        </w:tc>
        <w:tc>
          <w:tcPr>
            <w:tcW w:w="60" w:type="dxa"/>
            <w:vAlign w:val="bottom"/>
            <w:tcBorders>
              <w:right w:val="single" w:sz="8" w:color="E6E6E6"/>
            </w:tcBorders>
          </w:tcPr>
          <w:p>
            <w:pPr>
              <w:spacing w:after="0"/>
              <w:rPr>
                <w:sz w:val="23"/>
                <w:szCs w:val="23"/>
                <w:color w:val="auto"/>
              </w:rPr>
            </w:pPr>
          </w:p>
        </w:tc>
        <w:tc>
          <w:tcPr>
            <w:tcW w:w="2340" w:type="dxa"/>
            <w:vAlign w:val="bottom"/>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380" w:type="dxa"/>
            <w:vAlign w:val="bottom"/>
          </w:tcPr>
          <w:p>
            <w:pPr>
              <w:ind w:left="40"/>
              <w:spacing w:after="0"/>
              <w:rPr>
                <w:sz w:val="20"/>
                <w:szCs w:val="20"/>
                <w:color w:val="auto"/>
              </w:rPr>
            </w:pPr>
            <w:r>
              <w:rPr>
                <w:rFonts w:ascii="Arial" w:cs="Arial" w:eastAsia="Arial" w:hAnsi="Arial"/>
                <w:sz w:val="18"/>
                <w:szCs w:val="18"/>
                <w:b w:val="1"/>
                <w:bCs w:val="1"/>
                <w:color w:val="auto"/>
              </w:rPr>
              <w:t>Lisa Campbell</w:t>
            </w: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38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Paul E. Jacobs, Ph.D</w:t>
            </w:r>
          </w:p>
        </w:tc>
        <w:tc>
          <w:tcPr>
            <w:tcW w:w="40" w:type="dxa"/>
            <w:vAlign w:val="bottom"/>
            <w:tcBorders>
              <w:left w:val="single" w:sz="8" w:color="E6E6E6"/>
            </w:tcBorders>
          </w:tcPr>
          <w:p>
            <w:pPr>
              <w:spacing w:after="0"/>
              <w:rPr>
                <w:sz w:val="23"/>
                <w:szCs w:val="23"/>
                <w:color w:val="auto"/>
              </w:rPr>
            </w:pPr>
          </w:p>
        </w:tc>
        <w:tc>
          <w:tcPr>
            <w:tcW w:w="2380" w:type="dxa"/>
            <w:vAlign w:val="bottom"/>
            <w:shd w:val="clear" w:color="auto" w:fill="E6E6E6"/>
          </w:tcPr>
          <w:p>
            <w:pPr>
              <w:spacing w:after="0"/>
              <w:rPr>
                <w:sz w:val="23"/>
                <w:szCs w:val="23"/>
                <w:color w:val="auto"/>
              </w:rPr>
            </w:pPr>
          </w:p>
        </w:tc>
        <w:tc>
          <w:tcPr>
            <w:tcW w:w="40" w:type="dxa"/>
            <w:vAlign w:val="bottom"/>
            <w:tcBorders>
              <w:left w:val="single" w:sz="8" w:color="E6E6E6"/>
            </w:tcBorders>
          </w:tcPr>
          <w:p>
            <w:pPr>
              <w:spacing w:after="0"/>
              <w:rPr>
                <w:sz w:val="23"/>
                <w:szCs w:val="23"/>
                <w:color w:val="auto"/>
              </w:rPr>
            </w:pPr>
          </w:p>
        </w:tc>
        <w:tc>
          <w:tcPr>
            <w:tcW w:w="2380" w:type="dxa"/>
            <w:vAlign w:val="bottom"/>
            <w:shd w:val="clear" w:color="auto" w:fill="E6E6E6"/>
          </w:tcPr>
          <w:p>
            <w:pPr>
              <w:spacing w:after="0"/>
              <w:rPr>
                <w:sz w:val="23"/>
                <w:szCs w:val="23"/>
                <w:color w:val="auto"/>
              </w:rPr>
            </w:pPr>
          </w:p>
        </w:tc>
        <w:tc>
          <w:tcPr>
            <w:tcW w:w="60" w:type="dxa"/>
            <w:vAlign w:val="bottom"/>
            <w:tcBorders>
              <w:right w:val="single" w:sz="8" w:color="E6E6E6"/>
            </w:tcBorders>
            <w:shd w:val="clear" w:color="auto" w:fill="E6E6E6"/>
          </w:tcPr>
          <w:p>
            <w:pPr>
              <w:spacing w:after="0"/>
              <w:rPr>
                <w:sz w:val="23"/>
                <w:szCs w:val="23"/>
                <w:color w:val="auto"/>
              </w:rPr>
            </w:pPr>
          </w:p>
        </w:tc>
        <w:tc>
          <w:tcPr>
            <w:tcW w:w="2340" w:type="dxa"/>
            <w:vAlign w:val="bottom"/>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2380" w:type="dxa"/>
            <w:vAlign w:val="bottom"/>
          </w:tcPr>
          <w:p>
            <w:pPr>
              <w:ind w:left="40"/>
              <w:spacing w:after="0"/>
              <w:rPr>
                <w:sz w:val="20"/>
                <w:szCs w:val="20"/>
                <w:color w:val="auto"/>
              </w:rPr>
            </w:pPr>
            <w:r>
              <w:rPr>
                <w:rFonts w:ascii="Arial" w:cs="Arial" w:eastAsia="Arial" w:hAnsi="Arial"/>
                <w:sz w:val="18"/>
                <w:szCs w:val="18"/>
                <w:b w:val="1"/>
                <w:bCs w:val="1"/>
                <w:color w:val="auto"/>
              </w:rPr>
              <w:t>Warren Jenson</w:t>
            </w:r>
          </w:p>
        </w:tc>
        <w:tc>
          <w:tcPr>
            <w:tcW w:w="40" w:type="dxa"/>
            <w:vAlign w:val="bottom"/>
          </w:tcPr>
          <w:p>
            <w:pPr>
              <w:spacing w:after="0"/>
              <w:rPr>
                <w:sz w:val="24"/>
                <w:szCs w:val="24"/>
                <w:color w:val="auto"/>
              </w:rPr>
            </w:pPr>
          </w:p>
        </w:tc>
        <w:tc>
          <w:tcPr>
            <w:tcW w:w="2380" w:type="dxa"/>
            <w:vAlign w:val="bottom"/>
            <w:tcBorders>
              <w:bottom w:val="single" w:sz="8" w:color="E6E6E6"/>
            </w:tcBorders>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3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Andrew Moore, Ph.D</w:t>
            </w:r>
          </w:p>
        </w:tc>
        <w:tc>
          <w:tcPr>
            <w:tcW w:w="40" w:type="dxa"/>
            <w:vAlign w:val="bottom"/>
            <w:tcBorders>
              <w:left w:val="single" w:sz="8" w:color="E6E6E6"/>
            </w:tcBorders>
          </w:tcPr>
          <w:p>
            <w:pPr>
              <w:spacing w:after="0"/>
              <w:rPr>
                <w:sz w:val="24"/>
                <w:szCs w:val="24"/>
                <w:color w:val="auto"/>
              </w:rPr>
            </w:pPr>
          </w:p>
        </w:tc>
        <w:tc>
          <w:tcPr>
            <w:tcW w:w="238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left w:val="single" w:sz="8" w:color="E6E6E6"/>
            </w:tcBorders>
          </w:tcPr>
          <w:p>
            <w:pPr>
              <w:spacing w:after="0"/>
              <w:rPr>
                <w:sz w:val="24"/>
                <w:szCs w:val="24"/>
                <w:color w:val="auto"/>
              </w:rPr>
            </w:pPr>
          </w:p>
        </w:tc>
        <w:tc>
          <w:tcPr>
            <w:tcW w:w="23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2340" w:type="dxa"/>
            <w:vAlign w:val="bottom"/>
            <w:tcBorders>
              <w:bottom w:val="single" w:sz="8" w:color="E6E6E6"/>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80" w:type="dxa"/>
            <w:vAlign w:val="bottom"/>
          </w:tcPr>
          <w:p>
            <w:pPr>
              <w:ind w:left="40"/>
              <w:spacing w:after="0"/>
              <w:rPr>
                <w:sz w:val="20"/>
                <w:szCs w:val="20"/>
                <w:color w:val="auto"/>
              </w:rPr>
            </w:pPr>
            <w:r>
              <w:rPr>
                <w:rFonts w:ascii="Arial" w:cs="Arial" w:eastAsia="Arial" w:hAnsi="Arial"/>
                <w:sz w:val="18"/>
                <w:szCs w:val="18"/>
                <w:b w:val="1"/>
                <w:bCs w:val="1"/>
                <w:color w:val="auto"/>
              </w:rPr>
              <w:t>Abhay Parasnis</w:t>
            </w: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3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Karen Peacock</w:t>
            </w:r>
          </w:p>
        </w:tc>
        <w:tc>
          <w:tcPr>
            <w:tcW w:w="40" w:type="dxa"/>
            <w:vAlign w:val="bottom"/>
            <w:tcBorders>
              <w:left w:val="single" w:sz="8" w:color="E6E6E6"/>
            </w:tcBorders>
          </w:tcPr>
          <w:p>
            <w:pPr>
              <w:spacing w:after="0"/>
              <w:rPr>
                <w:sz w:val="21"/>
                <w:szCs w:val="21"/>
                <w:color w:val="auto"/>
              </w:rPr>
            </w:pPr>
          </w:p>
        </w:tc>
        <w:tc>
          <w:tcPr>
            <w:tcW w:w="2380" w:type="dxa"/>
            <w:vAlign w:val="bottom"/>
            <w:tcBorders>
              <w:bottom w:val="single" w:sz="8" w:color="E6E6E6"/>
            </w:tcBorders>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238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2340" w:type="dxa"/>
            <w:vAlign w:val="bottom"/>
            <w:tcBorders>
              <w:bottom w:val="single" w:sz="8" w:color="E6E6E6"/>
            </w:tcBorders>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380" w:type="dxa"/>
            <w:vAlign w:val="bottom"/>
          </w:tcPr>
          <w:p>
            <w:pPr>
              <w:ind w:left="40"/>
              <w:spacing w:after="0"/>
              <w:rPr>
                <w:sz w:val="20"/>
                <w:szCs w:val="20"/>
                <w:color w:val="auto"/>
              </w:rPr>
            </w:pPr>
            <w:r>
              <w:rPr>
                <w:rFonts w:ascii="Arial" w:cs="Arial" w:eastAsia="Arial" w:hAnsi="Arial"/>
                <w:sz w:val="18"/>
                <w:szCs w:val="18"/>
                <w:b w:val="1"/>
                <w:bCs w:val="1"/>
                <w:color w:val="auto"/>
              </w:rPr>
              <w:t>Michael Seibel</w:t>
            </w: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380" w:type="dxa"/>
            <w:vAlign w:val="bottom"/>
          </w:tcPr>
          <w:p>
            <w:pPr>
              <w:ind w:left="40"/>
              <w:spacing w:after="0"/>
              <w:rPr>
                <w:sz w:val="20"/>
                <w:szCs w:val="20"/>
                <w:color w:val="auto"/>
              </w:rPr>
            </w:pPr>
            <w:r>
              <w:rPr>
                <w:rFonts w:ascii="Arial" w:cs="Arial" w:eastAsia="Arial" w:hAnsi="Arial"/>
                <w:sz w:val="18"/>
                <w:szCs w:val="18"/>
                <w:b w:val="1"/>
                <w:bCs w:val="1"/>
                <w:color w:val="auto"/>
              </w:rPr>
              <w:t>Number of Meetings</w:t>
            </w:r>
          </w:p>
        </w:tc>
        <w:tc>
          <w:tcPr>
            <w:tcW w:w="2420" w:type="dxa"/>
            <w:vAlign w:val="bottom"/>
            <w:gridSpan w:val="2"/>
          </w:tcPr>
          <w:p>
            <w:pPr>
              <w:jc w:val="right"/>
              <w:ind w:right="1057"/>
              <w:spacing w:after="0"/>
              <w:rPr>
                <w:sz w:val="20"/>
                <w:szCs w:val="20"/>
                <w:color w:val="auto"/>
              </w:rPr>
            </w:pPr>
            <w:r>
              <w:rPr>
                <w:rFonts w:ascii="Arial" w:cs="Arial" w:eastAsia="Arial" w:hAnsi="Arial"/>
                <w:sz w:val="18"/>
                <w:szCs w:val="18"/>
                <w:color w:val="auto"/>
              </w:rPr>
              <w:t>4</w:t>
            </w:r>
          </w:p>
        </w:tc>
        <w:tc>
          <w:tcPr>
            <w:tcW w:w="2420" w:type="dxa"/>
            <w:vAlign w:val="bottom"/>
            <w:gridSpan w:val="2"/>
          </w:tcPr>
          <w:p>
            <w:pPr>
              <w:jc w:val="right"/>
              <w:ind w:right="1057"/>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380" w:type="dxa"/>
            <w:vAlign w:val="bottom"/>
          </w:tcPr>
          <w:p>
            <w:pPr>
              <w:ind w:left="620"/>
              <w:spacing w:after="0"/>
              <w:rPr>
                <w:sz w:val="20"/>
                <w:szCs w:val="20"/>
                <w:color w:val="auto"/>
              </w:rPr>
            </w:pPr>
            <w:r>
              <w:rPr>
                <w:rFonts w:ascii="Arial" w:cs="Arial" w:eastAsia="Arial" w:hAnsi="Arial"/>
                <w:sz w:val="18"/>
                <w:szCs w:val="18"/>
                <w:color w:val="auto"/>
              </w:rPr>
              <w:t>Committee member</w:t>
            </w:r>
          </w:p>
        </w:tc>
        <w:tc>
          <w:tcPr>
            <w:tcW w:w="40" w:type="dxa"/>
            <w:vAlign w:val="bottom"/>
          </w:tcPr>
          <w:p>
            <w:pPr>
              <w:spacing w:after="0"/>
              <w:rPr>
                <w:sz w:val="24"/>
                <w:szCs w:val="24"/>
                <w:color w:val="auto"/>
              </w:rPr>
            </w:pPr>
          </w:p>
        </w:tc>
        <w:tc>
          <w:tcPr>
            <w:tcW w:w="2380" w:type="dxa"/>
            <w:vAlign w:val="bottom"/>
          </w:tcPr>
          <w:p>
            <w:pPr>
              <w:ind w:left="720"/>
              <w:spacing w:after="0"/>
              <w:rPr>
                <w:sz w:val="20"/>
                <w:szCs w:val="20"/>
                <w:color w:val="auto"/>
              </w:rPr>
            </w:pPr>
            <w:r>
              <w:rPr>
                <w:rFonts w:ascii="Arial" w:cs="Arial" w:eastAsia="Arial" w:hAnsi="Arial"/>
                <w:sz w:val="18"/>
                <w:szCs w:val="18"/>
                <w:color w:val="auto"/>
              </w:rPr>
              <w:t>Committee chair</w:t>
            </w:r>
          </w:p>
        </w:tc>
        <w:tc>
          <w:tcPr>
            <w:tcW w:w="40" w:type="dxa"/>
            <w:vAlign w:val="bottom"/>
          </w:tcPr>
          <w:p>
            <w:pPr>
              <w:spacing w:after="0"/>
              <w:rPr>
                <w:sz w:val="24"/>
                <w:szCs w:val="24"/>
                <w:color w:val="auto"/>
              </w:rPr>
            </w:pPr>
          </w:p>
        </w:tc>
        <w:tc>
          <w:tcPr>
            <w:tcW w:w="2440" w:type="dxa"/>
            <w:vAlign w:val="bottom"/>
            <w:gridSpan w:val="2"/>
          </w:tcPr>
          <w:p>
            <w:pPr>
              <w:ind w:left="760"/>
              <w:spacing w:after="0"/>
              <w:rPr>
                <w:sz w:val="20"/>
                <w:szCs w:val="20"/>
                <w:color w:val="auto"/>
              </w:rPr>
            </w:pPr>
            <w:r>
              <w:rPr>
                <w:rFonts w:ascii="Arial" w:cs="Arial" w:eastAsia="Arial" w:hAnsi="Arial"/>
                <w:sz w:val="18"/>
                <w:szCs w:val="18"/>
                <w:color w:val="auto"/>
              </w:rPr>
              <w:t>Financial expert</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-1647190</wp:posOffset>
            </wp:positionV>
            <wp:extent cx="111125"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-1647190</wp:posOffset>
            </wp:positionV>
            <wp:extent cx="111125"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-1457960</wp:posOffset>
            </wp:positionV>
            <wp:extent cx="111125" cy="109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extLst>
                    </a:blip>
                    <a:srcRect/>
                    <a:stretch>
                      <a:fillRect/>
                    </a:stretch>
                  </pic:blipFill>
                  <pic:spPr bwMode="auto">
                    <a:xfrm>
                      <a:off x="0" y="0"/>
                      <a:ext cx="111125" cy="109220"/>
                    </a:xfrm>
                    <a:prstGeom prst="rect">
                      <a:avLst/>
                    </a:prstGeom>
                    <a:noFill/>
                  </pic:spPr>
                </pic:pic>
              </a:graphicData>
            </a:graphic>
          </wp:anchor>
        </w:drawing>
        <w:drawing>
          <wp:anchor simplePos="0" relativeHeight="251657728" behindDoc="1" locked="0" layoutInCell="0" allowOverlap="1">
            <wp:simplePos x="0" y="0"/>
            <wp:positionH relativeFrom="column">
              <wp:posOffset>2117090</wp:posOffset>
            </wp:positionH>
            <wp:positionV relativeFrom="paragraph">
              <wp:posOffset>-1305560</wp:posOffset>
            </wp:positionV>
            <wp:extent cx="353695" cy="147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extLst>
                    </a:blip>
                    <a:srcRect/>
                    <a:stretch>
                      <a:fillRect/>
                    </a:stretch>
                  </pic:blipFill>
                  <pic:spPr bwMode="auto">
                    <a:xfrm>
                      <a:off x="0" y="0"/>
                      <a:ext cx="353695" cy="14732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-1268730</wp:posOffset>
            </wp:positionV>
            <wp:extent cx="111125" cy="110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extLst>
                    </a:blip>
                    <a:srcRect/>
                    <a:stretch>
                      <a:fillRect/>
                    </a:stretch>
                  </pic:blipFill>
                  <pic:spPr bwMode="auto">
                    <a:xfrm>
                      <a:off x="0" y="0"/>
                      <a:ext cx="111125" cy="110490"/>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-865505</wp:posOffset>
            </wp:positionV>
            <wp:extent cx="111125" cy="111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-676275</wp:posOffset>
            </wp:positionV>
            <wp:extent cx="111760"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-486410</wp:posOffset>
            </wp:positionV>
            <wp:extent cx="111125" cy="109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extLst>
                    </a:blip>
                    <a:srcRect/>
                    <a:stretch>
                      <a:fillRect/>
                    </a:stretch>
                  </pic:blipFill>
                  <pic:spPr bwMode="auto">
                    <a:xfrm>
                      <a:off x="0" y="0"/>
                      <a:ext cx="111125" cy="10985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-144145</wp:posOffset>
            </wp:positionV>
            <wp:extent cx="111760" cy="111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-156210</wp:posOffset>
            </wp:positionV>
            <wp:extent cx="111125" cy="111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-168275</wp:posOffset>
            </wp:positionV>
            <wp:extent cx="148590" cy="123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a:extLst>
                        <a:ext uri="{28A0092B-C50C-407E-A947-70E740481C1C}"/>
                      </a:extLst>
                    </a:blip>
                    <a:srcRect/>
                    <a:stretch>
                      <a:fillRect/>
                    </a:stretch>
                  </pic:blipFill>
                  <pic:spPr bwMode="auto">
                    <a:xfrm>
                      <a:off x="0" y="0"/>
                      <a:ext cx="148590" cy="123825"/>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-1112520</wp:posOffset>
            </wp:positionV>
            <wp:extent cx="115570" cy="115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hanging="475"/>
        <w:spacing w:after="0"/>
        <w:tabs>
          <w:tab w:leader="none" w:pos="52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24" w:name="page25"/>
    <w:bookmarkEnd w:id="24"/>
    <w:p>
      <w:pPr>
        <w:ind w:left="7" w:right="46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Audit Committee</w:t>
      </w:r>
    </w:p>
    <w:p>
      <w:pPr>
        <w:spacing w:after="0" w:line="203" w:lineRule="exact"/>
        <w:rPr>
          <w:sz w:val="20"/>
          <w:szCs w:val="20"/>
          <w:color w:val="auto"/>
        </w:rPr>
      </w:pPr>
    </w:p>
    <w:p>
      <w:pPr>
        <w:ind w:left="7" w:right="40"/>
        <w:spacing w:after="0" w:line="279" w:lineRule="auto"/>
        <w:rPr>
          <w:sz w:val="20"/>
          <w:szCs w:val="20"/>
          <w:color w:val="auto"/>
        </w:rPr>
      </w:pPr>
      <w:r>
        <w:rPr>
          <w:rFonts w:ascii="Arial" w:cs="Arial" w:eastAsia="Arial" w:hAnsi="Arial"/>
          <w:sz w:val="18"/>
          <w:szCs w:val="18"/>
          <w:color w:val="auto"/>
        </w:rPr>
        <w:t>Our audit committee consists of Mr. Jenson, Dr. Moore and Ms. Campbell, with Mr. Jenson serving as chair. Each of the members of the audit committee meets the requirements for independence of audit committee members under Nasdaq listing rules and SEC rules and regulations and also meets the financial literacy and sophistication requirements of the Nasdaq listing rules. Our board of directors has determined that Mr. Jenson is an audit committee financial expert within the meaning of Item 407(d) of Regulation S-K. Our audit committee is responsible for, among other things:</w:t>
      </w:r>
    </w:p>
    <w:p>
      <w:pPr>
        <w:spacing w:after="0" w:line="131" w:lineRule="exact"/>
        <w:rPr>
          <w:sz w:val="20"/>
          <w:szCs w:val="20"/>
          <w:color w:val="auto"/>
        </w:rPr>
      </w:pPr>
    </w:p>
    <w:p>
      <w:pPr>
        <w:ind w:left="347" w:hanging="347"/>
        <w:spacing w:after="0"/>
        <w:tabs>
          <w:tab w:leader="none" w:pos="347" w:val="left"/>
        </w:tabs>
        <w:numPr>
          <w:ilvl w:val="0"/>
          <w:numId w:val="18"/>
        </w:numPr>
        <w:rPr>
          <w:rFonts w:ascii="Arial" w:cs="Arial" w:eastAsia="Arial" w:hAnsi="Arial"/>
          <w:sz w:val="17"/>
          <w:szCs w:val="17"/>
          <w:color w:val="0A248E"/>
        </w:rPr>
      </w:pPr>
      <w:r>
        <w:rPr>
          <w:rFonts w:ascii="Arial" w:cs="Arial" w:eastAsia="Arial" w:hAnsi="Arial"/>
          <w:sz w:val="17"/>
          <w:szCs w:val="17"/>
          <w:color w:val="auto"/>
        </w:rPr>
        <w:t>selecting a qualified firm to serve as the independent registered public accounting firm to audit our financial statements;</w:t>
      </w:r>
    </w:p>
    <w:p>
      <w:pPr>
        <w:spacing w:after="0" w:line="211" w:lineRule="exact"/>
        <w:rPr>
          <w:rFonts w:ascii="Arial" w:cs="Arial" w:eastAsia="Arial" w:hAnsi="Arial"/>
          <w:sz w:val="17"/>
          <w:szCs w:val="17"/>
          <w:color w:val="0A248E"/>
        </w:rPr>
      </w:pPr>
    </w:p>
    <w:p>
      <w:pPr>
        <w:ind w:left="347" w:hanging="347"/>
        <w:spacing w:after="0"/>
        <w:tabs>
          <w:tab w:leader="none" w:pos="347" w:val="left"/>
        </w:tabs>
        <w:numPr>
          <w:ilvl w:val="0"/>
          <w:numId w:val="18"/>
        </w:numPr>
        <w:rPr>
          <w:rFonts w:ascii="Arial" w:cs="Arial" w:eastAsia="Arial" w:hAnsi="Arial"/>
          <w:sz w:val="17"/>
          <w:szCs w:val="17"/>
          <w:color w:val="0A248E"/>
        </w:rPr>
      </w:pPr>
      <w:r>
        <w:rPr>
          <w:rFonts w:ascii="Arial" w:cs="Arial" w:eastAsia="Arial" w:hAnsi="Arial"/>
          <w:sz w:val="17"/>
          <w:szCs w:val="17"/>
          <w:color w:val="auto"/>
        </w:rPr>
        <w:t>helping to ensure the independence and overseeing performance of the independent registered public accounting firm;</w:t>
      </w:r>
    </w:p>
    <w:p>
      <w:pPr>
        <w:spacing w:after="0" w:line="211" w:lineRule="exact"/>
        <w:rPr>
          <w:rFonts w:ascii="Arial" w:cs="Arial" w:eastAsia="Arial" w:hAnsi="Arial"/>
          <w:sz w:val="17"/>
          <w:szCs w:val="17"/>
          <w:color w:val="0A248E"/>
        </w:rPr>
      </w:pPr>
    </w:p>
    <w:p>
      <w:pPr>
        <w:jc w:val="both"/>
        <w:ind w:left="347" w:hanging="347"/>
        <w:spacing w:after="0" w:line="291" w:lineRule="auto"/>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reviewing and discussing the scope and results of the audit with the independent registered public accounting firm, and reviewing, with management, internal audit and the independent registered public accounting firm, our interim and year-end operating results;</w:t>
      </w:r>
    </w:p>
    <w:p>
      <w:pPr>
        <w:spacing w:after="0" w:line="122" w:lineRule="exact"/>
        <w:rPr>
          <w:rFonts w:ascii="Arial" w:cs="Arial" w:eastAsia="Arial" w:hAnsi="Arial"/>
          <w:sz w:val="18"/>
          <w:szCs w:val="18"/>
          <w:color w:val="0A248E"/>
        </w:rPr>
      </w:pPr>
    </w:p>
    <w:p>
      <w:pPr>
        <w:ind w:left="347" w:hanging="347"/>
        <w:spacing w:after="0"/>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reviewing our financial statements and our critical accounting policies and estimates;</w:t>
      </w:r>
    </w:p>
    <w:p>
      <w:pPr>
        <w:spacing w:after="0" w:line="200" w:lineRule="exact"/>
        <w:rPr>
          <w:rFonts w:ascii="Arial" w:cs="Arial" w:eastAsia="Arial" w:hAnsi="Arial"/>
          <w:sz w:val="18"/>
          <w:szCs w:val="18"/>
          <w:color w:val="0A248E"/>
        </w:rPr>
      </w:pPr>
    </w:p>
    <w:p>
      <w:pPr>
        <w:ind w:left="347" w:right="620" w:hanging="347"/>
        <w:spacing w:after="0" w:line="310" w:lineRule="auto"/>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overseeing and monitoring the integrity of our financial statements and our compliance with legal and regulatory requirements as they relate to financial statements or accounting matters;</w:t>
      </w:r>
    </w:p>
    <w:p>
      <w:pPr>
        <w:spacing w:after="0" w:line="106" w:lineRule="exact"/>
        <w:rPr>
          <w:rFonts w:ascii="Arial" w:cs="Arial" w:eastAsia="Arial" w:hAnsi="Arial"/>
          <w:sz w:val="18"/>
          <w:szCs w:val="18"/>
          <w:color w:val="0A248E"/>
        </w:rPr>
      </w:pPr>
    </w:p>
    <w:p>
      <w:pPr>
        <w:ind w:left="347" w:right="840" w:hanging="347"/>
        <w:spacing w:after="0" w:line="310" w:lineRule="auto"/>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overseeing programs and policies with respect to assessing and managing risks pertaining to our operational infrastructure, particularly reliability, business continuity, cybersecurity, and data privacy;</w:t>
      </w:r>
    </w:p>
    <w:p>
      <w:pPr>
        <w:spacing w:after="0" w:line="101" w:lineRule="exact"/>
        <w:rPr>
          <w:rFonts w:ascii="Arial" w:cs="Arial" w:eastAsia="Arial" w:hAnsi="Arial"/>
          <w:sz w:val="18"/>
          <w:szCs w:val="18"/>
          <w:color w:val="0A248E"/>
        </w:rPr>
      </w:pPr>
    </w:p>
    <w:p>
      <w:pPr>
        <w:ind w:left="347" w:hanging="347"/>
        <w:spacing w:after="0"/>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reviewing and approving any amendments to the internal audit charter;</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reviewing the design, implementation, adequacy, and effectiveness of our internal controls;</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overseeing the performance of our internal audit department, which functionally reports to the audit committee;</w:t>
      </w:r>
    </w:p>
    <w:p>
      <w:pPr>
        <w:spacing w:after="0" w:line="200" w:lineRule="exact"/>
        <w:rPr>
          <w:rFonts w:ascii="Arial" w:cs="Arial" w:eastAsia="Arial" w:hAnsi="Arial"/>
          <w:sz w:val="18"/>
          <w:szCs w:val="18"/>
          <w:color w:val="0A248E"/>
        </w:rPr>
      </w:pPr>
    </w:p>
    <w:p>
      <w:pPr>
        <w:ind w:left="347" w:right="880" w:hanging="347"/>
        <w:spacing w:after="0" w:line="316" w:lineRule="auto"/>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establishing and overseeing procedures for employees to submit concerns anonymously about questionable accounting, internal accounting controls, or audit matters;</w:t>
      </w:r>
    </w:p>
    <w:p>
      <w:pPr>
        <w:spacing w:after="0" w:line="96" w:lineRule="exact"/>
        <w:rPr>
          <w:rFonts w:ascii="Arial" w:cs="Arial" w:eastAsia="Arial" w:hAnsi="Arial"/>
          <w:sz w:val="18"/>
          <w:szCs w:val="18"/>
          <w:color w:val="0A248E"/>
        </w:rPr>
      </w:pPr>
    </w:p>
    <w:p>
      <w:pPr>
        <w:ind w:left="347" w:hanging="347"/>
        <w:spacing w:after="0"/>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overseeing management’s assessment and mitigation of enterprise risks;</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overseeing compliance with our code of business conduct and ethics;</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reviewing and approving related party transactions; and</w:t>
      </w:r>
    </w:p>
    <w:p>
      <w:pPr>
        <w:spacing w:after="0" w:line="200" w:lineRule="exact"/>
        <w:rPr>
          <w:rFonts w:ascii="Arial" w:cs="Arial" w:eastAsia="Arial" w:hAnsi="Arial"/>
          <w:sz w:val="18"/>
          <w:szCs w:val="18"/>
          <w:color w:val="0A248E"/>
        </w:rPr>
      </w:pPr>
    </w:p>
    <w:p>
      <w:pPr>
        <w:ind w:left="347" w:right="400" w:hanging="347"/>
        <w:spacing w:after="0" w:line="316" w:lineRule="auto"/>
        <w:tabs>
          <w:tab w:leader="none" w:pos="347" w:val="left"/>
        </w:tabs>
        <w:numPr>
          <w:ilvl w:val="0"/>
          <w:numId w:val="18"/>
        </w:numPr>
        <w:rPr>
          <w:rFonts w:ascii="Arial" w:cs="Arial" w:eastAsia="Arial" w:hAnsi="Arial"/>
          <w:sz w:val="18"/>
          <w:szCs w:val="18"/>
          <w:color w:val="0A248E"/>
        </w:rPr>
      </w:pPr>
      <w:r>
        <w:rPr>
          <w:rFonts w:ascii="Arial" w:cs="Arial" w:eastAsia="Arial" w:hAnsi="Arial"/>
          <w:sz w:val="18"/>
          <w:szCs w:val="18"/>
          <w:color w:val="auto"/>
        </w:rPr>
        <w:t>pre-approving all audit and all permissible non-audit services to be performed by the independent registered public accounting firm.</w:t>
      </w:r>
    </w:p>
    <w:p>
      <w:pPr>
        <w:spacing w:after="0" w:line="96" w:lineRule="exact"/>
        <w:rPr>
          <w:sz w:val="20"/>
          <w:szCs w:val="20"/>
          <w:color w:val="auto"/>
        </w:rPr>
      </w:pPr>
    </w:p>
    <w:p>
      <w:pPr>
        <w:ind w:left="7" w:right="140"/>
        <w:spacing w:after="0" w:line="291"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2025, our audit committee held four meetings.</w:t>
      </w:r>
    </w:p>
    <w:p>
      <w:pPr>
        <w:sectPr>
          <w:pgSz w:w="11880" w:h="15480" w:orient="portrait"/>
          <w:cols w:equalWidth="0" w:num="1">
            <w:col w:w="9627"/>
          </w:cols>
          <w:pgMar w:left="1133" w:top="3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17</w:t>
      </w:r>
    </w:p>
    <w:p>
      <w:pPr>
        <w:sectPr>
          <w:pgSz w:w="11880" w:h="15480" w:orient="portrait"/>
          <w:cols w:equalWidth="0" w:num="1">
            <w:col w:w="9627"/>
          </w:cols>
          <w:pgMar w:left="1133" w:top="340" w:right="1120" w:bottom="0" w:gutter="0" w:footer="0" w:header="0"/>
          <w:type w:val="continuous"/>
        </w:sectPr>
      </w:pPr>
    </w:p>
    <w:bookmarkStart w:id="25" w:name="page26"/>
    <w:bookmarkEnd w:id="25"/>
    <w:p>
      <w:pPr>
        <w:ind w:left="7" w:right="4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Talent and Compensation Committee</w:t>
      </w:r>
    </w:p>
    <w:p>
      <w:pPr>
        <w:spacing w:after="0" w:line="203" w:lineRule="exact"/>
        <w:rPr>
          <w:sz w:val="20"/>
          <w:szCs w:val="20"/>
          <w:color w:val="auto"/>
        </w:rPr>
      </w:pPr>
    </w:p>
    <w:p>
      <w:pPr>
        <w:ind w:left="7" w:right="160"/>
        <w:spacing w:after="0" w:line="276" w:lineRule="auto"/>
        <w:rPr>
          <w:sz w:val="20"/>
          <w:szCs w:val="20"/>
          <w:color w:val="auto"/>
        </w:rPr>
      </w:pPr>
      <w:r>
        <w:rPr>
          <w:rFonts w:ascii="Arial" w:cs="Arial" w:eastAsia="Arial" w:hAnsi="Arial"/>
          <w:sz w:val="18"/>
          <w:szCs w:val="18"/>
          <w:color w:val="auto"/>
        </w:rPr>
        <w:t>Our talent and compensation committee consists of Dr. Jacobs, Messrs. Parasnis and Seibel, and Ms. Peacock with Dr. Jacobs serving as chair. Upon the end of Dr. Jacobs’ term at the Annual Meeting, Mr. Seibel will succeed Dr. Jacobs as chair. Each member of the talent and compensation committee meets the requirements for independence for talent and compensation committee members under the listing standards of Nasdaq. Each member of our talent and compensation committee is also a non-employee director, as defined pursuant to Rule 16b-3 promulgated under the Securities Exchange Act of 1934, as amended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Rule 16b-3. Our talent and compensation committee is responsible for, among other things:</w:t>
      </w:r>
    </w:p>
    <w:p>
      <w:pPr>
        <w:spacing w:after="0" w:line="131" w:lineRule="exact"/>
        <w:rPr>
          <w:sz w:val="20"/>
          <w:szCs w:val="20"/>
          <w:color w:val="auto"/>
        </w:rPr>
      </w:pPr>
    </w:p>
    <w:p>
      <w:pPr>
        <w:ind w:left="347" w:right="980" w:hanging="347"/>
        <w:spacing w:after="0" w:line="316" w:lineRule="auto"/>
        <w:tabs>
          <w:tab w:leader="none" w:pos="347" w:val="left"/>
        </w:tabs>
        <w:numPr>
          <w:ilvl w:val="0"/>
          <w:numId w:val="19"/>
        </w:numPr>
        <w:rPr>
          <w:rFonts w:ascii="Arial" w:cs="Arial" w:eastAsia="Arial" w:hAnsi="Arial"/>
          <w:sz w:val="18"/>
          <w:szCs w:val="18"/>
          <w:color w:val="0A248E"/>
        </w:rPr>
      </w:pPr>
      <w:r>
        <w:rPr>
          <w:rFonts w:ascii="Arial" w:cs="Arial" w:eastAsia="Arial" w:hAnsi="Arial"/>
          <w:sz w:val="18"/>
          <w:szCs w:val="18"/>
          <w:color w:val="auto"/>
        </w:rPr>
        <w:t>reviewing, approving, and determining, or making recommendations to our board of directors regarding, the compensation of our executive officers, including our Chief Executive Officer;</w:t>
      </w:r>
    </w:p>
    <w:p>
      <w:pPr>
        <w:spacing w:after="0" w:line="96" w:lineRule="exact"/>
        <w:rPr>
          <w:rFonts w:ascii="Arial" w:cs="Arial" w:eastAsia="Arial" w:hAnsi="Arial"/>
          <w:sz w:val="18"/>
          <w:szCs w:val="18"/>
          <w:color w:val="0A248E"/>
        </w:rPr>
      </w:pPr>
    </w:p>
    <w:p>
      <w:pPr>
        <w:ind w:left="347" w:hanging="347"/>
        <w:spacing w:after="0"/>
        <w:tabs>
          <w:tab w:leader="none" w:pos="347" w:val="left"/>
        </w:tabs>
        <w:numPr>
          <w:ilvl w:val="0"/>
          <w:numId w:val="19"/>
        </w:numPr>
        <w:rPr>
          <w:rFonts w:ascii="Arial" w:cs="Arial" w:eastAsia="Arial" w:hAnsi="Arial"/>
          <w:sz w:val="18"/>
          <w:szCs w:val="18"/>
          <w:color w:val="0A248E"/>
        </w:rPr>
      </w:pPr>
      <w:r>
        <w:rPr>
          <w:rFonts w:ascii="Arial" w:cs="Arial" w:eastAsia="Arial" w:hAnsi="Arial"/>
          <w:sz w:val="18"/>
          <w:szCs w:val="18"/>
          <w:color w:val="auto"/>
        </w:rPr>
        <w:t>reviewing, approving, and administering our incentive compensation and equity compensation plans;</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19"/>
        </w:numPr>
        <w:rPr>
          <w:rFonts w:ascii="Arial" w:cs="Arial" w:eastAsia="Arial" w:hAnsi="Arial"/>
          <w:sz w:val="18"/>
          <w:szCs w:val="18"/>
          <w:color w:val="0A248E"/>
        </w:rPr>
      </w:pPr>
      <w:r>
        <w:rPr>
          <w:rFonts w:ascii="Arial" w:cs="Arial" w:eastAsia="Arial" w:hAnsi="Arial"/>
          <w:sz w:val="18"/>
          <w:szCs w:val="18"/>
          <w:color w:val="auto"/>
        </w:rPr>
        <w:t>reviewing and approving our overall compensation philosophy;</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19"/>
        </w:numPr>
        <w:rPr>
          <w:rFonts w:ascii="Arial" w:cs="Arial" w:eastAsia="Arial" w:hAnsi="Arial"/>
          <w:sz w:val="18"/>
          <w:szCs w:val="18"/>
          <w:color w:val="0A248E"/>
        </w:rPr>
      </w:pPr>
      <w:r>
        <w:rPr>
          <w:rFonts w:ascii="Arial" w:cs="Arial" w:eastAsia="Arial" w:hAnsi="Arial"/>
          <w:sz w:val="18"/>
          <w:szCs w:val="18"/>
          <w:color w:val="auto"/>
        </w:rPr>
        <w:t>making recommendations regarding non-employee director compensation to our full board of directors; and</w:t>
      </w:r>
    </w:p>
    <w:p>
      <w:pPr>
        <w:spacing w:after="0" w:line="200" w:lineRule="exact"/>
        <w:rPr>
          <w:rFonts w:ascii="Arial" w:cs="Arial" w:eastAsia="Arial" w:hAnsi="Arial"/>
          <w:sz w:val="18"/>
          <w:szCs w:val="18"/>
          <w:color w:val="0A248E"/>
        </w:rPr>
      </w:pPr>
    </w:p>
    <w:p>
      <w:pPr>
        <w:ind w:left="347" w:right="140" w:hanging="347"/>
        <w:spacing w:after="0" w:line="316" w:lineRule="auto"/>
        <w:tabs>
          <w:tab w:leader="none" w:pos="347" w:val="left"/>
        </w:tabs>
        <w:numPr>
          <w:ilvl w:val="0"/>
          <w:numId w:val="19"/>
        </w:numPr>
        <w:rPr>
          <w:rFonts w:ascii="Arial" w:cs="Arial" w:eastAsia="Arial" w:hAnsi="Arial"/>
          <w:sz w:val="18"/>
          <w:szCs w:val="18"/>
          <w:color w:val="0A248E"/>
        </w:rPr>
      </w:pPr>
      <w:r>
        <w:rPr>
          <w:rFonts w:ascii="Arial" w:cs="Arial" w:eastAsia="Arial" w:hAnsi="Arial"/>
          <w:sz w:val="18"/>
          <w:szCs w:val="18"/>
          <w:color w:val="auto"/>
        </w:rPr>
        <w:t>reviewing our human capital management disclosures and activities, including assisting our board with matters related to talent acquisition, management and development, and employee engagement.</w:t>
      </w:r>
    </w:p>
    <w:p>
      <w:pPr>
        <w:spacing w:after="0" w:line="96" w:lineRule="exact"/>
        <w:rPr>
          <w:sz w:val="20"/>
          <w:szCs w:val="20"/>
          <w:color w:val="auto"/>
        </w:rPr>
      </w:pPr>
    </w:p>
    <w:p>
      <w:pPr>
        <w:ind w:left="7"/>
        <w:spacing w:after="0" w:line="315" w:lineRule="auto"/>
        <w:rPr>
          <w:sz w:val="20"/>
          <w:szCs w:val="20"/>
          <w:color w:val="auto"/>
        </w:rPr>
      </w:pPr>
      <w:r>
        <w:rPr>
          <w:rFonts w:ascii="Arial" w:cs="Arial" w:eastAsia="Arial" w:hAnsi="Arial"/>
          <w:sz w:val="17"/>
          <w:szCs w:val="17"/>
          <w:color w:val="auto"/>
        </w:rPr>
        <w:t>Our talent and compensation committee operates under a written charter that satisfies the applicable rules and regulations of the SEC and the listing standards of Nasdaq. A copy of the charter for our talent and compensation committee is available on our website at investors.dropbox.com. During 2025, our talent and compensation committee held four meetings.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Nominating and Corporate Governance Committee</w:t>
      </w:r>
    </w:p>
    <w:p>
      <w:pPr>
        <w:spacing w:after="0" w:line="203" w:lineRule="exact"/>
        <w:rPr>
          <w:sz w:val="20"/>
          <w:szCs w:val="20"/>
          <w:color w:val="auto"/>
        </w:rPr>
      </w:pPr>
    </w:p>
    <w:p>
      <w:pPr>
        <w:ind w:left="7" w:right="40"/>
        <w:spacing w:after="0" w:line="282" w:lineRule="auto"/>
        <w:rPr>
          <w:sz w:val="20"/>
          <w:szCs w:val="20"/>
          <w:color w:val="auto"/>
        </w:rPr>
      </w:pPr>
      <w:r>
        <w:rPr>
          <w:rFonts w:ascii="Arial" w:cs="Arial" w:eastAsia="Arial" w:hAnsi="Arial"/>
          <w:sz w:val="18"/>
          <w:szCs w:val="18"/>
          <w:color w:val="auto"/>
        </w:rPr>
        <w:t>Our nominating and corporate governance committee consists of Ms. Campbell and Mr. Jenson, with Ms. Campbell serving as chair. Each member of the nominating and corporate governance committee meets the requirements for independence under the listing standards of Nasdaq. Our nominating and corporate governance committee is responsible for, among other things:</w:t>
      </w:r>
    </w:p>
    <w:p>
      <w:pPr>
        <w:spacing w:after="0" w:line="132" w:lineRule="exact"/>
        <w:rPr>
          <w:sz w:val="20"/>
          <w:szCs w:val="20"/>
          <w:color w:val="auto"/>
        </w:rPr>
      </w:pPr>
    </w:p>
    <w:p>
      <w:pPr>
        <w:ind w:left="347" w:right="240" w:hanging="347"/>
        <w:spacing w:after="0" w:line="310" w:lineRule="auto"/>
        <w:tabs>
          <w:tab w:leader="none" w:pos="347" w:val="left"/>
        </w:tabs>
        <w:numPr>
          <w:ilvl w:val="0"/>
          <w:numId w:val="20"/>
        </w:numPr>
        <w:rPr>
          <w:rFonts w:ascii="Arial" w:cs="Arial" w:eastAsia="Arial" w:hAnsi="Arial"/>
          <w:sz w:val="18"/>
          <w:szCs w:val="18"/>
          <w:color w:val="0A248E"/>
        </w:rPr>
      </w:pPr>
      <w:r>
        <w:rPr>
          <w:rFonts w:ascii="Arial" w:cs="Arial" w:eastAsia="Arial" w:hAnsi="Arial"/>
          <w:sz w:val="18"/>
          <w:szCs w:val="18"/>
          <w:color w:val="auto"/>
        </w:rPr>
        <w:t>identifying, evaluating, and making recommendations to our board of directors regarding nominees for election to our board of directors and its committees;</w:t>
      </w:r>
    </w:p>
    <w:p>
      <w:pPr>
        <w:spacing w:after="0" w:line="106" w:lineRule="exact"/>
        <w:rPr>
          <w:rFonts w:ascii="Arial" w:cs="Arial" w:eastAsia="Arial" w:hAnsi="Arial"/>
          <w:sz w:val="18"/>
          <w:szCs w:val="18"/>
          <w:color w:val="0A248E"/>
        </w:rPr>
      </w:pPr>
    </w:p>
    <w:p>
      <w:pPr>
        <w:ind w:left="347" w:hanging="347"/>
        <w:spacing w:after="0"/>
        <w:tabs>
          <w:tab w:leader="none" w:pos="347" w:val="left"/>
        </w:tabs>
        <w:numPr>
          <w:ilvl w:val="0"/>
          <w:numId w:val="20"/>
        </w:numPr>
        <w:rPr>
          <w:rFonts w:ascii="Arial" w:cs="Arial" w:eastAsia="Arial" w:hAnsi="Arial"/>
          <w:sz w:val="18"/>
          <w:szCs w:val="18"/>
          <w:color w:val="0A248E"/>
        </w:rPr>
      </w:pPr>
      <w:r>
        <w:rPr>
          <w:rFonts w:ascii="Arial" w:cs="Arial" w:eastAsia="Arial" w:hAnsi="Arial"/>
          <w:sz w:val="18"/>
          <w:szCs w:val="18"/>
          <w:color w:val="auto"/>
        </w:rPr>
        <w:t>overseeing the evaluation of the performance of our board of directors and of individual directors;</w:t>
      </w:r>
    </w:p>
    <w:p>
      <w:pPr>
        <w:spacing w:after="0" w:line="200" w:lineRule="exact"/>
        <w:rPr>
          <w:rFonts w:ascii="Arial" w:cs="Arial" w:eastAsia="Arial" w:hAnsi="Arial"/>
          <w:sz w:val="18"/>
          <w:szCs w:val="18"/>
          <w:color w:val="0A248E"/>
        </w:rPr>
      </w:pPr>
    </w:p>
    <w:p>
      <w:pPr>
        <w:ind w:left="347" w:right="120" w:hanging="347"/>
        <w:spacing w:after="0" w:line="310" w:lineRule="auto"/>
        <w:tabs>
          <w:tab w:leader="none" w:pos="347" w:val="left"/>
        </w:tabs>
        <w:numPr>
          <w:ilvl w:val="0"/>
          <w:numId w:val="20"/>
        </w:numPr>
        <w:rPr>
          <w:rFonts w:ascii="Arial" w:cs="Arial" w:eastAsia="Arial" w:hAnsi="Arial"/>
          <w:sz w:val="18"/>
          <w:szCs w:val="18"/>
          <w:color w:val="0A248E"/>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101" w:lineRule="exact"/>
        <w:rPr>
          <w:rFonts w:ascii="Arial" w:cs="Arial" w:eastAsia="Arial" w:hAnsi="Arial"/>
          <w:sz w:val="18"/>
          <w:szCs w:val="18"/>
          <w:color w:val="0A248E"/>
        </w:rPr>
      </w:pPr>
    </w:p>
    <w:p>
      <w:pPr>
        <w:ind w:left="347" w:hanging="347"/>
        <w:spacing w:after="0"/>
        <w:tabs>
          <w:tab w:leader="none" w:pos="347" w:val="left"/>
        </w:tabs>
        <w:numPr>
          <w:ilvl w:val="0"/>
          <w:numId w:val="20"/>
        </w:numPr>
        <w:rPr>
          <w:rFonts w:ascii="Arial" w:cs="Arial" w:eastAsia="Arial" w:hAnsi="Arial"/>
          <w:sz w:val="18"/>
          <w:szCs w:val="18"/>
          <w:color w:val="0A248E"/>
        </w:rPr>
      </w:pPr>
      <w:r>
        <w:rPr>
          <w:rFonts w:ascii="Arial" w:cs="Arial" w:eastAsia="Arial" w:hAnsi="Arial"/>
          <w:sz w:val="18"/>
          <w:szCs w:val="18"/>
          <w:color w:val="auto"/>
        </w:rPr>
        <w:t>overseeing our corporate governance practices;</w:t>
      </w:r>
    </w:p>
    <w:p>
      <w:pPr>
        <w:spacing w:after="0" w:line="200" w:lineRule="exact"/>
        <w:rPr>
          <w:rFonts w:ascii="Arial" w:cs="Arial" w:eastAsia="Arial" w:hAnsi="Arial"/>
          <w:sz w:val="18"/>
          <w:szCs w:val="18"/>
          <w:color w:val="0A248E"/>
        </w:rPr>
      </w:pPr>
    </w:p>
    <w:p>
      <w:pPr>
        <w:ind w:left="347" w:right="560" w:hanging="347"/>
        <w:spacing w:after="0" w:line="310" w:lineRule="auto"/>
        <w:tabs>
          <w:tab w:leader="none" w:pos="347" w:val="left"/>
        </w:tabs>
        <w:numPr>
          <w:ilvl w:val="0"/>
          <w:numId w:val="20"/>
        </w:numPr>
        <w:rPr>
          <w:rFonts w:ascii="Arial" w:cs="Arial" w:eastAsia="Arial" w:hAnsi="Arial"/>
          <w:sz w:val="18"/>
          <w:szCs w:val="18"/>
          <w:color w:val="0A248E"/>
        </w:rPr>
      </w:pPr>
      <w:r>
        <w:rPr>
          <w:rFonts w:ascii="Arial" w:cs="Arial" w:eastAsia="Arial" w:hAnsi="Arial"/>
          <w:sz w:val="18"/>
          <w:szCs w:val="18"/>
          <w:color w:val="auto"/>
        </w:rPr>
        <w:t>reviewing succession planning processes for executive officers, including the CEO and assisting the board in the succession planning process;</w:t>
      </w:r>
    </w:p>
    <w:p>
      <w:pPr>
        <w:spacing w:after="0" w:line="106" w:lineRule="exact"/>
        <w:rPr>
          <w:rFonts w:ascii="Arial" w:cs="Arial" w:eastAsia="Arial" w:hAnsi="Arial"/>
          <w:sz w:val="18"/>
          <w:szCs w:val="18"/>
          <w:color w:val="0A248E"/>
        </w:rPr>
      </w:pPr>
    </w:p>
    <w:p>
      <w:pPr>
        <w:ind w:left="347" w:right="400" w:hanging="347"/>
        <w:spacing w:after="0" w:line="310" w:lineRule="auto"/>
        <w:tabs>
          <w:tab w:leader="none" w:pos="347" w:val="left"/>
        </w:tabs>
        <w:numPr>
          <w:ilvl w:val="0"/>
          <w:numId w:val="20"/>
        </w:numPr>
        <w:rPr>
          <w:rFonts w:ascii="Arial" w:cs="Arial" w:eastAsia="Arial" w:hAnsi="Arial"/>
          <w:sz w:val="18"/>
          <w:szCs w:val="18"/>
          <w:color w:val="0A248E"/>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06" w:lineRule="exact"/>
        <w:rPr>
          <w:rFonts w:ascii="Arial" w:cs="Arial" w:eastAsia="Arial" w:hAnsi="Arial"/>
          <w:sz w:val="18"/>
          <w:szCs w:val="18"/>
          <w:color w:val="0A248E"/>
        </w:rPr>
      </w:pPr>
    </w:p>
    <w:p>
      <w:pPr>
        <w:ind w:left="347" w:hanging="347"/>
        <w:spacing w:after="0"/>
        <w:tabs>
          <w:tab w:leader="none" w:pos="347" w:val="left"/>
        </w:tabs>
        <w:numPr>
          <w:ilvl w:val="0"/>
          <w:numId w:val="20"/>
        </w:numPr>
        <w:rPr>
          <w:rFonts w:ascii="Arial" w:cs="Arial" w:eastAsia="Arial" w:hAnsi="Arial"/>
          <w:sz w:val="18"/>
          <w:szCs w:val="18"/>
          <w:color w:val="0A248E"/>
        </w:rPr>
      </w:pPr>
      <w:r>
        <w:rPr>
          <w:rFonts w:ascii="Arial" w:cs="Arial" w:eastAsia="Arial" w:hAnsi="Arial"/>
          <w:sz w:val="18"/>
          <w:szCs w:val="18"/>
          <w:color w:val="auto"/>
        </w:rPr>
        <w:t>overseeing compliance with corporate sustainability reporting requirements and related risks.</w:t>
      </w:r>
    </w:p>
    <w:p>
      <w:pPr>
        <w:spacing w:after="0" w:line="200" w:lineRule="exact"/>
        <w:rPr>
          <w:sz w:val="20"/>
          <w:szCs w:val="20"/>
          <w:color w:val="auto"/>
        </w:rPr>
      </w:pPr>
    </w:p>
    <w:p>
      <w:pPr>
        <w:jc w:val="both"/>
        <w:ind w:left="7" w:right="140"/>
        <w:spacing w:after="0" w:line="315" w:lineRule="auto"/>
        <w:rPr>
          <w:sz w:val="20"/>
          <w:szCs w:val="20"/>
          <w:color w:val="auto"/>
        </w:rPr>
      </w:pPr>
      <w:r>
        <w:rPr>
          <w:rFonts w:ascii="Arial" w:cs="Arial" w:eastAsia="Arial" w:hAnsi="Arial"/>
          <w:sz w:val="17"/>
          <w:szCs w:val="17"/>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2025, our nominating and corporate governance committee held three meetings.</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7" w:hanging="475"/>
        <w:spacing w:after="0"/>
        <w:tabs>
          <w:tab w:leader="none" w:pos="527"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26" w:name="page27"/>
    <w:bookmarkEnd w:id="26"/>
    <w:p>
      <w:pPr>
        <w:ind w:right="46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277" w:lineRule="exact"/>
        <w:rPr>
          <w:sz w:val="20"/>
          <w:szCs w:val="20"/>
          <w:color w:val="auto"/>
        </w:rPr>
      </w:pPr>
    </w:p>
    <w:p>
      <w:pPr>
        <w:spacing w:after="0"/>
        <w:rPr>
          <w:sz w:val="20"/>
          <w:szCs w:val="20"/>
          <w:color w:val="auto"/>
        </w:rPr>
      </w:pPr>
      <w:r>
        <w:rPr>
          <w:rFonts w:ascii="Arial" w:cs="Arial" w:eastAsia="Arial" w:hAnsi="Arial"/>
          <w:sz w:val="28"/>
          <w:szCs w:val="28"/>
          <w:color w:val="0A248E"/>
        </w:rPr>
        <w:t>Attendance at Board and Stockholder Meetings</w:t>
      </w:r>
    </w:p>
    <w:p>
      <w:pPr>
        <w:spacing w:after="0" w:line="29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During our fiscal year ended December 31, 2025, our board of directors held five meetings (including regularly scheduled and special meetings), and each director, with the exception of Ms. Peacock who met with management and directors between meetings,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140"/>
        <w:spacing w:after="0" w:line="291"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strongly encourage, but do not require, our directors to attend. All of our directors who then served on the board attended our 2025 annual meeting of our stockholders.</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color w:val="0A248E"/>
        </w:rPr>
        <w:t>Compensation Committee Interlocks and Insider Participation</w:t>
      </w:r>
    </w:p>
    <w:p>
      <w:pPr>
        <w:spacing w:after="0" w:line="295"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None of the members of our talent and compensation committee is or has been an officer or employee of our company. None of our executive officers currently serves, or in the past year has served, as a member of the board of directors or talent and compensation committee (or other board committee performing equivalent functions) of any entity that has one or more of its executive officers serving on our board of directors or talent and compensation committee.</w:t>
      </w:r>
    </w:p>
    <w:p>
      <w:pPr>
        <w:spacing w:after="0" w:line="382" w:lineRule="exact"/>
        <w:rPr>
          <w:sz w:val="20"/>
          <w:szCs w:val="20"/>
          <w:color w:val="auto"/>
        </w:rPr>
      </w:pPr>
    </w:p>
    <w:p>
      <w:pPr>
        <w:spacing w:after="0"/>
        <w:rPr>
          <w:sz w:val="20"/>
          <w:szCs w:val="20"/>
          <w:color w:val="auto"/>
        </w:rPr>
      </w:pPr>
      <w:r>
        <w:rPr>
          <w:rFonts w:ascii="Arial" w:cs="Arial" w:eastAsia="Arial" w:hAnsi="Arial"/>
          <w:sz w:val="28"/>
          <w:szCs w:val="28"/>
          <w:color w:val="0A248E"/>
        </w:rPr>
        <w:t>Considerations in Evaluating Director Nominees</w:t>
      </w:r>
    </w:p>
    <w:p>
      <w:pPr>
        <w:spacing w:after="0" w:line="29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45"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The nominating and corporate governance committee considers the suitability of each director candidate, including current directors, in light of the current size and composition of our board. We do not maintain a specific policy with regards to board diversity and our board of directors believes that our board should exhibit a wide range of views and perspectives. After completing its review and evaluation of director candidates, including incumbent directors, our nominating and corporate governance committee recommends to our full board of directors the director nominees for selection.</w:t>
      </w:r>
    </w:p>
    <w:p>
      <w:pPr>
        <w:sectPr>
          <w:pgSz w:w="11880" w:h="15480" w:orient="portrait"/>
          <w:cols w:equalWidth="0" w:num="1">
            <w:col w:w="9620"/>
          </w:cols>
          <w:pgMar w:left="1140" w:top="3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19</w:t>
      </w:r>
    </w:p>
    <w:p>
      <w:pPr>
        <w:sectPr>
          <w:pgSz w:w="11880" w:h="15480" w:orient="portrait"/>
          <w:cols w:equalWidth="0" w:num="1">
            <w:col w:w="9620"/>
          </w:cols>
          <w:pgMar w:left="1140" w:top="340" w:right="1120" w:bottom="0" w:gutter="0" w:footer="0" w:header="0"/>
          <w:type w:val="continuous"/>
        </w:sectPr>
      </w:pPr>
    </w:p>
    <w:bookmarkStart w:id="27" w:name="page28"/>
    <w:bookmarkEnd w:id="27"/>
    <w:p>
      <w:pPr>
        <w:ind w:right="4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274" w:lineRule="exact"/>
        <w:rPr>
          <w:sz w:val="20"/>
          <w:szCs w:val="20"/>
          <w:color w:val="auto"/>
        </w:rPr>
      </w:pPr>
    </w:p>
    <w:p>
      <w:pPr>
        <w:spacing w:after="0"/>
        <w:rPr>
          <w:sz w:val="20"/>
          <w:szCs w:val="20"/>
          <w:color w:val="auto"/>
        </w:rPr>
      </w:pPr>
      <w:r>
        <w:rPr>
          <w:rFonts w:ascii="Arial" w:cs="Arial" w:eastAsia="Arial" w:hAnsi="Arial"/>
          <w:sz w:val="28"/>
          <w:szCs w:val="28"/>
          <w:color w:val="0A248E"/>
        </w:rPr>
        <w:t>Board Evaluations</w:t>
      </w:r>
    </w:p>
    <w:p>
      <w:pPr>
        <w:spacing w:after="0" w:line="295" w:lineRule="exact"/>
        <w:rPr>
          <w:sz w:val="20"/>
          <w:szCs w:val="20"/>
          <w:color w:val="auto"/>
        </w:rPr>
      </w:pPr>
    </w:p>
    <w:p>
      <w:pPr>
        <w:jc w:val="both"/>
        <w:ind w:right="520"/>
        <w:spacing w:after="0" w:line="288" w:lineRule="auto"/>
        <w:rPr>
          <w:sz w:val="20"/>
          <w:szCs w:val="20"/>
          <w:color w:val="auto"/>
        </w:rPr>
      </w:pPr>
      <w:r>
        <w:rPr>
          <w:rFonts w:ascii="Arial" w:cs="Arial" w:eastAsia="Arial" w:hAnsi="Arial"/>
          <w:sz w:val="18"/>
          <w:szCs w:val="18"/>
          <w:color w:val="auto"/>
        </w:rPr>
        <w:t>The effectiveness of our board of directors and its committees is critical to our success. To maintain and improve that effectiveness, our nominating and corporate governance committee, in partnership with our lead independent director, oversees the design and implementation of an annual assessment of our board and its committees.</w:t>
      </w:r>
    </w:p>
    <w:p>
      <w:pPr>
        <w:spacing w:after="0" w:line="12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board of directors engaged a third-party board governance consultant (the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to help enhance this assessment process. Our board of directors believes that the third-party Consultant strengthens the board's effectiveness as the Consultant brings broad market insight and an objective, candid perspective on a wide range of governance matters, including board dynamics, structure and composition, meeting agendas, decision-making and overall effectiveness. The Consultant prepared a written survey in close partnership with our nominating and governance committee, in-house legal team, and lead independent director. This survey contained a mix of statements and open-ended questions. The Consultant then consolidated this feedback and led a discussion with the board regarding results and opportunities to increase effectiveness.</w:t>
      </w:r>
    </w:p>
    <w:p>
      <w:pPr>
        <w:spacing w:after="0" w:line="141" w:lineRule="exact"/>
        <w:rPr>
          <w:sz w:val="20"/>
          <w:szCs w:val="20"/>
          <w:color w:val="auto"/>
        </w:rPr>
      </w:pPr>
    </w:p>
    <w:p>
      <w:pPr>
        <w:ind w:right="500"/>
        <w:spacing w:after="0" w:line="310" w:lineRule="auto"/>
        <w:rPr>
          <w:sz w:val="20"/>
          <w:szCs w:val="20"/>
          <w:color w:val="auto"/>
        </w:rPr>
      </w:pPr>
      <w:r>
        <w:rPr>
          <w:rFonts w:ascii="Arial" w:cs="Arial" w:eastAsia="Arial" w:hAnsi="Arial"/>
          <w:sz w:val="18"/>
          <w:szCs w:val="18"/>
          <w:color w:val="auto"/>
        </w:rPr>
        <w:t>Our board of directors and its committees implement improvements and take further actions, as appropriate, based on opportunities identified during its evaluation.</w:t>
      </w:r>
    </w:p>
    <w:p>
      <w:pPr>
        <w:spacing w:after="0" w:line="98" w:lineRule="exact"/>
        <w:rPr>
          <w:sz w:val="20"/>
          <w:szCs w:val="20"/>
          <w:color w:val="auto"/>
        </w:rPr>
      </w:pPr>
    </w:p>
    <w:p>
      <w:pPr>
        <w:spacing w:after="0"/>
        <w:rPr>
          <w:sz w:val="20"/>
          <w:szCs w:val="20"/>
          <w:color w:val="auto"/>
        </w:rPr>
      </w:pPr>
      <w:r>
        <w:rPr>
          <w:rFonts w:ascii="Arial" w:cs="Arial" w:eastAsia="Arial" w:hAnsi="Arial"/>
          <w:sz w:val="28"/>
          <w:szCs w:val="28"/>
          <w:color w:val="0A248E"/>
        </w:rPr>
        <w:t>Stockholder Recommendations and Nominations to the Board of Directors</w:t>
      </w:r>
    </w:p>
    <w:p>
      <w:pPr>
        <w:spacing w:after="0" w:line="295"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Our nominating and corporate governance committee will consider director candidates recommended by stockholders holding at least one percent (1%) of the fully diluted capitalization of the company continuously for at least 12 months prior to the date of the submission of the recommendation, so long as such recommendations comply with our articles of incorporation, bylaws, and applicable laws, rules and regulations, including those promulgated by the SEC. Our nominating and corporate governance committee will evaluate such recommendations in accordance with its charter, our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bylaws. Our nominating and corporate governance committee has discretion to decide which individuals to recommend for nomination as directors.</w:t>
      </w:r>
    </w:p>
    <w:p>
      <w:pPr>
        <w:spacing w:after="0" w:line="1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our bylaws, stockholders may also directly nominate persons for our board of directors. Any nomination must comply with the requirements set forth in our bylaws and should be sent in writing to our Corporate Secretary at Dropbox, Inc., 1800 Owens Street San Francisco, California 94158. To be timely for the 2027 annual meeting of stockholders, nominations must be received by our Corporate Secretary observing the same deadlines for stockholder proposals discussed above under “</w:t>
      </w:r>
      <w:r>
        <w:rPr>
          <w:rFonts w:ascii="Arial" w:cs="Arial" w:eastAsia="Arial" w:hAnsi="Arial"/>
          <w:sz w:val="18"/>
          <w:szCs w:val="18"/>
          <w:i w:val="1"/>
          <w:iCs w:val="1"/>
          <w:color w:val="auto"/>
        </w:rPr>
        <w:t>General Information—What is the deadline to propose actions for consideration at next year’s annual meeting of</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or to nominate individuals to serve as directors?—Stockholder Proposals.</w:t>
      </w:r>
      <w:r>
        <w:rPr>
          <w:rFonts w:ascii="Arial" w:cs="Arial" w:eastAsia="Arial" w:hAnsi="Arial"/>
          <w:sz w:val="18"/>
          <w:szCs w:val="18"/>
          <w:color w:val="auto"/>
        </w:rPr>
        <w:t>”</w:t>
      </w:r>
    </w:p>
    <w:p>
      <w:pPr>
        <w:spacing w:after="0" w:line="383" w:lineRule="exact"/>
        <w:rPr>
          <w:sz w:val="20"/>
          <w:szCs w:val="20"/>
          <w:color w:val="auto"/>
        </w:rPr>
      </w:pPr>
    </w:p>
    <w:p>
      <w:pPr>
        <w:spacing w:after="0"/>
        <w:rPr>
          <w:sz w:val="20"/>
          <w:szCs w:val="20"/>
          <w:color w:val="auto"/>
        </w:rPr>
      </w:pPr>
      <w:r>
        <w:rPr>
          <w:rFonts w:ascii="Arial" w:cs="Arial" w:eastAsia="Arial" w:hAnsi="Arial"/>
          <w:sz w:val="28"/>
          <w:szCs w:val="28"/>
          <w:color w:val="0A248E"/>
        </w:rPr>
        <w:t>Communications with the Board of Directors</w:t>
      </w: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0" w:hanging="475"/>
        <w:spacing w:after="0"/>
        <w:tabs>
          <w:tab w:leader="none" w:pos="520"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28" w:name="page29"/>
    <w:bookmarkEnd w:id="28"/>
    <w:p>
      <w:pPr>
        <w:ind w:right="4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9"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 of our board of directors.</w:t>
      </w:r>
    </w:p>
    <w:p>
      <w:pPr>
        <w:spacing w:after="0" w:line="108"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This procedure does not apply to (i) communications to non-management directors from our officers or directors who are stockholders or (ii) stockholder proposals submitted pursuant to Rule 14a-8 under the Exchange Act, which are discussed further in the section titled “</w:t>
      </w:r>
      <w:r>
        <w:rPr>
          <w:rFonts w:ascii="Arial" w:cs="Arial" w:eastAsia="Arial" w:hAnsi="Arial"/>
          <w:sz w:val="18"/>
          <w:szCs w:val="18"/>
          <w:i w:val="1"/>
          <w:iCs w:val="1"/>
          <w:color w:val="auto"/>
        </w:rPr>
        <w:t>What is the deadline to propose actions for consideration at next year’s annual meeting of</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or to nominate individuals to serve as directors?—Stockholder Proposals</w:t>
      </w:r>
      <w:r>
        <w:rPr>
          <w:rFonts w:ascii="Arial" w:cs="Arial" w:eastAsia="Arial" w:hAnsi="Arial"/>
          <w:sz w:val="18"/>
          <w:szCs w:val="18"/>
          <w:color w:val="auto"/>
        </w:rPr>
        <w:t>” described above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w:t>
      </w:r>
    </w:p>
    <w:p>
      <w:pPr>
        <w:spacing w:after="0" w:line="379" w:lineRule="exact"/>
        <w:rPr>
          <w:sz w:val="20"/>
          <w:szCs w:val="20"/>
          <w:color w:val="auto"/>
        </w:rPr>
      </w:pPr>
    </w:p>
    <w:p>
      <w:pPr>
        <w:ind w:right="820"/>
        <w:spacing w:after="0" w:line="323" w:lineRule="auto"/>
        <w:rPr>
          <w:sz w:val="20"/>
          <w:szCs w:val="20"/>
          <w:color w:val="auto"/>
        </w:rPr>
      </w:pPr>
      <w:r>
        <w:rPr>
          <w:rFonts w:ascii="Arial" w:cs="Arial" w:eastAsia="Arial" w:hAnsi="Arial"/>
          <w:sz w:val="28"/>
          <w:szCs w:val="28"/>
          <w:color w:val="0A248E"/>
        </w:rPr>
        <w:t>Corporate Governance Guidelines and Code of Business Conduct and Ethics</w:t>
      </w:r>
    </w:p>
    <w:p>
      <w:pPr>
        <w:spacing w:after="0" w:line="125"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independent contractors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pacing w:after="0" w:line="377" w:lineRule="exact"/>
        <w:rPr>
          <w:sz w:val="20"/>
          <w:szCs w:val="20"/>
          <w:color w:val="auto"/>
        </w:rPr>
      </w:pPr>
    </w:p>
    <w:p>
      <w:pPr>
        <w:spacing w:after="0"/>
        <w:rPr>
          <w:sz w:val="20"/>
          <w:szCs w:val="20"/>
          <w:color w:val="auto"/>
        </w:rPr>
      </w:pPr>
      <w:r>
        <w:rPr>
          <w:rFonts w:ascii="Arial" w:cs="Arial" w:eastAsia="Arial" w:hAnsi="Arial"/>
          <w:sz w:val="28"/>
          <w:szCs w:val="28"/>
          <w:color w:val="0A248E"/>
        </w:rPr>
        <w:t>Stock Ownership Guidelines</w:t>
      </w:r>
    </w:p>
    <w:p>
      <w:pPr>
        <w:spacing w:after="0" w:line="29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The talent and compensation committee of our board of directors has adopted stock ownership guidelines for our independent directors and executive officers. Under these guidelines, all independent directors are required to acquire and own stock or stock equivalents in an amount equal to five times their annual cash retainers for service on the board, excluding any cash retainers for committee or chair service or service as lead independent director. For these purposes, owned stock includes any shares of stock owned directly or indirectly by the covered individual, but does not include unexercised, unvested or unearned equity awards (including unexercised stock options). Independent directors are required to meet the ownership requirements within five years of the later of (i) December 1, 2023, or such later date as specified in the stock ownership guidelines or (ii) such independent director's appointment or election date, as applicable. All of our independent directors are in compliance with the applicable ownership requirements or are not yet required to meet the applicable ownership requirements pursuant to the stock ownership guidelines. For a description of the stock ownership guidelines applicable to our executive officers, refer to the section titled "</w:t>
      </w:r>
      <w:r>
        <w:rPr>
          <w:rFonts w:ascii="Arial" w:cs="Arial" w:eastAsia="Arial" w:hAnsi="Arial"/>
          <w:sz w:val="18"/>
          <w:szCs w:val="18"/>
          <w:i w:val="1"/>
          <w:iCs w:val="1"/>
          <w:color w:val="auto"/>
        </w:rPr>
        <w:t>Executive Compensation—Compensation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Analysis—Stock Ownership Guidelines".</w:t>
      </w:r>
    </w:p>
    <w:p>
      <w:pPr>
        <w:spacing w:after="0" w:line="391" w:lineRule="exact"/>
        <w:rPr>
          <w:sz w:val="20"/>
          <w:szCs w:val="20"/>
          <w:color w:val="auto"/>
        </w:rPr>
      </w:pPr>
    </w:p>
    <w:p>
      <w:pPr>
        <w:spacing w:after="0"/>
        <w:rPr>
          <w:sz w:val="20"/>
          <w:szCs w:val="20"/>
          <w:color w:val="auto"/>
        </w:rPr>
      </w:pPr>
      <w:r>
        <w:rPr>
          <w:rFonts w:ascii="Arial" w:cs="Arial" w:eastAsia="Arial" w:hAnsi="Arial"/>
          <w:sz w:val="28"/>
          <w:szCs w:val="28"/>
          <w:color w:val="0A248E"/>
        </w:rPr>
        <w:t>Role of Board in Risk Oversight Process</w:t>
      </w:r>
    </w:p>
    <w:p>
      <w:pPr>
        <w:spacing w:after="0" w:line="295"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these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and its committees regularly review our strategic and operational risks in the context of discussions with management, question and answer sessions, and reports from the management team, outside advisors, and consultants.</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21</w:t>
      </w:r>
    </w:p>
    <w:p>
      <w:pPr>
        <w:sectPr>
          <w:pgSz w:w="11880" w:h="15480" w:orient="portrait"/>
          <w:cols w:equalWidth="0" w:num="1">
            <w:col w:w="9640"/>
          </w:cols>
          <w:pgMar w:left="1140" w:top="340" w:right="1100" w:bottom="0" w:gutter="0" w:footer="0" w:header="0"/>
          <w:type w:val="continuous"/>
        </w:sectPr>
      </w:pPr>
    </w:p>
    <w:bookmarkStart w:id="29" w:name="page30"/>
    <w:bookmarkEnd w:id="29"/>
    <w:p>
      <w:pPr>
        <w:ind w:right="4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9"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In addition, our board has designated standing committees with oversight of certain categories of risk and receives regular reports on significant risk-related committee activities at full board meetings. Delegated committee oversight of specific risks is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27940</wp:posOffset>
                </wp:positionV>
                <wp:extent cx="612711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7115" cy="4763"/>
                        </a:xfrm>
                        <a:prstGeom prst="line">
                          <a:avLst/>
                        </a:prstGeom>
                        <a:solidFill>
                          <a:srgbClr val="FFFFFF"/>
                        </a:solidFill>
                        <a:ln w="38633">
                          <a:solidFill>
                            <a:srgbClr val="EDECF5"/>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2pt" to="482.15pt,2.2pt" o:allowincell="f" strokecolor="#EDECF5" strokeweight="3.042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47625</wp:posOffset>
                </wp:positionV>
                <wp:extent cx="6127750" cy="44577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7750" cy="445770"/>
                        </a:xfrm>
                        <a:prstGeom prst="rect">
                          <a:avLst/>
                        </a:prstGeom>
                        <a:solidFill>
                          <a:srgbClr val="EDECF5"/>
                        </a:solidFill>
                      </wps:spPr>
                      <wps:bodyPr/>
                    </wps:wsp>
                  </a:graphicData>
                </a:graphic>
              </wp:anchor>
            </w:drawing>
          </mc:Choice>
          <mc:Fallback>
            <w:pict>
              <v:rect id="Shape 38" o:spid="_x0000_s1063" style="position:absolute;margin-left:-0.2999pt;margin-top:3.75pt;width:482.5pt;height:35.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CF5" stroked="f"/>
            </w:pict>
          </mc:Fallback>
        </mc:AlternateConten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A248E"/>
        </w:rPr>
        <w:t>Audit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A248E"/>
        </w:rPr>
        <w:t>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74930</wp:posOffset>
                </wp:positionV>
                <wp:extent cx="612711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7115" cy="4763"/>
                        </a:xfrm>
                        <a:prstGeom prst="line">
                          <a:avLst/>
                        </a:prstGeom>
                        <a:solidFill>
                          <a:srgbClr val="FFFFFF"/>
                        </a:solidFill>
                        <a:ln w="35661">
                          <a:solidFill>
                            <a:srgbClr val="EDECF5"/>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5.9pt" to="482.15pt,5.9pt" o:allowincell="f" strokecolor="#EDECF5" strokeweight="2.808pt"/>
            </w:pict>
          </mc:Fallback>
        </mc:AlternateContent>
      </w:r>
    </w:p>
    <w:p>
      <w:pPr>
        <w:spacing w:after="0" w:line="288" w:lineRule="exact"/>
        <w:rPr>
          <w:sz w:val="20"/>
          <w:szCs w:val="20"/>
          <w:color w:val="auto"/>
        </w:rPr>
      </w:pPr>
    </w:p>
    <w:p>
      <w:pPr>
        <w:ind w:left="40" w:right="80"/>
        <w:spacing w:after="0" w:line="296" w:lineRule="auto"/>
        <w:rPr>
          <w:sz w:val="20"/>
          <w:szCs w:val="20"/>
          <w:color w:val="auto"/>
        </w:rPr>
      </w:pPr>
      <w:r>
        <w:rPr>
          <w:rFonts w:ascii="Arial" w:cs="Arial" w:eastAsia="Arial" w:hAnsi="Arial"/>
          <w:sz w:val="17"/>
          <w:szCs w:val="17"/>
          <w:color w:val="auto"/>
        </w:rPr>
        <w:t>Our audit committee assists our board in fulfilling its oversight responsibilities with respect to risk management in the areas of internal control over financial reporting and disclosure controls and procedures, as well as legal and regulatory compliance. The audit committee further oversees our initiatives related to our operational infrastructure, particularly reliability, business continuity, cybersecurity, and data privacy. Our audit committee also, among other things, discusses with management and the independent auditor guidelines with respect to risk assessment and risk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3059430</wp:posOffset>
                </wp:positionH>
                <wp:positionV relativeFrom="paragraph">
                  <wp:posOffset>163195</wp:posOffset>
                </wp:positionV>
                <wp:extent cx="0" cy="44577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577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9pt,12.85pt" to="240.9pt,47.95pt" o:allowincell="f" strokecolor="#FFFFFF" strokeweight="1.4039pt"/>
            </w:pict>
          </mc:Fallback>
        </mc:AlternateConten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4820" w:type="dxa"/>
            <w:vAlign w:val="bottom"/>
            <w:shd w:val="clear" w:color="auto" w:fill="EDECF5"/>
          </w:tcPr>
          <w:p>
            <w:pPr>
              <w:jc w:val="center"/>
              <w:spacing w:after="0"/>
              <w:rPr>
                <w:sz w:val="20"/>
                <w:szCs w:val="20"/>
                <w:color w:val="auto"/>
              </w:rPr>
            </w:pPr>
            <w:r>
              <w:rPr>
                <w:rFonts w:ascii="Arial" w:cs="Arial" w:eastAsia="Arial" w:hAnsi="Arial"/>
                <w:sz w:val="23"/>
                <w:szCs w:val="23"/>
                <w:b w:val="1"/>
                <w:bCs w:val="1"/>
                <w:color w:val="0A248E"/>
              </w:rPr>
              <w:t>Talent and Compensation</w:t>
            </w:r>
          </w:p>
        </w:tc>
        <w:tc>
          <w:tcPr>
            <w:tcW w:w="20" w:type="dxa"/>
            <w:vAlign w:val="bottom"/>
          </w:tcPr>
          <w:p>
            <w:pPr>
              <w:spacing w:after="0"/>
              <w:rPr>
                <w:sz w:val="24"/>
                <w:szCs w:val="24"/>
                <w:color w:val="auto"/>
              </w:rPr>
            </w:pPr>
          </w:p>
        </w:tc>
        <w:tc>
          <w:tcPr>
            <w:tcW w:w="4800" w:type="dxa"/>
            <w:vAlign w:val="bottom"/>
            <w:shd w:val="clear" w:color="auto" w:fill="EDECF5"/>
          </w:tcPr>
          <w:p>
            <w:pPr>
              <w:jc w:val="center"/>
              <w:spacing w:after="0"/>
              <w:rPr>
                <w:sz w:val="20"/>
                <w:szCs w:val="20"/>
                <w:color w:val="auto"/>
              </w:rPr>
            </w:pPr>
            <w:r>
              <w:rPr>
                <w:rFonts w:ascii="Arial" w:cs="Arial" w:eastAsia="Arial" w:hAnsi="Arial"/>
                <w:sz w:val="23"/>
                <w:szCs w:val="23"/>
                <w:b w:val="1"/>
                <w:bCs w:val="1"/>
                <w:color w:val="0A248E"/>
              </w:rPr>
              <w:t>Nominating and</w:t>
            </w:r>
          </w:p>
        </w:tc>
      </w:tr>
      <w:tr>
        <w:trPr>
          <w:trHeight w:val="333"/>
        </w:trPr>
        <w:tc>
          <w:tcPr>
            <w:tcW w:w="4820" w:type="dxa"/>
            <w:vAlign w:val="bottom"/>
            <w:shd w:val="clear" w:color="auto" w:fill="EDECF5"/>
          </w:tcPr>
          <w:p>
            <w:pPr>
              <w:jc w:val="center"/>
              <w:spacing w:after="0"/>
              <w:rPr>
                <w:sz w:val="20"/>
                <w:szCs w:val="20"/>
                <w:color w:val="auto"/>
              </w:rPr>
            </w:pPr>
            <w:r>
              <w:rPr>
                <w:rFonts w:ascii="Arial" w:cs="Arial" w:eastAsia="Arial" w:hAnsi="Arial"/>
                <w:sz w:val="23"/>
                <w:szCs w:val="23"/>
                <w:b w:val="1"/>
                <w:bCs w:val="1"/>
                <w:color w:val="0A248E"/>
              </w:rPr>
              <w:t>Committee</w:t>
            </w:r>
          </w:p>
        </w:tc>
        <w:tc>
          <w:tcPr>
            <w:tcW w:w="20" w:type="dxa"/>
            <w:vAlign w:val="bottom"/>
          </w:tcPr>
          <w:p>
            <w:pPr>
              <w:spacing w:after="0"/>
              <w:rPr>
                <w:sz w:val="24"/>
                <w:szCs w:val="24"/>
                <w:color w:val="auto"/>
              </w:rPr>
            </w:pPr>
          </w:p>
        </w:tc>
        <w:tc>
          <w:tcPr>
            <w:tcW w:w="4800" w:type="dxa"/>
            <w:vAlign w:val="bottom"/>
            <w:shd w:val="clear" w:color="auto" w:fill="EDECF5"/>
          </w:tcPr>
          <w:p>
            <w:pPr>
              <w:jc w:val="center"/>
              <w:spacing w:after="0"/>
              <w:rPr>
                <w:sz w:val="20"/>
                <w:szCs w:val="20"/>
                <w:color w:val="auto"/>
              </w:rPr>
            </w:pPr>
            <w:r>
              <w:rPr>
                <w:rFonts w:ascii="Arial" w:cs="Arial" w:eastAsia="Arial" w:hAnsi="Arial"/>
                <w:sz w:val="23"/>
                <w:szCs w:val="23"/>
                <w:b w:val="1"/>
                <w:bCs w:val="1"/>
                <w:color w:val="0A248E"/>
              </w:rPr>
              <w:t>Corporate Governance Committee</w:t>
            </w:r>
          </w:p>
        </w:tc>
      </w:tr>
      <w:tr>
        <w:trPr>
          <w:trHeight w:val="26"/>
        </w:trPr>
        <w:tc>
          <w:tcPr>
            <w:tcW w:w="4820" w:type="dxa"/>
            <w:vAlign w:val="bottom"/>
            <w:shd w:val="clear" w:color="auto" w:fill="EDECF5"/>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shd w:val="clear" w:color="auto" w:fill="EDECF5"/>
          </w:tcPr>
          <w:p>
            <w:pPr>
              <w:spacing w:after="0"/>
              <w:rPr>
                <w:sz w:val="2"/>
                <w:szCs w:val="2"/>
                <w:color w:val="auto"/>
              </w:rPr>
            </w:pPr>
          </w:p>
        </w:tc>
      </w:tr>
    </w:tbl>
    <w:p>
      <w:pPr>
        <w:spacing w:after="0" w:line="161" w:lineRule="exact"/>
        <w:rPr>
          <w:sz w:val="20"/>
          <w:szCs w:val="20"/>
          <w:color w:val="auto"/>
        </w:rPr>
      </w:pPr>
    </w:p>
    <w:p>
      <w:pPr>
        <w:sectPr>
          <w:pgSz w:w="11880" w:h="15480" w:orient="portrait"/>
          <w:cols w:equalWidth="0" w:num="1">
            <w:col w:w="9640"/>
          </w:cols>
          <w:pgMar w:left="1140" w:top="340" w:right="1100" w:bottom="0" w:gutter="0" w:footer="0" w:header="0"/>
        </w:sectPr>
      </w:pPr>
    </w:p>
    <w:p>
      <w:pPr>
        <w:ind w:left="40"/>
        <w:spacing w:after="0" w:line="273" w:lineRule="auto"/>
        <w:rPr>
          <w:sz w:val="20"/>
          <w:szCs w:val="20"/>
          <w:color w:val="auto"/>
        </w:rPr>
      </w:pPr>
      <w:r>
        <w:rPr>
          <w:rFonts w:ascii="Arial" w:cs="Arial" w:eastAsia="Arial" w:hAnsi="Arial"/>
          <w:sz w:val="18"/>
          <w:szCs w:val="18"/>
          <w:color w:val="auto"/>
        </w:rPr>
        <w:t>Our talent and compensation committee assesses risks relating to our executive compensation plans and arrangements, and whether our compensation policies and programs have the potential to encourage excessive risk-taking. Our talent and compensation committee also oversees our human capital management activities and related risks.</w:t>
      </w:r>
    </w:p>
    <w:p>
      <w:pPr>
        <w:spacing w:after="0" w:line="20" w:lineRule="exact"/>
        <w:rPr>
          <w:sz w:val="20"/>
          <w:szCs w:val="20"/>
          <w:color w:val="auto"/>
        </w:rPr>
      </w:pPr>
      <w:r>
        <w:rPr>
          <w:sz w:val="20"/>
          <w:szCs w:val="20"/>
          <w:color w:val="auto"/>
        </w:rPr>
        <w:br w:type="column"/>
      </w:r>
    </w:p>
    <w:p>
      <w:pPr>
        <w:ind w:right="580"/>
        <w:spacing w:after="0" w:line="292" w:lineRule="auto"/>
        <w:rPr>
          <w:sz w:val="20"/>
          <w:szCs w:val="20"/>
          <w:color w:val="auto"/>
        </w:rPr>
      </w:pPr>
      <w:r>
        <w:rPr>
          <w:rFonts w:ascii="Arial" w:cs="Arial" w:eastAsia="Arial" w:hAnsi="Arial"/>
          <w:sz w:val="17"/>
          <w:szCs w:val="17"/>
          <w:color w:val="auto"/>
        </w:rPr>
        <w:t>Our nominating and corporate governance committee assesses risks relating to our corporate governance practices and the independence of the board. Our nominating and corporate governance committee also generally oversees our compliance with corporate sustainability reporting and related risks.</w:t>
      </w:r>
    </w:p>
    <w:p>
      <w:pPr>
        <w:spacing w:after="0" w:line="379" w:lineRule="exact"/>
        <w:rPr>
          <w:sz w:val="20"/>
          <w:szCs w:val="20"/>
          <w:color w:val="auto"/>
        </w:rPr>
      </w:pPr>
    </w:p>
    <w:p>
      <w:pPr>
        <w:sectPr>
          <w:pgSz w:w="11880" w:h="15480" w:orient="portrait"/>
          <w:cols w:equalWidth="0" w:num="2">
            <w:col w:w="4620" w:space="260"/>
            <w:col w:w="4760"/>
          </w:cols>
          <w:pgMar w:left="1140" w:top="340" w:right="1100" w:bottom="0" w:gutter="0" w:footer="0" w:header="0"/>
          <w:type w:val="continuous"/>
        </w:sectPr>
      </w:pPr>
    </w:p>
    <w:p>
      <w:pPr>
        <w:spacing w:after="0"/>
        <w:rPr>
          <w:sz w:val="20"/>
          <w:szCs w:val="20"/>
          <w:color w:val="auto"/>
        </w:rPr>
      </w:pPr>
      <w:r>
        <w:rPr>
          <w:rFonts w:ascii="Arial" w:cs="Arial" w:eastAsia="Arial" w:hAnsi="Arial"/>
          <w:sz w:val="18"/>
          <w:szCs w:val="18"/>
          <w:color w:val="auto"/>
        </w:rPr>
        <w:t>Our board of directors believes its current leadership structure supports the risk oversight function of the board.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8"/>
          <w:szCs w:val="28"/>
          <w:color w:val="0A248E"/>
        </w:rPr>
        <w:t>Cybersecurity and Data Privacy Governance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Our Guiding Value</w:t>
      </w:r>
    </w:p>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Being Worthy of Trust is our guiding value and serves as the foundation of our relationship with the millions of people and businesses around the world who rely on Dropbox to protect their most valuable content. Protecting our users’ information through robust data privacy and cybersecurity programs is one of our top priorities. Effective governance of these programs is a priority for our board.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Board and Management Oversight</w:t>
      </w:r>
    </w:p>
    <w:p>
      <w:pPr>
        <w:spacing w:after="0" w:line="203"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w:t>
      </w:r>
    </w:p>
    <w:p>
      <w:pPr>
        <w:spacing w:after="0" w:line="135"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We have also established a cross-functional leadership team to oversee our information security and privacy programs and practices, as well as to assess, identify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Legal Officer, who also serves as our Chief Privacy Officer, our Chief Technology Officer and our Head of Security.</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color w:val="auto"/>
        </w:rPr>
        <w:t>Members of senior leadership are informed about and monitor the prevention, mitigation, detection, and remediation of cybersecurity incidents through their management of, and participation in, our cybersecurity risk management and strategy processes, including the operation of our incident response plan. Additionally, all employees are required to complete annual</w:t>
      </w:r>
    </w:p>
    <w:p>
      <w:pPr>
        <w:sectPr>
          <w:pgSz w:w="11880" w:h="15480" w:orient="portrait"/>
          <w:cols w:equalWidth="0" w:num="1">
            <w:col w:w="9640"/>
          </w:cols>
          <w:pgMar w:left="1140" w:top="340"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475"/>
        <w:spacing w:after="0"/>
        <w:tabs>
          <w:tab w:leader="none" w:pos="52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30" w:name="page31"/>
    <w:bookmarkEnd w:id="30"/>
    <w:p>
      <w:pPr>
        <w:ind w:left="7" w:right="4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9" w:lineRule="exact"/>
        <w:rPr>
          <w:sz w:val="20"/>
          <w:szCs w:val="20"/>
          <w:color w:val="auto"/>
        </w:rPr>
      </w:pPr>
    </w:p>
    <w:p>
      <w:pPr>
        <w:ind w:left="7" w:right="440"/>
        <w:spacing w:after="0" w:line="343" w:lineRule="auto"/>
        <w:rPr>
          <w:sz w:val="20"/>
          <w:szCs w:val="20"/>
          <w:color w:val="auto"/>
        </w:rPr>
      </w:pPr>
      <w:r>
        <w:rPr>
          <w:rFonts w:ascii="Arial" w:cs="Arial" w:eastAsia="Arial" w:hAnsi="Arial"/>
          <w:sz w:val="17"/>
          <w:szCs w:val="17"/>
          <w:color w:val="auto"/>
        </w:rPr>
        <w:t>information security and privacy training, which are reviewed and updated annually. They also receive ongoing security awareness education via informational emails, talks and presentations, and resources available on our intranet.</w:t>
      </w:r>
    </w:p>
    <w:p>
      <w:pPr>
        <w:spacing w:after="0" w:line="78" w:lineRule="exact"/>
        <w:rPr>
          <w:sz w:val="20"/>
          <w:szCs w:val="20"/>
          <w:color w:val="auto"/>
        </w:rPr>
      </w:pPr>
    </w:p>
    <w:p>
      <w:pPr>
        <w:ind w:left="7"/>
        <w:spacing w:after="0" w:line="279" w:lineRule="auto"/>
        <w:rPr>
          <w:sz w:val="20"/>
          <w:szCs w:val="20"/>
          <w:color w:val="auto"/>
        </w:rPr>
      </w:pPr>
      <w:r>
        <w:rPr>
          <w:rFonts w:ascii="Arial" w:cs="Arial" w:eastAsia="Arial" w:hAnsi="Arial"/>
          <w:sz w:val="18"/>
          <w:szCs w:val="18"/>
          <w:color w:val="auto"/>
        </w:rPr>
        <w:t>We also have a Data Protection Officer who provides independent oversight of our privacy program and guidance on privacy issues. Our Data Protection Officer acts as the single point of contact for privacy-related requests for users subject to the General Data Protection Regulation, as well as for regulatory authorities. Our Data Protection Officer reports periodically to executive management, the board of directors, and the audit committee on privacy risks to provide an independent assessment of our privacy program.</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External Auditing Standards</w:t>
      </w:r>
    </w:p>
    <w:p>
      <w:pPr>
        <w:spacing w:after="0" w:line="198" w:lineRule="exact"/>
        <w:rPr>
          <w:sz w:val="20"/>
          <w:szCs w:val="20"/>
          <w:color w:val="auto"/>
        </w:rPr>
      </w:pPr>
    </w:p>
    <w:p>
      <w:pPr>
        <w:ind w:left="7" w:right="720"/>
        <w:spacing w:after="0" w:line="316" w:lineRule="auto"/>
        <w:rPr>
          <w:sz w:val="20"/>
          <w:szCs w:val="20"/>
          <w:color w:val="auto"/>
        </w:rPr>
      </w:pPr>
      <w:r>
        <w:rPr>
          <w:rFonts w:ascii="Arial" w:cs="Arial" w:eastAsia="Arial" w:hAnsi="Arial"/>
          <w:sz w:val="18"/>
          <w:szCs w:val="18"/>
          <w:color w:val="auto"/>
        </w:rPr>
        <w:t>Several of our security and privacy management systems are independently examined and/or certified according to internationally recognized standards:</w:t>
      </w:r>
    </w:p>
    <w:p>
      <w:pPr>
        <w:spacing w:after="0" w:line="96" w:lineRule="exact"/>
        <w:rPr>
          <w:sz w:val="20"/>
          <w:szCs w:val="20"/>
          <w:color w:val="auto"/>
        </w:rPr>
      </w:pPr>
    </w:p>
    <w:p>
      <w:pPr>
        <w:ind w:left="707" w:right="260" w:hanging="356"/>
        <w:spacing w:after="0" w:line="310" w:lineRule="auto"/>
        <w:tabs>
          <w:tab w:leader="none" w:pos="707" w:val="left"/>
        </w:tabs>
        <w:numPr>
          <w:ilvl w:val="0"/>
          <w:numId w:val="24"/>
        </w:numPr>
        <w:rPr>
          <w:rFonts w:ascii="Arial" w:cs="Arial" w:eastAsia="Arial" w:hAnsi="Arial"/>
          <w:sz w:val="18"/>
          <w:szCs w:val="18"/>
          <w:color w:val="0A248E"/>
        </w:rPr>
      </w:pPr>
      <w:r>
        <w:rPr>
          <w:rFonts w:ascii="Arial" w:cs="Arial" w:eastAsia="Arial" w:hAnsi="Arial"/>
          <w:sz w:val="18"/>
          <w:szCs w:val="18"/>
          <w:color w:val="auto"/>
        </w:rPr>
        <w:t>Our primary information security management system is independently examined on an annual basis and is ISO 27001 certified.</w:t>
      </w:r>
    </w:p>
    <w:p>
      <w:pPr>
        <w:spacing w:after="0" w:line="106" w:lineRule="exact"/>
        <w:rPr>
          <w:rFonts w:ascii="Arial" w:cs="Arial" w:eastAsia="Arial" w:hAnsi="Arial"/>
          <w:sz w:val="18"/>
          <w:szCs w:val="18"/>
          <w:color w:val="0A248E"/>
        </w:rPr>
      </w:pPr>
    </w:p>
    <w:p>
      <w:pPr>
        <w:ind w:left="707" w:right="300" w:hanging="356"/>
        <w:spacing w:after="0" w:line="310" w:lineRule="auto"/>
        <w:tabs>
          <w:tab w:leader="none" w:pos="707" w:val="left"/>
        </w:tabs>
        <w:numPr>
          <w:ilvl w:val="0"/>
          <w:numId w:val="24"/>
        </w:numPr>
        <w:rPr>
          <w:rFonts w:ascii="Arial" w:cs="Arial" w:eastAsia="Arial" w:hAnsi="Arial"/>
          <w:sz w:val="18"/>
          <w:szCs w:val="18"/>
          <w:color w:val="0A248E"/>
        </w:rPr>
      </w:pPr>
      <w:r>
        <w:rPr>
          <w:rFonts w:ascii="Arial" w:cs="Arial" w:eastAsia="Arial" w:hAnsi="Arial"/>
          <w:sz w:val="18"/>
          <w:szCs w:val="18"/>
          <w:color w:val="auto"/>
        </w:rPr>
        <w:t>Our primary privacy information management system is independently examined on an annual basis and is ISO 27701 certified.</w:t>
      </w:r>
    </w:p>
    <w:p>
      <w:pPr>
        <w:spacing w:after="0" w:line="106" w:lineRule="exact"/>
        <w:rPr>
          <w:rFonts w:ascii="Arial" w:cs="Arial" w:eastAsia="Arial" w:hAnsi="Arial"/>
          <w:sz w:val="18"/>
          <w:szCs w:val="18"/>
          <w:color w:val="0A248E"/>
        </w:rPr>
      </w:pPr>
    </w:p>
    <w:p>
      <w:pPr>
        <w:ind w:left="707" w:right="440" w:hanging="356"/>
        <w:spacing w:after="0" w:line="310" w:lineRule="auto"/>
        <w:tabs>
          <w:tab w:leader="none" w:pos="707" w:val="left"/>
        </w:tabs>
        <w:numPr>
          <w:ilvl w:val="0"/>
          <w:numId w:val="24"/>
        </w:numPr>
        <w:rPr>
          <w:rFonts w:ascii="Arial" w:cs="Arial" w:eastAsia="Arial" w:hAnsi="Arial"/>
          <w:sz w:val="18"/>
          <w:szCs w:val="18"/>
          <w:color w:val="0A248E"/>
        </w:rPr>
      </w:pPr>
      <w:r>
        <w:rPr>
          <w:rFonts w:ascii="Arial" w:cs="Arial" w:eastAsia="Arial" w:hAnsi="Arial"/>
          <w:sz w:val="18"/>
          <w:szCs w:val="18"/>
          <w:color w:val="auto"/>
        </w:rPr>
        <w:t>Our primary incident-response policies and procedures are examined as part of SOC 2, ISO 27001, and other security assessments.</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Employee Training</w:t>
      </w:r>
    </w:p>
    <w:p>
      <w:pPr>
        <w:spacing w:after="0" w:line="203" w:lineRule="exact"/>
        <w:rPr>
          <w:sz w:val="20"/>
          <w:szCs w:val="20"/>
          <w:color w:val="auto"/>
        </w:rPr>
      </w:pPr>
    </w:p>
    <w:p>
      <w:pPr>
        <w:ind w:left="7" w:right="80"/>
        <w:spacing w:after="0" w:line="310" w:lineRule="auto"/>
        <w:rPr>
          <w:sz w:val="20"/>
          <w:szCs w:val="20"/>
          <w:color w:val="auto"/>
        </w:rPr>
      </w:pPr>
      <w:r>
        <w:rPr>
          <w:rFonts w:ascii="Arial" w:cs="Arial" w:eastAsia="Arial" w:hAnsi="Arial"/>
          <w:sz w:val="18"/>
          <w:szCs w:val="18"/>
          <w:color w:val="auto"/>
        </w:rPr>
        <w:t>All employees are required to complete annual information security and privacy training. They also receive ongoing security awareness education via informational emails, talks and presentations, and resources available on our intranet.</w:t>
      </w:r>
    </w:p>
    <w:p>
      <w:pPr>
        <w:spacing w:after="0" w:line="350" w:lineRule="exact"/>
        <w:rPr>
          <w:sz w:val="20"/>
          <w:szCs w:val="20"/>
          <w:color w:val="auto"/>
        </w:rPr>
      </w:pPr>
    </w:p>
    <w:p>
      <w:pPr>
        <w:ind w:left="7"/>
        <w:spacing w:after="0"/>
        <w:rPr>
          <w:sz w:val="20"/>
          <w:szCs w:val="20"/>
          <w:color w:val="auto"/>
        </w:rPr>
      </w:pPr>
      <w:r>
        <w:rPr>
          <w:rFonts w:ascii="Arial" w:cs="Arial" w:eastAsia="Arial" w:hAnsi="Arial"/>
          <w:sz w:val="28"/>
          <w:szCs w:val="28"/>
          <w:color w:val="0A248E"/>
        </w:rPr>
        <w:t>Corporate Responsibility</w:t>
      </w:r>
    </w:p>
    <w:p>
      <w:pPr>
        <w:spacing w:after="0" w:line="295" w:lineRule="exact"/>
        <w:rPr>
          <w:sz w:val="20"/>
          <w:szCs w:val="20"/>
          <w:color w:val="auto"/>
        </w:rPr>
      </w:pPr>
    </w:p>
    <w:p>
      <w:pPr>
        <w:ind w:left="7" w:right="300"/>
        <w:spacing w:after="0" w:line="310" w:lineRule="auto"/>
        <w:rPr>
          <w:sz w:val="20"/>
          <w:szCs w:val="20"/>
          <w:color w:val="auto"/>
        </w:rPr>
      </w:pPr>
      <w:r>
        <w:rPr>
          <w:rFonts w:ascii="Arial" w:cs="Arial" w:eastAsia="Arial" w:hAnsi="Arial"/>
          <w:sz w:val="18"/>
          <w:szCs w:val="18"/>
          <w:color w:val="auto"/>
        </w:rPr>
        <w:t>At Dropbox, our mission is to create a more enlightened way of working. We believe Dropbox’s long-term success will be strengthened by helping to create a better world for our stakeholders.</w:t>
      </w:r>
    </w:p>
    <w:p>
      <w:pPr>
        <w:spacing w:after="0" w:line="102" w:lineRule="exact"/>
        <w:rPr>
          <w:sz w:val="20"/>
          <w:szCs w:val="20"/>
          <w:color w:val="auto"/>
        </w:rPr>
      </w:pPr>
    </w:p>
    <w:p>
      <w:pPr>
        <w:ind w:left="7" w:right="20"/>
        <w:spacing w:after="0" w:line="291" w:lineRule="auto"/>
        <w:rPr>
          <w:sz w:val="20"/>
          <w:szCs w:val="20"/>
          <w:color w:val="auto"/>
        </w:rPr>
      </w:pPr>
      <w:r>
        <w:rPr>
          <w:rFonts w:ascii="Arial" w:cs="Arial" w:eastAsia="Arial" w:hAnsi="Arial"/>
          <w:sz w:val="18"/>
          <w:szCs w:val="18"/>
          <w:color w:val="auto"/>
        </w:rPr>
        <w:t>We are committed to conducting business in an ethical and transparent way, and to being accountable to our customers, our employees, our stockholders, the communities in which we operate, and all our other stakeholders for the manner in which we run our business.</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Employee Wellness and Development</w:t>
      </w:r>
    </w:p>
    <w:p>
      <w:pPr>
        <w:spacing w:after="0" w:line="197" w:lineRule="exact"/>
        <w:rPr>
          <w:sz w:val="20"/>
          <w:szCs w:val="20"/>
          <w:color w:val="auto"/>
        </w:rPr>
      </w:pPr>
    </w:p>
    <w:p>
      <w:pPr>
        <w:ind w:left="347" w:right="160" w:hanging="347"/>
        <w:spacing w:after="0" w:line="310" w:lineRule="auto"/>
        <w:tabs>
          <w:tab w:leader="none" w:pos="347" w:val="left"/>
        </w:tabs>
        <w:numPr>
          <w:ilvl w:val="0"/>
          <w:numId w:val="25"/>
        </w:numPr>
        <w:rPr>
          <w:rFonts w:ascii="Arial" w:cs="Arial" w:eastAsia="Arial" w:hAnsi="Arial"/>
          <w:sz w:val="18"/>
          <w:szCs w:val="18"/>
          <w:color w:val="0A248E"/>
        </w:rPr>
      </w:pPr>
      <w:r>
        <w:rPr>
          <w:rFonts w:ascii="Arial" w:cs="Arial" w:eastAsia="Arial" w:hAnsi="Arial"/>
          <w:sz w:val="18"/>
          <w:szCs w:val="18"/>
          <w:color w:val="auto"/>
        </w:rPr>
        <w:t>We operate under a Virtual First work model where remote work is the primary experience for all of our employees; as part of our Virtual First workforce strategy, we strive to support our employees by:</w:t>
      </w:r>
    </w:p>
    <w:p>
      <w:pPr>
        <w:spacing w:after="0" w:line="101" w:lineRule="exact"/>
        <w:rPr>
          <w:rFonts w:ascii="Arial" w:cs="Arial" w:eastAsia="Arial" w:hAnsi="Arial"/>
          <w:sz w:val="18"/>
          <w:szCs w:val="18"/>
          <w:color w:val="0A248E"/>
        </w:rPr>
      </w:pPr>
    </w:p>
    <w:p>
      <w:pPr>
        <w:ind w:left="787" w:right="60" w:hanging="348"/>
        <w:spacing w:after="0" w:line="291" w:lineRule="auto"/>
        <w:tabs>
          <w:tab w:leader="none" w:pos="786" w:val="left"/>
        </w:tabs>
        <w:numPr>
          <w:ilvl w:val="1"/>
          <w:numId w:val="25"/>
        </w:numPr>
        <w:rPr>
          <w:rFonts w:ascii="Arial" w:cs="Arial" w:eastAsia="Arial" w:hAnsi="Arial"/>
          <w:sz w:val="18"/>
          <w:szCs w:val="18"/>
          <w:color w:val="0A248E"/>
        </w:rPr>
      </w:pPr>
      <w:r>
        <w:rPr>
          <w:rFonts w:ascii="Arial" w:cs="Arial" w:eastAsia="Arial" w:hAnsi="Arial"/>
          <w:sz w:val="18"/>
          <w:szCs w:val="18"/>
          <w:color w:val="auto"/>
        </w:rPr>
        <w:t>Providing a quarterly allowance that gives employees the flexibility to focus this benefit towards what really matters to them; this may include health and wellness, family and caregiver support, productivity and ergonomics, learning and development programs or financial wellness.</w:t>
      </w:r>
    </w:p>
    <w:p>
      <w:pPr>
        <w:spacing w:after="0" w:line="122" w:lineRule="exact"/>
        <w:rPr>
          <w:rFonts w:ascii="Arial" w:cs="Arial" w:eastAsia="Arial" w:hAnsi="Arial"/>
          <w:sz w:val="18"/>
          <w:szCs w:val="18"/>
          <w:color w:val="0A248E"/>
        </w:rPr>
      </w:pPr>
    </w:p>
    <w:p>
      <w:pPr>
        <w:ind w:left="787" w:right="600" w:hanging="348"/>
        <w:spacing w:after="0" w:line="310" w:lineRule="auto"/>
        <w:tabs>
          <w:tab w:leader="none" w:pos="786" w:val="left"/>
        </w:tabs>
        <w:numPr>
          <w:ilvl w:val="1"/>
          <w:numId w:val="25"/>
        </w:numPr>
        <w:rPr>
          <w:rFonts w:ascii="Arial" w:cs="Arial" w:eastAsia="Arial" w:hAnsi="Arial"/>
          <w:sz w:val="18"/>
          <w:szCs w:val="18"/>
          <w:color w:val="0A248E"/>
        </w:rPr>
      </w:pPr>
      <w:r>
        <w:rPr>
          <w:rFonts w:ascii="Arial" w:cs="Arial" w:eastAsia="Arial" w:hAnsi="Arial"/>
          <w:sz w:val="18"/>
          <w:szCs w:val="18"/>
          <w:color w:val="auto"/>
        </w:rPr>
        <w:t>Empowering our employees to adopt flexible working arrangements and providing tools for efficient remote collaboration.</w:t>
      </w:r>
    </w:p>
    <w:p>
      <w:pPr>
        <w:spacing w:after="0" w:line="101" w:lineRule="exact"/>
        <w:rPr>
          <w:rFonts w:ascii="Arial" w:cs="Arial" w:eastAsia="Arial" w:hAnsi="Arial"/>
          <w:sz w:val="18"/>
          <w:szCs w:val="18"/>
          <w:color w:val="0A248E"/>
        </w:rPr>
      </w:pPr>
    </w:p>
    <w:p>
      <w:pPr>
        <w:ind w:left="787" w:right="620" w:hanging="348"/>
        <w:spacing w:after="0" w:line="310" w:lineRule="auto"/>
        <w:tabs>
          <w:tab w:leader="none" w:pos="786" w:val="left"/>
        </w:tabs>
        <w:numPr>
          <w:ilvl w:val="1"/>
          <w:numId w:val="25"/>
        </w:numPr>
        <w:rPr>
          <w:rFonts w:ascii="Arial" w:cs="Arial" w:eastAsia="Arial" w:hAnsi="Arial"/>
          <w:sz w:val="18"/>
          <w:szCs w:val="18"/>
          <w:color w:val="0A248E"/>
        </w:rPr>
      </w:pPr>
      <w:r>
        <w:rPr>
          <w:rFonts w:ascii="Arial" w:cs="Arial" w:eastAsia="Arial" w:hAnsi="Arial"/>
          <w:sz w:val="18"/>
          <w:szCs w:val="18"/>
          <w:color w:val="auto"/>
        </w:rPr>
        <w:t>Continuing to provide opportunities for in-person collaboration at our “Dropbox Studios” locations and “On-Demand Spaces” and through team offsites and events.</w:t>
      </w:r>
    </w:p>
    <w:p>
      <w:pPr>
        <w:spacing w:after="0" w:line="106" w:lineRule="exact"/>
        <w:rPr>
          <w:rFonts w:ascii="Arial" w:cs="Arial" w:eastAsia="Arial" w:hAnsi="Arial"/>
          <w:sz w:val="18"/>
          <w:szCs w:val="18"/>
          <w:color w:val="0A248E"/>
        </w:rPr>
      </w:pPr>
    </w:p>
    <w:p>
      <w:pPr>
        <w:ind w:left="347" w:right="680" w:hanging="347"/>
        <w:spacing w:after="0" w:line="310" w:lineRule="auto"/>
        <w:tabs>
          <w:tab w:leader="none" w:pos="347" w:val="left"/>
        </w:tabs>
        <w:numPr>
          <w:ilvl w:val="0"/>
          <w:numId w:val="25"/>
        </w:numPr>
        <w:rPr>
          <w:rFonts w:ascii="Arial" w:cs="Arial" w:eastAsia="Arial" w:hAnsi="Arial"/>
          <w:sz w:val="18"/>
          <w:szCs w:val="18"/>
          <w:color w:val="0A248E"/>
        </w:rPr>
      </w:pPr>
      <w:r>
        <w:rPr>
          <w:rFonts w:ascii="Arial" w:cs="Arial" w:eastAsia="Arial" w:hAnsi="Arial"/>
          <w:sz w:val="18"/>
          <w:szCs w:val="18"/>
          <w:color w:val="auto"/>
        </w:rPr>
        <w:t>We are committed to supporting the well-being of our employees by providing paid parental leave for all eligible employees, as well as mental and physical wellness benefits.</w:t>
      </w:r>
    </w:p>
    <w:p>
      <w:pPr>
        <w:spacing w:after="0" w:line="106" w:lineRule="exact"/>
        <w:rPr>
          <w:rFonts w:ascii="Arial" w:cs="Arial" w:eastAsia="Arial" w:hAnsi="Arial"/>
          <w:sz w:val="18"/>
          <w:szCs w:val="18"/>
          <w:color w:val="0A248E"/>
        </w:rPr>
      </w:pPr>
    </w:p>
    <w:p>
      <w:pPr>
        <w:ind w:left="347" w:right="240" w:hanging="347"/>
        <w:spacing w:after="0" w:line="343" w:lineRule="auto"/>
        <w:tabs>
          <w:tab w:leader="none" w:pos="347" w:val="left"/>
        </w:tabs>
        <w:numPr>
          <w:ilvl w:val="0"/>
          <w:numId w:val="25"/>
        </w:numPr>
        <w:rPr>
          <w:rFonts w:ascii="Arial" w:cs="Arial" w:eastAsia="Arial" w:hAnsi="Arial"/>
          <w:sz w:val="17"/>
          <w:szCs w:val="17"/>
          <w:color w:val="0A248E"/>
        </w:rPr>
      </w:pPr>
      <w:r>
        <w:rPr>
          <w:rFonts w:ascii="Arial" w:cs="Arial" w:eastAsia="Arial" w:hAnsi="Arial"/>
          <w:sz w:val="17"/>
          <w:szCs w:val="17"/>
          <w:color w:val="auto"/>
        </w:rPr>
        <w:t>Dropbox is committed to a safe and healthy work environment for employees and considers it a key component of continued success. This commitment is led by the Global Physical Security and Safety team, which includes a Global</w:t>
      </w:r>
    </w:p>
    <w:p>
      <w:pPr>
        <w:sectPr>
          <w:pgSz w:w="11880" w:h="15480" w:orient="portrait"/>
          <w:cols w:equalWidth="0" w:num="1">
            <w:col w:w="9647"/>
          </w:cols>
          <w:pgMar w:left="1133" w:top="340" w:right="1100" w:bottom="0" w:gutter="0" w:footer="0" w:header="0"/>
        </w:sectPr>
      </w:pPr>
    </w:p>
    <w:p>
      <w:pPr>
        <w:spacing w:after="0" w:line="296"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23</w:t>
      </w:r>
    </w:p>
    <w:p>
      <w:pPr>
        <w:sectPr>
          <w:pgSz w:w="11880" w:h="15480" w:orient="portrait"/>
          <w:cols w:equalWidth="0" w:num="1">
            <w:col w:w="9647"/>
          </w:cols>
          <w:pgMar w:left="1133" w:top="340" w:right="1100" w:bottom="0" w:gutter="0" w:footer="0" w:header="0"/>
          <w:type w:val="continuous"/>
        </w:sectPr>
      </w:pPr>
    </w:p>
    <w:bookmarkStart w:id="31" w:name="page32"/>
    <w:bookmarkEnd w:id="31"/>
    <w:p>
      <w:pPr>
        <w:ind w:left="7" w:right="46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9" w:lineRule="exact"/>
        <w:rPr>
          <w:sz w:val="20"/>
          <w:szCs w:val="20"/>
          <w:color w:val="auto"/>
        </w:rPr>
      </w:pPr>
    </w:p>
    <w:p>
      <w:pPr>
        <w:ind w:left="347" w:right="160"/>
        <w:spacing w:after="0" w:line="288" w:lineRule="auto"/>
        <w:rPr>
          <w:sz w:val="20"/>
          <w:szCs w:val="20"/>
          <w:color w:val="auto"/>
        </w:rPr>
      </w:pPr>
      <w:r>
        <w:rPr>
          <w:rFonts w:ascii="Arial" w:cs="Arial" w:eastAsia="Arial" w:hAnsi="Arial"/>
          <w:sz w:val="18"/>
          <w:szCs w:val="18"/>
          <w:color w:val="auto"/>
        </w:rPr>
        <w:t>Security Operations Center (“</w:t>
      </w:r>
      <w:r>
        <w:rPr>
          <w:rFonts w:ascii="Arial" w:cs="Arial" w:eastAsia="Arial" w:hAnsi="Arial"/>
          <w:sz w:val="18"/>
          <w:szCs w:val="18"/>
          <w:b w:val="1"/>
          <w:bCs w:val="1"/>
          <w:i w:val="1"/>
          <w:iCs w:val="1"/>
          <w:color w:val="auto"/>
        </w:rPr>
        <w:t>GSOC</w:t>
      </w:r>
      <w:r>
        <w:rPr>
          <w:rFonts w:ascii="Arial" w:cs="Arial" w:eastAsia="Arial" w:hAnsi="Arial"/>
          <w:sz w:val="18"/>
          <w:szCs w:val="18"/>
          <w:color w:val="auto"/>
        </w:rPr>
        <w:t>”). GSOC helps employees whenever there’s an emergency or incident and is the main contact during a crisis response by Dropbox. GSOC provides around-the-clock support for employees whether they’re in a studio, on a business trip, or at home.</w:t>
      </w:r>
    </w:p>
    <w:p>
      <w:pPr>
        <w:spacing w:after="0" w:line="125" w:lineRule="exact"/>
        <w:rPr>
          <w:sz w:val="20"/>
          <w:szCs w:val="20"/>
          <w:color w:val="auto"/>
        </w:rPr>
      </w:pPr>
    </w:p>
    <w:p>
      <w:pPr>
        <w:ind w:left="347" w:hanging="347"/>
        <w:spacing w:after="0"/>
        <w:tabs>
          <w:tab w:leader="none" w:pos="347" w:val="left"/>
        </w:tabs>
        <w:numPr>
          <w:ilvl w:val="0"/>
          <w:numId w:val="26"/>
        </w:numPr>
        <w:rPr>
          <w:rFonts w:ascii="Arial" w:cs="Arial" w:eastAsia="Arial" w:hAnsi="Arial"/>
          <w:sz w:val="18"/>
          <w:szCs w:val="18"/>
          <w:color w:val="0A248E"/>
        </w:rPr>
      </w:pPr>
      <w:r>
        <w:rPr>
          <w:rFonts w:ascii="Arial" w:cs="Arial" w:eastAsia="Arial" w:hAnsi="Arial"/>
          <w:sz w:val="18"/>
          <w:szCs w:val="18"/>
          <w:color w:val="auto"/>
        </w:rPr>
        <w:t>Under our Virtual First work model, we remain committed to supporting employee wellness and development:</w:t>
      </w:r>
    </w:p>
    <w:p>
      <w:pPr>
        <w:spacing w:after="0" w:line="200" w:lineRule="exact"/>
        <w:rPr>
          <w:rFonts w:ascii="Arial" w:cs="Arial" w:eastAsia="Arial" w:hAnsi="Arial"/>
          <w:sz w:val="18"/>
          <w:szCs w:val="18"/>
          <w:color w:val="0A248E"/>
        </w:rPr>
      </w:pPr>
    </w:p>
    <w:p>
      <w:pPr>
        <w:ind w:left="787" w:right="260" w:hanging="348"/>
        <w:spacing w:after="0" w:line="310" w:lineRule="auto"/>
        <w:tabs>
          <w:tab w:leader="none" w:pos="786" w:val="left"/>
        </w:tabs>
        <w:numPr>
          <w:ilvl w:val="1"/>
          <w:numId w:val="26"/>
        </w:numPr>
        <w:rPr>
          <w:rFonts w:ascii="Arial" w:cs="Arial" w:eastAsia="Arial" w:hAnsi="Arial"/>
          <w:sz w:val="18"/>
          <w:szCs w:val="18"/>
          <w:color w:val="0A248E"/>
        </w:rPr>
      </w:pPr>
      <w:r>
        <w:rPr>
          <w:rFonts w:ascii="Arial" w:cs="Arial" w:eastAsia="Arial" w:hAnsi="Arial"/>
          <w:sz w:val="18"/>
          <w:szCs w:val="18"/>
          <w:color w:val="auto"/>
        </w:rPr>
        <w:t>We provide subsidized dependent care and access to dependent care resources, as well as supporting flexible working arrangements for our employees with caregiving obligations.</w:t>
      </w:r>
    </w:p>
    <w:p>
      <w:pPr>
        <w:spacing w:after="0" w:line="106" w:lineRule="exact"/>
        <w:rPr>
          <w:rFonts w:ascii="Arial" w:cs="Arial" w:eastAsia="Arial" w:hAnsi="Arial"/>
          <w:sz w:val="18"/>
          <w:szCs w:val="18"/>
          <w:color w:val="0A248E"/>
        </w:rPr>
      </w:pPr>
    </w:p>
    <w:p>
      <w:pPr>
        <w:ind w:left="787" w:right="540" w:hanging="348"/>
        <w:spacing w:after="0" w:line="310" w:lineRule="auto"/>
        <w:tabs>
          <w:tab w:leader="none" w:pos="787" w:val="left"/>
        </w:tabs>
        <w:numPr>
          <w:ilvl w:val="1"/>
          <w:numId w:val="26"/>
        </w:numPr>
        <w:rPr>
          <w:rFonts w:ascii="Arial" w:cs="Arial" w:eastAsia="Arial" w:hAnsi="Arial"/>
          <w:sz w:val="15"/>
          <w:szCs w:val="15"/>
          <w:color w:val="0A248E"/>
        </w:rPr>
      </w:pPr>
      <w:r>
        <w:rPr>
          <w:rFonts w:ascii="Arial" w:cs="Arial" w:eastAsia="Arial" w:hAnsi="Arial"/>
          <w:sz w:val="18"/>
          <w:szCs w:val="18"/>
          <w:color w:val="auto"/>
        </w:rPr>
        <w:t>We offer a program to help employees and their dependents manage their mental health through coaching, therapy, and on-demand resources.</w:t>
      </w:r>
    </w:p>
    <w:p>
      <w:pPr>
        <w:spacing w:after="0" w:line="101" w:lineRule="exact"/>
        <w:rPr>
          <w:rFonts w:ascii="Arial" w:cs="Arial" w:eastAsia="Arial" w:hAnsi="Arial"/>
          <w:sz w:val="15"/>
          <w:szCs w:val="15"/>
          <w:color w:val="0A248E"/>
        </w:rPr>
      </w:pPr>
    </w:p>
    <w:p>
      <w:pPr>
        <w:ind w:left="787" w:right="80" w:hanging="348"/>
        <w:spacing w:after="0" w:line="291" w:lineRule="auto"/>
        <w:tabs>
          <w:tab w:leader="none" w:pos="786" w:val="left"/>
        </w:tabs>
        <w:numPr>
          <w:ilvl w:val="1"/>
          <w:numId w:val="26"/>
        </w:numPr>
        <w:rPr>
          <w:rFonts w:ascii="Arial" w:cs="Arial" w:eastAsia="Arial" w:hAnsi="Arial"/>
          <w:sz w:val="18"/>
          <w:szCs w:val="18"/>
          <w:color w:val="0A248E"/>
        </w:rPr>
      </w:pPr>
      <w:r>
        <w:rPr>
          <w:rFonts w:ascii="Arial" w:cs="Arial" w:eastAsia="Arial" w:hAnsi="Arial"/>
          <w:sz w:val="18"/>
          <w:szCs w:val="18"/>
          <w:color w:val="auto"/>
        </w:rPr>
        <w:t>We continue to offer a variety of learning and development opportunities for our employees and managers, which include digital learnings, skill-building workshops as well as coaching pods to support connection and peer learning in a remote context.</w:t>
      </w:r>
    </w:p>
    <w:p>
      <w:pPr>
        <w:spacing w:after="0" w:line="122" w:lineRule="exact"/>
        <w:rPr>
          <w:rFonts w:ascii="Arial" w:cs="Arial" w:eastAsia="Arial" w:hAnsi="Arial"/>
          <w:sz w:val="18"/>
          <w:szCs w:val="18"/>
          <w:color w:val="0A248E"/>
        </w:rPr>
      </w:pPr>
    </w:p>
    <w:p>
      <w:pPr>
        <w:ind w:left="347" w:right="420" w:hanging="347"/>
        <w:spacing w:after="0" w:line="310" w:lineRule="auto"/>
        <w:tabs>
          <w:tab w:leader="none" w:pos="347" w:val="left"/>
        </w:tabs>
        <w:numPr>
          <w:ilvl w:val="0"/>
          <w:numId w:val="26"/>
        </w:numPr>
        <w:rPr>
          <w:rFonts w:ascii="Arial" w:cs="Arial" w:eastAsia="Arial" w:hAnsi="Arial"/>
          <w:sz w:val="18"/>
          <w:szCs w:val="18"/>
          <w:color w:val="0A248E"/>
        </w:rPr>
      </w:pPr>
      <w:r>
        <w:rPr>
          <w:rFonts w:ascii="Arial" w:cs="Arial" w:eastAsia="Arial" w:hAnsi="Arial"/>
          <w:sz w:val="18"/>
          <w:szCs w:val="18"/>
          <w:color w:val="auto"/>
        </w:rPr>
        <w:t>We conduct a bi-annual employee engagement survey, the results of which are used by management to refine our employee wellness and development initiatives.</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Community Engagement</w:t>
      </w:r>
    </w:p>
    <w:p>
      <w:pPr>
        <w:spacing w:after="0" w:line="197" w:lineRule="exact"/>
        <w:rPr>
          <w:sz w:val="20"/>
          <w:szCs w:val="20"/>
          <w:color w:val="auto"/>
        </w:rPr>
      </w:pPr>
    </w:p>
    <w:p>
      <w:pPr>
        <w:ind w:left="347" w:right="220" w:hanging="347"/>
        <w:spacing w:after="0" w:line="310" w:lineRule="auto"/>
        <w:tabs>
          <w:tab w:leader="none" w:pos="347" w:val="left"/>
        </w:tabs>
        <w:numPr>
          <w:ilvl w:val="0"/>
          <w:numId w:val="27"/>
        </w:numPr>
        <w:rPr>
          <w:rFonts w:ascii="Arial" w:cs="Arial" w:eastAsia="Arial" w:hAnsi="Arial"/>
          <w:sz w:val="18"/>
          <w:szCs w:val="18"/>
          <w:color w:val="0A248E"/>
        </w:rPr>
      </w:pPr>
      <w:r>
        <w:rPr>
          <w:rFonts w:ascii="Arial" w:cs="Arial" w:eastAsia="Arial" w:hAnsi="Arial"/>
          <w:sz w:val="18"/>
          <w:szCs w:val="18"/>
          <w:color w:val="auto"/>
        </w:rPr>
        <w:t>At Dropbox, we’re committed to leveraging our people, products, and resources for good, which we believe positively contributes to our work culture and helps us recruit and retain talented employees.</w:t>
      </w:r>
    </w:p>
    <w:p>
      <w:pPr>
        <w:spacing w:after="0" w:line="101" w:lineRule="exact"/>
        <w:rPr>
          <w:rFonts w:ascii="Arial" w:cs="Arial" w:eastAsia="Arial" w:hAnsi="Arial"/>
          <w:sz w:val="18"/>
          <w:szCs w:val="18"/>
          <w:color w:val="0A248E"/>
        </w:rPr>
      </w:pPr>
    </w:p>
    <w:p>
      <w:pPr>
        <w:ind w:left="347" w:right="140" w:hanging="347"/>
        <w:spacing w:after="0" w:line="291" w:lineRule="auto"/>
        <w:tabs>
          <w:tab w:leader="none" w:pos="347" w:val="left"/>
        </w:tabs>
        <w:numPr>
          <w:ilvl w:val="0"/>
          <w:numId w:val="27"/>
        </w:numPr>
        <w:rPr>
          <w:rFonts w:ascii="Arial" w:cs="Arial" w:eastAsia="Arial" w:hAnsi="Arial"/>
          <w:sz w:val="18"/>
          <w:szCs w:val="18"/>
          <w:color w:val="0A248E"/>
        </w:rPr>
      </w:pPr>
      <w:r>
        <w:rPr>
          <w:rFonts w:ascii="Arial" w:cs="Arial" w:eastAsia="Arial" w:hAnsi="Arial"/>
          <w:sz w:val="18"/>
          <w:szCs w:val="18"/>
          <w:color w:val="auto"/>
        </w:rPr>
        <w:t>We empower our employees to give back to their communities by providing paid volunteer time off, matching a portion of employee donations to nonprofits and making Dropbox product donations to nonprofit organizations that are nominated by our employees.</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Business Conduct and Ethics; Human and Labor Rights</w:t>
      </w:r>
    </w:p>
    <w:p>
      <w:pPr>
        <w:spacing w:after="0" w:line="197" w:lineRule="exact"/>
        <w:rPr>
          <w:sz w:val="20"/>
          <w:szCs w:val="20"/>
          <w:color w:val="auto"/>
        </w:rPr>
      </w:pPr>
    </w:p>
    <w:p>
      <w:pPr>
        <w:ind w:left="347" w:right="160" w:hanging="347"/>
        <w:spacing w:after="0" w:line="288" w:lineRule="auto"/>
        <w:tabs>
          <w:tab w:leader="none" w:pos="347" w:val="left"/>
        </w:tabs>
        <w:numPr>
          <w:ilvl w:val="0"/>
          <w:numId w:val="28"/>
        </w:numPr>
        <w:rPr>
          <w:rFonts w:ascii="Arial" w:cs="Arial" w:eastAsia="Arial" w:hAnsi="Arial"/>
          <w:sz w:val="18"/>
          <w:szCs w:val="18"/>
          <w:color w:val="0A248E"/>
        </w:rPr>
      </w:pPr>
      <w:r>
        <w:rPr>
          <w:rFonts w:ascii="Arial" w:cs="Arial" w:eastAsia="Arial" w:hAnsi="Arial"/>
          <w:sz w:val="18"/>
          <w:szCs w:val="18"/>
          <w:color w:val="auto"/>
        </w:rPr>
        <w:t>We have a Worldwide Code of Business Conduct and Ethics (the “</w:t>
      </w:r>
      <w:r>
        <w:rPr>
          <w:rFonts w:ascii="Arial" w:cs="Arial" w:eastAsia="Arial" w:hAnsi="Arial"/>
          <w:sz w:val="18"/>
          <w:szCs w:val="18"/>
          <w:b w:val="1"/>
          <w:bCs w:val="1"/>
          <w:i w:val="1"/>
          <w:iCs w:val="1"/>
          <w:color w:val="auto"/>
        </w:rPr>
        <w:t>Code of Conduct</w:t>
      </w:r>
      <w:r>
        <w:rPr>
          <w:rFonts w:ascii="Arial" w:cs="Arial" w:eastAsia="Arial" w:hAnsi="Arial"/>
          <w:sz w:val="18"/>
          <w:szCs w:val="18"/>
          <w:color w:val="auto"/>
        </w:rPr>
        <w:t>”) that is applicable to all our employees, officers, directors and independent contractors, as well as written policies addressing insider trading, anti-corruption, financial controls and maintaining confidentiality.</w:t>
      </w:r>
    </w:p>
    <w:p>
      <w:pPr>
        <w:spacing w:after="0" w:line="125" w:lineRule="exact"/>
        <w:rPr>
          <w:rFonts w:ascii="Arial" w:cs="Arial" w:eastAsia="Arial" w:hAnsi="Arial"/>
          <w:sz w:val="18"/>
          <w:szCs w:val="18"/>
          <w:color w:val="0A248E"/>
        </w:rPr>
      </w:pPr>
    </w:p>
    <w:p>
      <w:pPr>
        <w:ind w:left="347" w:hanging="347"/>
        <w:spacing w:after="0"/>
        <w:tabs>
          <w:tab w:leader="none" w:pos="347" w:val="left"/>
        </w:tabs>
        <w:numPr>
          <w:ilvl w:val="0"/>
          <w:numId w:val="28"/>
        </w:numPr>
        <w:rPr>
          <w:rFonts w:ascii="Arial" w:cs="Arial" w:eastAsia="Arial" w:hAnsi="Arial"/>
          <w:sz w:val="18"/>
          <w:szCs w:val="18"/>
          <w:color w:val="0A248E"/>
        </w:rPr>
      </w:pPr>
      <w:r>
        <w:rPr>
          <w:rFonts w:ascii="Arial" w:cs="Arial" w:eastAsia="Arial" w:hAnsi="Arial"/>
          <w:sz w:val="18"/>
          <w:szCs w:val="18"/>
          <w:color w:val="auto"/>
        </w:rPr>
        <w:t>The Code of Conduct and our internal policies are reviewed on an annual basis and updated as necessary.</w:t>
      </w:r>
    </w:p>
    <w:p>
      <w:pPr>
        <w:spacing w:after="0" w:line="200" w:lineRule="exact"/>
        <w:rPr>
          <w:rFonts w:ascii="Arial" w:cs="Arial" w:eastAsia="Arial" w:hAnsi="Arial"/>
          <w:sz w:val="18"/>
          <w:szCs w:val="18"/>
          <w:color w:val="0A248E"/>
        </w:rPr>
      </w:pPr>
    </w:p>
    <w:p>
      <w:pPr>
        <w:ind w:left="347" w:right="360" w:hanging="347"/>
        <w:spacing w:after="0" w:line="310" w:lineRule="auto"/>
        <w:tabs>
          <w:tab w:leader="none" w:pos="347" w:val="left"/>
        </w:tabs>
        <w:numPr>
          <w:ilvl w:val="0"/>
          <w:numId w:val="28"/>
        </w:numPr>
        <w:rPr>
          <w:rFonts w:ascii="Arial" w:cs="Arial" w:eastAsia="Arial" w:hAnsi="Arial"/>
          <w:sz w:val="18"/>
          <w:szCs w:val="18"/>
          <w:color w:val="0A248E"/>
        </w:rPr>
      </w:pPr>
      <w:r>
        <w:rPr>
          <w:rFonts w:ascii="Arial" w:cs="Arial" w:eastAsia="Arial" w:hAnsi="Arial"/>
          <w:sz w:val="18"/>
          <w:szCs w:val="18"/>
          <w:color w:val="auto"/>
        </w:rPr>
        <w:t>All employees are required to complete a training course on the Code of Conduct and related policies on an annual basis; additional trainings on select topics are provided to certain employees based on their roles.</w:t>
      </w:r>
    </w:p>
    <w:p>
      <w:pPr>
        <w:spacing w:after="0" w:line="242" w:lineRule="exact"/>
        <w:rPr>
          <w:rFonts w:ascii="Arial" w:cs="Arial" w:eastAsia="Arial" w:hAnsi="Arial"/>
          <w:sz w:val="18"/>
          <w:szCs w:val="18"/>
          <w:color w:val="0A248E"/>
        </w:rPr>
      </w:pPr>
    </w:p>
    <w:p>
      <w:pPr>
        <w:ind w:left="347" w:hanging="347"/>
        <w:spacing w:after="0" w:line="280" w:lineRule="auto"/>
        <w:tabs>
          <w:tab w:leader="none" w:pos="347" w:val="left"/>
        </w:tabs>
        <w:numPr>
          <w:ilvl w:val="0"/>
          <w:numId w:val="28"/>
        </w:numPr>
        <w:rPr>
          <w:rFonts w:ascii="Arial" w:cs="Arial" w:eastAsia="Arial" w:hAnsi="Arial"/>
          <w:sz w:val="18"/>
          <w:szCs w:val="18"/>
          <w:color w:val="0A248E"/>
        </w:rPr>
      </w:pPr>
      <w:r>
        <w:rPr>
          <w:rFonts w:ascii="Arial" w:cs="Arial" w:eastAsia="Arial" w:hAnsi="Arial"/>
          <w:sz w:val="18"/>
          <w:szCs w:val="18"/>
          <w:color w:val="auto"/>
        </w:rPr>
        <w:t>Trust is one of our core values and we seek to maintain that trust through empowering employees to report any potential violations of our Code of Conduct, our policies or applicable laws through our confidential whistleblower hotline; we do not tolerate any retaliation against employees who report potential violations in good faith or participate in investigations into such violations.</w:t>
      </w:r>
    </w:p>
    <w:p>
      <w:pPr>
        <w:spacing w:after="0" w:line="133" w:lineRule="exact"/>
        <w:rPr>
          <w:rFonts w:ascii="Arial" w:cs="Arial" w:eastAsia="Arial" w:hAnsi="Arial"/>
          <w:sz w:val="18"/>
          <w:szCs w:val="18"/>
          <w:color w:val="0A248E"/>
        </w:rPr>
      </w:pPr>
    </w:p>
    <w:p>
      <w:pPr>
        <w:ind w:left="347" w:right="40" w:hanging="347"/>
        <w:spacing w:after="0" w:line="310" w:lineRule="auto"/>
        <w:tabs>
          <w:tab w:leader="none" w:pos="347" w:val="left"/>
        </w:tabs>
        <w:numPr>
          <w:ilvl w:val="0"/>
          <w:numId w:val="28"/>
        </w:numPr>
        <w:rPr>
          <w:rFonts w:ascii="Arial" w:cs="Arial" w:eastAsia="Arial" w:hAnsi="Arial"/>
          <w:sz w:val="18"/>
          <w:szCs w:val="18"/>
          <w:color w:val="0A248E"/>
        </w:rPr>
      </w:pPr>
      <w:r>
        <w:rPr>
          <w:rFonts w:ascii="Arial" w:cs="Arial" w:eastAsia="Arial" w:hAnsi="Arial"/>
          <w:sz w:val="18"/>
          <w:szCs w:val="18"/>
          <w:color w:val="auto"/>
        </w:rPr>
        <w:t>We prohibit all forms of slavery, human trafficking, and discrimination in our operations, and we strive to ensure that our policies and procedures are reflective of our commitment to human and labor rights.</w:t>
      </w:r>
    </w:p>
    <w:p>
      <w:pPr>
        <w:spacing w:after="0" w:line="106" w:lineRule="exact"/>
        <w:rPr>
          <w:rFonts w:ascii="Arial" w:cs="Arial" w:eastAsia="Arial" w:hAnsi="Arial"/>
          <w:sz w:val="18"/>
          <w:szCs w:val="18"/>
          <w:color w:val="0A248E"/>
        </w:rPr>
      </w:pPr>
    </w:p>
    <w:p>
      <w:pPr>
        <w:ind w:left="347" w:right="20" w:hanging="347"/>
        <w:spacing w:after="0" w:line="310" w:lineRule="auto"/>
        <w:tabs>
          <w:tab w:leader="none" w:pos="347" w:val="left"/>
        </w:tabs>
        <w:numPr>
          <w:ilvl w:val="0"/>
          <w:numId w:val="28"/>
        </w:numPr>
        <w:rPr>
          <w:rFonts w:ascii="Arial" w:cs="Arial" w:eastAsia="Arial" w:hAnsi="Arial"/>
          <w:sz w:val="15"/>
          <w:szCs w:val="15"/>
          <w:color w:val="0A248E"/>
        </w:rPr>
      </w:pPr>
      <w:r>
        <w:rPr>
          <w:rFonts w:ascii="Arial" w:cs="Arial" w:eastAsia="Arial" w:hAnsi="Arial"/>
          <w:sz w:val="18"/>
          <w:szCs w:val="18"/>
          <w:color w:val="auto"/>
        </w:rPr>
        <w:t>Our Supplier Code of Conduct establishes our expectations of a supplier’s commitment to safeguarding human rights in their own operations.</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AI Principles</w:t>
      </w:r>
    </w:p>
    <w:p>
      <w:pPr>
        <w:spacing w:after="0" w:line="197" w:lineRule="exact"/>
        <w:rPr>
          <w:sz w:val="20"/>
          <w:szCs w:val="20"/>
          <w:color w:val="auto"/>
        </w:rPr>
      </w:pPr>
    </w:p>
    <w:p>
      <w:pPr>
        <w:ind w:left="347" w:right="220" w:hanging="347"/>
        <w:spacing w:after="0" w:line="310" w:lineRule="auto"/>
        <w:tabs>
          <w:tab w:leader="none" w:pos="347" w:val="left"/>
        </w:tabs>
        <w:numPr>
          <w:ilvl w:val="0"/>
          <w:numId w:val="29"/>
        </w:numPr>
        <w:rPr>
          <w:rFonts w:ascii="Arial" w:cs="Arial" w:eastAsia="Arial" w:hAnsi="Arial"/>
          <w:sz w:val="18"/>
          <w:szCs w:val="18"/>
          <w:i w:val="1"/>
          <w:iCs w:val="1"/>
          <w:color w:val="0A248E"/>
        </w:rPr>
      </w:pPr>
      <w:r>
        <w:rPr>
          <w:rFonts w:ascii="Arial" w:cs="Arial" w:eastAsia="Arial" w:hAnsi="Arial"/>
          <w:sz w:val="18"/>
          <w:szCs w:val="18"/>
          <w:color w:val="auto"/>
        </w:rPr>
        <w:t>We have a dedicated website disclosing AI principles that will continue to guide our teams as we develop AI products and features responsibly in the years to come.</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Insider Trading Policy</w:t>
      </w:r>
    </w:p>
    <w:p>
      <w:pPr>
        <w:spacing w:after="0" w:line="193" w:lineRule="exact"/>
        <w:rPr>
          <w:sz w:val="20"/>
          <w:szCs w:val="20"/>
          <w:color w:val="auto"/>
        </w:rPr>
      </w:pPr>
    </w:p>
    <w:p>
      <w:pPr>
        <w:jc w:val="both"/>
        <w:ind w:left="347" w:right="320" w:hanging="347"/>
        <w:spacing w:after="0" w:line="343" w:lineRule="auto"/>
        <w:tabs>
          <w:tab w:leader="none" w:pos="347" w:val="left"/>
        </w:tabs>
        <w:numPr>
          <w:ilvl w:val="0"/>
          <w:numId w:val="30"/>
        </w:numPr>
        <w:rPr>
          <w:rFonts w:ascii="Arial" w:cs="Arial" w:eastAsia="Arial" w:hAnsi="Arial"/>
          <w:sz w:val="14"/>
          <w:szCs w:val="14"/>
          <w:i w:val="1"/>
          <w:iCs w:val="1"/>
          <w:color w:val="0A248E"/>
        </w:rPr>
      </w:pPr>
      <w:r>
        <w:rPr>
          <w:rFonts w:ascii="Arial" w:cs="Arial" w:eastAsia="Arial" w:hAnsi="Arial"/>
          <w:sz w:val="17"/>
          <w:szCs w:val="17"/>
          <w:color w:val="auto"/>
        </w:rPr>
        <w:t>We have adopted an insider trading policy governing the purchase, sale and other dispositions of our securities that applies to all personnel of Dropbox and our subsidiaries, including directors, officers, and employees, and to certain</w:t>
      </w:r>
    </w:p>
    <w:p>
      <w:pPr>
        <w:sectPr>
          <w:pgSz w:w="11880" w:h="15480" w:orient="portrait"/>
          <w:cols w:equalWidth="0" w:num="1">
            <w:col w:w="9627"/>
          </w:cols>
          <w:pgMar w:left="1133" w:top="340" w:right="1120" w:bottom="0" w:gutter="0" w:footer="0" w:header="0"/>
        </w:sectPr>
      </w:pPr>
    </w:p>
    <w:p>
      <w:pPr>
        <w:spacing w:after="0" w:line="329" w:lineRule="exact"/>
        <w:rPr>
          <w:sz w:val="20"/>
          <w:szCs w:val="20"/>
          <w:color w:val="auto"/>
        </w:rPr>
      </w:pPr>
    </w:p>
    <w:p>
      <w:pPr>
        <w:ind w:left="527" w:hanging="475"/>
        <w:spacing w:after="0"/>
        <w:tabs>
          <w:tab w:leader="none" w:pos="527"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27"/>
          </w:cols>
          <w:pgMar w:left="1133" w:top="340" w:right="1120" w:bottom="0" w:gutter="0" w:footer="0" w:header="0"/>
          <w:type w:val="continuous"/>
        </w:sectPr>
      </w:pPr>
    </w:p>
    <w:bookmarkStart w:id="32" w:name="page33"/>
    <w:bookmarkEnd w:id="32"/>
    <w:p>
      <w:pPr>
        <w:ind w:left="7" w:right="50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9" w:lineRule="exact"/>
        <w:rPr>
          <w:sz w:val="20"/>
          <w:szCs w:val="20"/>
          <w:color w:val="auto"/>
        </w:rPr>
      </w:pPr>
    </w:p>
    <w:p>
      <w:pPr>
        <w:ind w:left="347" w:right="80"/>
        <w:spacing w:after="0" w:line="288" w:lineRule="auto"/>
        <w:rPr>
          <w:sz w:val="20"/>
          <w:szCs w:val="20"/>
          <w:color w:val="auto"/>
        </w:rPr>
      </w:pPr>
      <w:r>
        <w:rPr>
          <w:rFonts w:ascii="Arial" w:cs="Arial" w:eastAsia="Arial" w:hAnsi="Arial"/>
          <w:sz w:val="18"/>
          <w:szCs w:val="18"/>
          <w:color w:val="auto"/>
        </w:rPr>
        <w:t>other covered persons. We believe that our insider trading policy is reasonably designed to promote compliance with insider trading laws, rules, and regulations, as well as applicable listing standards. A copy of our insider trading policy is filed as Exhibit 19.1 to our Annual Report on Form 10-K filed on February 20, 2026.</w:t>
      </w:r>
    </w:p>
    <w:p>
      <w:pPr>
        <w:spacing w:after="0" w:line="125" w:lineRule="exact"/>
        <w:rPr>
          <w:sz w:val="20"/>
          <w:szCs w:val="20"/>
          <w:color w:val="auto"/>
        </w:rPr>
      </w:pPr>
    </w:p>
    <w:p>
      <w:pPr>
        <w:ind w:left="347" w:right="20" w:hanging="347"/>
        <w:spacing w:after="0" w:line="291" w:lineRule="auto"/>
        <w:tabs>
          <w:tab w:leader="none" w:pos="347" w:val="left"/>
        </w:tabs>
        <w:numPr>
          <w:ilvl w:val="0"/>
          <w:numId w:val="32"/>
        </w:numPr>
        <w:rPr>
          <w:rFonts w:ascii="Arial" w:cs="Arial" w:eastAsia="Arial" w:hAnsi="Arial"/>
          <w:sz w:val="15"/>
          <w:szCs w:val="15"/>
          <w:i w:val="1"/>
          <w:iCs w:val="1"/>
          <w:color w:val="0A248E"/>
        </w:rPr>
      </w:pPr>
      <w:r>
        <w:rPr>
          <w:rFonts w:ascii="Arial" w:cs="Arial" w:eastAsia="Arial" w:hAnsi="Arial"/>
          <w:sz w:val="18"/>
          <w:szCs w:val="18"/>
          <w:color w:val="auto"/>
        </w:rPr>
        <w:t>From time to time, we engage in transactions in our own securities, including purchases and sales. We comply with all applicable securities and state laws (including appropriate approvals by our board of directors or appropriate committee, if required) when engaging in transactions in our securities.</w:t>
      </w:r>
    </w:p>
    <w:p>
      <w:pPr>
        <w:spacing w:after="0" w:line="366" w:lineRule="exact"/>
        <w:rPr>
          <w:sz w:val="20"/>
          <w:szCs w:val="20"/>
          <w:color w:val="auto"/>
        </w:rPr>
      </w:pPr>
    </w:p>
    <w:p>
      <w:pPr>
        <w:ind w:left="7"/>
        <w:spacing w:after="0"/>
        <w:rPr>
          <w:sz w:val="20"/>
          <w:szCs w:val="20"/>
          <w:color w:val="auto"/>
        </w:rPr>
      </w:pPr>
      <w:r>
        <w:rPr>
          <w:rFonts w:ascii="Arial" w:cs="Arial" w:eastAsia="Arial" w:hAnsi="Arial"/>
          <w:sz w:val="28"/>
          <w:szCs w:val="28"/>
          <w:color w:val="0A248E"/>
        </w:rPr>
        <w:t>Director Compensation</w:t>
      </w:r>
    </w:p>
    <w:p>
      <w:pPr>
        <w:spacing w:after="0" w:line="295" w:lineRule="exact"/>
        <w:rPr>
          <w:sz w:val="20"/>
          <w:szCs w:val="20"/>
          <w:color w:val="auto"/>
        </w:rPr>
      </w:pPr>
    </w:p>
    <w:p>
      <w:pPr>
        <w:ind w:left="7" w:right="60"/>
        <w:spacing w:after="0" w:line="272" w:lineRule="auto"/>
        <w:rPr>
          <w:sz w:val="20"/>
          <w:szCs w:val="20"/>
          <w:color w:val="auto"/>
        </w:rPr>
      </w:pPr>
      <w:r>
        <w:rPr>
          <w:rFonts w:ascii="Arial" w:cs="Arial" w:eastAsia="Arial" w:hAnsi="Arial"/>
          <w:sz w:val="18"/>
          <w:szCs w:val="18"/>
          <w:color w:val="auto"/>
        </w:rPr>
        <w:t>We have adopted a compensation policy for our non-employee directors. Under the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has been developed in consultation with Compensia, Inc. ("</w:t>
      </w:r>
      <w:r>
        <w:rPr>
          <w:rFonts w:ascii="Arial" w:cs="Arial" w:eastAsia="Arial" w:hAnsi="Arial"/>
          <w:sz w:val="18"/>
          <w:szCs w:val="18"/>
          <w:b w:val="1"/>
          <w:bCs w:val="1"/>
          <w:i w:val="1"/>
          <w:iCs w:val="1"/>
          <w:color w:val="auto"/>
        </w:rPr>
        <w:t>Compensia</w:t>
      </w:r>
      <w:r>
        <w:rPr>
          <w:rFonts w:ascii="Arial" w:cs="Arial" w:eastAsia="Arial" w:hAnsi="Arial"/>
          <w:sz w:val="18"/>
          <w:szCs w:val="18"/>
          <w:color w:val="auto"/>
        </w:rPr>
        <w:t>") an independent national compensation consulting firm. In developing this policy, Compensia provided recommendations and competitive non-employee director compensation data and analyses. We considered and discussed these recommendations and data and considered the specific duties and committee responsibilities of particular directors. We believe the director compensation policy provides our non-employee directors with reasonable and appropriate compensation that is commensurate with the services they provide and competitive with compensation paid by the companies in our compensation peer group (as described in the section 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below) to their non-employee directors. Compensia has also advised on subsequent amendments to the director compensation policy. Our director compensation policy follows the principles listed below.</w:t>
      </w:r>
    </w:p>
    <w:p>
      <w:pPr>
        <w:spacing w:after="0" w:line="275" w:lineRule="exact"/>
        <w:rPr>
          <w:sz w:val="20"/>
          <w:szCs w:val="20"/>
          <w:color w:val="auto"/>
        </w:rPr>
      </w:pPr>
    </w:p>
    <w:tbl>
      <w:tblPr>
        <w:tblLayout w:type="fixed"/>
        <w:tblInd w:w="7" w:type="dxa"/>
        <w:tblCellMar>
          <w:top w:w="0" w:type="dxa"/>
          <w:left w:w="0" w:type="dxa"/>
          <w:bottom w:w="0" w:type="dxa"/>
          <w:right w:w="0" w:type="dxa"/>
        </w:tblCellMar>
      </w:tblPr>
      <w:tr>
        <w:trPr>
          <w:trHeight w:val="61"/>
        </w:trPr>
        <w:tc>
          <w:tcPr>
            <w:tcW w:w="20" w:type="dxa"/>
            <w:vAlign w:val="bottom"/>
            <w:tcBorders>
              <w:top w:val="single" w:sz="8" w:color="0A248E"/>
            </w:tcBorders>
            <w:shd w:val="clear" w:color="auto" w:fill="0A248E"/>
          </w:tcPr>
          <w:p>
            <w:pPr>
              <w:spacing w:after="0"/>
              <w:rPr>
                <w:sz w:val="5"/>
                <w:szCs w:val="5"/>
                <w:color w:val="auto"/>
              </w:rPr>
            </w:pPr>
          </w:p>
        </w:tc>
        <w:tc>
          <w:tcPr>
            <w:tcW w:w="2380" w:type="dxa"/>
            <w:vAlign w:val="bottom"/>
            <w:tcBorders>
              <w:top w:val="single" w:sz="8" w:color="0A248E"/>
            </w:tcBorders>
            <w:vMerge w:val="restart"/>
            <w:shd w:val="clear" w:color="auto" w:fill="0A248E"/>
          </w:tcPr>
          <w:p>
            <w:pPr>
              <w:ind w:left="80"/>
              <w:spacing w:after="0"/>
              <w:rPr>
                <w:sz w:val="20"/>
                <w:szCs w:val="20"/>
                <w:color w:val="auto"/>
              </w:rPr>
            </w:pPr>
            <w:r>
              <w:rPr>
                <w:rFonts w:ascii="Arial" w:cs="Arial" w:eastAsia="Arial" w:hAnsi="Arial"/>
                <w:sz w:val="15"/>
                <w:szCs w:val="15"/>
                <w:b w:val="1"/>
                <w:bCs w:val="1"/>
                <w:color w:val="FFFFFF"/>
              </w:rPr>
              <w:t>Principle</w:t>
            </w:r>
          </w:p>
        </w:tc>
        <w:tc>
          <w:tcPr>
            <w:tcW w:w="20" w:type="dxa"/>
            <w:vAlign w:val="bottom"/>
            <w:tcBorders>
              <w:top w:val="single" w:sz="8" w:color="0A248E"/>
            </w:tcBorders>
            <w:shd w:val="clear" w:color="auto" w:fill="0A248E"/>
          </w:tcPr>
          <w:p>
            <w:pPr>
              <w:spacing w:after="0"/>
              <w:rPr>
                <w:sz w:val="5"/>
                <w:szCs w:val="5"/>
                <w:color w:val="auto"/>
              </w:rPr>
            </w:pPr>
          </w:p>
        </w:tc>
        <w:tc>
          <w:tcPr>
            <w:tcW w:w="7220" w:type="dxa"/>
            <w:vAlign w:val="bottom"/>
            <w:tcBorders>
              <w:top w:val="single" w:sz="8" w:color="0A248E"/>
            </w:tcBorders>
            <w:vMerge w:val="restart"/>
            <w:shd w:val="clear" w:color="auto" w:fill="0A248E"/>
          </w:tcPr>
          <w:p>
            <w:pPr>
              <w:ind w:left="100"/>
              <w:spacing w:after="0"/>
              <w:rPr>
                <w:sz w:val="20"/>
                <w:szCs w:val="20"/>
                <w:color w:val="auto"/>
              </w:rPr>
            </w:pPr>
            <w:r>
              <w:rPr>
                <w:rFonts w:ascii="Arial" w:cs="Arial" w:eastAsia="Arial" w:hAnsi="Arial"/>
                <w:sz w:val="15"/>
                <w:szCs w:val="15"/>
                <w:b w:val="1"/>
                <w:bCs w:val="1"/>
                <w:color w:val="FFFFFF"/>
              </w:rPr>
              <w:t>Description</w:t>
            </w:r>
          </w:p>
        </w:tc>
        <w:tc>
          <w:tcPr>
            <w:tcW w:w="20" w:type="dxa"/>
            <w:vAlign w:val="bottom"/>
            <w:tcBorders>
              <w:top w:val="single" w:sz="8" w:color="0A248E"/>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0A248E"/>
          </w:tcPr>
          <w:p>
            <w:pPr>
              <w:spacing w:after="0"/>
              <w:rPr>
                <w:sz w:val="17"/>
                <w:szCs w:val="17"/>
                <w:color w:val="auto"/>
              </w:rPr>
            </w:pPr>
          </w:p>
        </w:tc>
        <w:tc>
          <w:tcPr>
            <w:tcW w:w="2380" w:type="dxa"/>
            <w:vAlign w:val="bottom"/>
            <w:vMerge w:val="continue"/>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7220" w:type="dxa"/>
            <w:vAlign w:val="bottom"/>
            <w:vMerge w:val="continue"/>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0A248E"/>
          </w:tcPr>
          <w:p>
            <w:pPr>
              <w:spacing w:after="0"/>
              <w:rPr>
                <w:sz w:val="5"/>
                <w:szCs w:val="5"/>
                <w:color w:val="auto"/>
              </w:rPr>
            </w:pPr>
          </w:p>
        </w:tc>
        <w:tc>
          <w:tcPr>
            <w:tcW w:w="238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722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3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Pay Mix</w:t>
            </w:r>
          </w:p>
        </w:tc>
        <w:tc>
          <w:tcPr>
            <w:tcW w:w="20" w:type="dxa"/>
            <w:vAlign w:val="bottom"/>
          </w:tcPr>
          <w:p>
            <w:pPr>
              <w:spacing w:after="0"/>
              <w:rPr>
                <w:sz w:val="4"/>
                <w:szCs w:val="4"/>
                <w:color w:val="auto"/>
              </w:rPr>
            </w:pPr>
          </w:p>
        </w:tc>
        <w:tc>
          <w:tcPr>
            <w:tcW w:w="7220" w:type="dxa"/>
            <w:vAlign w:val="bottom"/>
            <w:vMerge w:val="restart"/>
          </w:tcPr>
          <w:p>
            <w:pPr>
              <w:ind w:left="100"/>
              <w:spacing w:after="0"/>
              <w:rPr>
                <w:sz w:val="20"/>
                <w:szCs w:val="20"/>
                <w:color w:val="auto"/>
              </w:rPr>
            </w:pPr>
            <w:r>
              <w:rPr>
                <w:rFonts w:ascii="Arial" w:cs="Arial" w:eastAsia="Arial" w:hAnsi="Arial"/>
                <w:sz w:val="18"/>
                <w:szCs w:val="18"/>
                <w:color w:val="auto"/>
              </w:rPr>
              <w:t>Our director compensation policy consists of a balance of cash and equity, with an</w:t>
            </w:r>
          </w:p>
        </w:tc>
        <w:tc>
          <w:tcPr>
            <w:tcW w:w="20" w:type="dxa"/>
            <w:vAlign w:val="bottom"/>
            <w:shd w:val="clear" w:color="auto" w:fill="0A248E"/>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0A248E"/>
          </w:tcPr>
          <w:p>
            <w:pPr>
              <w:spacing w:after="0"/>
              <w:rPr>
                <w:sz w:val="23"/>
                <w:szCs w:val="23"/>
                <w:color w:val="auto"/>
              </w:rPr>
            </w:pPr>
          </w:p>
        </w:tc>
        <w:tc>
          <w:tcPr>
            <w:tcW w:w="2380" w:type="dxa"/>
            <w:vAlign w:val="bottom"/>
            <w:vMerge w:val="continue"/>
          </w:tcPr>
          <w:p>
            <w:pPr>
              <w:spacing w:after="0"/>
              <w:rPr>
                <w:sz w:val="23"/>
                <w:szCs w:val="23"/>
                <w:color w:val="auto"/>
              </w:rPr>
            </w:pPr>
          </w:p>
        </w:tc>
        <w:tc>
          <w:tcPr>
            <w:tcW w:w="20" w:type="dxa"/>
            <w:vAlign w:val="bottom"/>
            <w:shd w:val="clear" w:color="auto" w:fill="0A248E"/>
          </w:tcPr>
          <w:p>
            <w:pPr>
              <w:spacing w:after="0"/>
              <w:rPr>
                <w:sz w:val="23"/>
                <w:szCs w:val="23"/>
                <w:color w:val="auto"/>
              </w:rPr>
            </w:pPr>
          </w:p>
        </w:tc>
        <w:tc>
          <w:tcPr>
            <w:tcW w:w="7220" w:type="dxa"/>
            <w:vAlign w:val="bottom"/>
            <w:vMerge w:val="continue"/>
          </w:tcPr>
          <w:p>
            <w:pPr>
              <w:spacing w:after="0"/>
              <w:rPr>
                <w:sz w:val="23"/>
                <w:szCs w:val="23"/>
                <w:color w:val="auto"/>
              </w:rPr>
            </w:pPr>
          </w:p>
        </w:tc>
        <w:tc>
          <w:tcPr>
            <w:tcW w:w="20" w:type="dxa"/>
            <w:vAlign w:val="bottom"/>
            <w:shd w:val="clear" w:color="auto" w:fill="0A248E"/>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0A248E"/>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emphasis on equity over cash, in order to better align the interests of our non-employee</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0A248E"/>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directors with those of our stockholders.</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0A248E"/>
            </w:tcBorders>
            <w:shd w:val="clear" w:color="auto" w:fill="0A248E"/>
          </w:tcPr>
          <w:p>
            <w:pPr>
              <w:spacing w:after="0"/>
              <w:rPr>
                <w:sz w:val="7"/>
                <w:szCs w:val="7"/>
                <w:color w:val="auto"/>
              </w:rPr>
            </w:pPr>
          </w:p>
        </w:tc>
        <w:tc>
          <w:tcPr>
            <w:tcW w:w="2380" w:type="dxa"/>
            <w:vAlign w:val="bottom"/>
            <w:tcBorders>
              <w:bottom w:val="single" w:sz="8" w:color="0A248E"/>
            </w:tcBorders>
          </w:tcPr>
          <w:p>
            <w:pPr>
              <w:spacing w:after="0"/>
              <w:rPr>
                <w:sz w:val="7"/>
                <w:szCs w:val="7"/>
                <w:color w:val="auto"/>
              </w:rPr>
            </w:pPr>
          </w:p>
        </w:tc>
        <w:tc>
          <w:tcPr>
            <w:tcW w:w="20" w:type="dxa"/>
            <w:vAlign w:val="bottom"/>
            <w:tcBorders>
              <w:bottom w:val="single" w:sz="8" w:color="0A248E"/>
            </w:tcBorders>
            <w:shd w:val="clear" w:color="auto" w:fill="0A248E"/>
          </w:tcPr>
          <w:p>
            <w:pPr>
              <w:spacing w:after="0"/>
              <w:rPr>
                <w:sz w:val="7"/>
                <w:szCs w:val="7"/>
                <w:color w:val="auto"/>
              </w:rPr>
            </w:pPr>
          </w:p>
        </w:tc>
        <w:tc>
          <w:tcPr>
            <w:tcW w:w="7220" w:type="dxa"/>
            <w:vAlign w:val="bottom"/>
            <w:tcBorders>
              <w:bottom w:val="single" w:sz="8" w:color="0A248E"/>
            </w:tcBorders>
          </w:tcPr>
          <w:p>
            <w:pPr>
              <w:spacing w:after="0"/>
              <w:rPr>
                <w:sz w:val="7"/>
                <w:szCs w:val="7"/>
                <w:color w:val="auto"/>
              </w:rPr>
            </w:pPr>
          </w:p>
        </w:tc>
        <w:tc>
          <w:tcPr>
            <w:tcW w:w="20" w:type="dxa"/>
            <w:vAlign w:val="bottom"/>
            <w:tcBorders>
              <w:bottom w:val="single" w:sz="8" w:color="0A248E"/>
            </w:tcBorders>
            <w:shd w:val="clear" w:color="auto" w:fill="0A248E"/>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20" w:type="dxa"/>
            <w:vAlign w:val="bottom"/>
            <w:shd w:val="clear" w:color="auto" w:fill="0A248E"/>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8"/>
                <w:szCs w:val="18"/>
                <w:b w:val="1"/>
                <w:bCs w:val="1"/>
                <w:color w:val="auto"/>
              </w:rPr>
              <w:t>Total Compensation Limit</w:t>
            </w:r>
          </w:p>
        </w:tc>
        <w:tc>
          <w:tcPr>
            <w:tcW w:w="20" w:type="dxa"/>
            <w:vAlign w:val="bottom"/>
            <w:shd w:val="clear" w:color="auto" w:fill="0A248E"/>
          </w:tcPr>
          <w:p>
            <w:pPr>
              <w:spacing w:after="0"/>
              <w:rPr>
                <w:sz w:val="24"/>
                <w:szCs w:val="24"/>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Our director compensation policy includes a maximum annual limit of $1,200,000 of cash</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A248E"/>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compensation and equity awards that may be paid, issued, or granted to a non-employee</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0A248E"/>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director in any fiscal year. The maximum limit does not reflect the intended size of any</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A248E"/>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potential compensation or equity awards to our non-employee directors. Any cash</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0A248E"/>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compensation paid or equity awards granted to a person for his or her services as an</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A248E"/>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employee, or for his or her services as a consultant (other than as a non-employee</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A248E"/>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director), will not count for purposes of the limitation. For purposes of this limitation, the</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0A248E"/>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w w:val="97"/>
              </w:rPr>
              <w:t>value of equity awards is based on the grant date fair value (determined in accordance with</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0A248E"/>
          </w:tcPr>
          <w:p>
            <w:pPr>
              <w:spacing w:after="0"/>
              <w:rPr>
                <w:sz w:val="21"/>
                <w:szCs w:val="21"/>
                <w:color w:val="auto"/>
              </w:rPr>
            </w:pPr>
          </w:p>
        </w:tc>
        <w:tc>
          <w:tcPr>
            <w:tcW w:w="2380" w:type="dxa"/>
            <w:vAlign w:val="bottom"/>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U.S. Generally Accepted Accounting Principles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w:t>
            </w:r>
          </w:p>
        </w:tc>
        <w:tc>
          <w:tcPr>
            <w:tcW w:w="20" w:type="dxa"/>
            <w:vAlign w:val="bottom"/>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0A248E"/>
            </w:tcBorders>
            <w:shd w:val="clear" w:color="auto" w:fill="0A248E"/>
          </w:tcPr>
          <w:p>
            <w:pPr>
              <w:spacing w:after="0"/>
              <w:rPr>
                <w:sz w:val="6"/>
                <w:szCs w:val="6"/>
                <w:color w:val="auto"/>
              </w:rPr>
            </w:pPr>
          </w:p>
        </w:tc>
        <w:tc>
          <w:tcPr>
            <w:tcW w:w="2380" w:type="dxa"/>
            <w:vAlign w:val="bottom"/>
            <w:tcBorders>
              <w:bottom w:val="single" w:sz="8" w:color="0A248E"/>
            </w:tcBorders>
          </w:tcPr>
          <w:p>
            <w:pPr>
              <w:spacing w:after="0"/>
              <w:rPr>
                <w:sz w:val="6"/>
                <w:szCs w:val="6"/>
                <w:color w:val="auto"/>
              </w:rPr>
            </w:pPr>
          </w:p>
        </w:tc>
        <w:tc>
          <w:tcPr>
            <w:tcW w:w="20" w:type="dxa"/>
            <w:vAlign w:val="bottom"/>
            <w:tcBorders>
              <w:bottom w:val="single" w:sz="8" w:color="0A248E"/>
            </w:tcBorders>
            <w:shd w:val="clear" w:color="auto" w:fill="0A248E"/>
          </w:tcPr>
          <w:p>
            <w:pPr>
              <w:spacing w:after="0"/>
              <w:rPr>
                <w:sz w:val="6"/>
                <w:szCs w:val="6"/>
                <w:color w:val="auto"/>
              </w:rPr>
            </w:pPr>
          </w:p>
        </w:tc>
        <w:tc>
          <w:tcPr>
            <w:tcW w:w="7220" w:type="dxa"/>
            <w:vAlign w:val="bottom"/>
            <w:tcBorders>
              <w:bottom w:val="single" w:sz="8" w:color="0A248E"/>
            </w:tcBorders>
          </w:tcPr>
          <w:p>
            <w:pPr>
              <w:spacing w:after="0"/>
              <w:rPr>
                <w:sz w:val="6"/>
                <w:szCs w:val="6"/>
                <w:color w:val="auto"/>
              </w:rPr>
            </w:pPr>
          </w:p>
        </w:tc>
        <w:tc>
          <w:tcPr>
            <w:tcW w:w="20" w:type="dxa"/>
            <w:vAlign w:val="bottom"/>
            <w:tcBorders>
              <w:bottom w:val="single" w:sz="8" w:color="0A248E"/>
            </w:tcBorders>
            <w:shd w:val="clear" w:color="auto" w:fill="0A248E"/>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20" w:type="dxa"/>
            <w:vAlign w:val="bottom"/>
            <w:shd w:val="clear" w:color="auto" w:fill="0A248E"/>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8"/>
                <w:szCs w:val="18"/>
                <w:b w:val="1"/>
                <w:bCs w:val="1"/>
                <w:color w:val="auto"/>
              </w:rPr>
              <w:t>Regular Review</w:t>
            </w:r>
          </w:p>
        </w:tc>
        <w:tc>
          <w:tcPr>
            <w:tcW w:w="20" w:type="dxa"/>
            <w:vAlign w:val="bottom"/>
            <w:shd w:val="clear" w:color="auto" w:fill="0A248E"/>
          </w:tcPr>
          <w:p>
            <w:pPr>
              <w:spacing w:after="0"/>
              <w:rPr>
                <w:sz w:val="24"/>
                <w:szCs w:val="24"/>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w w:val="99"/>
              </w:rPr>
              <w:t>With advice from Compensia, our talent and compensation committee regularly reviews a</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0A248E"/>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competitive market analysis of the amount and form of director compensation to ensure</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0A248E"/>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consistency with prudent governance practices and comparability with our compensation</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0A248E"/>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peer group.</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0A248E"/>
            </w:tcBorders>
            <w:shd w:val="clear" w:color="auto" w:fill="0A248E"/>
          </w:tcPr>
          <w:p>
            <w:pPr>
              <w:spacing w:after="0"/>
              <w:rPr>
                <w:sz w:val="7"/>
                <w:szCs w:val="7"/>
                <w:color w:val="auto"/>
              </w:rPr>
            </w:pPr>
          </w:p>
        </w:tc>
        <w:tc>
          <w:tcPr>
            <w:tcW w:w="2380" w:type="dxa"/>
            <w:vAlign w:val="bottom"/>
            <w:tcBorders>
              <w:bottom w:val="single" w:sz="8" w:color="0A248E"/>
            </w:tcBorders>
          </w:tcPr>
          <w:p>
            <w:pPr>
              <w:spacing w:after="0"/>
              <w:rPr>
                <w:sz w:val="7"/>
                <w:szCs w:val="7"/>
                <w:color w:val="auto"/>
              </w:rPr>
            </w:pPr>
          </w:p>
        </w:tc>
        <w:tc>
          <w:tcPr>
            <w:tcW w:w="20" w:type="dxa"/>
            <w:vAlign w:val="bottom"/>
            <w:tcBorders>
              <w:bottom w:val="single" w:sz="8" w:color="0A248E"/>
            </w:tcBorders>
            <w:shd w:val="clear" w:color="auto" w:fill="0A248E"/>
          </w:tcPr>
          <w:p>
            <w:pPr>
              <w:spacing w:after="0"/>
              <w:rPr>
                <w:sz w:val="7"/>
                <w:szCs w:val="7"/>
                <w:color w:val="auto"/>
              </w:rPr>
            </w:pPr>
          </w:p>
        </w:tc>
        <w:tc>
          <w:tcPr>
            <w:tcW w:w="7220" w:type="dxa"/>
            <w:vAlign w:val="bottom"/>
            <w:tcBorders>
              <w:bottom w:val="single" w:sz="8" w:color="0A248E"/>
            </w:tcBorders>
          </w:tcPr>
          <w:p>
            <w:pPr>
              <w:spacing w:after="0"/>
              <w:rPr>
                <w:sz w:val="7"/>
                <w:szCs w:val="7"/>
                <w:color w:val="auto"/>
              </w:rPr>
            </w:pPr>
          </w:p>
        </w:tc>
        <w:tc>
          <w:tcPr>
            <w:tcW w:w="20" w:type="dxa"/>
            <w:vAlign w:val="bottom"/>
            <w:tcBorders>
              <w:bottom w:val="single" w:sz="8" w:color="0A248E"/>
            </w:tcBorders>
            <w:shd w:val="clear" w:color="auto" w:fill="0A248E"/>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20" w:type="dxa"/>
            <w:vAlign w:val="bottom"/>
            <w:shd w:val="clear" w:color="auto" w:fill="0A248E"/>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8"/>
                <w:szCs w:val="18"/>
                <w:b w:val="1"/>
                <w:bCs w:val="1"/>
                <w:color w:val="auto"/>
              </w:rPr>
              <w:t>Board Leadership</w:t>
            </w:r>
          </w:p>
        </w:tc>
        <w:tc>
          <w:tcPr>
            <w:tcW w:w="20" w:type="dxa"/>
            <w:vAlign w:val="bottom"/>
            <w:shd w:val="clear" w:color="auto" w:fill="0A248E"/>
          </w:tcPr>
          <w:p>
            <w:pPr>
              <w:spacing w:after="0"/>
              <w:rPr>
                <w:sz w:val="24"/>
                <w:szCs w:val="24"/>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w w:val="97"/>
              </w:rPr>
              <w:t>Our director compensation policy provides additional compensation for leadership positions</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0A248E"/>
          </w:tcPr>
          <w:p>
            <w:pPr>
              <w:spacing w:after="0"/>
              <w:rPr>
                <w:sz w:val="20"/>
                <w:szCs w:val="20"/>
                <w:color w:val="auto"/>
              </w:rPr>
            </w:pPr>
          </w:p>
        </w:tc>
        <w:tc>
          <w:tcPr>
            <w:tcW w:w="2380" w:type="dxa"/>
            <w:vAlign w:val="bottom"/>
          </w:tcPr>
          <w:p>
            <w:pPr>
              <w:ind w:left="80"/>
              <w:spacing w:after="0"/>
              <w:rPr>
                <w:sz w:val="20"/>
                <w:szCs w:val="20"/>
                <w:color w:val="auto"/>
              </w:rPr>
            </w:pPr>
            <w:r>
              <w:rPr>
                <w:rFonts w:ascii="Arial" w:cs="Arial" w:eastAsia="Arial" w:hAnsi="Arial"/>
                <w:sz w:val="18"/>
                <w:szCs w:val="18"/>
                <w:b w:val="1"/>
                <w:bCs w:val="1"/>
                <w:color w:val="auto"/>
              </w:rPr>
              <w:t>Compensation</w:t>
            </w:r>
          </w:p>
        </w:tc>
        <w:tc>
          <w:tcPr>
            <w:tcW w:w="20" w:type="dxa"/>
            <w:vAlign w:val="bottom"/>
            <w:shd w:val="clear" w:color="auto" w:fill="0A248E"/>
          </w:tcPr>
          <w:p>
            <w:pPr>
              <w:spacing w:after="0"/>
              <w:rPr>
                <w:sz w:val="20"/>
                <w:szCs w:val="20"/>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w w:val="98"/>
              </w:rPr>
              <w:t>on the board of directors, including lead independent director and committee chair roles, to</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0A248E"/>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account for the added time and effort associated with these positions.</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0A248E"/>
            </w:tcBorders>
            <w:shd w:val="clear" w:color="auto" w:fill="0A248E"/>
          </w:tcPr>
          <w:p>
            <w:pPr>
              <w:spacing w:after="0"/>
              <w:rPr>
                <w:sz w:val="7"/>
                <w:szCs w:val="7"/>
                <w:color w:val="auto"/>
              </w:rPr>
            </w:pPr>
          </w:p>
        </w:tc>
        <w:tc>
          <w:tcPr>
            <w:tcW w:w="2380" w:type="dxa"/>
            <w:vAlign w:val="bottom"/>
            <w:tcBorders>
              <w:bottom w:val="single" w:sz="8" w:color="0A248E"/>
            </w:tcBorders>
          </w:tcPr>
          <w:p>
            <w:pPr>
              <w:spacing w:after="0"/>
              <w:rPr>
                <w:sz w:val="7"/>
                <w:szCs w:val="7"/>
                <w:color w:val="auto"/>
              </w:rPr>
            </w:pPr>
          </w:p>
        </w:tc>
        <w:tc>
          <w:tcPr>
            <w:tcW w:w="20" w:type="dxa"/>
            <w:vAlign w:val="bottom"/>
            <w:tcBorders>
              <w:bottom w:val="single" w:sz="8" w:color="0A248E"/>
            </w:tcBorders>
            <w:shd w:val="clear" w:color="auto" w:fill="0A248E"/>
          </w:tcPr>
          <w:p>
            <w:pPr>
              <w:spacing w:after="0"/>
              <w:rPr>
                <w:sz w:val="7"/>
                <w:szCs w:val="7"/>
                <w:color w:val="auto"/>
              </w:rPr>
            </w:pPr>
          </w:p>
        </w:tc>
        <w:tc>
          <w:tcPr>
            <w:tcW w:w="7220" w:type="dxa"/>
            <w:vAlign w:val="bottom"/>
            <w:tcBorders>
              <w:bottom w:val="single" w:sz="8" w:color="0A248E"/>
            </w:tcBorders>
          </w:tcPr>
          <w:p>
            <w:pPr>
              <w:spacing w:after="0"/>
              <w:rPr>
                <w:sz w:val="7"/>
                <w:szCs w:val="7"/>
                <w:color w:val="auto"/>
              </w:rPr>
            </w:pPr>
          </w:p>
        </w:tc>
        <w:tc>
          <w:tcPr>
            <w:tcW w:w="20" w:type="dxa"/>
            <w:vAlign w:val="bottom"/>
            <w:tcBorders>
              <w:bottom w:val="single" w:sz="8" w:color="0A248E"/>
            </w:tcBorders>
            <w:shd w:val="clear" w:color="auto" w:fill="0A248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6129655</wp:posOffset>
                </wp:positionH>
                <wp:positionV relativeFrom="paragraph">
                  <wp:posOffset>-3503295</wp:posOffset>
                </wp:positionV>
                <wp:extent cx="13335" cy="2667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26670"/>
                        </a:xfrm>
                        <a:prstGeom prst="rect">
                          <a:avLst/>
                        </a:prstGeom>
                        <a:solidFill>
                          <a:srgbClr val="0A248E"/>
                        </a:solidFill>
                      </wps:spPr>
                      <wps:bodyPr/>
                    </wps:wsp>
                  </a:graphicData>
                </a:graphic>
              </wp:anchor>
            </w:drawing>
          </mc:Choice>
          <mc:Fallback>
            <w:pict>
              <v:rect id="Shape 41" o:spid="_x0000_s1066" style="position:absolute;margin-left:482.65pt;margin-top:-275.8499pt;width:1.0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-3310255</wp:posOffset>
                </wp:positionV>
                <wp:extent cx="12700" cy="3556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35560"/>
                        </a:xfrm>
                        <a:prstGeom prst="rect">
                          <a:avLst/>
                        </a:prstGeom>
                        <a:solidFill>
                          <a:srgbClr val="0A248E"/>
                        </a:solidFill>
                      </wps:spPr>
                      <wps:bodyPr/>
                    </wps:wsp>
                  </a:graphicData>
                </a:graphic>
              </wp:anchor>
            </w:drawing>
          </mc:Choice>
          <mc:Fallback>
            <w:pict>
              <v:rect id="Shape 42" o:spid="_x0000_s1067" style="position:absolute;margin-left:-0.0499pt;margin-top:-260.6499pt;width:1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mc:AlternateContent>
          <mc:Choice Requires="wps">
            <w:drawing>
              <wp:anchor simplePos="0" relativeHeight="251657728" behindDoc="1" locked="0" layoutInCell="0" allowOverlap="1">
                <wp:simplePos x="0" y="0"/>
                <wp:positionH relativeFrom="column">
                  <wp:posOffset>1532255</wp:posOffset>
                </wp:positionH>
                <wp:positionV relativeFrom="paragraph">
                  <wp:posOffset>-3310255</wp:posOffset>
                </wp:positionV>
                <wp:extent cx="13335" cy="3556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35560"/>
                        </a:xfrm>
                        <a:prstGeom prst="rect">
                          <a:avLst/>
                        </a:prstGeom>
                        <a:solidFill>
                          <a:srgbClr val="0A248E"/>
                        </a:solidFill>
                      </wps:spPr>
                      <wps:bodyPr/>
                    </wps:wsp>
                  </a:graphicData>
                </a:graphic>
              </wp:anchor>
            </w:drawing>
          </mc:Choice>
          <mc:Fallback>
            <w:pict>
              <v:rect id="Shape 43" o:spid="_x0000_s1068" style="position:absolute;margin-left:120.65pt;margin-top:-260.6499pt;width:1.05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w:r>
    </w:p>
    <w:p>
      <w:pPr>
        <w:sectPr>
          <w:pgSz w:w="11880" w:h="15480" w:orient="portrait"/>
          <w:cols w:equalWidth="0" w:num="1">
            <w:col w:w="9667"/>
          </w:cols>
          <w:pgMar w:left="1133" w:top="3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25</w:t>
      </w:r>
    </w:p>
    <w:p>
      <w:pPr>
        <w:sectPr>
          <w:pgSz w:w="11880" w:h="15480" w:orient="portrait"/>
          <w:cols w:equalWidth="0" w:num="1">
            <w:col w:w="9667"/>
          </w:cols>
          <w:pgMar w:left="1133" w:top="340" w:right="1080" w:bottom="0" w:gutter="0" w:footer="0" w:header="0"/>
          <w:type w:val="continuous"/>
        </w:sectPr>
      </w:pPr>
    </w:p>
    <w:bookmarkStart w:id="33" w:name="page34"/>
    <w:bookmarkEnd w:id="33"/>
    <w:p>
      <w:pPr>
        <w:ind w:right="50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Components of Compensation</w:t>
      </w:r>
    </w:p>
    <w:p>
      <w:pPr>
        <w:spacing w:after="0" w:line="203" w:lineRule="exact"/>
        <w:rPr>
          <w:sz w:val="20"/>
          <w:szCs w:val="20"/>
          <w:color w:val="auto"/>
        </w:rPr>
      </w:pPr>
    </w:p>
    <w:p>
      <w:pPr>
        <w:ind w:right="40"/>
        <w:spacing w:after="0" w:line="315" w:lineRule="auto"/>
        <w:rPr>
          <w:sz w:val="20"/>
          <w:szCs w:val="20"/>
          <w:color w:val="auto"/>
        </w:rPr>
      </w:pPr>
      <w:r>
        <w:rPr>
          <w:rFonts w:ascii="Arial" w:cs="Arial" w:eastAsia="Arial" w:hAnsi="Arial"/>
          <w:sz w:val="17"/>
          <w:szCs w:val="17"/>
          <w:color w:val="auto"/>
        </w:rPr>
        <w:t>Our director compensation policy consists of a cash component and an equity component. There are no per-meeting attendance fees for attending board meetings. Directors who are also our employees receive no additional compensation for their service as directors. The components of our director compensation policy, as currently in effect, are described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261620</wp:posOffset>
                </wp:positionV>
                <wp:extent cx="12700" cy="3556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35560"/>
                        </a:xfrm>
                        <a:prstGeom prst="rect">
                          <a:avLst/>
                        </a:prstGeom>
                        <a:solidFill>
                          <a:srgbClr val="0A248E"/>
                        </a:solidFill>
                      </wps:spPr>
                      <wps:bodyPr/>
                    </wps:wsp>
                  </a:graphicData>
                </a:graphic>
              </wp:anchor>
            </w:drawing>
          </mc:Choice>
          <mc:Fallback>
            <w:pict>
              <v:rect id="Shape 44" o:spid="_x0000_s1069" style="position:absolute;margin-left:-0.3499pt;margin-top:20.6pt;width:1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56"/>
        </w:trPr>
        <w:tc>
          <w:tcPr>
            <w:tcW w:w="60" w:type="dxa"/>
            <w:vAlign w:val="bottom"/>
            <w:tcBorders>
              <w:top w:val="single" w:sz="8" w:color="0A248E"/>
              <w:left w:val="single" w:sz="8" w:color="0A248E"/>
            </w:tcBorders>
            <w:shd w:val="clear" w:color="auto" w:fill="0A248E"/>
          </w:tcPr>
          <w:p>
            <w:pPr>
              <w:spacing w:after="0"/>
              <w:rPr>
                <w:sz w:val="4"/>
                <w:szCs w:val="4"/>
                <w:color w:val="auto"/>
              </w:rPr>
            </w:pPr>
          </w:p>
        </w:tc>
        <w:tc>
          <w:tcPr>
            <w:tcW w:w="2560" w:type="dxa"/>
            <w:vAlign w:val="bottom"/>
            <w:tcBorders>
              <w:top w:val="single" w:sz="8" w:color="0A248E"/>
            </w:tcBorders>
            <w:vMerge w:val="restart"/>
            <w:shd w:val="clear" w:color="auto" w:fill="0A248E"/>
          </w:tcPr>
          <w:p>
            <w:pPr>
              <w:ind w:left="40"/>
              <w:spacing w:after="0"/>
              <w:rPr>
                <w:sz w:val="20"/>
                <w:szCs w:val="20"/>
                <w:color w:val="auto"/>
              </w:rPr>
            </w:pPr>
            <w:r>
              <w:rPr>
                <w:rFonts w:ascii="Arial" w:cs="Arial" w:eastAsia="Arial" w:hAnsi="Arial"/>
                <w:sz w:val="15"/>
                <w:szCs w:val="15"/>
                <w:b w:val="1"/>
                <w:bCs w:val="1"/>
                <w:color w:val="FFFFFF"/>
              </w:rPr>
              <w:t>Component</w:t>
            </w:r>
          </w:p>
        </w:tc>
        <w:tc>
          <w:tcPr>
            <w:tcW w:w="20" w:type="dxa"/>
            <w:vAlign w:val="bottom"/>
            <w:tcBorders>
              <w:top w:val="single" w:sz="8" w:color="0A248E"/>
            </w:tcBorders>
            <w:shd w:val="clear" w:color="auto" w:fill="0A248E"/>
          </w:tcPr>
          <w:p>
            <w:pPr>
              <w:spacing w:after="0"/>
              <w:rPr>
                <w:sz w:val="4"/>
                <w:szCs w:val="4"/>
                <w:color w:val="auto"/>
              </w:rPr>
            </w:pPr>
          </w:p>
        </w:tc>
        <w:tc>
          <w:tcPr>
            <w:tcW w:w="100" w:type="dxa"/>
            <w:vAlign w:val="bottom"/>
            <w:tcBorders>
              <w:top w:val="single" w:sz="8" w:color="0A248E"/>
            </w:tcBorders>
            <w:shd w:val="clear" w:color="auto" w:fill="0A248E"/>
          </w:tcPr>
          <w:p>
            <w:pPr>
              <w:spacing w:after="0"/>
              <w:rPr>
                <w:sz w:val="4"/>
                <w:szCs w:val="4"/>
                <w:color w:val="auto"/>
              </w:rPr>
            </w:pPr>
          </w:p>
        </w:tc>
        <w:tc>
          <w:tcPr>
            <w:tcW w:w="6900" w:type="dxa"/>
            <w:vAlign w:val="bottom"/>
            <w:tcBorders>
              <w:top w:val="single" w:sz="8" w:color="0A248E"/>
            </w:tcBorders>
            <w:gridSpan w:val="4"/>
            <w:vMerge w:val="restart"/>
            <w:shd w:val="clear" w:color="auto" w:fill="0A248E"/>
          </w:tcPr>
          <w:p>
            <w:pPr>
              <w:spacing w:after="0"/>
              <w:rPr>
                <w:sz w:val="20"/>
                <w:szCs w:val="20"/>
                <w:color w:val="auto"/>
              </w:rPr>
            </w:pPr>
            <w:r>
              <w:rPr>
                <w:rFonts w:ascii="Arial" w:cs="Arial" w:eastAsia="Arial" w:hAnsi="Arial"/>
                <w:sz w:val="15"/>
                <w:szCs w:val="15"/>
                <w:b w:val="1"/>
                <w:bCs w:val="1"/>
                <w:color w:val="FFFFFF"/>
              </w:rPr>
              <w:t>Description</w:t>
            </w:r>
          </w:p>
        </w:tc>
        <w:tc>
          <w:tcPr>
            <w:tcW w:w="20" w:type="dxa"/>
            <w:vAlign w:val="bottom"/>
            <w:tcBorders>
              <w:top w:val="single" w:sz="8" w:color="0A248E"/>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 w:type="dxa"/>
            <w:vAlign w:val="bottom"/>
            <w:tcBorders>
              <w:left w:val="single" w:sz="8" w:color="0A248E"/>
              <w:bottom w:val="single" w:sz="8" w:color="0A248E"/>
            </w:tcBorders>
            <w:shd w:val="clear" w:color="auto" w:fill="0A248E"/>
          </w:tcPr>
          <w:p>
            <w:pPr>
              <w:spacing w:after="0"/>
              <w:rPr>
                <w:sz w:val="21"/>
                <w:szCs w:val="21"/>
                <w:color w:val="auto"/>
              </w:rPr>
            </w:pPr>
          </w:p>
        </w:tc>
        <w:tc>
          <w:tcPr>
            <w:tcW w:w="2560" w:type="dxa"/>
            <w:vAlign w:val="bottom"/>
            <w:tcBorders>
              <w:bottom w:val="single" w:sz="8" w:color="0A248E"/>
            </w:tcBorders>
            <w:vMerge w:val="continue"/>
            <w:shd w:val="clear" w:color="auto" w:fill="0A248E"/>
          </w:tcPr>
          <w:p>
            <w:pPr>
              <w:spacing w:after="0"/>
              <w:rPr>
                <w:sz w:val="21"/>
                <w:szCs w:val="21"/>
                <w:color w:val="auto"/>
              </w:rPr>
            </w:pPr>
          </w:p>
        </w:tc>
        <w:tc>
          <w:tcPr>
            <w:tcW w:w="20" w:type="dxa"/>
            <w:vAlign w:val="bottom"/>
            <w:tcBorders>
              <w:bottom w:val="single" w:sz="8" w:color="0A248E"/>
            </w:tcBorders>
            <w:shd w:val="clear" w:color="auto" w:fill="0A248E"/>
          </w:tcPr>
          <w:p>
            <w:pPr>
              <w:spacing w:after="0"/>
              <w:rPr>
                <w:sz w:val="21"/>
                <w:szCs w:val="21"/>
                <w:color w:val="auto"/>
              </w:rPr>
            </w:pPr>
          </w:p>
        </w:tc>
        <w:tc>
          <w:tcPr>
            <w:tcW w:w="100" w:type="dxa"/>
            <w:vAlign w:val="bottom"/>
            <w:tcBorders>
              <w:bottom w:val="single" w:sz="8" w:color="0A248E"/>
            </w:tcBorders>
            <w:shd w:val="clear" w:color="auto" w:fill="0A248E"/>
          </w:tcPr>
          <w:p>
            <w:pPr>
              <w:spacing w:after="0"/>
              <w:rPr>
                <w:sz w:val="21"/>
                <w:szCs w:val="21"/>
                <w:color w:val="auto"/>
              </w:rPr>
            </w:pPr>
          </w:p>
        </w:tc>
        <w:tc>
          <w:tcPr>
            <w:tcW w:w="6900" w:type="dxa"/>
            <w:vAlign w:val="bottom"/>
            <w:tcBorders>
              <w:bottom w:val="single" w:sz="8" w:color="0A248E"/>
            </w:tcBorders>
            <w:gridSpan w:val="4"/>
            <w:vMerge w:val="continue"/>
            <w:shd w:val="clear" w:color="auto" w:fill="0A248E"/>
          </w:tcPr>
          <w:p>
            <w:pPr>
              <w:spacing w:after="0"/>
              <w:rPr>
                <w:sz w:val="21"/>
                <w:szCs w:val="21"/>
                <w:color w:val="auto"/>
              </w:rPr>
            </w:pPr>
          </w:p>
        </w:tc>
        <w:tc>
          <w:tcPr>
            <w:tcW w:w="20" w:type="dxa"/>
            <w:vAlign w:val="bottom"/>
            <w:tcBorders>
              <w:bottom w:val="single" w:sz="8" w:color="0A248E"/>
            </w:tcBorders>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0" w:type="dxa"/>
            <w:vAlign w:val="bottom"/>
            <w:tcBorders>
              <w:left w:val="single" w:sz="8" w:color="0A248E"/>
            </w:tcBorders>
            <w:shd w:val="clear" w:color="auto" w:fill="EDECF5"/>
          </w:tcPr>
          <w:p>
            <w:pPr>
              <w:spacing w:after="0"/>
              <w:rPr>
                <w:sz w:val="24"/>
                <w:szCs w:val="24"/>
                <w:color w:val="auto"/>
              </w:rPr>
            </w:pPr>
          </w:p>
        </w:tc>
        <w:tc>
          <w:tcPr>
            <w:tcW w:w="2560" w:type="dxa"/>
            <w:vAlign w:val="bottom"/>
            <w:shd w:val="clear" w:color="auto" w:fill="EDECF5"/>
          </w:tcPr>
          <w:p>
            <w:pPr>
              <w:ind w:left="40"/>
              <w:spacing w:after="0"/>
              <w:rPr>
                <w:sz w:val="20"/>
                <w:szCs w:val="20"/>
                <w:color w:val="auto"/>
              </w:rPr>
            </w:pPr>
            <w:r>
              <w:rPr>
                <w:rFonts w:ascii="Arial" w:cs="Arial" w:eastAsia="Arial" w:hAnsi="Arial"/>
                <w:sz w:val="18"/>
                <w:szCs w:val="18"/>
                <w:b w:val="1"/>
                <w:bCs w:val="1"/>
                <w:color w:val="0A248E"/>
              </w:rPr>
              <w:t>Cash Compensation</w:t>
            </w:r>
          </w:p>
        </w:tc>
        <w:tc>
          <w:tcPr>
            <w:tcW w:w="20" w:type="dxa"/>
            <w:vAlign w:val="bottom"/>
            <w:shd w:val="clear" w:color="auto" w:fill="EDECF5"/>
          </w:tcPr>
          <w:p>
            <w:pPr>
              <w:spacing w:after="0"/>
              <w:rPr>
                <w:sz w:val="24"/>
                <w:szCs w:val="24"/>
                <w:color w:val="auto"/>
              </w:rPr>
            </w:pPr>
          </w:p>
        </w:tc>
        <w:tc>
          <w:tcPr>
            <w:tcW w:w="100" w:type="dxa"/>
            <w:vAlign w:val="bottom"/>
            <w:shd w:val="clear" w:color="auto" w:fill="EDECF5"/>
          </w:tcPr>
          <w:p>
            <w:pPr>
              <w:spacing w:after="0"/>
              <w:rPr>
                <w:sz w:val="24"/>
                <w:szCs w:val="24"/>
                <w:color w:val="auto"/>
              </w:rPr>
            </w:pPr>
          </w:p>
        </w:tc>
        <w:tc>
          <w:tcPr>
            <w:tcW w:w="100" w:type="dxa"/>
            <w:vAlign w:val="bottom"/>
            <w:shd w:val="clear" w:color="auto" w:fill="EDECF5"/>
          </w:tcPr>
          <w:p>
            <w:pPr>
              <w:spacing w:after="0"/>
              <w:rPr>
                <w:sz w:val="24"/>
                <w:szCs w:val="24"/>
                <w:color w:val="auto"/>
              </w:rPr>
            </w:pPr>
          </w:p>
        </w:tc>
        <w:tc>
          <w:tcPr>
            <w:tcW w:w="1200" w:type="dxa"/>
            <w:vAlign w:val="bottom"/>
            <w:shd w:val="clear" w:color="auto" w:fill="EDECF5"/>
          </w:tcPr>
          <w:p>
            <w:pPr>
              <w:spacing w:after="0"/>
              <w:rPr>
                <w:sz w:val="24"/>
                <w:szCs w:val="24"/>
                <w:color w:val="auto"/>
              </w:rPr>
            </w:pPr>
          </w:p>
        </w:tc>
        <w:tc>
          <w:tcPr>
            <w:tcW w:w="120" w:type="dxa"/>
            <w:vAlign w:val="bottom"/>
            <w:shd w:val="clear" w:color="auto" w:fill="EDECF5"/>
          </w:tcPr>
          <w:p>
            <w:pPr>
              <w:spacing w:after="0"/>
              <w:rPr>
                <w:sz w:val="24"/>
                <w:szCs w:val="24"/>
                <w:color w:val="auto"/>
              </w:rPr>
            </w:pPr>
          </w:p>
        </w:tc>
        <w:tc>
          <w:tcPr>
            <w:tcW w:w="5480" w:type="dxa"/>
            <w:vAlign w:val="bottom"/>
            <w:shd w:val="clear" w:color="auto" w:fill="EDECF5"/>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0" w:type="dxa"/>
            <w:vAlign w:val="bottom"/>
            <w:tcBorders>
              <w:left w:val="single" w:sz="8" w:color="0A248E"/>
              <w:bottom w:val="single" w:sz="8" w:color="0A248E"/>
            </w:tcBorders>
            <w:shd w:val="clear" w:color="auto" w:fill="EDECF5"/>
          </w:tcPr>
          <w:p>
            <w:pPr>
              <w:spacing w:after="0"/>
              <w:rPr>
                <w:sz w:val="5"/>
                <w:szCs w:val="5"/>
                <w:color w:val="auto"/>
              </w:rPr>
            </w:pPr>
          </w:p>
        </w:tc>
        <w:tc>
          <w:tcPr>
            <w:tcW w:w="2560" w:type="dxa"/>
            <w:vAlign w:val="bottom"/>
            <w:tcBorders>
              <w:bottom w:val="single" w:sz="8" w:color="0A248E"/>
            </w:tcBorders>
            <w:shd w:val="clear" w:color="auto" w:fill="EDECF5"/>
          </w:tcPr>
          <w:p>
            <w:pPr>
              <w:spacing w:after="0"/>
              <w:rPr>
                <w:sz w:val="5"/>
                <w:szCs w:val="5"/>
                <w:color w:val="auto"/>
              </w:rPr>
            </w:pPr>
          </w:p>
        </w:tc>
        <w:tc>
          <w:tcPr>
            <w:tcW w:w="20" w:type="dxa"/>
            <w:vAlign w:val="bottom"/>
            <w:tcBorders>
              <w:bottom w:val="single" w:sz="8" w:color="0A248E"/>
            </w:tcBorders>
            <w:shd w:val="clear" w:color="auto" w:fill="EDECF5"/>
          </w:tcPr>
          <w:p>
            <w:pPr>
              <w:spacing w:after="0"/>
              <w:rPr>
                <w:sz w:val="5"/>
                <w:szCs w:val="5"/>
                <w:color w:val="auto"/>
              </w:rPr>
            </w:pPr>
          </w:p>
        </w:tc>
        <w:tc>
          <w:tcPr>
            <w:tcW w:w="100" w:type="dxa"/>
            <w:vAlign w:val="bottom"/>
            <w:tcBorders>
              <w:bottom w:val="single" w:sz="8" w:color="0A248E"/>
            </w:tcBorders>
            <w:shd w:val="clear" w:color="auto" w:fill="EDECF5"/>
          </w:tcPr>
          <w:p>
            <w:pPr>
              <w:spacing w:after="0"/>
              <w:rPr>
                <w:sz w:val="5"/>
                <w:szCs w:val="5"/>
                <w:color w:val="auto"/>
              </w:rPr>
            </w:pPr>
          </w:p>
        </w:tc>
        <w:tc>
          <w:tcPr>
            <w:tcW w:w="1300" w:type="dxa"/>
            <w:vAlign w:val="bottom"/>
            <w:tcBorders>
              <w:bottom w:val="single" w:sz="8" w:color="0A248E"/>
            </w:tcBorders>
            <w:gridSpan w:val="2"/>
            <w:shd w:val="clear" w:color="auto" w:fill="EDECF5"/>
          </w:tcPr>
          <w:p>
            <w:pPr>
              <w:spacing w:after="0"/>
              <w:rPr>
                <w:sz w:val="5"/>
                <w:szCs w:val="5"/>
                <w:color w:val="auto"/>
              </w:rPr>
            </w:pPr>
          </w:p>
        </w:tc>
        <w:tc>
          <w:tcPr>
            <w:tcW w:w="120" w:type="dxa"/>
            <w:vAlign w:val="bottom"/>
            <w:tcBorders>
              <w:bottom w:val="single" w:sz="8" w:color="0A248E"/>
            </w:tcBorders>
            <w:shd w:val="clear" w:color="auto" w:fill="EDECF5"/>
          </w:tcPr>
          <w:p>
            <w:pPr>
              <w:spacing w:after="0"/>
              <w:rPr>
                <w:sz w:val="5"/>
                <w:szCs w:val="5"/>
                <w:color w:val="auto"/>
              </w:rPr>
            </w:pPr>
          </w:p>
        </w:tc>
        <w:tc>
          <w:tcPr>
            <w:tcW w:w="5480" w:type="dxa"/>
            <w:vAlign w:val="bottom"/>
            <w:tcBorders>
              <w:bottom w:val="single" w:sz="8" w:color="0A248E"/>
            </w:tcBorders>
            <w:shd w:val="clear" w:color="auto" w:fill="EDECF5"/>
          </w:tcPr>
          <w:p>
            <w:pPr>
              <w:spacing w:after="0"/>
              <w:rPr>
                <w:sz w:val="5"/>
                <w:szCs w:val="5"/>
                <w:color w:val="auto"/>
              </w:rPr>
            </w:pPr>
          </w:p>
        </w:tc>
        <w:tc>
          <w:tcPr>
            <w:tcW w:w="20" w:type="dxa"/>
            <w:vAlign w:val="bottom"/>
            <w:tcBorders>
              <w:bottom w:val="single" w:sz="8" w:color="0A248E"/>
            </w:tcBorders>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60" w:type="dxa"/>
            <w:vAlign w:val="bottom"/>
            <w:tcBorders>
              <w:left w:val="single" w:sz="8" w:color="0A248E"/>
            </w:tcBorders>
          </w:tcPr>
          <w:p>
            <w:pPr>
              <w:spacing w:after="0"/>
              <w:rPr>
                <w:sz w:val="3"/>
                <w:szCs w:val="3"/>
                <w:color w:val="auto"/>
              </w:rPr>
            </w:pPr>
          </w:p>
        </w:tc>
        <w:tc>
          <w:tcPr>
            <w:tcW w:w="2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Annual Cash Retainer</w:t>
            </w: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6900" w:type="dxa"/>
            <w:vAlign w:val="bottom"/>
            <w:gridSpan w:val="4"/>
            <w:vMerge w:val="restart"/>
          </w:tcPr>
          <w:p>
            <w:pPr>
              <w:spacing w:after="0"/>
              <w:rPr>
                <w:sz w:val="20"/>
                <w:szCs w:val="20"/>
                <w:color w:val="auto"/>
              </w:rPr>
            </w:pPr>
            <w:r>
              <w:rPr>
                <w:rFonts w:ascii="Arial" w:cs="Arial" w:eastAsia="Arial" w:hAnsi="Arial"/>
                <w:sz w:val="18"/>
                <w:szCs w:val="18"/>
                <w:color w:val="auto"/>
              </w:rPr>
              <w:t>$50,000, paid quarterly in arrears on a prorated basis.</w:t>
            </w:r>
          </w:p>
        </w:tc>
        <w:tc>
          <w:tcPr>
            <w:tcW w:w="20" w:type="dxa"/>
            <w:vAlign w:val="bottom"/>
            <w:vMerge w:val="restart"/>
            <w:shd w:val="clear" w:color="auto" w:fill="0A248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Borders>
              <w:left w:val="single" w:sz="8" w:color="0A248E"/>
            </w:tcBorders>
          </w:tcPr>
          <w:p>
            <w:pPr>
              <w:spacing w:after="0"/>
              <w:rPr>
                <w:sz w:val="19"/>
                <w:szCs w:val="19"/>
                <w:color w:val="auto"/>
              </w:rPr>
            </w:pPr>
          </w:p>
        </w:tc>
        <w:tc>
          <w:tcPr>
            <w:tcW w:w="2560" w:type="dxa"/>
            <w:vAlign w:val="bottom"/>
            <w:vMerge w:val="continue"/>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100" w:type="dxa"/>
            <w:vAlign w:val="bottom"/>
            <w:vMerge w:val="continue"/>
          </w:tcPr>
          <w:p>
            <w:pPr>
              <w:spacing w:after="0"/>
              <w:rPr>
                <w:sz w:val="19"/>
                <w:szCs w:val="19"/>
                <w:color w:val="auto"/>
              </w:rPr>
            </w:pPr>
          </w:p>
        </w:tc>
        <w:tc>
          <w:tcPr>
            <w:tcW w:w="6900" w:type="dxa"/>
            <w:vAlign w:val="bottom"/>
            <w:gridSpan w:val="4"/>
            <w:vMerge w:val="continue"/>
          </w:tcPr>
          <w:p>
            <w:pPr>
              <w:spacing w:after="0"/>
              <w:rPr>
                <w:sz w:val="19"/>
                <w:szCs w:val="19"/>
                <w:color w:val="auto"/>
              </w:rPr>
            </w:pPr>
          </w:p>
        </w:tc>
        <w:tc>
          <w:tcPr>
            <w:tcW w:w="20" w:type="dxa"/>
            <w:vAlign w:val="bottom"/>
            <w:vMerge w:val="continue"/>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left w:val="single" w:sz="8" w:color="0A248E"/>
              <w:bottom w:val="single" w:sz="8" w:color="0A248E"/>
            </w:tcBorders>
          </w:tcPr>
          <w:p>
            <w:pPr>
              <w:spacing w:after="0"/>
              <w:rPr>
                <w:sz w:val="5"/>
                <w:szCs w:val="5"/>
                <w:color w:val="auto"/>
              </w:rPr>
            </w:pPr>
          </w:p>
        </w:tc>
        <w:tc>
          <w:tcPr>
            <w:tcW w:w="2560" w:type="dxa"/>
            <w:vAlign w:val="bottom"/>
            <w:tcBorders>
              <w:bottom w:val="single" w:sz="8" w:color="0A248E"/>
            </w:tcBorders>
          </w:tcPr>
          <w:p>
            <w:pPr>
              <w:spacing w:after="0"/>
              <w:rPr>
                <w:sz w:val="5"/>
                <w:szCs w:val="5"/>
                <w:color w:val="auto"/>
              </w:rPr>
            </w:pPr>
          </w:p>
        </w:tc>
        <w:tc>
          <w:tcPr>
            <w:tcW w:w="20" w:type="dxa"/>
            <w:vAlign w:val="bottom"/>
            <w:tcBorders>
              <w:bottom w:val="single" w:sz="8" w:color="0A248E"/>
            </w:tcBorders>
            <w:shd w:val="clear" w:color="auto" w:fill="0A248E"/>
          </w:tcPr>
          <w:p>
            <w:pPr>
              <w:spacing w:after="0"/>
              <w:rPr>
                <w:sz w:val="5"/>
                <w:szCs w:val="5"/>
                <w:color w:val="auto"/>
              </w:rPr>
            </w:pPr>
          </w:p>
        </w:tc>
        <w:tc>
          <w:tcPr>
            <w:tcW w:w="100" w:type="dxa"/>
            <w:vAlign w:val="bottom"/>
            <w:tcBorders>
              <w:bottom w:val="single" w:sz="8" w:color="0A248E"/>
            </w:tcBorders>
          </w:tcPr>
          <w:p>
            <w:pPr>
              <w:spacing w:after="0"/>
              <w:rPr>
                <w:sz w:val="5"/>
                <w:szCs w:val="5"/>
                <w:color w:val="auto"/>
              </w:rPr>
            </w:pPr>
          </w:p>
        </w:tc>
        <w:tc>
          <w:tcPr>
            <w:tcW w:w="1300" w:type="dxa"/>
            <w:vAlign w:val="bottom"/>
            <w:tcBorders>
              <w:bottom w:val="single" w:sz="8" w:color="0A248E"/>
            </w:tcBorders>
            <w:gridSpan w:val="2"/>
          </w:tcPr>
          <w:p>
            <w:pPr>
              <w:spacing w:after="0"/>
              <w:rPr>
                <w:sz w:val="5"/>
                <w:szCs w:val="5"/>
                <w:color w:val="auto"/>
              </w:rPr>
            </w:pPr>
          </w:p>
        </w:tc>
        <w:tc>
          <w:tcPr>
            <w:tcW w:w="120" w:type="dxa"/>
            <w:vAlign w:val="bottom"/>
            <w:tcBorders>
              <w:bottom w:val="single" w:sz="8" w:color="0A248E"/>
            </w:tcBorders>
          </w:tcPr>
          <w:p>
            <w:pPr>
              <w:spacing w:after="0"/>
              <w:rPr>
                <w:sz w:val="5"/>
                <w:szCs w:val="5"/>
                <w:color w:val="auto"/>
              </w:rPr>
            </w:pPr>
          </w:p>
        </w:tc>
        <w:tc>
          <w:tcPr>
            <w:tcW w:w="5480" w:type="dxa"/>
            <w:vAlign w:val="bottom"/>
            <w:tcBorders>
              <w:bottom w:val="single" w:sz="8" w:color="0A248E"/>
            </w:tcBorders>
          </w:tcPr>
          <w:p>
            <w:pPr>
              <w:spacing w:after="0"/>
              <w:rPr>
                <w:sz w:val="5"/>
                <w:szCs w:val="5"/>
                <w:color w:val="auto"/>
              </w:rPr>
            </w:pPr>
          </w:p>
        </w:tc>
        <w:tc>
          <w:tcPr>
            <w:tcW w:w="20" w:type="dxa"/>
            <w:vAlign w:val="bottom"/>
            <w:tcBorders>
              <w:bottom w:val="single" w:sz="8" w:color="0A248E"/>
            </w:tcBorders>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0" w:type="dxa"/>
            <w:vAlign w:val="bottom"/>
            <w:tcBorders>
              <w:left w:val="single" w:sz="8" w:color="0A248E"/>
            </w:tcBorders>
          </w:tcPr>
          <w:p>
            <w:pPr>
              <w:spacing w:after="0"/>
              <w:rPr>
                <w:sz w:val="24"/>
                <w:szCs w:val="24"/>
                <w:color w:val="auto"/>
              </w:rPr>
            </w:pP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Committee and Board</w:t>
            </w:r>
          </w:p>
        </w:tc>
        <w:tc>
          <w:tcPr>
            <w:tcW w:w="20" w:type="dxa"/>
            <w:vAlign w:val="bottom"/>
            <w:shd w:val="clear" w:color="auto" w:fill="0A248E"/>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w w:val="99"/>
              </w:rPr>
              <w:t>Under the director compensation policy in fiscal 2025, each non-employee director was</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0" w:type="dxa"/>
            <w:vAlign w:val="bottom"/>
            <w:tcBorders>
              <w:left w:val="single" w:sz="8" w:color="0A248E"/>
            </w:tcBorders>
          </w:tcPr>
          <w:p>
            <w:pPr>
              <w:spacing w:after="0"/>
              <w:rPr>
                <w:sz w:val="22"/>
                <w:szCs w:val="22"/>
                <w:color w:val="auto"/>
              </w:rPr>
            </w:pP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Leadership Compensation</w:t>
            </w:r>
          </w:p>
        </w:tc>
        <w:tc>
          <w:tcPr>
            <w:tcW w:w="20" w:type="dxa"/>
            <w:vAlign w:val="bottom"/>
            <w:shd w:val="clear" w:color="auto" w:fill="0A248E"/>
          </w:tcPr>
          <w:p>
            <w:pPr>
              <w:spacing w:after="0"/>
              <w:rPr>
                <w:sz w:val="22"/>
                <w:szCs w:val="22"/>
                <w:color w:val="auto"/>
              </w:rPr>
            </w:pPr>
          </w:p>
        </w:tc>
        <w:tc>
          <w:tcPr>
            <w:tcW w:w="100" w:type="dxa"/>
            <w:vAlign w:val="bottom"/>
          </w:tcPr>
          <w:p>
            <w:pPr>
              <w:spacing w:after="0"/>
              <w:rPr>
                <w:sz w:val="22"/>
                <w:szCs w:val="22"/>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entitled to receive the following cash compensation for their additional services:</w:t>
            </w:r>
          </w:p>
        </w:tc>
        <w:tc>
          <w:tcPr>
            <w:tcW w:w="20" w:type="dxa"/>
            <w:vAlign w:val="bottom"/>
            <w:shd w:val="clear" w:color="auto" w:fill="0A248E"/>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0A248E"/>
              </w:rPr>
              <w:t xml:space="preserve">• </w:t>
            </w:r>
            <w:r>
              <w:rPr>
                <w:rFonts w:ascii="Arial" w:cs="Arial" w:eastAsia="Arial" w:hAnsi="Arial"/>
                <w:sz w:val="18"/>
                <w:szCs w:val="18"/>
                <w:color w:val="000000"/>
              </w:rPr>
              <w:t>$35,000 per year for service as a lead independent director;</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0A248E"/>
              </w:rPr>
              <w:t xml:space="preserve">• </w:t>
            </w:r>
            <w:r>
              <w:rPr>
                <w:rFonts w:ascii="Arial" w:cs="Arial" w:eastAsia="Arial" w:hAnsi="Arial"/>
                <w:sz w:val="18"/>
                <w:szCs w:val="18"/>
                <w:color w:val="000000"/>
              </w:rPr>
              <w:t>$30,000 per year for service as chair of the audit committee;</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0A248E"/>
              </w:rPr>
              <w:t>•</w:t>
            </w:r>
          </w:p>
        </w:tc>
        <w:tc>
          <w:tcPr>
            <w:tcW w:w="6800" w:type="dxa"/>
            <w:vAlign w:val="bottom"/>
            <w:gridSpan w:val="3"/>
          </w:tcPr>
          <w:p>
            <w:pPr>
              <w:ind w:left="60"/>
              <w:spacing w:after="0"/>
              <w:rPr>
                <w:sz w:val="20"/>
                <w:szCs w:val="20"/>
                <w:color w:val="auto"/>
              </w:rPr>
            </w:pPr>
            <w:r>
              <w:rPr>
                <w:rFonts w:ascii="Arial" w:cs="Arial" w:eastAsia="Arial" w:hAnsi="Arial"/>
                <w:sz w:val="18"/>
                <w:szCs w:val="18"/>
                <w:color w:val="auto"/>
              </w:rPr>
              <w:t>$12,500 per year for service as a member of the audit committee;</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7000" w:type="dxa"/>
            <w:vAlign w:val="bottom"/>
            <w:gridSpan w:val="5"/>
          </w:tcPr>
          <w:p>
            <w:pPr>
              <w:ind w:left="100"/>
              <w:spacing w:after="0"/>
              <w:rPr>
                <w:sz w:val="20"/>
                <w:szCs w:val="20"/>
                <w:color w:val="auto"/>
              </w:rPr>
            </w:pPr>
            <w:r>
              <w:rPr>
                <w:rFonts w:ascii="Arial" w:cs="Arial" w:eastAsia="Arial" w:hAnsi="Arial"/>
                <w:sz w:val="18"/>
                <w:szCs w:val="18"/>
                <w:color w:val="0A248E"/>
              </w:rPr>
              <w:t xml:space="preserve">• </w:t>
            </w:r>
            <w:r>
              <w:rPr>
                <w:rFonts w:ascii="Arial" w:cs="Arial" w:eastAsia="Arial" w:hAnsi="Arial"/>
                <w:sz w:val="18"/>
                <w:szCs w:val="18"/>
                <w:color w:val="000000"/>
              </w:rPr>
              <w:t>$20,000 per year for service as chair of the talent and compensation committee;</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0A248E"/>
              </w:rPr>
              <w:t>•</w:t>
            </w:r>
          </w:p>
        </w:tc>
        <w:tc>
          <w:tcPr>
            <w:tcW w:w="6800" w:type="dxa"/>
            <w:vAlign w:val="bottom"/>
            <w:gridSpan w:val="3"/>
          </w:tcPr>
          <w:p>
            <w:pPr>
              <w:ind w:left="60"/>
              <w:spacing w:after="0"/>
              <w:rPr>
                <w:sz w:val="20"/>
                <w:szCs w:val="20"/>
                <w:color w:val="auto"/>
              </w:rPr>
            </w:pPr>
            <w:r>
              <w:rPr>
                <w:rFonts w:ascii="Arial" w:cs="Arial" w:eastAsia="Arial" w:hAnsi="Arial"/>
                <w:sz w:val="18"/>
                <w:szCs w:val="18"/>
                <w:color w:val="auto"/>
                <w:w w:val="99"/>
              </w:rPr>
              <w:t>$10,000 per year for service as a member of the talent and compensation committee;</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0A248E"/>
              </w:rPr>
              <w:t>•</w:t>
            </w:r>
          </w:p>
        </w:tc>
        <w:tc>
          <w:tcPr>
            <w:tcW w:w="6800" w:type="dxa"/>
            <w:vAlign w:val="bottom"/>
            <w:gridSpan w:val="3"/>
          </w:tcPr>
          <w:p>
            <w:pPr>
              <w:ind w:left="60"/>
              <w:spacing w:after="0"/>
              <w:rPr>
                <w:sz w:val="20"/>
                <w:szCs w:val="20"/>
                <w:color w:val="auto"/>
              </w:rPr>
            </w:pPr>
            <w:r>
              <w:rPr>
                <w:rFonts w:ascii="Arial" w:cs="Arial" w:eastAsia="Arial" w:hAnsi="Arial"/>
                <w:sz w:val="18"/>
                <w:szCs w:val="18"/>
                <w:color w:val="auto"/>
              </w:rPr>
              <w:t>$15,000 per year for service as chair of the nominating and corporate governance</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gridSpan w:val="3"/>
          </w:tcPr>
          <w:p>
            <w:pPr>
              <w:ind w:left="60"/>
              <w:spacing w:after="0"/>
              <w:rPr>
                <w:sz w:val="20"/>
                <w:szCs w:val="20"/>
                <w:color w:val="auto"/>
              </w:rPr>
            </w:pPr>
            <w:r>
              <w:rPr>
                <w:rFonts w:ascii="Arial" w:cs="Arial" w:eastAsia="Arial" w:hAnsi="Arial"/>
                <w:sz w:val="18"/>
                <w:szCs w:val="18"/>
                <w:color w:val="auto"/>
              </w:rPr>
              <w:t>committee; and</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0A248E"/>
              </w:rPr>
              <w:t>•</w:t>
            </w:r>
          </w:p>
        </w:tc>
        <w:tc>
          <w:tcPr>
            <w:tcW w:w="6800" w:type="dxa"/>
            <w:vAlign w:val="bottom"/>
            <w:gridSpan w:val="3"/>
          </w:tcPr>
          <w:p>
            <w:pPr>
              <w:ind w:left="60"/>
              <w:spacing w:after="0"/>
              <w:rPr>
                <w:sz w:val="20"/>
                <w:szCs w:val="20"/>
                <w:color w:val="auto"/>
              </w:rPr>
            </w:pPr>
            <w:r>
              <w:rPr>
                <w:rFonts w:ascii="Arial" w:cs="Arial" w:eastAsia="Arial" w:hAnsi="Arial"/>
                <w:sz w:val="18"/>
                <w:szCs w:val="18"/>
                <w:color w:val="auto"/>
                <w:w w:val="98"/>
              </w:rPr>
              <w:t>$5,000 per year for service as a member of the nominating and corporate governance</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gridSpan w:val="3"/>
          </w:tcPr>
          <w:p>
            <w:pPr>
              <w:ind w:left="60"/>
              <w:spacing w:after="0"/>
              <w:rPr>
                <w:sz w:val="20"/>
                <w:szCs w:val="20"/>
                <w:color w:val="auto"/>
              </w:rPr>
            </w:pPr>
            <w:r>
              <w:rPr>
                <w:rFonts w:ascii="Arial" w:cs="Arial" w:eastAsia="Arial" w:hAnsi="Arial"/>
                <w:sz w:val="18"/>
                <w:szCs w:val="18"/>
                <w:color w:val="auto"/>
              </w:rPr>
              <w:t>committee.</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7000" w:type="dxa"/>
            <w:vAlign w:val="bottom"/>
            <w:gridSpan w:val="5"/>
          </w:tcPr>
          <w:p>
            <w:pPr>
              <w:ind w:left="80"/>
              <w:spacing w:after="0"/>
              <w:rPr>
                <w:sz w:val="20"/>
                <w:szCs w:val="20"/>
                <w:color w:val="auto"/>
              </w:rPr>
            </w:pPr>
            <w:r>
              <w:rPr>
                <w:rFonts w:ascii="Arial" w:cs="Arial" w:eastAsia="Arial" w:hAnsi="Arial"/>
                <w:sz w:val="18"/>
                <w:szCs w:val="18"/>
                <w:color w:val="auto"/>
              </w:rPr>
              <w:t>Directors who serve as the chair of a committee will receive only the annual fee as the</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7000" w:type="dxa"/>
            <w:vAlign w:val="bottom"/>
            <w:gridSpan w:val="5"/>
          </w:tcPr>
          <w:p>
            <w:pPr>
              <w:ind w:left="80"/>
              <w:spacing w:after="0"/>
              <w:rPr>
                <w:sz w:val="20"/>
                <w:szCs w:val="20"/>
                <w:color w:val="auto"/>
              </w:rPr>
            </w:pPr>
            <w:r>
              <w:rPr>
                <w:rFonts w:ascii="Arial" w:cs="Arial" w:eastAsia="Arial" w:hAnsi="Arial"/>
                <w:sz w:val="18"/>
                <w:szCs w:val="18"/>
                <w:color w:val="auto"/>
              </w:rPr>
              <w:t>chair of the committee and not any additional fees for serving as a member of that</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000" w:type="dxa"/>
            <w:vAlign w:val="bottom"/>
            <w:gridSpan w:val="5"/>
          </w:tcPr>
          <w:p>
            <w:pPr>
              <w:ind w:left="80"/>
              <w:spacing w:after="0"/>
              <w:rPr>
                <w:sz w:val="20"/>
                <w:szCs w:val="20"/>
                <w:color w:val="auto"/>
              </w:rPr>
            </w:pPr>
            <w:r>
              <w:rPr>
                <w:rFonts w:ascii="Arial" w:cs="Arial" w:eastAsia="Arial" w:hAnsi="Arial"/>
                <w:sz w:val="18"/>
                <w:szCs w:val="18"/>
                <w:color w:val="auto"/>
              </w:rPr>
              <w:t>committee.</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60" w:type="dxa"/>
            <w:vAlign w:val="bottom"/>
            <w:tcBorders>
              <w:left w:val="single" w:sz="8" w:color="0A248E"/>
              <w:bottom w:val="single" w:sz="8" w:color="0A248E"/>
            </w:tcBorders>
          </w:tcPr>
          <w:p>
            <w:pPr>
              <w:spacing w:after="0"/>
              <w:rPr>
                <w:sz w:val="7"/>
                <w:szCs w:val="7"/>
                <w:color w:val="auto"/>
              </w:rPr>
            </w:pPr>
          </w:p>
        </w:tc>
        <w:tc>
          <w:tcPr>
            <w:tcW w:w="2560" w:type="dxa"/>
            <w:vAlign w:val="bottom"/>
            <w:tcBorders>
              <w:bottom w:val="single" w:sz="8" w:color="0A248E"/>
            </w:tcBorders>
          </w:tcPr>
          <w:p>
            <w:pPr>
              <w:spacing w:after="0"/>
              <w:rPr>
                <w:sz w:val="7"/>
                <w:szCs w:val="7"/>
                <w:color w:val="auto"/>
              </w:rPr>
            </w:pPr>
          </w:p>
        </w:tc>
        <w:tc>
          <w:tcPr>
            <w:tcW w:w="20" w:type="dxa"/>
            <w:vAlign w:val="bottom"/>
            <w:tcBorders>
              <w:bottom w:val="single" w:sz="8" w:color="0A248E"/>
            </w:tcBorders>
            <w:shd w:val="clear" w:color="auto" w:fill="0A248E"/>
          </w:tcPr>
          <w:p>
            <w:pPr>
              <w:spacing w:after="0"/>
              <w:rPr>
                <w:sz w:val="7"/>
                <w:szCs w:val="7"/>
                <w:color w:val="auto"/>
              </w:rPr>
            </w:pPr>
          </w:p>
        </w:tc>
        <w:tc>
          <w:tcPr>
            <w:tcW w:w="100" w:type="dxa"/>
            <w:vAlign w:val="bottom"/>
            <w:tcBorders>
              <w:bottom w:val="single" w:sz="8" w:color="0A248E"/>
            </w:tcBorders>
          </w:tcPr>
          <w:p>
            <w:pPr>
              <w:spacing w:after="0"/>
              <w:rPr>
                <w:sz w:val="7"/>
                <w:szCs w:val="7"/>
                <w:color w:val="auto"/>
              </w:rPr>
            </w:pPr>
          </w:p>
        </w:tc>
        <w:tc>
          <w:tcPr>
            <w:tcW w:w="100" w:type="dxa"/>
            <w:vAlign w:val="bottom"/>
            <w:tcBorders>
              <w:bottom w:val="single" w:sz="8" w:color="0A248E"/>
            </w:tcBorders>
          </w:tcPr>
          <w:p>
            <w:pPr>
              <w:spacing w:after="0"/>
              <w:rPr>
                <w:sz w:val="7"/>
                <w:szCs w:val="7"/>
                <w:color w:val="auto"/>
              </w:rPr>
            </w:pPr>
          </w:p>
        </w:tc>
        <w:tc>
          <w:tcPr>
            <w:tcW w:w="1200" w:type="dxa"/>
            <w:vAlign w:val="bottom"/>
            <w:tcBorders>
              <w:bottom w:val="single" w:sz="8" w:color="0A248E"/>
            </w:tcBorders>
          </w:tcPr>
          <w:p>
            <w:pPr>
              <w:spacing w:after="0"/>
              <w:rPr>
                <w:sz w:val="7"/>
                <w:szCs w:val="7"/>
                <w:color w:val="auto"/>
              </w:rPr>
            </w:pPr>
          </w:p>
        </w:tc>
        <w:tc>
          <w:tcPr>
            <w:tcW w:w="120" w:type="dxa"/>
            <w:vAlign w:val="bottom"/>
            <w:tcBorders>
              <w:bottom w:val="single" w:sz="8" w:color="0A248E"/>
            </w:tcBorders>
          </w:tcPr>
          <w:p>
            <w:pPr>
              <w:spacing w:after="0"/>
              <w:rPr>
                <w:sz w:val="7"/>
                <w:szCs w:val="7"/>
                <w:color w:val="auto"/>
              </w:rPr>
            </w:pPr>
          </w:p>
        </w:tc>
        <w:tc>
          <w:tcPr>
            <w:tcW w:w="5480" w:type="dxa"/>
            <w:vAlign w:val="bottom"/>
            <w:tcBorders>
              <w:bottom w:val="single" w:sz="8" w:color="0A248E"/>
            </w:tcBorders>
          </w:tcPr>
          <w:p>
            <w:pPr>
              <w:spacing w:after="0"/>
              <w:rPr>
                <w:sz w:val="7"/>
                <w:szCs w:val="7"/>
                <w:color w:val="auto"/>
              </w:rPr>
            </w:pPr>
          </w:p>
        </w:tc>
        <w:tc>
          <w:tcPr>
            <w:tcW w:w="20" w:type="dxa"/>
            <w:vAlign w:val="bottom"/>
            <w:tcBorders>
              <w:bottom w:val="single" w:sz="8" w:color="0A248E"/>
            </w:tcBorders>
            <w:shd w:val="clear" w:color="auto" w:fill="0A248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60" w:type="dxa"/>
            <w:vAlign w:val="bottom"/>
            <w:tcBorders>
              <w:left w:val="single" w:sz="8" w:color="0A248E"/>
            </w:tcBorders>
            <w:shd w:val="clear" w:color="auto" w:fill="EDECF5"/>
          </w:tcPr>
          <w:p>
            <w:pPr>
              <w:spacing w:after="0"/>
              <w:rPr>
                <w:sz w:val="23"/>
                <w:szCs w:val="23"/>
                <w:color w:val="auto"/>
              </w:rPr>
            </w:pPr>
          </w:p>
        </w:tc>
        <w:tc>
          <w:tcPr>
            <w:tcW w:w="2560" w:type="dxa"/>
            <w:vAlign w:val="bottom"/>
            <w:shd w:val="clear" w:color="auto" w:fill="EDECF5"/>
          </w:tcPr>
          <w:p>
            <w:pPr>
              <w:ind w:left="40"/>
              <w:spacing w:after="0"/>
              <w:rPr>
                <w:sz w:val="20"/>
                <w:szCs w:val="20"/>
                <w:color w:val="auto"/>
              </w:rPr>
            </w:pPr>
            <w:r>
              <w:rPr>
                <w:rFonts w:ascii="Arial" w:cs="Arial" w:eastAsia="Arial" w:hAnsi="Arial"/>
                <w:sz w:val="18"/>
                <w:szCs w:val="18"/>
                <w:b w:val="1"/>
                <w:bCs w:val="1"/>
                <w:color w:val="0A248E"/>
              </w:rPr>
              <w:t>Equity Compensation</w:t>
            </w:r>
          </w:p>
        </w:tc>
        <w:tc>
          <w:tcPr>
            <w:tcW w:w="20" w:type="dxa"/>
            <w:vAlign w:val="bottom"/>
            <w:shd w:val="clear" w:color="auto" w:fill="EDECF5"/>
          </w:tcPr>
          <w:p>
            <w:pPr>
              <w:spacing w:after="0"/>
              <w:rPr>
                <w:sz w:val="23"/>
                <w:szCs w:val="23"/>
                <w:color w:val="auto"/>
              </w:rPr>
            </w:pPr>
          </w:p>
        </w:tc>
        <w:tc>
          <w:tcPr>
            <w:tcW w:w="100" w:type="dxa"/>
            <w:vAlign w:val="bottom"/>
            <w:shd w:val="clear" w:color="auto" w:fill="EDECF5"/>
          </w:tcPr>
          <w:p>
            <w:pPr>
              <w:spacing w:after="0"/>
              <w:rPr>
                <w:sz w:val="23"/>
                <w:szCs w:val="23"/>
                <w:color w:val="auto"/>
              </w:rPr>
            </w:pPr>
          </w:p>
        </w:tc>
        <w:tc>
          <w:tcPr>
            <w:tcW w:w="100" w:type="dxa"/>
            <w:vAlign w:val="bottom"/>
            <w:shd w:val="clear" w:color="auto" w:fill="EDECF5"/>
          </w:tcPr>
          <w:p>
            <w:pPr>
              <w:spacing w:after="0"/>
              <w:rPr>
                <w:sz w:val="23"/>
                <w:szCs w:val="23"/>
                <w:color w:val="auto"/>
              </w:rPr>
            </w:pPr>
          </w:p>
        </w:tc>
        <w:tc>
          <w:tcPr>
            <w:tcW w:w="1200" w:type="dxa"/>
            <w:vAlign w:val="bottom"/>
            <w:shd w:val="clear" w:color="auto" w:fill="EDECF5"/>
          </w:tcPr>
          <w:p>
            <w:pPr>
              <w:spacing w:after="0"/>
              <w:rPr>
                <w:sz w:val="23"/>
                <w:szCs w:val="23"/>
                <w:color w:val="auto"/>
              </w:rPr>
            </w:pPr>
          </w:p>
        </w:tc>
        <w:tc>
          <w:tcPr>
            <w:tcW w:w="120" w:type="dxa"/>
            <w:vAlign w:val="bottom"/>
            <w:shd w:val="clear" w:color="auto" w:fill="EDECF5"/>
          </w:tcPr>
          <w:p>
            <w:pPr>
              <w:spacing w:after="0"/>
              <w:rPr>
                <w:sz w:val="23"/>
                <w:szCs w:val="23"/>
                <w:color w:val="auto"/>
              </w:rPr>
            </w:pPr>
          </w:p>
        </w:tc>
        <w:tc>
          <w:tcPr>
            <w:tcW w:w="5480" w:type="dxa"/>
            <w:vAlign w:val="bottom"/>
            <w:shd w:val="clear" w:color="auto" w:fill="EDECF5"/>
          </w:tcPr>
          <w:p>
            <w:pPr>
              <w:spacing w:after="0"/>
              <w:rPr>
                <w:sz w:val="23"/>
                <w:szCs w:val="23"/>
                <w:color w:val="auto"/>
              </w:rPr>
            </w:pPr>
          </w:p>
        </w:tc>
        <w:tc>
          <w:tcPr>
            <w:tcW w:w="20" w:type="dxa"/>
            <w:vAlign w:val="bottom"/>
            <w:shd w:val="clear" w:color="auto" w:fill="0A248E"/>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60" w:type="dxa"/>
            <w:vAlign w:val="bottom"/>
            <w:tcBorders>
              <w:left w:val="single" w:sz="8" w:color="0A248E"/>
              <w:bottom w:val="single" w:sz="8" w:color="0A248E"/>
            </w:tcBorders>
            <w:shd w:val="clear" w:color="auto" w:fill="EDECF5"/>
          </w:tcPr>
          <w:p>
            <w:pPr>
              <w:spacing w:after="0"/>
              <w:rPr>
                <w:sz w:val="5"/>
                <w:szCs w:val="5"/>
                <w:color w:val="auto"/>
              </w:rPr>
            </w:pPr>
          </w:p>
        </w:tc>
        <w:tc>
          <w:tcPr>
            <w:tcW w:w="2560" w:type="dxa"/>
            <w:vAlign w:val="bottom"/>
            <w:tcBorders>
              <w:bottom w:val="single" w:sz="8" w:color="0A248E"/>
            </w:tcBorders>
            <w:shd w:val="clear" w:color="auto" w:fill="EDECF5"/>
          </w:tcPr>
          <w:p>
            <w:pPr>
              <w:spacing w:after="0"/>
              <w:rPr>
                <w:sz w:val="5"/>
                <w:szCs w:val="5"/>
                <w:color w:val="auto"/>
              </w:rPr>
            </w:pPr>
          </w:p>
        </w:tc>
        <w:tc>
          <w:tcPr>
            <w:tcW w:w="20" w:type="dxa"/>
            <w:vAlign w:val="bottom"/>
            <w:tcBorders>
              <w:bottom w:val="single" w:sz="8" w:color="0A248E"/>
            </w:tcBorders>
            <w:shd w:val="clear" w:color="auto" w:fill="EDECF5"/>
          </w:tcPr>
          <w:p>
            <w:pPr>
              <w:spacing w:after="0"/>
              <w:rPr>
                <w:sz w:val="5"/>
                <w:szCs w:val="5"/>
                <w:color w:val="auto"/>
              </w:rPr>
            </w:pPr>
          </w:p>
        </w:tc>
        <w:tc>
          <w:tcPr>
            <w:tcW w:w="100" w:type="dxa"/>
            <w:vAlign w:val="bottom"/>
            <w:tcBorders>
              <w:bottom w:val="single" w:sz="8" w:color="0A248E"/>
            </w:tcBorders>
            <w:shd w:val="clear" w:color="auto" w:fill="EDECF5"/>
          </w:tcPr>
          <w:p>
            <w:pPr>
              <w:spacing w:after="0"/>
              <w:rPr>
                <w:sz w:val="5"/>
                <w:szCs w:val="5"/>
                <w:color w:val="auto"/>
              </w:rPr>
            </w:pPr>
          </w:p>
        </w:tc>
        <w:tc>
          <w:tcPr>
            <w:tcW w:w="1300" w:type="dxa"/>
            <w:vAlign w:val="bottom"/>
            <w:tcBorders>
              <w:bottom w:val="single" w:sz="8" w:color="0A248E"/>
            </w:tcBorders>
            <w:gridSpan w:val="2"/>
            <w:shd w:val="clear" w:color="auto" w:fill="EDECF5"/>
          </w:tcPr>
          <w:p>
            <w:pPr>
              <w:spacing w:after="0"/>
              <w:rPr>
                <w:sz w:val="5"/>
                <w:szCs w:val="5"/>
                <w:color w:val="auto"/>
              </w:rPr>
            </w:pPr>
          </w:p>
        </w:tc>
        <w:tc>
          <w:tcPr>
            <w:tcW w:w="120" w:type="dxa"/>
            <w:vAlign w:val="bottom"/>
            <w:tcBorders>
              <w:bottom w:val="single" w:sz="8" w:color="0A248E"/>
            </w:tcBorders>
            <w:shd w:val="clear" w:color="auto" w:fill="EDECF5"/>
          </w:tcPr>
          <w:p>
            <w:pPr>
              <w:spacing w:after="0"/>
              <w:rPr>
                <w:sz w:val="5"/>
                <w:szCs w:val="5"/>
                <w:color w:val="auto"/>
              </w:rPr>
            </w:pPr>
          </w:p>
        </w:tc>
        <w:tc>
          <w:tcPr>
            <w:tcW w:w="5480" w:type="dxa"/>
            <w:vAlign w:val="bottom"/>
            <w:tcBorders>
              <w:bottom w:val="single" w:sz="8" w:color="0A248E"/>
            </w:tcBorders>
            <w:shd w:val="clear" w:color="auto" w:fill="EDECF5"/>
          </w:tcPr>
          <w:p>
            <w:pPr>
              <w:spacing w:after="0"/>
              <w:rPr>
                <w:sz w:val="5"/>
                <w:szCs w:val="5"/>
                <w:color w:val="auto"/>
              </w:rPr>
            </w:pPr>
          </w:p>
        </w:tc>
        <w:tc>
          <w:tcPr>
            <w:tcW w:w="20" w:type="dxa"/>
            <w:vAlign w:val="bottom"/>
            <w:tcBorders>
              <w:bottom w:val="single" w:sz="8" w:color="0A248E"/>
            </w:tcBorders>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60" w:type="dxa"/>
            <w:vAlign w:val="bottom"/>
            <w:tcBorders>
              <w:left w:val="single" w:sz="8" w:color="0A248E"/>
            </w:tcBorders>
          </w:tcPr>
          <w:p>
            <w:pPr>
              <w:spacing w:after="0"/>
              <w:rPr>
                <w:sz w:val="3"/>
                <w:szCs w:val="3"/>
                <w:color w:val="auto"/>
              </w:rPr>
            </w:pPr>
          </w:p>
        </w:tc>
        <w:tc>
          <w:tcPr>
            <w:tcW w:w="2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Initial Award</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900" w:type="dxa"/>
            <w:vAlign w:val="bottom"/>
            <w:gridSpan w:val="4"/>
            <w:vMerge w:val="restart"/>
          </w:tcPr>
          <w:p>
            <w:pPr>
              <w:spacing w:after="0"/>
              <w:rPr>
                <w:sz w:val="20"/>
                <w:szCs w:val="20"/>
                <w:color w:val="auto"/>
              </w:rPr>
            </w:pPr>
            <w:r>
              <w:rPr>
                <w:rFonts w:ascii="Arial" w:cs="Arial" w:eastAsia="Arial" w:hAnsi="Arial"/>
                <w:sz w:val="18"/>
                <w:szCs w:val="18"/>
                <w:color w:val="auto"/>
              </w:rPr>
              <w:t>Each person who first becomes a non-employee director receives, on the first trading</w:t>
            </w:r>
          </w:p>
        </w:tc>
        <w:tc>
          <w:tcPr>
            <w:tcW w:w="20" w:type="dxa"/>
            <w:vAlign w:val="bottom"/>
            <w:shd w:val="clear" w:color="auto" w:fill="0A248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60" w:type="dxa"/>
            <w:vAlign w:val="bottom"/>
            <w:tcBorders>
              <w:left w:val="single" w:sz="8" w:color="0A248E"/>
            </w:tcBorders>
          </w:tcPr>
          <w:p>
            <w:pPr>
              <w:spacing w:after="0"/>
              <w:rPr>
                <w:sz w:val="24"/>
                <w:szCs w:val="24"/>
                <w:color w:val="auto"/>
              </w:rPr>
            </w:pPr>
          </w:p>
        </w:tc>
        <w:tc>
          <w:tcPr>
            <w:tcW w:w="2560" w:type="dxa"/>
            <w:vAlign w:val="bottom"/>
            <w:vMerge w:val="continue"/>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4"/>
            <w:vMerge w:val="continue"/>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w w:val="98"/>
              </w:rPr>
              <w:t>date on or after the date on which the person first becomes a non-employee director, an</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w w:val="98"/>
              </w:rPr>
              <w:t>initial award of restricted stock units (“</w:t>
            </w:r>
            <w:r>
              <w:rPr>
                <w:rFonts w:ascii="Arial" w:cs="Arial" w:eastAsia="Arial" w:hAnsi="Arial"/>
                <w:sz w:val="18"/>
                <w:szCs w:val="18"/>
                <w:b w:val="1"/>
                <w:bCs w:val="1"/>
                <w:i w:val="1"/>
                <w:iCs w:val="1"/>
                <w:color w:val="auto"/>
                <w:w w:val="98"/>
              </w:rPr>
              <w:t>RSUs</w:t>
            </w:r>
            <w:r>
              <w:rPr>
                <w:rFonts w:ascii="Arial" w:cs="Arial" w:eastAsia="Arial" w:hAnsi="Arial"/>
                <w:sz w:val="18"/>
                <w:szCs w:val="18"/>
                <w:color w:val="auto"/>
                <w:w w:val="98"/>
              </w:rPr>
              <w:t>”), or the Initial Award. An employee director</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who becomes a non-employee director due to termination of employment will not be</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entitled to an Initial Award.</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Borders>
              <w:bottom w:val="single" w:sz="8" w:color="0A248E"/>
            </w:tcBorders>
            <w:shd w:val="clear" w:color="auto" w:fill="0A248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95"/>
              </w:rPr>
              <w:t>Number of Shares</w:t>
            </w:r>
          </w:p>
        </w:tc>
        <w:tc>
          <w:tcPr>
            <w:tcW w:w="5480" w:type="dxa"/>
            <w:vAlign w:val="bottom"/>
          </w:tcPr>
          <w:p>
            <w:pPr>
              <w:spacing w:after="0"/>
              <w:rPr>
                <w:sz w:val="24"/>
                <w:szCs w:val="24"/>
                <w:color w:val="auto"/>
              </w:rPr>
            </w:pPr>
          </w:p>
        </w:tc>
        <w:tc>
          <w:tcPr>
            <w:tcW w:w="2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The Initial Award covers a number of shares of our Class A common stock having a</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grant date fair value (determined in accordance with GAAP) equal to $250,000</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multiplied by the fraction obtained by dividing (a) the number of full months during the</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period beginning on the date the person first becomes a non-employee director and</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w w:val="99"/>
              </w:rPr>
              <w:t>ending on the one-year anniversary of the date of the then-most recent annual meeting</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w w:val="98"/>
              </w:rPr>
              <w:t>of the company’s stockholders, or the Initial Award Vesting Period by (b) 12, rounded to</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the nearest whole share.</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Arial" w:cs="Arial" w:eastAsia="Arial" w:hAnsi="Arial"/>
                <w:sz w:val="18"/>
                <w:szCs w:val="18"/>
                <w:i w:val="1"/>
                <w:iCs w:val="1"/>
                <w:color w:val="auto"/>
              </w:rPr>
              <w:t>Vesting of Award</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0A248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shd w:val="clear" w:color="auto" w:fill="0A248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20" w:type="dxa"/>
            <w:vAlign w:val="bottom"/>
            <w:shd w:val="clear" w:color="auto" w:fill="0A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 w:type="dxa"/>
            <w:vAlign w:val="bottom"/>
            <w:tcBorders>
              <w:left w:val="single" w:sz="8" w:color="0A248E"/>
            </w:tcBorders>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w w:val="97"/>
              </w:rPr>
              <w:t>The Initial Award vests on the last day of the Initial Award Vesting Period or, if earlier, on</w:t>
            </w: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w w:val="99"/>
              </w:rPr>
              <w:t>the day before the annual meeting of our stockholders that follows the grant date of the</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Initial Award, subject to the non-employee director continuing to provide services to us</w:t>
            </w:r>
          </w:p>
        </w:tc>
        <w:tc>
          <w:tcPr>
            <w:tcW w:w="2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4"/>
          </w:tcPr>
          <w:p>
            <w:pPr>
              <w:spacing w:after="0"/>
              <w:rPr>
                <w:sz w:val="20"/>
                <w:szCs w:val="20"/>
                <w:color w:val="auto"/>
              </w:rPr>
            </w:pPr>
            <w:r>
              <w:rPr>
                <w:rFonts w:ascii="Arial" w:cs="Arial" w:eastAsia="Arial" w:hAnsi="Arial"/>
                <w:sz w:val="18"/>
                <w:szCs w:val="18"/>
                <w:color w:val="auto"/>
              </w:rPr>
              <w:t>through the applicable vesting date.</w:t>
            </w:r>
          </w:p>
        </w:tc>
        <w:tc>
          <w:tcPr>
            <w:tcW w:w="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Borders>
              <w:left w:val="single" w:sz="8" w:color="0A248E"/>
            </w:tcBorders>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shd w:val="clear" w:color="auto" w:fill="0A248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 w:type="dxa"/>
            <w:vAlign w:val="bottom"/>
            <w:shd w:val="clear" w:color="auto" w:fill="0A248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
        </w:trPr>
        <w:tc>
          <w:tcPr>
            <w:tcW w:w="60" w:type="dxa"/>
            <w:vAlign w:val="bottom"/>
            <w:tcBorders>
              <w:left w:val="single" w:sz="8" w:color="0A248E"/>
              <w:bottom w:val="single" w:sz="8" w:color="0A248E"/>
            </w:tcBorders>
          </w:tcPr>
          <w:p>
            <w:pPr>
              <w:spacing w:after="0"/>
              <w:rPr>
                <w:sz w:val="4"/>
                <w:szCs w:val="4"/>
                <w:color w:val="auto"/>
              </w:rPr>
            </w:pPr>
          </w:p>
        </w:tc>
        <w:tc>
          <w:tcPr>
            <w:tcW w:w="2560" w:type="dxa"/>
            <w:vAlign w:val="bottom"/>
            <w:tcBorders>
              <w:bottom w:val="single" w:sz="8" w:color="0A248E"/>
            </w:tcBorders>
          </w:tcPr>
          <w:p>
            <w:pPr>
              <w:spacing w:after="0"/>
              <w:rPr>
                <w:sz w:val="4"/>
                <w:szCs w:val="4"/>
                <w:color w:val="auto"/>
              </w:rPr>
            </w:pPr>
          </w:p>
        </w:tc>
        <w:tc>
          <w:tcPr>
            <w:tcW w:w="20" w:type="dxa"/>
            <w:vAlign w:val="bottom"/>
            <w:tcBorders>
              <w:bottom w:val="single" w:sz="8" w:color="0A248E"/>
            </w:tcBorders>
            <w:shd w:val="clear" w:color="auto" w:fill="0A248E"/>
          </w:tcPr>
          <w:p>
            <w:pPr>
              <w:spacing w:after="0"/>
              <w:rPr>
                <w:sz w:val="4"/>
                <w:szCs w:val="4"/>
                <w:color w:val="auto"/>
              </w:rPr>
            </w:pPr>
          </w:p>
        </w:tc>
        <w:tc>
          <w:tcPr>
            <w:tcW w:w="100" w:type="dxa"/>
            <w:vAlign w:val="bottom"/>
            <w:tcBorders>
              <w:bottom w:val="single" w:sz="8" w:color="0A248E"/>
            </w:tcBorders>
          </w:tcPr>
          <w:p>
            <w:pPr>
              <w:spacing w:after="0"/>
              <w:rPr>
                <w:sz w:val="4"/>
                <w:szCs w:val="4"/>
                <w:color w:val="auto"/>
              </w:rPr>
            </w:pPr>
          </w:p>
        </w:tc>
        <w:tc>
          <w:tcPr>
            <w:tcW w:w="100" w:type="dxa"/>
            <w:vAlign w:val="bottom"/>
            <w:tcBorders>
              <w:bottom w:val="single" w:sz="8" w:color="0A248E"/>
            </w:tcBorders>
          </w:tcPr>
          <w:p>
            <w:pPr>
              <w:spacing w:after="0"/>
              <w:rPr>
                <w:sz w:val="4"/>
                <w:szCs w:val="4"/>
                <w:color w:val="auto"/>
              </w:rPr>
            </w:pPr>
          </w:p>
        </w:tc>
        <w:tc>
          <w:tcPr>
            <w:tcW w:w="1200" w:type="dxa"/>
            <w:vAlign w:val="bottom"/>
            <w:tcBorders>
              <w:bottom w:val="single" w:sz="8" w:color="0A248E"/>
            </w:tcBorders>
          </w:tcPr>
          <w:p>
            <w:pPr>
              <w:spacing w:after="0"/>
              <w:rPr>
                <w:sz w:val="4"/>
                <w:szCs w:val="4"/>
                <w:color w:val="auto"/>
              </w:rPr>
            </w:pPr>
          </w:p>
        </w:tc>
        <w:tc>
          <w:tcPr>
            <w:tcW w:w="120" w:type="dxa"/>
            <w:vAlign w:val="bottom"/>
            <w:tcBorders>
              <w:bottom w:val="single" w:sz="8" w:color="0A248E"/>
            </w:tcBorders>
          </w:tcPr>
          <w:p>
            <w:pPr>
              <w:spacing w:after="0"/>
              <w:rPr>
                <w:sz w:val="4"/>
                <w:szCs w:val="4"/>
                <w:color w:val="auto"/>
              </w:rPr>
            </w:pPr>
          </w:p>
        </w:tc>
        <w:tc>
          <w:tcPr>
            <w:tcW w:w="5480" w:type="dxa"/>
            <w:vAlign w:val="bottom"/>
            <w:tcBorders>
              <w:bottom w:val="single" w:sz="8" w:color="0A248E"/>
            </w:tcBorders>
          </w:tcPr>
          <w:p>
            <w:pPr>
              <w:spacing w:after="0"/>
              <w:rPr>
                <w:sz w:val="4"/>
                <w:szCs w:val="4"/>
                <w:color w:val="auto"/>
              </w:rPr>
            </w:pPr>
          </w:p>
        </w:tc>
        <w:tc>
          <w:tcPr>
            <w:tcW w:w="20" w:type="dxa"/>
            <w:vAlign w:val="bottom"/>
            <w:tcBorders>
              <w:bottom w:val="single" w:sz="8" w:color="0A248E"/>
            </w:tcBorders>
            <w:shd w:val="clear" w:color="auto" w:fill="0A248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6125845</wp:posOffset>
                </wp:positionH>
                <wp:positionV relativeFrom="paragraph">
                  <wp:posOffset>-6724650</wp:posOffset>
                </wp:positionV>
                <wp:extent cx="13335" cy="2349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23495"/>
                        </a:xfrm>
                        <a:prstGeom prst="rect">
                          <a:avLst/>
                        </a:prstGeom>
                        <a:solidFill>
                          <a:srgbClr val="0A248E"/>
                        </a:solidFill>
                      </wps:spPr>
                      <wps:bodyPr/>
                    </wps:wsp>
                  </a:graphicData>
                </a:graphic>
              </wp:anchor>
            </w:drawing>
          </mc:Choice>
          <mc:Fallback>
            <w:pict>
              <v:rect id="Shape 45" o:spid="_x0000_s1070" style="position:absolute;margin-left:482.35pt;margin-top:-529.4999pt;width:1.05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mc:AlternateContent>
          <mc:Choice Requires="wps">
            <w:drawing>
              <wp:anchor simplePos="0" relativeHeight="251657728" behindDoc="1" locked="0" layoutInCell="0" allowOverlap="1">
                <wp:simplePos x="0" y="0"/>
                <wp:positionH relativeFrom="column">
                  <wp:posOffset>1668145</wp:posOffset>
                </wp:positionH>
                <wp:positionV relativeFrom="paragraph">
                  <wp:posOffset>-6299835</wp:posOffset>
                </wp:positionV>
                <wp:extent cx="13335" cy="2349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23495"/>
                        </a:xfrm>
                        <a:prstGeom prst="rect">
                          <a:avLst/>
                        </a:prstGeom>
                        <a:solidFill>
                          <a:srgbClr val="0A248E"/>
                        </a:solidFill>
                      </wps:spPr>
                      <wps:bodyPr/>
                    </wps:wsp>
                  </a:graphicData>
                </a:graphic>
              </wp:anchor>
            </w:drawing>
          </mc:Choice>
          <mc:Fallback>
            <w:pict>
              <v:rect id="Shape 46" o:spid="_x0000_s1071" style="position:absolute;margin-left:131.35pt;margin-top:-496.0499pt;width:1.05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mc:AlternateContent>
          <mc:Choice Requires="wps">
            <w:drawing>
              <wp:anchor simplePos="0" relativeHeight="251657728" behindDoc="1" locked="0" layoutInCell="0" allowOverlap="1">
                <wp:simplePos x="0" y="0"/>
                <wp:positionH relativeFrom="column">
                  <wp:posOffset>1668145</wp:posOffset>
                </wp:positionH>
                <wp:positionV relativeFrom="paragraph">
                  <wp:posOffset>-3075305</wp:posOffset>
                </wp:positionV>
                <wp:extent cx="13335" cy="2349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23495"/>
                        </a:xfrm>
                        <a:prstGeom prst="rect">
                          <a:avLst/>
                        </a:prstGeom>
                        <a:solidFill>
                          <a:srgbClr val="0A248E"/>
                        </a:solidFill>
                      </wps:spPr>
                      <wps:bodyPr/>
                    </wps:wsp>
                  </a:graphicData>
                </a:graphic>
              </wp:anchor>
            </w:drawing>
          </mc:Choice>
          <mc:Fallback>
            <w:pict>
              <v:rect id="Shape 47" o:spid="_x0000_s1072" style="position:absolute;margin-left:131.35pt;margin-top:-242.1499pt;width:1.05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3556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35560"/>
                        </a:xfrm>
                        <a:prstGeom prst="rect">
                          <a:avLst/>
                        </a:prstGeom>
                        <a:solidFill>
                          <a:srgbClr val="0A248E"/>
                        </a:solidFill>
                      </wps:spPr>
                      <wps:bodyPr/>
                    </wps:wsp>
                  </a:graphicData>
                </a:graphic>
              </wp:anchor>
            </w:drawing>
          </mc:Choice>
          <mc:Fallback>
            <w:pict>
              <v:rect id="Shape 48" o:spid="_x0000_s1073" style="position:absolute;margin-left:-0.3499pt;margin-top:2.1pt;width:1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mc:AlternateContent>
          <mc:Choice Requires="wps">
            <w:drawing>
              <wp:anchor simplePos="0" relativeHeight="251657728" behindDoc="1" locked="0" layoutInCell="0" allowOverlap="1">
                <wp:simplePos x="0" y="0"/>
                <wp:positionH relativeFrom="column">
                  <wp:posOffset>1668145</wp:posOffset>
                </wp:positionH>
                <wp:positionV relativeFrom="paragraph">
                  <wp:posOffset>26670</wp:posOffset>
                </wp:positionV>
                <wp:extent cx="13335" cy="3556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35560"/>
                        </a:xfrm>
                        <a:prstGeom prst="rect">
                          <a:avLst/>
                        </a:prstGeom>
                        <a:solidFill>
                          <a:srgbClr val="0A248E"/>
                        </a:solidFill>
                      </wps:spPr>
                      <wps:bodyPr/>
                    </wps:wsp>
                  </a:graphicData>
                </a:graphic>
              </wp:anchor>
            </w:drawing>
          </mc:Choice>
          <mc:Fallback>
            <w:pict>
              <v:rect id="Shape 49" o:spid="_x0000_s1074" style="position:absolute;margin-left:131.35pt;margin-top:2.1pt;width:1.05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mc:AlternateContent>
          <mc:Choice Requires="wps">
            <w:drawing>
              <wp:anchor simplePos="0" relativeHeight="251657728" behindDoc="1" locked="0" layoutInCell="0" allowOverlap="1">
                <wp:simplePos x="0" y="0"/>
                <wp:positionH relativeFrom="column">
                  <wp:posOffset>6125845</wp:posOffset>
                </wp:positionH>
                <wp:positionV relativeFrom="paragraph">
                  <wp:posOffset>26670</wp:posOffset>
                </wp:positionV>
                <wp:extent cx="13335" cy="3556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35560"/>
                        </a:xfrm>
                        <a:prstGeom prst="rect">
                          <a:avLst/>
                        </a:prstGeom>
                        <a:solidFill>
                          <a:srgbClr val="0A248E"/>
                        </a:solidFill>
                      </wps:spPr>
                      <wps:bodyPr/>
                    </wps:wsp>
                  </a:graphicData>
                </a:graphic>
              </wp:anchor>
            </w:drawing>
          </mc:Choice>
          <mc:Fallback>
            <w:pict>
              <v:rect id="Shape 50" o:spid="_x0000_s1075" style="position:absolute;margin-left:482.35pt;margin-top:2.1pt;width:1.05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w:r>
    </w:p>
    <w:p>
      <w:pPr>
        <w:sectPr>
          <w:pgSz w:w="11880" w:h="15480" w:orient="portrait"/>
          <w:cols w:equalWidth="0" w:num="1">
            <w:col w:w="9660"/>
          </w:cols>
          <w:pgMar w:left="1140" w:top="3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475"/>
        <w:spacing w:after="0"/>
        <w:tabs>
          <w:tab w:leader="none" w:pos="52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60"/>
          </w:cols>
          <w:pgMar w:left="1140" w:top="340" w:right="1080" w:bottom="0" w:gutter="0" w:footer="0" w:header="0"/>
          <w:type w:val="continuous"/>
        </w:sectPr>
      </w:pPr>
    </w:p>
    <w:bookmarkStart w:id="34" w:name="page35"/>
    <w:bookmarkEnd w:id="34"/>
    <w:p>
      <w:pPr>
        <w:ind w:left="7" w:right="6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26" w:lineRule="exact"/>
        <w:rPr>
          <w:sz w:val="20"/>
          <w:szCs w:val="20"/>
          <w:color w:val="auto"/>
        </w:rPr>
      </w:pPr>
    </w:p>
    <w:tbl>
      <w:tblPr>
        <w:tblLayout w:type="fixed"/>
        <w:tblInd w:w="17" w:type="dxa"/>
        <w:tblCellMar>
          <w:top w:w="0" w:type="dxa"/>
          <w:left w:w="0" w:type="dxa"/>
          <w:bottom w:w="0" w:type="dxa"/>
          <w:right w:w="0" w:type="dxa"/>
        </w:tblCellMar>
      </w:tblPr>
      <w:tr>
        <w:trPr>
          <w:trHeight w:val="20"/>
        </w:trPr>
        <w:tc>
          <w:tcPr>
            <w:tcW w:w="60" w:type="dxa"/>
            <w:vAlign w:val="bottom"/>
            <w:tcBorders>
              <w:left w:val="single" w:sz="8" w:color="0A248E"/>
            </w:tcBorders>
            <w:shd w:val="clear" w:color="auto" w:fill="0A248E"/>
          </w:tcPr>
          <w:p>
            <w:pPr>
              <w:spacing w:after="0" w:line="20" w:lineRule="exact"/>
              <w:rPr>
                <w:sz w:val="1"/>
                <w:szCs w:val="1"/>
                <w:color w:val="auto"/>
              </w:rPr>
            </w:pPr>
          </w:p>
        </w:tc>
        <w:tc>
          <w:tcPr>
            <w:tcW w:w="2520" w:type="dxa"/>
            <w:vAlign w:val="bottom"/>
            <w:vMerge w:val="restart"/>
            <w:shd w:val="clear" w:color="auto" w:fill="0A248E"/>
          </w:tcPr>
          <w:p>
            <w:pPr>
              <w:ind w:left="40"/>
              <w:spacing w:after="0"/>
              <w:rPr>
                <w:sz w:val="20"/>
                <w:szCs w:val="20"/>
                <w:color w:val="auto"/>
              </w:rPr>
            </w:pPr>
            <w:r>
              <w:rPr>
                <w:rFonts w:ascii="Arial" w:cs="Arial" w:eastAsia="Arial" w:hAnsi="Arial"/>
                <w:sz w:val="15"/>
                <w:szCs w:val="15"/>
                <w:b w:val="1"/>
                <w:bCs w:val="1"/>
                <w:color w:val="FFFFFF"/>
              </w:rPr>
              <w:t>Component</w:t>
            </w:r>
          </w:p>
        </w:tc>
        <w:tc>
          <w:tcPr>
            <w:tcW w:w="60" w:type="dxa"/>
            <w:vAlign w:val="bottom"/>
            <w:tcBorders>
              <w:right w:val="single" w:sz="8" w:color="0A248E"/>
            </w:tcBorders>
            <w:shd w:val="clear" w:color="auto" w:fill="0A248E"/>
          </w:tcPr>
          <w:p>
            <w:pPr>
              <w:spacing w:after="0" w:line="20" w:lineRule="exact"/>
              <w:rPr>
                <w:sz w:val="1"/>
                <w:szCs w:val="1"/>
                <w:color w:val="auto"/>
              </w:rPr>
            </w:pPr>
          </w:p>
        </w:tc>
        <w:tc>
          <w:tcPr>
            <w:tcW w:w="100" w:type="dxa"/>
            <w:vAlign w:val="bottom"/>
            <w:shd w:val="clear" w:color="auto" w:fill="0A248E"/>
          </w:tcPr>
          <w:p>
            <w:pPr>
              <w:spacing w:after="0" w:line="20" w:lineRule="exact"/>
              <w:rPr>
                <w:sz w:val="1"/>
                <w:szCs w:val="1"/>
                <w:color w:val="auto"/>
              </w:rPr>
            </w:pPr>
          </w:p>
        </w:tc>
        <w:tc>
          <w:tcPr>
            <w:tcW w:w="6860" w:type="dxa"/>
            <w:vAlign w:val="bottom"/>
            <w:gridSpan w:val="3"/>
            <w:vMerge w:val="restart"/>
            <w:shd w:val="clear" w:color="auto" w:fill="0A248E"/>
          </w:tcPr>
          <w:p>
            <w:pPr>
              <w:spacing w:after="0"/>
              <w:rPr>
                <w:sz w:val="20"/>
                <w:szCs w:val="20"/>
                <w:color w:val="auto"/>
              </w:rPr>
            </w:pPr>
            <w:r>
              <w:rPr>
                <w:rFonts w:ascii="Arial" w:cs="Arial" w:eastAsia="Arial" w:hAnsi="Arial"/>
                <w:sz w:val="15"/>
                <w:szCs w:val="15"/>
                <w:b w:val="1"/>
                <w:bCs w:val="1"/>
                <w:color w:val="FFFFFF"/>
              </w:rPr>
              <w:t>Description</w:t>
            </w:r>
          </w:p>
        </w:tc>
        <w:tc>
          <w:tcPr>
            <w:tcW w:w="60" w:type="dxa"/>
            <w:vAlign w:val="bottom"/>
            <w:tcBorders>
              <w:right w:val="single" w:sz="8" w:color="0A248E"/>
            </w:tcBorders>
            <w:shd w:val="clear" w:color="auto" w:fill="0A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Borders>
              <w:left w:val="single" w:sz="8" w:color="0A248E"/>
            </w:tcBorders>
            <w:shd w:val="clear" w:color="auto" w:fill="0A248E"/>
          </w:tcPr>
          <w:p>
            <w:pPr>
              <w:spacing w:after="0"/>
              <w:rPr>
                <w:sz w:val="3"/>
                <w:szCs w:val="3"/>
                <w:color w:val="auto"/>
              </w:rPr>
            </w:pPr>
          </w:p>
        </w:tc>
        <w:tc>
          <w:tcPr>
            <w:tcW w:w="2520" w:type="dxa"/>
            <w:vAlign w:val="bottom"/>
            <w:vMerge w:val="continue"/>
            <w:shd w:val="clear" w:color="auto" w:fill="0A248E"/>
          </w:tcPr>
          <w:p>
            <w:pPr>
              <w:spacing w:after="0"/>
              <w:rPr>
                <w:sz w:val="3"/>
                <w:szCs w:val="3"/>
                <w:color w:val="auto"/>
              </w:rPr>
            </w:pPr>
          </w:p>
        </w:tc>
        <w:tc>
          <w:tcPr>
            <w:tcW w:w="60" w:type="dxa"/>
            <w:vAlign w:val="bottom"/>
            <w:tcBorders>
              <w:right w:val="single" w:sz="8" w:color="0A248E"/>
            </w:tcBorders>
            <w:shd w:val="clear" w:color="auto" w:fill="0A248E"/>
          </w:tcPr>
          <w:p>
            <w:pPr>
              <w:spacing w:after="0"/>
              <w:rPr>
                <w:sz w:val="3"/>
                <w:szCs w:val="3"/>
                <w:color w:val="auto"/>
              </w:rPr>
            </w:pPr>
          </w:p>
        </w:tc>
        <w:tc>
          <w:tcPr>
            <w:tcW w:w="100" w:type="dxa"/>
            <w:vAlign w:val="bottom"/>
            <w:shd w:val="clear" w:color="auto" w:fill="0A248E"/>
          </w:tcPr>
          <w:p>
            <w:pPr>
              <w:spacing w:after="0"/>
              <w:rPr>
                <w:sz w:val="3"/>
                <w:szCs w:val="3"/>
                <w:color w:val="auto"/>
              </w:rPr>
            </w:pPr>
          </w:p>
        </w:tc>
        <w:tc>
          <w:tcPr>
            <w:tcW w:w="6860" w:type="dxa"/>
            <w:vAlign w:val="bottom"/>
            <w:gridSpan w:val="3"/>
            <w:vMerge w:val="continue"/>
            <w:shd w:val="clear" w:color="auto" w:fill="0A248E"/>
          </w:tcPr>
          <w:p>
            <w:pPr>
              <w:spacing w:after="0"/>
              <w:rPr>
                <w:sz w:val="3"/>
                <w:szCs w:val="3"/>
                <w:color w:val="auto"/>
              </w:rPr>
            </w:pPr>
          </w:p>
        </w:tc>
        <w:tc>
          <w:tcPr>
            <w:tcW w:w="60" w:type="dxa"/>
            <w:vAlign w:val="bottom"/>
            <w:tcBorders>
              <w:right w:val="single" w:sz="8" w:color="0A248E"/>
            </w:tcBorders>
            <w:shd w:val="clear" w:color="auto" w:fill="0A248E"/>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0" w:type="dxa"/>
            <w:vAlign w:val="bottom"/>
            <w:tcBorders>
              <w:left w:val="single" w:sz="8" w:color="0A248E"/>
              <w:bottom w:val="single" w:sz="8" w:color="0A248E"/>
            </w:tcBorders>
            <w:shd w:val="clear" w:color="auto" w:fill="0A248E"/>
          </w:tcPr>
          <w:p>
            <w:pPr>
              <w:spacing w:after="0"/>
              <w:rPr>
                <w:sz w:val="21"/>
                <w:szCs w:val="21"/>
                <w:color w:val="auto"/>
              </w:rPr>
            </w:pPr>
          </w:p>
        </w:tc>
        <w:tc>
          <w:tcPr>
            <w:tcW w:w="2520" w:type="dxa"/>
            <w:vAlign w:val="bottom"/>
            <w:tcBorders>
              <w:bottom w:val="single" w:sz="8" w:color="0A248E"/>
            </w:tcBorders>
            <w:vMerge w:val="continue"/>
            <w:shd w:val="clear" w:color="auto" w:fill="0A248E"/>
          </w:tcPr>
          <w:p>
            <w:pPr>
              <w:spacing w:after="0"/>
              <w:rPr>
                <w:sz w:val="21"/>
                <w:szCs w:val="21"/>
                <w:color w:val="auto"/>
              </w:rPr>
            </w:pPr>
          </w:p>
        </w:tc>
        <w:tc>
          <w:tcPr>
            <w:tcW w:w="60" w:type="dxa"/>
            <w:vAlign w:val="bottom"/>
            <w:tcBorders>
              <w:bottom w:val="single" w:sz="8" w:color="0A248E"/>
              <w:right w:val="single" w:sz="8" w:color="0A248E"/>
            </w:tcBorders>
            <w:shd w:val="clear" w:color="auto" w:fill="0A248E"/>
          </w:tcPr>
          <w:p>
            <w:pPr>
              <w:spacing w:after="0"/>
              <w:rPr>
                <w:sz w:val="21"/>
                <w:szCs w:val="21"/>
                <w:color w:val="auto"/>
              </w:rPr>
            </w:pPr>
          </w:p>
        </w:tc>
        <w:tc>
          <w:tcPr>
            <w:tcW w:w="100" w:type="dxa"/>
            <w:vAlign w:val="bottom"/>
            <w:tcBorders>
              <w:bottom w:val="single" w:sz="8" w:color="0A248E"/>
            </w:tcBorders>
            <w:shd w:val="clear" w:color="auto" w:fill="0A248E"/>
          </w:tcPr>
          <w:p>
            <w:pPr>
              <w:spacing w:after="0"/>
              <w:rPr>
                <w:sz w:val="21"/>
                <w:szCs w:val="21"/>
                <w:color w:val="auto"/>
              </w:rPr>
            </w:pPr>
          </w:p>
        </w:tc>
        <w:tc>
          <w:tcPr>
            <w:tcW w:w="6860" w:type="dxa"/>
            <w:vAlign w:val="bottom"/>
            <w:tcBorders>
              <w:bottom w:val="single" w:sz="8" w:color="0A248E"/>
            </w:tcBorders>
            <w:gridSpan w:val="3"/>
            <w:vMerge w:val="continue"/>
            <w:shd w:val="clear" w:color="auto" w:fill="0A248E"/>
          </w:tcPr>
          <w:p>
            <w:pPr>
              <w:spacing w:after="0"/>
              <w:rPr>
                <w:sz w:val="21"/>
                <w:szCs w:val="21"/>
                <w:color w:val="auto"/>
              </w:rPr>
            </w:pPr>
          </w:p>
        </w:tc>
        <w:tc>
          <w:tcPr>
            <w:tcW w:w="60" w:type="dxa"/>
            <w:vAlign w:val="bottom"/>
            <w:tcBorders>
              <w:bottom w:val="single" w:sz="8" w:color="0A248E"/>
              <w:right w:val="single" w:sz="8" w:color="0A248E"/>
            </w:tcBorders>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0" w:type="dxa"/>
            <w:vAlign w:val="bottom"/>
            <w:tcBorders>
              <w:left w:val="single" w:sz="8" w:color="0A248E"/>
            </w:tcBorders>
          </w:tcPr>
          <w:p>
            <w:pPr>
              <w:spacing w:after="0"/>
              <w:rPr>
                <w:sz w:val="24"/>
                <w:szCs w:val="24"/>
                <w:color w:val="auto"/>
              </w:rPr>
            </w:pPr>
          </w:p>
        </w:tc>
        <w:tc>
          <w:tcPr>
            <w:tcW w:w="2580" w:type="dxa"/>
            <w:vAlign w:val="bottom"/>
            <w:tcBorders>
              <w:right w:val="single" w:sz="8" w:color="0A248E"/>
            </w:tcBorders>
            <w:gridSpan w:val="2"/>
          </w:tcPr>
          <w:p>
            <w:pPr>
              <w:ind w:left="40"/>
              <w:spacing w:after="0"/>
              <w:rPr>
                <w:sz w:val="20"/>
                <w:szCs w:val="20"/>
                <w:color w:val="auto"/>
              </w:rPr>
            </w:pPr>
            <w:r>
              <w:rPr>
                <w:rFonts w:ascii="Arial" w:cs="Arial" w:eastAsia="Arial" w:hAnsi="Arial"/>
                <w:sz w:val="18"/>
                <w:szCs w:val="18"/>
                <w:b w:val="1"/>
                <w:bCs w:val="1"/>
                <w:color w:val="auto"/>
              </w:rPr>
              <w:t>Annual Award</w:t>
            </w:r>
          </w:p>
        </w:tc>
        <w:tc>
          <w:tcPr>
            <w:tcW w:w="100" w:type="dxa"/>
            <w:vAlign w:val="bottom"/>
          </w:tcPr>
          <w:p>
            <w:pPr>
              <w:spacing w:after="0"/>
              <w:rPr>
                <w:sz w:val="24"/>
                <w:szCs w:val="24"/>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Each non-employee director will automatically receive, on the date of each annual</w:t>
            </w:r>
          </w:p>
        </w:tc>
        <w:tc>
          <w:tcPr>
            <w:tcW w:w="0" w:type="dxa"/>
            <w:vAlign w:val="bottom"/>
          </w:tcPr>
          <w:p>
            <w:pPr>
              <w:spacing w:after="0"/>
              <w:rPr>
                <w:sz w:val="1"/>
                <w:szCs w:val="1"/>
                <w:color w:val="auto"/>
              </w:rPr>
            </w:pPr>
          </w:p>
        </w:tc>
      </w:tr>
      <w:tr>
        <w:trPr>
          <w:trHeight w:val="234"/>
        </w:trPr>
        <w:tc>
          <w:tcPr>
            <w:tcW w:w="60" w:type="dxa"/>
            <w:vAlign w:val="bottom"/>
            <w:tcBorders>
              <w:left w:val="single" w:sz="8" w:color="0A248E"/>
            </w:tcBorders>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Borders>
              <w:right w:val="single" w:sz="8" w:color="0A248E"/>
            </w:tcBorders>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w w:val="98"/>
              </w:rPr>
              <w:t>meeting of stockholders following the effective date of the director compensation policy,</w:t>
            </w: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Borders>
              <w:right w:val="single" w:sz="8" w:color="0A248E"/>
            </w:tcBorders>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an annual award of RSUs, each of which we refer to as an Annual Award.</w:t>
            </w:r>
          </w:p>
        </w:tc>
        <w:tc>
          <w:tcPr>
            <w:tcW w:w="0" w:type="dxa"/>
            <w:vAlign w:val="bottom"/>
          </w:tcPr>
          <w:p>
            <w:pPr>
              <w:spacing w:after="0"/>
              <w:rPr>
                <w:sz w:val="1"/>
                <w:szCs w:val="1"/>
                <w:color w:val="auto"/>
              </w:rPr>
            </w:pPr>
          </w:p>
        </w:tc>
      </w:tr>
      <w:tr>
        <w:trPr>
          <w:trHeight w:val="309"/>
        </w:trPr>
        <w:tc>
          <w:tcPr>
            <w:tcW w:w="60" w:type="dxa"/>
            <w:vAlign w:val="bottom"/>
            <w:tcBorders>
              <w:left w:val="single" w:sz="8" w:color="0A248E"/>
            </w:tcBorders>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Borders>
              <w:right w:val="single" w:sz="8" w:color="0A248E"/>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5"/>
              </w:rPr>
              <w:t>Number of Shares</w:t>
            </w:r>
          </w:p>
        </w:tc>
        <w:tc>
          <w:tcPr>
            <w:tcW w:w="5500" w:type="dxa"/>
            <w:vAlign w:val="bottom"/>
            <w:tcBorders>
              <w:right w:val="single" w:sz="8" w:color="0A248E"/>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0" w:type="dxa"/>
            <w:vAlign w:val="bottom"/>
            <w:tcBorders>
              <w:left w:val="single" w:sz="8" w:color="0A248E"/>
            </w:tcBorders>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Borders>
              <w:right w:val="single" w:sz="8" w:color="0A248E"/>
            </w:tcBorders>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w w:val="99"/>
              </w:rPr>
              <w:t>Each Annual Award covers a number of shares of our Class A common stock having a</w:t>
            </w: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Borders>
              <w:right w:val="single" w:sz="8" w:color="0A248E"/>
            </w:tcBorders>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w w:val="98"/>
              </w:rPr>
              <w:t>grant date fair value (determined in accordance with GAAP) of $250,000, rounded to the</w:t>
            </w: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Borders>
              <w:right w:val="single" w:sz="8" w:color="0A248E"/>
            </w:tcBorders>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nearest whole share.</w:t>
            </w:r>
          </w:p>
        </w:tc>
        <w:tc>
          <w:tcPr>
            <w:tcW w:w="0" w:type="dxa"/>
            <w:vAlign w:val="bottom"/>
          </w:tcPr>
          <w:p>
            <w:pPr>
              <w:spacing w:after="0"/>
              <w:rPr>
                <w:sz w:val="1"/>
                <w:szCs w:val="1"/>
                <w:color w:val="auto"/>
              </w:rPr>
            </w:pPr>
          </w:p>
        </w:tc>
      </w:tr>
      <w:tr>
        <w:trPr>
          <w:trHeight w:val="314"/>
        </w:trPr>
        <w:tc>
          <w:tcPr>
            <w:tcW w:w="60" w:type="dxa"/>
            <w:vAlign w:val="bottom"/>
            <w:tcBorders>
              <w:left w:val="single" w:sz="8" w:color="0A248E"/>
            </w:tcBorders>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Borders>
              <w:right w:val="single" w:sz="8" w:color="0A248E"/>
            </w:tcBorders>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i w:val="1"/>
                <w:iCs w:val="1"/>
                <w:color w:val="auto"/>
              </w:rPr>
              <w:t>Vesting of Award</w:t>
            </w:r>
          </w:p>
        </w:tc>
        <w:tc>
          <w:tcPr>
            <w:tcW w:w="0" w:type="dxa"/>
            <w:vAlign w:val="bottom"/>
          </w:tcPr>
          <w:p>
            <w:pPr>
              <w:spacing w:after="0"/>
              <w:rPr>
                <w:sz w:val="1"/>
                <w:szCs w:val="1"/>
                <w:color w:val="auto"/>
              </w:rPr>
            </w:pPr>
          </w:p>
        </w:tc>
      </w:tr>
      <w:tr>
        <w:trPr>
          <w:trHeight w:val="20"/>
        </w:trPr>
        <w:tc>
          <w:tcPr>
            <w:tcW w:w="60" w:type="dxa"/>
            <w:vAlign w:val="bottom"/>
            <w:tcBorders>
              <w:left w:val="single" w:sz="8" w:color="0A248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Borders>
              <w:right w:val="single" w:sz="8" w:color="0A248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20" w:type="dxa"/>
            <w:vAlign w:val="bottom"/>
            <w:tcBorders>
              <w:right w:val="single" w:sz="8" w:color="0A248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 w:type="dxa"/>
            <w:vAlign w:val="bottom"/>
            <w:tcBorders>
              <w:left w:val="single" w:sz="8" w:color="0A248E"/>
            </w:tcBorders>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Borders>
              <w:right w:val="single" w:sz="8" w:color="0A248E"/>
            </w:tcBorders>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w w:val="99"/>
              </w:rPr>
              <w:t>The Annual Award will vest on the one-year anniversary of the grant date of the Annual</w:t>
            </w: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Borders>
              <w:right w:val="single" w:sz="8" w:color="0A248E"/>
            </w:tcBorders>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Award or, if earlier, the day before our annual meeting of stockholders that follows the</w:t>
            </w: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Borders>
              <w:right w:val="single" w:sz="8" w:color="0A248E"/>
            </w:tcBorders>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grant date of the Annual Award, subject to the non-employee director continuing to</w:t>
            </w: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Borders>
              <w:right w:val="single" w:sz="8" w:color="0A248E"/>
            </w:tcBorders>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provide services to us through the applicable vesting date.</w:t>
            </w:r>
          </w:p>
        </w:tc>
        <w:tc>
          <w:tcPr>
            <w:tcW w:w="0" w:type="dxa"/>
            <w:vAlign w:val="bottom"/>
          </w:tcPr>
          <w:p>
            <w:pPr>
              <w:spacing w:after="0"/>
              <w:rPr>
                <w:sz w:val="1"/>
                <w:szCs w:val="1"/>
                <w:color w:val="auto"/>
              </w:rPr>
            </w:pPr>
          </w:p>
        </w:tc>
      </w:tr>
      <w:tr>
        <w:trPr>
          <w:trHeight w:val="89"/>
        </w:trPr>
        <w:tc>
          <w:tcPr>
            <w:tcW w:w="60" w:type="dxa"/>
            <w:vAlign w:val="bottom"/>
            <w:tcBorders>
              <w:left w:val="single" w:sz="8" w:color="0A248E"/>
              <w:bottom w:val="single" w:sz="8" w:color="0A248E"/>
            </w:tcBorders>
          </w:tcPr>
          <w:p>
            <w:pPr>
              <w:spacing w:after="0"/>
              <w:rPr>
                <w:sz w:val="7"/>
                <w:szCs w:val="7"/>
                <w:color w:val="auto"/>
              </w:rPr>
            </w:pPr>
          </w:p>
        </w:tc>
        <w:tc>
          <w:tcPr>
            <w:tcW w:w="2580" w:type="dxa"/>
            <w:vAlign w:val="bottom"/>
            <w:tcBorders>
              <w:bottom w:val="single" w:sz="8" w:color="0A248E"/>
              <w:right w:val="single" w:sz="8" w:color="0A248E"/>
            </w:tcBorders>
            <w:gridSpan w:val="2"/>
          </w:tcPr>
          <w:p>
            <w:pPr>
              <w:spacing w:after="0"/>
              <w:rPr>
                <w:sz w:val="7"/>
                <w:szCs w:val="7"/>
                <w:color w:val="auto"/>
              </w:rPr>
            </w:pPr>
          </w:p>
        </w:tc>
        <w:tc>
          <w:tcPr>
            <w:tcW w:w="100" w:type="dxa"/>
            <w:vAlign w:val="bottom"/>
            <w:tcBorders>
              <w:bottom w:val="single" w:sz="8" w:color="0A248E"/>
            </w:tcBorders>
          </w:tcPr>
          <w:p>
            <w:pPr>
              <w:spacing w:after="0"/>
              <w:rPr>
                <w:sz w:val="7"/>
                <w:szCs w:val="7"/>
                <w:color w:val="auto"/>
              </w:rPr>
            </w:pPr>
          </w:p>
        </w:tc>
        <w:tc>
          <w:tcPr>
            <w:tcW w:w="6920" w:type="dxa"/>
            <w:vAlign w:val="bottom"/>
            <w:tcBorders>
              <w:bottom w:val="single" w:sz="8" w:color="0A248E"/>
              <w:right w:val="single" w:sz="8" w:color="0A248E"/>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60" w:type="dxa"/>
            <w:vAlign w:val="bottom"/>
            <w:tcBorders>
              <w:left w:val="single" w:sz="8" w:color="0A248E"/>
            </w:tcBorders>
          </w:tcPr>
          <w:p>
            <w:pPr>
              <w:spacing w:after="0"/>
              <w:rPr>
                <w:sz w:val="24"/>
                <w:szCs w:val="24"/>
                <w:color w:val="auto"/>
              </w:rPr>
            </w:pPr>
          </w:p>
        </w:tc>
        <w:tc>
          <w:tcPr>
            <w:tcW w:w="2580" w:type="dxa"/>
            <w:vAlign w:val="bottom"/>
            <w:tcBorders>
              <w:right w:val="single" w:sz="8" w:color="0A248E"/>
            </w:tcBorders>
            <w:gridSpan w:val="2"/>
          </w:tcPr>
          <w:p>
            <w:pPr>
              <w:ind w:left="40"/>
              <w:spacing w:after="0"/>
              <w:rPr>
                <w:sz w:val="20"/>
                <w:szCs w:val="20"/>
                <w:color w:val="auto"/>
              </w:rPr>
            </w:pPr>
            <w:r>
              <w:rPr>
                <w:rFonts w:ascii="Arial" w:cs="Arial" w:eastAsia="Arial" w:hAnsi="Arial"/>
                <w:sz w:val="18"/>
                <w:szCs w:val="18"/>
                <w:b w:val="1"/>
                <w:bCs w:val="1"/>
                <w:color w:val="auto"/>
              </w:rPr>
              <w:t>Deferral of Awards</w:t>
            </w:r>
          </w:p>
        </w:tc>
        <w:tc>
          <w:tcPr>
            <w:tcW w:w="100" w:type="dxa"/>
            <w:vAlign w:val="bottom"/>
          </w:tcPr>
          <w:p>
            <w:pPr>
              <w:spacing w:after="0"/>
              <w:rPr>
                <w:sz w:val="24"/>
                <w:szCs w:val="24"/>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Each non-employee director may elect to defer the delivery of the settlement of any</w:t>
            </w: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Borders>
              <w:right w:val="single" w:sz="8" w:color="0A248E"/>
            </w:tcBorders>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w w:val="99"/>
              </w:rPr>
              <w:t>Initial Award or Annual Award that would otherwise be delivered to such non-employee</w:t>
            </w: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Borders>
              <w:right w:val="single" w:sz="8" w:color="0A248E"/>
            </w:tcBorders>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director on or following the date such award vests pursuant to the terms of a deferral</w:t>
            </w: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Borders>
              <w:right w:val="single" w:sz="8" w:color="0A248E"/>
            </w:tcBorders>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election such non-employee director makes in accordance with the director</w:t>
            </w: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Borders>
              <w:right w:val="single" w:sz="8" w:color="0A248E"/>
            </w:tcBorders>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compensation policy.</w:t>
            </w:r>
          </w:p>
        </w:tc>
        <w:tc>
          <w:tcPr>
            <w:tcW w:w="0" w:type="dxa"/>
            <w:vAlign w:val="bottom"/>
          </w:tcPr>
          <w:p>
            <w:pPr>
              <w:spacing w:after="0"/>
              <w:rPr>
                <w:sz w:val="1"/>
                <w:szCs w:val="1"/>
                <w:color w:val="auto"/>
              </w:rPr>
            </w:pPr>
          </w:p>
        </w:tc>
      </w:tr>
      <w:tr>
        <w:trPr>
          <w:trHeight w:val="89"/>
        </w:trPr>
        <w:tc>
          <w:tcPr>
            <w:tcW w:w="60" w:type="dxa"/>
            <w:vAlign w:val="bottom"/>
            <w:tcBorders>
              <w:left w:val="single" w:sz="8" w:color="0A248E"/>
              <w:bottom w:val="single" w:sz="8" w:color="0A248E"/>
            </w:tcBorders>
          </w:tcPr>
          <w:p>
            <w:pPr>
              <w:spacing w:after="0"/>
              <w:rPr>
                <w:sz w:val="7"/>
                <w:szCs w:val="7"/>
                <w:color w:val="auto"/>
              </w:rPr>
            </w:pPr>
          </w:p>
        </w:tc>
        <w:tc>
          <w:tcPr>
            <w:tcW w:w="2580" w:type="dxa"/>
            <w:vAlign w:val="bottom"/>
            <w:tcBorders>
              <w:bottom w:val="single" w:sz="8" w:color="0A248E"/>
              <w:right w:val="single" w:sz="8" w:color="0A248E"/>
            </w:tcBorders>
            <w:gridSpan w:val="2"/>
          </w:tcPr>
          <w:p>
            <w:pPr>
              <w:spacing w:after="0"/>
              <w:rPr>
                <w:sz w:val="7"/>
                <w:szCs w:val="7"/>
                <w:color w:val="auto"/>
              </w:rPr>
            </w:pPr>
          </w:p>
        </w:tc>
        <w:tc>
          <w:tcPr>
            <w:tcW w:w="100" w:type="dxa"/>
            <w:vAlign w:val="bottom"/>
            <w:tcBorders>
              <w:bottom w:val="single" w:sz="8" w:color="0A248E"/>
            </w:tcBorders>
          </w:tcPr>
          <w:p>
            <w:pPr>
              <w:spacing w:after="0"/>
              <w:rPr>
                <w:sz w:val="7"/>
                <w:szCs w:val="7"/>
                <w:color w:val="auto"/>
              </w:rPr>
            </w:pPr>
          </w:p>
        </w:tc>
        <w:tc>
          <w:tcPr>
            <w:tcW w:w="6920" w:type="dxa"/>
            <w:vAlign w:val="bottom"/>
            <w:tcBorders>
              <w:bottom w:val="single" w:sz="8" w:color="0A248E"/>
              <w:right w:val="single" w:sz="8" w:color="0A248E"/>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0" w:type="dxa"/>
            <w:vAlign w:val="bottom"/>
            <w:tcBorders>
              <w:left w:val="single" w:sz="8" w:color="0A248E"/>
            </w:tcBorders>
          </w:tcPr>
          <w:p>
            <w:pPr>
              <w:spacing w:after="0"/>
              <w:rPr>
                <w:sz w:val="24"/>
                <w:szCs w:val="24"/>
                <w:color w:val="auto"/>
              </w:rPr>
            </w:pPr>
          </w:p>
        </w:tc>
        <w:tc>
          <w:tcPr>
            <w:tcW w:w="2580" w:type="dxa"/>
            <w:vAlign w:val="bottom"/>
            <w:tcBorders>
              <w:right w:val="single" w:sz="8" w:color="0A248E"/>
            </w:tcBorders>
            <w:gridSpan w:val="2"/>
          </w:tcPr>
          <w:p>
            <w:pPr>
              <w:ind w:left="40"/>
              <w:spacing w:after="0"/>
              <w:rPr>
                <w:sz w:val="20"/>
                <w:szCs w:val="20"/>
                <w:color w:val="auto"/>
              </w:rPr>
            </w:pPr>
            <w:r>
              <w:rPr>
                <w:rFonts w:ascii="Arial" w:cs="Arial" w:eastAsia="Arial" w:hAnsi="Arial"/>
                <w:sz w:val="18"/>
                <w:szCs w:val="18"/>
                <w:b w:val="1"/>
                <w:bCs w:val="1"/>
                <w:color w:val="auto"/>
              </w:rPr>
              <w:t>Change in Control</w:t>
            </w:r>
          </w:p>
        </w:tc>
        <w:tc>
          <w:tcPr>
            <w:tcW w:w="100" w:type="dxa"/>
            <w:vAlign w:val="bottom"/>
          </w:tcPr>
          <w:p>
            <w:pPr>
              <w:spacing w:after="0"/>
              <w:rPr>
                <w:sz w:val="24"/>
                <w:szCs w:val="24"/>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w w:val="98"/>
              </w:rPr>
              <w:t>In the event of a “change in control” (as defined in our 2018 Equity Incentive Plan), each</w:t>
            </w:r>
          </w:p>
        </w:tc>
        <w:tc>
          <w:tcPr>
            <w:tcW w:w="0" w:type="dxa"/>
            <w:vAlign w:val="bottom"/>
          </w:tcPr>
          <w:p>
            <w:pPr>
              <w:spacing w:after="0"/>
              <w:rPr>
                <w:sz w:val="1"/>
                <w:szCs w:val="1"/>
                <w:color w:val="auto"/>
              </w:rPr>
            </w:pPr>
          </w:p>
        </w:tc>
      </w:tr>
      <w:tr>
        <w:trPr>
          <w:trHeight w:val="234"/>
        </w:trPr>
        <w:tc>
          <w:tcPr>
            <w:tcW w:w="60" w:type="dxa"/>
            <w:vAlign w:val="bottom"/>
            <w:tcBorders>
              <w:left w:val="single" w:sz="8" w:color="0A248E"/>
            </w:tcBorders>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Borders>
              <w:right w:val="single" w:sz="8" w:color="0A248E"/>
            </w:tcBorders>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non-employee director will fully vest in his or her outstanding company equity awards,</w:t>
            </w:r>
          </w:p>
        </w:tc>
        <w:tc>
          <w:tcPr>
            <w:tcW w:w="0" w:type="dxa"/>
            <w:vAlign w:val="bottom"/>
          </w:tcPr>
          <w:p>
            <w:pPr>
              <w:spacing w:after="0"/>
              <w:rPr>
                <w:sz w:val="1"/>
                <w:szCs w:val="1"/>
                <w:color w:val="auto"/>
              </w:rPr>
            </w:pPr>
          </w:p>
        </w:tc>
      </w:tr>
      <w:tr>
        <w:trPr>
          <w:trHeight w:val="229"/>
        </w:trPr>
        <w:tc>
          <w:tcPr>
            <w:tcW w:w="60" w:type="dxa"/>
            <w:vAlign w:val="bottom"/>
            <w:tcBorders>
              <w:left w:val="single" w:sz="8" w:color="0A248E"/>
            </w:tcBorders>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Borders>
              <w:right w:val="single" w:sz="8" w:color="0A248E"/>
            </w:tcBorders>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including any Initial Award or Annual Award, provided that the non-employee director</w:t>
            </w:r>
          </w:p>
        </w:tc>
        <w:tc>
          <w:tcPr>
            <w:tcW w:w="0" w:type="dxa"/>
            <w:vAlign w:val="bottom"/>
          </w:tcPr>
          <w:p>
            <w:pPr>
              <w:spacing w:after="0"/>
              <w:rPr>
                <w:sz w:val="1"/>
                <w:szCs w:val="1"/>
                <w:color w:val="auto"/>
              </w:rPr>
            </w:pPr>
          </w:p>
        </w:tc>
      </w:tr>
      <w:tr>
        <w:trPr>
          <w:trHeight w:val="241"/>
        </w:trPr>
        <w:tc>
          <w:tcPr>
            <w:tcW w:w="60" w:type="dxa"/>
            <w:vAlign w:val="bottom"/>
            <w:tcBorders>
              <w:left w:val="single" w:sz="8" w:color="0A248E"/>
            </w:tcBorders>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Borders>
              <w:right w:val="single" w:sz="8" w:color="0A248E"/>
            </w:tcBorders>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Borders>
              <w:right w:val="single" w:sz="8" w:color="0A248E"/>
            </w:tcBorders>
            <w:gridSpan w:val="4"/>
          </w:tcPr>
          <w:p>
            <w:pPr>
              <w:spacing w:after="0"/>
              <w:rPr>
                <w:sz w:val="20"/>
                <w:szCs w:val="20"/>
                <w:color w:val="auto"/>
              </w:rPr>
            </w:pPr>
            <w:r>
              <w:rPr>
                <w:rFonts w:ascii="Arial" w:cs="Arial" w:eastAsia="Arial" w:hAnsi="Arial"/>
                <w:sz w:val="18"/>
                <w:szCs w:val="18"/>
                <w:color w:val="auto"/>
              </w:rPr>
              <w:t>continues to be a non-employee director through such date.</w:t>
            </w:r>
          </w:p>
        </w:tc>
        <w:tc>
          <w:tcPr>
            <w:tcW w:w="0" w:type="dxa"/>
            <w:vAlign w:val="bottom"/>
          </w:tcPr>
          <w:p>
            <w:pPr>
              <w:spacing w:after="0"/>
              <w:rPr>
                <w:sz w:val="1"/>
                <w:szCs w:val="1"/>
                <w:color w:val="auto"/>
              </w:rPr>
            </w:pPr>
          </w:p>
        </w:tc>
      </w:tr>
      <w:tr>
        <w:trPr>
          <w:trHeight w:val="28"/>
        </w:trPr>
        <w:tc>
          <w:tcPr>
            <w:tcW w:w="2640" w:type="dxa"/>
            <w:vAlign w:val="bottom"/>
            <w:tcBorders>
              <w:left w:val="single" w:sz="8" w:color="0A248E"/>
              <w:bottom w:val="single" w:sz="8" w:color="0A248E"/>
              <w:right w:val="single" w:sz="8" w:color="0A248E"/>
            </w:tcBorders>
            <w:gridSpan w:val="3"/>
          </w:tcPr>
          <w:p>
            <w:pPr>
              <w:spacing w:after="0"/>
              <w:rPr>
                <w:sz w:val="2"/>
                <w:szCs w:val="2"/>
                <w:color w:val="auto"/>
              </w:rPr>
            </w:pPr>
          </w:p>
        </w:tc>
        <w:tc>
          <w:tcPr>
            <w:tcW w:w="100" w:type="dxa"/>
            <w:vAlign w:val="bottom"/>
            <w:tcBorders>
              <w:bottom w:val="single" w:sz="8" w:color="0A248E"/>
            </w:tcBorders>
          </w:tcPr>
          <w:p>
            <w:pPr>
              <w:spacing w:after="0"/>
              <w:rPr>
                <w:sz w:val="2"/>
                <w:szCs w:val="2"/>
                <w:color w:val="auto"/>
              </w:rPr>
            </w:pPr>
          </w:p>
        </w:tc>
        <w:tc>
          <w:tcPr>
            <w:tcW w:w="1300" w:type="dxa"/>
            <w:vAlign w:val="bottom"/>
            <w:tcBorders>
              <w:bottom w:val="single" w:sz="8" w:color="0A248E"/>
            </w:tcBorders>
          </w:tcPr>
          <w:p>
            <w:pPr>
              <w:spacing w:after="0"/>
              <w:rPr>
                <w:sz w:val="2"/>
                <w:szCs w:val="2"/>
                <w:color w:val="auto"/>
              </w:rPr>
            </w:pPr>
          </w:p>
        </w:tc>
        <w:tc>
          <w:tcPr>
            <w:tcW w:w="120" w:type="dxa"/>
            <w:vAlign w:val="bottom"/>
            <w:tcBorders>
              <w:bottom w:val="single" w:sz="8" w:color="0A248E"/>
            </w:tcBorders>
          </w:tcPr>
          <w:p>
            <w:pPr>
              <w:spacing w:after="0"/>
              <w:rPr>
                <w:sz w:val="2"/>
                <w:szCs w:val="2"/>
                <w:color w:val="auto"/>
              </w:rPr>
            </w:pPr>
          </w:p>
        </w:tc>
        <w:tc>
          <w:tcPr>
            <w:tcW w:w="5440" w:type="dxa"/>
            <w:vAlign w:val="bottom"/>
            <w:tcBorders>
              <w:bottom w:val="single" w:sz="8" w:color="0A248E"/>
            </w:tcBorders>
          </w:tcPr>
          <w:p>
            <w:pPr>
              <w:spacing w:after="0"/>
              <w:rPr>
                <w:sz w:val="2"/>
                <w:szCs w:val="2"/>
                <w:color w:val="auto"/>
              </w:rPr>
            </w:pPr>
          </w:p>
        </w:tc>
        <w:tc>
          <w:tcPr>
            <w:tcW w:w="60" w:type="dxa"/>
            <w:vAlign w:val="bottom"/>
            <w:tcBorders>
              <w:bottom w:val="single" w:sz="8" w:color="0A248E"/>
              <w:right w:val="single" w:sz="8" w:color="0A248E"/>
            </w:tcBorders>
          </w:tcPr>
          <w:p>
            <w:pPr>
              <w:spacing w:after="0"/>
              <w:rPr>
                <w:sz w:val="2"/>
                <w:szCs w:val="2"/>
                <w:color w:val="auto"/>
              </w:rPr>
            </w:pPr>
          </w:p>
        </w:tc>
        <w:tc>
          <w:tcPr>
            <w:tcW w:w="0" w:type="dxa"/>
            <w:vAlign w:val="bottom"/>
          </w:tcPr>
          <w:p>
            <w:pPr>
              <w:spacing w:after="0"/>
              <w:rPr>
                <w:sz w:val="1"/>
                <w:szCs w:val="1"/>
                <w:color w:val="auto"/>
              </w:rPr>
            </w:pPr>
          </w:p>
        </w:tc>
      </w:tr>
      <w:tr>
        <w:trPr>
          <w:trHeight w:val="467"/>
        </w:trPr>
        <w:tc>
          <w:tcPr>
            <w:tcW w:w="2640" w:type="dxa"/>
            <w:vAlign w:val="bottom"/>
            <w:gridSpan w:val="3"/>
          </w:tcPr>
          <w:p>
            <w:pPr>
              <w:spacing w:after="0"/>
              <w:rPr>
                <w:sz w:val="20"/>
                <w:szCs w:val="20"/>
                <w:color w:val="auto"/>
              </w:rPr>
            </w:pPr>
            <w:r>
              <w:rPr>
                <w:rFonts w:ascii="Arial" w:cs="Arial" w:eastAsia="Arial" w:hAnsi="Arial"/>
                <w:sz w:val="18"/>
                <w:szCs w:val="18"/>
                <w:b w:val="1"/>
                <w:bCs w:val="1"/>
                <w:color w:val="0A248E"/>
              </w:rPr>
              <w:t>2025 Director Compensation</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7" w:right="520"/>
        <w:spacing w:after="0" w:line="278" w:lineRule="auto"/>
        <w:rPr>
          <w:sz w:val="20"/>
          <w:szCs w:val="20"/>
          <w:color w:val="auto"/>
        </w:rPr>
      </w:pPr>
      <w:r>
        <w:rPr>
          <w:rFonts w:ascii="Arial" w:cs="Arial" w:eastAsia="Arial" w:hAnsi="Arial"/>
          <w:sz w:val="18"/>
          <w:szCs w:val="18"/>
          <w:color w:val="auto"/>
        </w:rPr>
        <w:t>The following table provides information regarding compensation of our non-employee directors for their service as directors, for the fiscal year ended December 31, 2025. Directors who are also our employees receive no additional compensation for their service as directors. During 2025, Mr. Houston was an employee and executive officer of the company and, therefore, did not receive compensation as a director. See the section 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additional information regarding Mr. Houston’s compensation.</w:t>
      </w:r>
    </w:p>
    <w:p>
      <w:pPr>
        <w:spacing w:after="0" w:line="58" w:lineRule="exact"/>
        <w:rPr>
          <w:sz w:val="20"/>
          <w:szCs w:val="20"/>
          <w:color w:val="auto"/>
        </w:rPr>
      </w:pPr>
    </w:p>
    <w:tbl>
      <w:tblPr>
        <w:tblLayout w:type="fixed"/>
        <w:tblInd w:w="7" w:type="dxa"/>
        <w:tblCellMar>
          <w:top w:w="0" w:type="dxa"/>
          <w:left w:w="0" w:type="dxa"/>
          <w:bottom w:w="0" w:type="dxa"/>
          <w:right w:w="0" w:type="dxa"/>
        </w:tblCellMar>
      </w:tblPr>
      <w:tr>
        <w:trPr>
          <w:trHeight w:val="61"/>
        </w:trPr>
        <w:tc>
          <w:tcPr>
            <w:tcW w:w="328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Fees Paid</w:t>
            </w:r>
          </w:p>
        </w:tc>
        <w:tc>
          <w:tcPr>
            <w:tcW w:w="40" w:type="dxa"/>
            <w:vAlign w:val="bottom"/>
          </w:tcPr>
          <w:p>
            <w:pPr>
              <w:spacing w:after="0"/>
              <w:rPr>
                <w:sz w:val="5"/>
                <w:szCs w:val="5"/>
                <w:color w:val="auto"/>
              </w:rPr>
            </w:pPr>
          </w:p>
        </w:tc>
        <w:tc>
          <w:tcPr>
            <w:tcW w:w="154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26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right w:val="single" w:sz="8" w:color="0A248E"/>
            </w:tcBorders>
            <w:vMerge w:val="continue"/>
            <w:shd w:val="clear" w:color="auto" w:fill="0A248E"/>
          </w:tcPr>
          <w:p>
            <w:pPr>
              <w:spacing w:after="0"/>
              <w:rPr>
                <w:sz w:val="21"/>
                <w:szCs w:val="21"/>
                <w:color w:val="auto"/>
              </w:rPr>
            </w:pPr>
          </w:p>
        </w:tc>
        <w:tc>
          <w:tcPr>
            <w:tcW w:w="40" w:type="dxa"/>
            <w:vAlign w:val="bottom"/>
            <w:tcBorders>
              <w:left w:val="single" w:sz="8" w:color="0A248E"/>
            </w:tcBorders>
            <w:shd w:val="clear" w:color="auto" w:fill="0A248E"/>
          </w:tcPr>
          <w:p>
            <w:pPr>
              <w:spacing w:after="0"/>
              <w:rPr>
                <w:sz w:val="21"/>
                <w:szCs w:val="21"/>
                <w:color w:val="auto"/>
              </w:rPr>
            </w:pPr>
          </w:p>
        </w:tc>
        <w:tc>
          <w:tcPr>
            <w:tcW w:w="154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260" w:type="dxa"/>
            <w:vAlign w:val="bottom"/>
            <w:shd w:val="clear" w:color="auto" w:fill="0A248E"/>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shd w:val="clear" w:color="auto" w:fill="0A248E"/>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28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right w:val="single" w:sz="8" w:color="0A248E"/>
            </w:tcBorders>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or</w:t>
            </w:r>
          </w:p>
        </w:tc>
        <w:tc>
          <w:tcPr>
            <w:tcW w:w="40" w:type="dxa"/>
            <w:vAlign w:val="bottom"/>
            <w:tcBorders>
              <w:left w:val="single" w:sz="8" w:color="0A248E"/>
            </w:tcBorders>
            <w:shd w:val="clear" w:color="auto" w:fill="0A248E"/>
          </w:tcPr>
          <w:p>
            <w:pPr>
              <w:spacing w:after="0"/>
              <w:rPr>
                <w:sz w:val="14"/>
                <w:szCs w:val="14"/>
                <w:color w:val="auto"/>
              </w:rPr>
            </w:pPr>
          </w:p>
        </w:tc>
        <w:tc>
          <w:tcPr>
            <w:tcW w:w="154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260" w:type="dxa"/>
            <w:vAlign w:val="bottom"/>
            <w:shd w:val="clear" w:color="auto" w:fill="0A248E"/>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shd w:val="clear" w:color="auto" w:fill="0A248E"/>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shd w:val="clear" w:color="auto" w:fill="0A248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328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Earned in</w:t>
            </w:r>
          </w:p>
        </w:tc>
        <w:tc>
          <w:tcPr>
            <w:tcW w:w="40" w:type="dxa"/>
            <w:vAlign w:val="bottom"/>
            <w:tcBorders>
              <w:left w:val="single" w:sz="8" w:color="0A248E"/>
            </w:tcBorders>
            <w:shd w:val="clear" w:color="auto" w:fill="0A248E"/>
          </w:tcPr>
          <w:p>
            <w:pPr>
              <w:spacing w:after="0"/>
              <w:rPr>
                <w:sz w:val="21"/>
                <w:szCs w:val="21"/>
                <w:color w:val="auto"/>
              </w:rPr>
            </w:pPr>
          </w:p>
        </w:tc>
        <w:tc>
          <w:tcPr>
            <w:tcW w:w="15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Stock</w:t>
            </w:r>
          </w:p>
        </w:tc>
        <w:tc>
          <w:tcPr>
            <w:tcW w:w="20" w:type="dxa"/>
            <w:vAlign w:val="bottom"/>
            <w:shd w:val="clear" w:color="auto" w:fill="0A248E"/>
          </w:tcPr>
          <w:p>
            <w:pPr>
              <w:spacing w:after="0"/>
              <w:rPr>
                <w:sz w:val="21"/>
                <w:szCs w:val="21"/>
                <w:color w:val="auto"/>
              </w:rPr>
            </w:pPr>
          </w:p>
        </w:tc>
        <w:tc>
          <w:tcPr>
            <w:tcW w:w="260" w:type="dxa"/>
            <w:vAlign w:val="bottom"/>
            <w:shd w:val="clear" w:color="auto" w:fill="0A248E"/>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All Other</w:t>
            </w:r>
          </w:p>
        </w:tc>
        <w:tc>
          <w:tcPr>
            <w:tcW w:w="20" w:type="dxa"/>
            <w:vAlign w:val="bottom"/>
          </w:tcPr>
          <w:p>
            <w:pPr>
              <w:spacing w:after="0"/>
              <w:rPr>
                <w:sz w:val="21"/>
                <w:szCs w:val="21"/>
                <w:color w:val="auto"/>
              </w:rPr>
            </w:pPr>
          </w:p>
        </w:tc>
        <w:tc>
          <w:tcPr>
            <w:tcW w:w="1540" w:type="dxa"/>
            <w:vAlign w:val="bottom"/>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0A248E"/>
          </w:tcPr>
          <w:p>
            <w:pPr>
              <w:ind w:left="100"/>
              <w:spacing w:after="0"/>
              <w:rPr>
                <w:sz w:val="20"/>
                <w:szCs w:val="20"/>
                <w:color w:val="auto"/>
              </w:rPr>
            </w:pPr>
            <w:r>
              <w:rPr>
                <w:rFonts w:ascii="Arial" w:cs="Arial" w:eastAsia="Arial" w:hAnsi="Arial"/>
                <w:sz w:val="15"/>
                <w:szCs w:val="15"/>
                <w:b w:val="1"/>
                <w:bCs w:val="1"/>
                <w:color w:val="FFFFFF"/>
              </w:rPr>
              <w:t>Name</w:t>
            </w:r>
          </w:p>
        </w:tc>
        <w:tc>
          <w:tcPr>
            <w:tcW w:w="20" w:type="dxa"/>
            <w:vAlign w:val="bottom"/>
            <w:shd w:val="clear" w:color="auto" w:fill="0A248E"/>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Cash ($)</w:t>
            </w:r>
          </w:p>
        </w:tc>
        <w:tc>
          <w:tcPr>
            <w:tcW w:w="40" w:type="dxa"/>
            <w:vAlign w:val="bottom"/>
            <w:tcBorders>
              <w:left w:val="single" w:sz="8" w:color="0A248E"/>
            </w:tcBorders>
            <w:shd w:val="clear" w:color="auto" w:fill="0A248E"/>
          </w:tcPr>
          <w:p>
            <w:pPr>
              <w:spacing w:after="0"/>
              <w:rPr>
                <w:sz w:val="21"/>
                <w:szCs w:val="21"/>
                <w:color w:val="auto"/>
              </w:rPr>
            </w:pPr>
          </w:p>
        </w:tc>
        <w:tc>
          <w:tcPr>
            <w:tcW w:w="15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Awards ($)</w:t>
            </w:r>
            <w:r>
              <w:rPr>
                <w:rFonts w:ascii="Arial" w:cs="Arial" w:eastAsia="Arial" w:hAnsi="Arial"/>
                <w:sz w:val="19"/>
                <w:szCs w:val="19"/>
                <w:b w:val="1"/>
                <w:bCs w:val="1"/>
                <w:color w:val="FFFFFF"/>
                <w:w w:val="96"/>
                <w:vertAlign w:val="superscript"/>
              </w:rPr>
              <w:t>(1)(2)</w:t>
            </w:r>
          </w:p>
        </w:tc>
        <w:tc>
          <w:tcPr>
            <w:tcW w:w="20" w:type="dxa"/>
            <w:vAlign w:val="bottom"/>
            <w:shd w:val="clear" w:color="auto" w:fill="0A248E"/>
          </w:tcPr>
          <w:p>
            <w:pPr>
              <w:spacing w:after="0"/>
              <w:rPr>
                <w:sz w:val="21"/>
                <w:szCs w:val="21"/>
                <w:color w:val="auto"/>
              </w:rPr>
            </w:pPr>
          </w:p>
        </w:tc>
        <w:tc>
          <w:tcPr>
            <w:tcW w:w="260" w:type="dxa"/>
            <w:vAlign w:val="bottom"/>
            <w:shd w:val="clear" w:color="auto" w:fill="0A248E"/>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Compensation ($)</w:t>
            </w:r>
          </w:p>
        </w:tc>
        <w:tc>
          <w:tcPr>
            <w:tcW w:w="20" w:type="dxa"/>
            <w:vAlign w:val="bottom"/>
          </w:tcPr>
          <w:p>
            <w:pPr>
              <w:spacing w:after="0"/>
              <w:rPr>
                <w:sz w:val="21"/>
                <w:szCs w:val="21"/>
                <w:color w:val="auto"/>
              </w:rPr>
            </w:pPr>
          </w:p>
        </w:tc>
        <w:tc>
          <w:tcPr>
            <w:tcW w:w="15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9"/>
              </w:rPr>
              <w:t>Total ($)</w:t>
            </w:r>
          </w:p>
        </w:tc>
        <w:tc>
          <w:tcPr>
            <w:tcW w:w="0" w:type="dxa"/>
            <w:vAlign w:val="bottom"/>
          </w:tcPr>
          <w:p>
            <w:pPr>
              <w:spacing w:after="0"/>
              <w:rPr>
                <w:sz w:val="1"/>
                <w:szCs w:val="1"/>
                <w:color w:val="auto"/>
              </w:rPr>
            </w:pPr>
          </w:p>
        </w:tc>
      </w:tr>
      <w:tr>
        <w:trPr>
          <w:trHeight w:val="247"/>
        </w:trPr>
        <w:tc>
          <w:tcPr>
            <w:tcW w:w="328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Lisa Campbell</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84,391</w:t>
            </w:r>
          </w:p>
        </w:tc>
        <w:tc>
          <w:tcPr>
            <w:tcW w:w="40" w:type="dxa"/>
            <w:vAlign w:val="bottom"/>
            <w:tcBorders>
              <w:left w:val="single" w:sz="8" w:color="E6E6E6"/>
              <w:bottom w:val="single" w:sz="8" w:color="E6E6E6"/>
            </w:tcBorders>
            <w:shd w:val="clear" w:color="auto" w:fill="E6E6E6"/>
          </w:tcPr>
          <w:p>
            <w:pPr>
              <w:spacing w:after="0"/>
              <w:rPr>
                <w:sz w:val="21"/>
                <w:szCs w:val="21"/>
                <w:color w:val="auto"/>
              </w:rPr>
            </w:pPr>
          </w:p>
        </w:tc>
        <w:tc>
          <w:tcPr>
            <w:tcW w:w="15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249,997</w:t>
            </w:r>
          </w:p>
        </w:tc>
        <w:tc>
          <w:tcPr>
            <w:tcW w:w="2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E6E6E6"/>
            </w:tcBorders>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1"/>
                <w:szCs w:val="21"/>
                <w:color w:val="auto"/>
              </w:rPr>
            </w:pPr>
          </w:p>
        </w:tc>
        <w:tc>
          <w:tcPr>
            <w:tcW w:w="15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334,388</w:t>
            </w:r>
          </w:p>
        </w:tc>
        <w:tc>
          <w:tcPr>
            <w:tcW w:w="0" w:type="dxa"/>
            <w:vAlign w:val="bottom"/>
          </w:tcPr>
          <w:p>
            <w:pPr>
              <w:spacing w:after="0"/>
              <w:rPr>
                <w:sz w:val="1"/>
                <w:szCs w:val="1"/>
                <w:color w:val="auto"/>
              </w:rPr>
            </w:pPr>
          </w:p>
        </w:tc>
      </w:tr>
      <w:tr>
        <w:trPr>
          <w:trHeight w:val="239"/>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Paul E. Jacobs</w:t>
            </w:r>
          </w:p>
        </w:tc>
        <w:tc>
          <w:tcPr>
            <w:tcW w:w="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70,649</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8"/>
              </w:rPr>
              <w:t>249,997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320,646</w:t>
            </w:r>
          </w:p>
        </w:tc>
        <w:tc>
          <w:tcPr>
            <w:tcW w:w="0" w:type="dxa"/>
            <w:vAlign w:val="bottom"/>
          </w:tcPr>
          <w:p>
            <w:pPr>
              <w:spacing w:after="0"/>
              <w:rPr>
                <w:sz w:val="1"/>
                <w:szCs w:val="1"/>
                <w:color w:val="auto"/>
              </w:rPr>
            </w:pPr>
          </w:p>
        </w:tc>
      </w:tr>
      <w:tr>
        <w:trPr>
          <w:trHeight w:val="32"/>
        </w:trPr>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E6E6E6"/>
          </w:tcPr>
          <w:p>
            <w:pPr>
              <w:ind w:left="100"/>
              <w:spacing w:after="0"/>
              <w:rPr>
                <w:sz w:val="20"/>
                <w:szCs w:val="20"/>
                <w:color w:val="auto"/>
              </w:rPr>
            </w:pPr>
            <w:r>
              <w:rPr>
                <w:rFonts w:ascii="Arial" w:cs="Arial" w:eastAsia="Arial" w:hAnsi="Arial"/>
                <w:sz w:val="18"/>
                <w:szCs w:val="18"/>
                <w:color w:val="auto"/>
              </w:rPr>
              <w:t>Andrew Moore</w:t>
            </w:r>
          </w:p>
        </w:tc>
        <w:tc>
          <w:tcPr>
            <w:tcW w:w="20" w:type="dxa"/>
            <w:vAlign w:val="bottom"/>
            <w:shd w:val="clear" w:color="auto" w:fill="E6E6E6"/>
          </w:tcPr>
          <w:p>
            <w:pPr>
              <w:spacing w:after="0"/>
              <w:rPr>
                <w:sz w:val="19"/>
                <w:szCs w:val="19"/>
                <w:color w:val="auto"/>
              </w:rPr>
            </w:pPr>
          </w:p>
        </w:tc>
        <w:tc>
          <w:tcPr>
            <w:tcW w:w="20" w:type="dxa"/>
            <w:vAlign w:val="bottom"/>
            <w:vMerge w:val="continue"/>
          </w:tcPr>
          <w:p>
            <w:pPr>
              <w:spacing w:after="0"/>
              <w:rPr>
                <w:sz w:val="19"/>
                <w:szCs w:val="19"/>
                <w:color w:val="auto"/>
              </w:rPr>
            </w:pPr>
          </w:p>
        </w:tc>
        <w:tc>
          <w:tcPr>
            <w:tcW w:w="152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62,500</w:t>
            </w:r>
          </w:p>
        </w:tc>
        <w:tc>
          <w:tcPr>
            <w:tcW w:w="40" w:type="dxa"/>
            <w:vAlign w:val="bottom"/>
            <w:tcBorders>
              <w:left w:val="single" w:sz="8" w:color="E6E6E6"/>
            </w:tcBorders>
            <w:shd w:val="clear" w:color="auto" w:fill="E6E6E6"/>
          </w:tcPr>
          <w:p>
            <w:pPr>
              <w:spacing w:after="0"/>
              <w:rPr>
                <w:sz w:val="19"/>
                <w:szCs w:val="19"/>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249,997</w:t>
            </w: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0" w:type="dxa"/>
            <w:vAlign w:val="bottom"/>
            <w:tcBorders>
              <w:left w:val="single" w:sz="8" w:color="E6E6E6"/>
            </w:tcBorders>
          </w:tcPr>
          <w:p>
            <w:pPr>
              <w:spacing w:after="0"/>
              <w:rPr>
                <w:sz w:val="19"/>
                <w:szCs w:val="19"/>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9"/>
                <w:szCs w:val="19"/>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5"/>
              </w:rPr>
              <w:t>312,497</w:t>
            </w:r>
          </w:p>
        </w:tc>
        <w:tc>
          <w:tcPr>
            <w:tcW w:w="0" w:type="dxa"/>
            <w:vAlign w:val="bottom"/>
          </w:tcPr>
          <w:p>
            <w:pPr>
              <w:spacing w:after="0"/>
              <w:rPr>
                <w:sz w:val="1"/>
                <w:szCs w:val="1"/>
                <w:color w:val="auto"/>
              </w:rPr>
            </w:pPr>
          </w:p>
        </w:tc>
      </w:tr>
      <w:tr>
        <w:trPr>
          <w:trHeight w:val="229"/>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Abhay Parasnis</w:t>
            </w:r>
          </w:p>
        </w:tc>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60,000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8"/>
              </w:rPr>
              <w:t>249,997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309,997</w:t>
            </w:r>
          </w:p>
        </w:tc>
        <w:tc>
          <w:tcPr>
            <w:tcW w:w="0" w:type="dxa"/>
            <w:vAlign w:val="bottom"/>
          </w:tcPr>
          <w:p>
            <w:pPr>
              <w:spacing w:after="0"/>
              <w:rPr>
                <w:sz w:val="1"/>
                <w:szCs w:val="1"/>
                <w:color w:val="auto"/>
              </w:rPr>
            </w:pPr>
          </w:p>
        </w:tc>
      </w:tr>
      <w:tr>
        <w:trPr>
          <w:trHeight w:val="251"/>
        </w:trPr>
        <w:tc>
          <w:tcPr>
            <w:tcW w:w="328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Karen Peacock</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73,301</w:t>
            </w:r>
          </w:p>
        </w:tc>
        <w:tc>
          <w:tcPr>
            <w:tcW w:w="40" w:type="dxa"/>
            <w:vAlign w:val="bottom"/>
            <w:tcBorders>
              <w:left w:val="single" w:sz="8" w:color="E6E6E6"/>
              <w:bottom w:val="single" w:sz="8" w:color="E6E6E6"/>
            </w:tcBorders>
            <w:shd w:val="clear" w:color="auto" w:fill="E6E6E6"/>
          </w:tcPr>
          <w:p>
            <w:pPr>
              <w:spacing w:after="0"/>
              <w:rPr>
                <w:sz w:val="21"/>
                <w:szCs w:val="21"/>
                <w:color w:val="auto"/>
              </w:rPr>
            </w:pPr>
          </w:p>
        </w:tc>
        <w:tc>
          <w:tcPr>
            <w:tcW w:w="15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249,997</w:t>
            </w:r>
          </w:p>
        </w:tc>
        <w:tc>
          <w:tcPr>
            <w:tcW w:w="2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E6E6E6"/>
            </w:tcBorders>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1"/>
                <w:szCs w:val="21"/>
                <w:color w:val="auto"/>
              </w:rPr>
            </w:pPr>
          </w:p>
        </w:tc>
        <w:tc>
          <w:tcPr>
            <w:tcW w:w="15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323,298</w:t>
            </w:r>
          </w:p>
        </w:tc>
        <w:tc>
          <w:tcPr>
            <w:tcW w:w="0" w:type="dxa"/>
            <w:vAlign w:val="bottom"/>
          </w:tcPr>
          <w:p>
            <w:pPr>
              <w:spacing w:after="0"/>
              <w:rPr>
                <w:sz w:val="1"/>
                <w:szCs w:val="1"/>
                <w:color w:val="auto"/>
              </w:rPr>
            </w:pPr>
          </w:p>
        </w:tc>
      </w:tr>
      <w:tr>
        <w:trPr>
          <w:trHeight w:val="241"/>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Michael Seibel</w:t>
            </w:r>
          </w:p>
        </w:tc>
        <w:tc>
          <w:tcPr>
            <w:tcW w:w="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60,000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8"/>
              </w:rPr>
              <w:t>249,997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309,997</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Warren Jenson</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52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52,967</w:t>
            </w:r>
          </w:p>
        </w:tc>
        <w:tc>
          <w:tcPr>
            <w:tcW w:w="40" w:type="dxa"/>
            <w:vAlign w:val="bottom"/>
            <w:tcBorders>
              <w:left w:val="single" w:sz="8" w:color="E6E6E6"/>
              <w:bottom w:val="single" w:sz="8" w:color="E6E6E6"/>
            </w:tcBorders>
            <w:shd w:val="clear" w:color="auto" w:fill="E6E6E6"/>
          </w:tcPr>
          <w:p>
            <w:pPr>
              <w:spacing w:after="0"/>
              <w:rPr>
                <w:sz w:val="21"/>
                <w:szCs w:val="21"/>
                <w:color w:val="auto"/>
              </w:rPr>
            </w:pPr>
          </w:p>
        </w:tc>
        <w:tc>
          <w:tcPr>
            <w:tcW w:w="15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333,318</w:t>
            </w:r>
          </w:p>
        </w:tc>
        <w:tc>
          <w:tcPr>
            <w:tcW w:w="2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E6E6E6"/>
            </w:tcBorders>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21"/>
                <w:szCs w:val="21"/>
                <w:color w:val="auto"/>
              </w:rPr>
            </w:pPr>
          </w:p>
        </w:tc>
        <w:tc>
          <w:tcPr>
            <w:tcW w:w="15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386,285</w:t>
            </w:r>
          </w:p>
        </w:tc>
        <w:tc>
          <w:tcPr>
            <w:tcW w:w="0" w:type="dxa"/>
            <w:vAlign w:val="bottom"/>
          </w:tcPr>
          <w:p>
            <w:pPr>
              <w:spacing w:after="0"/>
              <w:rPr>
                <w:sz w:val="1"/>
                <w:szCs w:val="1"/>
                <w:color w:val="auto"/>
              </w:rPr>
            </w:pPr>
          </w:p>
        </w:tc>
      </w:tr>
      <w:tr>
        <w:trPr>
          <w:trHeight w:val="267"/>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Donald W. Blair</w:t>
            </w:r>
            <w:r>
              <w:rPr>
                <w:rFonts w:ascii="Arial" w:cs="Arial" w:eastAsia="Arial" w:hAnsi="Arial"/>
                <w:sz w:val="23"/>
                <w:szCs w:val="23"/>
                <w:color w:val="auto"/>
                <w:vertAlign w:val="superscript"/>
              </w:rPr>
              <w:t>(3)</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4"/>
              </w:rPr>
              <w:t>80,814</w:t>
            </w:r>
          </w:p>
        </w:tc>
        <w:tc>
          <w:tcPr>
            <w:tcW w:w="4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3"/>
                <w:szCs w:val="23"/>
                <w:color w:val="auto"/>
              </w:rPr>
            </w:pPr>
          </w:p>
        </w:tc>
        <w:tc>
          <w:tcPr>
            <w:tcW w:w="1540" w:type="dxa"/>
            <w:vAlign w:val="bottom"/>
          </w:tcPr>
          <w:p>
            <w:pPr>
              <w:jc w:val="right"/>
              <w:ind w:right="412"/>
              <w:spacing w:after="0"/>
              <w:rPr>
                <w:sz w:val="20"/>
                <w:szCs w:val="20"/>
                <w:color w:val="auto"/>
              </w:rPr>
            </w:pPr>
            <w:r>
              <w:rPr>
                <w:rFonts w:ascii="Arial" w:cs="Arial" w:eastAsia="Arial" w:hAnsi="Arial"/>
                <w:sz w:val="18"/>
                <w:szCs w:val="18"/>
                <w:color w:val="auto"/>
              </w:rPr>
              <w:t>80,814</w:t>
            </w:r>
          </w:p>
        </w:tc>
        <w:tc>
          <w:tcPr>
            <w:tcW w:w="0" w:type="dxa"/>
            <w:vAlign w:val="bottom"/>
          </w:tcPr>
          <w:p>
            <w:pPr>
              <w:spacing w:after="0"/>
              <w:rPr>
                <w:sz w:val="1"/>
                <w:szCs w:val="1"/>
                <w:color w:val="auto"/>
              </w:rPr>
            </w:pPr>
          </w:p>
        </w:tc>
      </w:tr>
      <w:tr>
        <w:trPr>
          <w:trHeight w:val="271"/>
        </w:trPr>
        <w:tc>
          <w:tcPr>
            <w:tcW w:w="3280" w:type="dxa"/>
            <w:vAlign w:val="bottom"/>
            <w:shd w:val="clear" w:color="auto" w:fill="E6E6E6"/>
          </w:tcPr>
          <w:p>
            <w:pPr>
              <w:ind w:left="100"/>
              <w:spacing w:after="0"/>
              <w:rPr>
                <w:sz w:val="20"/>
                <w:szCs w:val="20"/>
                <w:color w:val="auto"/>
              </w:rPr>
            </w:pPr>
            <w:r>
              <w:rPr>
                <w:rFonts w:ascii="Arial" w:cs="Arial" w:eastAsia="Arial" w:hAnsi="Arial"/>
                <w:sz w:val="18"/>
                <w:szCs w:val="18"/>
                <w:color w:val="auto"/>
              </w:rPr>
              <w:t>Sara Mathew</w:t>
            </w:r>
            <w:r>
              <w:rPr>
                <w:rFonts w:ascii="Arial" w:cs="Arial" w:eastAsia="Arial" w:hAnsi="Arial"/>
                <w:sz w:val="23"/>
                <w:szCs w:val="23"/>
                <w:color w:val="auto"/>
                <w:vertAlign w:val="superscript"/>
              </w:rPr>
              <w:t>(3)</w:t>
            </w:r>
          </w:p>
        </w:tc>
        <w:tc>
          <w:tcPr>
            <w:tcW w:w="20" w:type="dxa"/>
            <w:vAlign w:val="bottom"/>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61,759</w:t>
            </w:r>
          </w:p>
        </w:tc>
        <w:tc>
          <w:tcPr>
            <w:tcW w:w="40" w:type="dxa"/>
            <w:vAlign w:val="bottom"/>
            <w:tcBorders>
              <w:left w:val="single" w:sz="8" w:color="E6E6E6"/>
            </w:tcBorders>
          </w:tcPr>
          <w:p>
            <w:pPr>
              <w:spacing w:after="0"/>
              <w:rPr>
                <w:sz w:val="23"/>
                <w:szCs w:val="23"/>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40" w:type="dxa"/>
            <w:vAlign w:val="bottom"/>
            <w:tcBorders>
              <w:left w:val="single" w:sz="8" w:color="E6E6E6"/>
            </w:tcBorders>
          </w:tcPr>
          <w:p>
            <w:pPr>
              <w:spacing w:after="0"/>
              <w:rPr>
                <w:sz w:val="23"/>
                <w:szCs w:val="23"/>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3"/>
                <w:szCs w:val="23"/>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61,759</w:t>
            </w:r>
          </w:p>
        </w:tc>
        <w:tc>
          <w:tcPr>
            <w:tcW w:w="0" w:type="dxa"/>
            <w:vAlign w:val="bottom"/>
          </w:tcPr>
          <w:p>
            <w:pPr>
              <w:spacing w:after="0"/>
              <w:rPr>
                <w:sz w:val="1"/>
                <w:szCs w:val="1"/>
                <w:color w:val="auto"/>
              </w:rPr>
            </w:pPr>
          </w:p>
        </w:tc>
      </w:tr>
      <w:tr>
        <w:trPr>
          <w:trHeight w:val="37"/>
        </w:trPr>
        <w:tc>
          <w:tcPr>
            <w:tcW w:w="3280" w:type="dxa"/>
            <w:vAlign w:val="bottom"/>
            <w:shd w:val="clear" w:color="auto" w:fill="E6E6E6"/>
          </w:tcPr>
          <w:p>
            <w:pPr>
              <w:spacing w:after="0"/>
              <w:rPr>
                <w:sz w:val="3"/>
                <w:szCs w:val="3"/>
                <w:color w:val="auto"/>
              </w:rPr>
            </w:pPr>
          </w:p>
        </w:tc>
        <w:tc>
          <w:tcPr>
            <w:tcW w:w="20" w:type="dxa"/>
            <w:vAlign w:val="bottom"/>
            <w:shd w:val="clear" w:color="auto" w:fill="E6E6E6"/>
          </w:tcPr>
          <w:p>
            <w:pPr>
              <w:spacing w:after="0"/>
              <w:rPr>
                <w:sz w:val="3"/>
                <w:szCs w:val="3"/>
                <w:color w:val="auto"/>
              </w:rPr>
            </w:pPr>
          </w:p>
        </w:tc>
        <w:tc>
          <w:tcPr>
            <w:tcW w:w="20" w:type="dxa"/>
            <w:vAlign w:val="bottom"/>
          </w:tcPr>
          <w:p>
            <w:pPr>
              <w:spacing w:after="0"/>
              <w:rPr>
                <w:sz w:val="3"/>
                <w:szCs w:val="3"/>
                <w:color w:val="auto"/>
              </w:rPr>
            </w:pPr>
          </w:p>
        </w:tc>
        <w:tc>
          <w:tcPr>
            <w:tcW w:w="1520" w:type="dxa"/>
            <w:vAlign w:val="bottom"/>
            <w:tcBorders>
              <w:right w:val="single" w:sz="8" w:color="E6E6E6"/>
            </w:tcBorders>
            <w:shd w:val="clear" w:color="auto" w:fill="E6E6E6"/>
          </w:tcPr>
          <w:p>
            <w:pPr>
              <w:spacing w:after="0"/>
              <w:rPr>
                <w:sz w:val="3"/>
                <w:szCs w:val="3"/>
                <w:color w:val="auto"/>
              </w:rPr>
            </w:pPr>
          </w:p>
        </w:tc>
        <w:tc>
          <w:tcPr>
            <w:tcW w:w="40" w:type="dxa"/>
            <w:vAlign w:val="bottom"/>
            <w:tcBorders>
              <w:left w:val="single" w:sz="8" w:color="E6E6E6"/>
            </w:tcBorders>
          </w:tcPr>
          <w:p>
            <w:pPr>
              <w:spacing w:after="0"/>
              <w:rPr>
                <w:sz w:val="3"/>
                <w:szCs w:val="3"/>
                <w:color w:val="auto"/>
              </w:rPr>
            </w:pPr>
          </w:p>
        </w:tc>
        <w:tc>
          <w:tcPr>
            <w:tcW w:w="1540" w:type="dxa"/>
            <w:vAlign w:val="bottom"/>
            <w:shd w:val="clear" w:color="auto" w:fill="E6E6E6"/>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shd w:val="clear" w:color="auto" w:fill="E6E6E6"/>
          </w:tcPr>
          <w:p>
            <w:pPr>
              <w:spacing w:after="0"/>
              <w:rPr>
                <w:sz w:val="3"/>
                <w:szCs w:val="3"/>
                <w:color w:val="auto"/>
              </w:rPr>
            </w:pPr>
          </w:p>
        </w:tc>
        <w:tc>
          <w:tcPr>
            <w:tcW w:w="40" w:type="dxa"/>
            <w:vAlign w:val="bottom"/>
            <w:tcBorders>
              <w:left w:val="single" w:sz="8" w:color="E6E6E6"/>
            </w:tcBorders>
          </w:tcPr>
          <w:p>
            <w:pPr>
              <w:spacing w:after="0"/>
              <w:rPr>
                <w:sz w:val="3"/>
                <w:szCs w:val="3"/>
                <w:color w:val="auto"/>
              </w:rPr>
            </w:pPr>
          </w:p>
        </w:tc>
        <w:tc>
          <w:tcPr>
            <w:tcW w:w="1540" w:type="dxa"/>
            <w:vAlign w:val="bottom"/>
            <w:shd w:val="clear" w:color="auto" w:fill="E6E6E6"/>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shd w:val="clear" w:color="auto" w:fill="E6E6E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2098040</wp:posOffset>
                </wp:positionH>
                <wp:positionV relativeFrom="paragraph">
                  <wp:posOffset>-2089150</wp:posOffset>
                </wp:positionV>
                <wp:extent cx="0" cy="106426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42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2pt,-164.4999pt" to="165.2pt,-80.6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4272915</wp:posOffset>
                </wp:positionH>
                <wp:positionV relativeFrom="paragraph">
                  <wp:posOffset>-2089150</wp:posOffset>
                </wp:positionV>
                <wp:extent cx="0" cy="106426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42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45pt,-164.4999pt" to="336.45pt,-80.6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-2089150</wp:posOffset>
                </wp:positionV>
                <wp:extent cx="0" cy="106426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426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164.4999pt" to="414.65pt,-80.6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2098040</wp:posOffset>
                </wp:positionH>
                <wp:positionV relativeFrom="paragraph">
                  <wp:posOffset>-879475</wp:posOffset>
                </wp:positionV>
                <wp:extent cx="0" cy="17272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2pt,-69.2499pt" to="165.2pt,-55.6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4272915</wp:posOffset>
                </wp:positionH>
                <wp:positionV relativeFrom="paragraph">
                  <wp:posOffset>-879475</wp:posOffset>
                </wp:positionV>
                <wp:extent cx="0" cy="17272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45pt,-69.2499pt" to="336.45pt,-55.6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-879475</wp:posOffset>
                </wp:positionV>
                <wp:extent cx="0" cy="17272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69.2499pt" to="414.65pt,-55.6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2098040</wp:posOffset>
                </wp:positionH>
                <wp:positionV relativeFrom="paragraph">
                  <wp:posOffset>-195580</wp:posOffset>
                </wp:positionV>
                <wp:extent cx="0" cy="19558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55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2pt,-15.3999pt" to="165.2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3093085</wp:posOffset>
                </wp:positionH>
                <wp:positionV relativeFrom="paragraph">
                  <wp:posOffset>-195580</wp:posOffset>
                </wp:positionV>
                <wp:extent cx="0" cy="19558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55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55pt,-15.3999pt" to="243.5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4086225</wp:posOffset>
                </wp:positionH>
                <wp:positionV relativeFrom="paragraph">
                  <wp:posOffset>-195580</wp:posOffset>
                </wp:positionV>
                <wp:extent cx="0" cy="19558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55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75pt,-15.3999pt" to="321.7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4272915</wp:posOffset>
                </wp:positionH>
                <wp:positionV relativeFrom="paragraph">
                  <wp:posOffset>-537845</wp:posOffset>
                </wp:positionV>
                <wp:extent cx="0" cy="53784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78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45pt,-42.3499pt" to="336.4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-537845</wp:posOffset>
                </wp:positionV>
                <wp:extent cx="0" cy="53784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784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42.3499pt" to="414.65pt,0pt" o:allowincell="f" strokecolor="#FFFFFF" strokeweight="1.404pt"/>
            </w:pict>
          </mc:Fallback>
        </mc:AlternateContent>
      </w:r>
    </w:p>
    <w:p>
      <w:pPr>
        <w:ind w:left="347" w:right="240" w:hanging="347"/>
        <w:spacing w:after="0" w:line="270" w:lineRule="auto"/>
        <w:tabs>
          <w:tab w:leader="none" w:pos="346" w:val="left"/>
        </w:tabs>
        <w:numPr>
          <w:ilvl w:val="0"/>
          <w:numId w:val="34"/>
        </w:numPr>
        <w:rPr>
          <w:rFonts w:ascii="Arial" w:cs="Arial" w:eastAsia="Arial" w:hAnsi="Arial"/>
          <w:sz w:val="20"/>
          <w:szCs w:val="20"/>
          <w:color w:val="auto"/>
          <w:vertAlign w:val="superscript"/>
        </w:rPr>
      </w:pPr>
      <w:r>
        <w:rPr>
          <w:rFonts w:ascii="Arial" w:cs="Arial" w:eastAsia="Arial" w:hAnsi="Arial"/>
          <w:sz w:val="15"/>
          <w:szCs w:val="15"/>
          <w:color w:val="auto"/>
        </w:rPr>
        <w:t>Amounts shown do not reflect compensation actually received by each non-employee director, and there can be no assurance that these amounts will ever be realized by the non-employee directors. Instead, the amount shown is the grant date fair value of the RSU awards granted in fiscal 2025 computed in accordance with ASC Topic 718 — Compensation — Stock Compensation (“</w:t>
      </w:r>
      <w:r>
        <w:rPr>
          <w:rFonts w:ascii="Arial" w:cs="Arial" w:eastAsia="Arial" w:hAnsi="Arial"/>
          <w:sz w:val="15"/>
          <w:szCs w:val="15"/>
          <w:b w:val="1"/>
          <w:bCs w:val="1"/>
          <w:i w:val="1"/>
          <w:iCs w:val="1"/>
          <w:color w:val="auto"/>
        </w:rPr>
        <w:t>ASC Topic</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718</w:t>
      </w:r>
      <w:r>
        <w:rPr>
          <w:rFonts w:ascii="Arial" w:cs="Arial" w:eastAsia="Arial" w:hAnsi="Arial"/>
          <w:sz w:val="15"/>
          <w:szCs w:val="15"/>
          <w:color w:val="auto"/>
        </w:rPr>
        <w:t>”), disregarding forfeiture assumptions. The grant date fair value of the RSU awards is based on the closing price for a share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Class A common stock as reported by Nasdaq on the day immediately preceding the grant date. Unless otherwise described in the</w:t>
      </w:r>
    </w:p>
    <w:p>
      <w:pPr>
        <w:sectPr>
          <w:pgSz w:w="11880" w:h="15480" w:orient="portrait"/>
          <w:cols w:equalWidth="0" w:num="1">
            <w:col w:w="9847"/>
          </w:cols>
          <w:pgMar w:left="1133" w:top="3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27</w:t>
      </w:r>
    </w:p>
    <w:p>
      <w:pPr>
        <w:sectPr>
          <w:pgSz w:w="11880" w:h="15480" w:orient="portrait"/>
          <w:cols w:equalWidth="0" w:num="1">
            <w:col w:w="9847"/>
          </w:cols>
          <w:pgMar w:left="1133" w:top="340" w:right="900" w:bottom="0" w:gutter="0" w:footer="0" w:header="0"/>
          <w:type w:val="continuous"/>
        </w:sectPr>
      </w:pPr>
    </w:p>
    <w:bookmarkStart w:id="35" w:name="page36"/>
    <w:bookmarkEnd w:id="35"/>
    <w:p>
      <w:pPr>
        <w:ind w:left="7" w:right="480"/>
        <w:spacing w:after="0" w:line="323" w:lineRule="auto"/>
        <w:rPr>
          <w:sz w:val="20"/>
          <w:szCs w:val="20"/>
          <w:color w:val="auto"/>
        </w:rPr>
      </w:pPr>
      <w:r>
        <w:rPr>
          <w:rFonts w:ascii="Arial" w:cs="Arial" w:eastAsia="Arial" w:hAnsi="Arial"/>
          <w:sz w:val="33"/>
          <w:szCs w:val="33"/>
          <w:color w:val="0A248E"/>
        </w:rPr>
        <w:t>BOARD OF DIRECTORS AND CORPORATE GOVERNANCE (continued)</w:t>
      </w:r>
    </w:p>
    <w:p>
      <w:pPr>
        <w:spacing w:after="0" w:line="310" w:lineRule="exact"/>
        <w:rPr>
          <w:sz w:val="20"/>
          <w:szCs w:val="20"/>
          <w:color w:val="auto"/>
        </w:rPr>
      </w:pPr>
    </w:p>
    <w:p>
      <w:pPr>
        <w:ind w:left="347" w:right="200"/>
        <w:spacing w:after="0" w:line="291" w:lineRule="auto"/>
        <w:rPr>
          <w:sz w:val="20"/>
          <w:szCs w:val="20"/>
          <w:color w:val="auto"/>
        </w:rPr>
      </w:pPr>
      <w:r>
        <w:rPr>
          <w:rFonts w:ascii="Arial" w:cs="Arial" w:eastAsia="Arial" w:hAnsi="Arial"/>
          <w:sz w:val="15"/>
          <w:szCs w:val="15"/>
          <w:color w:val="auto"/>
        </w:rPr>
        <w:t>footnotes below, the grant date fair value of the RSU awards was $29.61 per share, which represents the closing price for a share of our Class A common stock as reported by Nasdaq on May 14, 2025.</w:t>
      </w:r>
    </w:p>
    <w:p>
      <w:pPr>
        <w:spacing w:after="0" w:line="3" w:lineRule="exact"/>
        <w:rPr>
          <w:sz w:val="20"/>
          <w:szCs w:val="20"/>
          <w:color w:val="auto"/>
        </w:rPr>
      </w:pPr>
    </w:p>
    <w:p>
      <w:pPr>
        <w:ind w:left="347" w:right="80" w:hanging="347"/>
        <w:spacing w:after="0" w:line="260" w:lineRule="auto"/>
        <w:tabs>
          <w:tab w:leader="none" w:pos="347" w:val="left"/>
        </w:tabs>
        <w:numPr>
          <w:ilvl w:val="0"/>
          <w:numId w:val="35"/>
        </w:numPr>
        <w:rPr>
          <w:rFonts w:ascii="Arial" w:cs="Arial" w:eastAsia="Arial" w:hAnsi="Arial"/>
          <w:sz w:val="20"/>
          <w:szCs w:val="20"/>
          <w:color w:val="auto"/>
          <w:vertAlign w:val="superscript"/>
        </w:rPr>
      </w:pPr>
      <w:r>
        <w:rPr>
          <w:rFonts w:ascii="Arial" w:cs="Arial" w:eastAsia="Arial" w:hAnsi="Arial"/>
          <w:sz w:val="15"/>
          <w:szCs w:val="15"/>
          <w:color w:val="auto"/>
        </w:rPr>
        <w:t>100% of the shares of our Class A common stock underlying the RSUs vest on May 15, 2026 or the day before the next annual meeting of our stockholders, if earlier, subject to the director’s continued service with us. See the section titled “</w:t>
      </w:r>
      <w:r>
        <w:rPr>
          <w:rFonts w:ascii="Arial" w:cs="Arial" w:eastAsia="Arial" w:hAnsi="Arial"/>
          <w:sz w:val="15"/>
          <w:szCs w:val="15"/>
          <w:i w:val="1"/>
          <w:iCs w:val="1"/>
          <w:color w:val="auto"/>
        </w:rPr>
        <w:t>Board of Directors and</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Corporate Governance</w:t>
      </w:r>
      <w:r>
        <w:rPr>
          <w:rFonts w:ascii="Arial" w:cs="Arial" w:eastAsia="Arial" w:hAnsi="Arial"/>
          <w:sz w:val="17"/>
          <w:szCs w:val="17"/>
          <w:i w:val="1"/>
          <w:iCs w:val="1"/>
          <w:color w:val="auto"/>
        </w:rPr>
        <w:t>—</w:t>
      </w:r>
      <w:r>
        <w:rPr>
          <w:rFonts w:ascii="Arial" w:cs="Arial" w:eastAsia="Arial" w:hAnsi="Arial"/>
          <w:sz w:val="15"/>
          <w:szCs w:val="15"/>
          <w:i w:val="1"/>
          <w:iCs w:val="1"/>
          <w:color w:val="auto"/>
        </w:rPr>
        <w:t>Director Compensation</w:t>
      </w:r>
      <w:r>
        <w:rPr>
          <w:rFonts w:ascii="Arial" w:cs="Arial" w:eastAsia="Arial" w:hAnsi="Arial"/>
          <w:sz w:val="15"/>
          <w:szCs w:val="15"/>
          <w:color w:val="auto"/>
        </w:rPr>
        <w:t>” above.</w:t>
      </w:r>
    </w:p>
    <w:p>
      <w:pPr>
        <w:spacing w:after="0" w:line="2" w:lineRule="exact"/>
        <w:rPr>
          <w:rFonts w:ascii="Arial" w:cs="Arial" w:eastAsia="Arial" w:hAnsi="Arial"/>
          <w:sz w:val="20"/>
          <w:szCs w:val="20"/>
          <w:color w:val="auto"/>
          <w:vertAlign w:val="superscript"/>
        </w:rPr>
      </w:pPr>
    </w:p>
    <w:p>
      <w:pPr>
        <w:ind w:left="347" w:right="280" w:hanging="347"/>
        <w:spacing w:after="0" w:line="253" w:lineRule="auto"/>
        <w:tabs>
          <w:tab w:leader="none" w:pos="346" w:val="left"/>
        </w:tabs>
        <w:numPr>
          <w:ilvl w:val="0"/>
          <w:numId w:val="35"/>
        </w:numPr>
        <w:rPr>
          <w:rFonts w:ascii="Arial" w:cs="Arial" w:eastAsia="Arial" w:hAnsi="Arial"/>
          <w:sz w:val="20"/>
          <w:szCs w:val="20"/>
          <w:color w:val="auto"/>
          <w:vertAlign w:val="superscript"/>
        </w:rPr>
      </w:pPr>
      <w:r>
        <w:rPr>
          <w:rFonts w:ascii="Arial" w:cs="Arial" w:eastAsia="Arial" w:hAnsi="Arial"/>
          <w:sz w:val="15"/>
          <w:szCs w:val="15"/>
          <w:color w:val="auto"/>
        </w:rPr>
        <w:t>Mr. Blair and Ms. Mathew did not stand for reelection at the 2025 Annual Meeting and therefore only received compensation for the first quarter of the fiscal year ended December 31, 2025.</w:t>
      </w:r>
    </w:p>
    <w:p>
      <w:pPr>
        <w:spacing w:after="0" w:line="310"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lists all outstanding equity awards held by non-employee directors as of December 31, 2025:</w:t>
      </w:r>
    </w:p>
    <w:p>
      <w:pPr>
        <w:spacing w:after="0" w:line="118" w:lineRule="exact"/>
        <w:rPr>
          <w:sz w:val="20"/>
          <w:szCs w:val="20"/>
          <w:color w:val="auto"/>
        </w:rPr>
      </w:pPr>
    </w:p>
    <w:tbl>
      <w:tblPr>
        <w:tblLayout w:type="fixed"/>
        <w:tblInd w:w="7" w:type="dxa"/>
        <w:tblCellMar>
          <w:top w:w="0" w:type="dxa"/>
          <w:left w:w="0" w:type="dxa"/>
          <w:bottom w:w="0" w:type="dxa"/>
          <w:right w:w="0" w:type="dxa"/>
        </w:tblCellMar>
      </w:tblPr>
      <w:tr>
        <w:trPr>
          <w:trHeight w:val="61"/>
        </w:trPr>
        <w:tc>
          <w:tcPr>
            <w:tcW w:w="50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Borders>
              <w:left w:val="single" w:sz="8" w:color="0A248E"/>
            </w:tcBorders>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Number of Shares</w:t>
            </w:r>
          </w:p>
        </w:tc>
        <w:tc>
          <w:tcPr>
            <w:tcW w:w="60" w:type="dxa"/>
            <w:vAlign w:val="bottom"/>
            <w:shd w:val="clear" w:color="auto" w:fill="0A248E"/>
          </w:tcPr>
          <w:p>
            <w:pPr>
              <w:spacing w:after="0"/>
              <w:rPr>
                <w:sz w:val="5"/>
                <w:szCs w:val="5"/>
                <w:color w:val="auto"/>
              </w:rPr>
            </w:pPr>
          </w:p>
        </w:tc>
        <w:tc>
          <w:tcPr>
            <w:tcW w:w="28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5040" w:type="dxa"/>
            <w:vAlign w:val="bottom"/>
            <w:shd w:val="clear" w:color="auto" w:fill="0A248E"/>
          </w:tcPr>
          <w:p>
            <w:pPr>
              <w:spacing w:after="0"/>
              <w:rPr>
                <w:sz w:val="22"/>
                <w:szCs w:val="22"/>
                <w:color w:val="auto"/>
              </w:rPr>
            </w:pPr>
          </w:p>
        </w:tc>
        <w:tc>
          <w:tcPr>
            <w:tcW w:w="20" w:type="dxa"/>
            <w:vAlign w:val="bottom"/>
            <w:shd w:val="clear" w:color="auto" w:fill="0A248E"/>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shd w:val="clear" w:color="auto" w:fill="0A248E"/>
          </w:tcPr>
          <w:p>
            <w:pPr>
              <w:spacing w:after="0"/>
              <w:rPr>
                <w:sz w:val="22"/>
                <w:szCs w:val="22"/>
                <w:color w:val="auto"/>
              </w:rPr>
            </w:pPr>
          </w:p>
        </w:tc>
        <w:tc>
          <w:tcPr>
            <w:tcW w:w="20" w:type="dxa"/>
            <w:vAlign w:val="bottom"/>
            <w:shd w:val="clear" w:color="auto" w:fill="0A248E"/>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Borders>
              <w:left w:val="single" w:sz="8" w:color="0A248E"/>
            </w:tcBorders>
            <w:vMerge w:val="continue"/>
            <w:shd w:val="clear" w:color="auto" w:fill="0A248E"/>
          </w:tcPr>
          <w:p>
            <w:pPr>
              <w:spacing w:after="0"/>
              <w:rPr>
                <w:sz w:val="22"/>
                <w:szCs w:val="22"/>
                <w:color w:val="auto"/>
              </w:rPr>
            </w:pPr>
          </w:p>
        </w:tc>
        <w:tc>
          <w:tcPr>
            <w:tcW w:w="60" w:type="dxa"/>
            <w:vAlign w:val="bottom"/>
            <w:shd w:val="clear" w:color="auto" w:fill="0A248E"/>
          </w:tcPr>
          <w:p>
            <w:pPr>
              <w:spacing w:after="0"/>
              <w:rPr>
                <w:sz w:val="22"/>
                <w:szCs w:val="22"/>
                <w:color w:val="auto"/>
              </w:rPr>
            </w:pPr>
          </w:p>
        </w:tc>
        <w:tc>
          <w:tcPr>
            <w:tcW w:w="280" w:type="dxa"/>
            <w:vAlign w:val="bottom"/>
            <w:shd w:val="clear" w:color="auto" w:fill="0A248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040" w:type="dxa"/>
            <w:vAlign w:val="bottom"/>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Date of</w:t>
            </w:r>
          </w:p>
        </w:tc>
        <w:tc>
          <w:tcPr>
            <w:tcW w:w="20" w:type="dxa"/>
            <w:vAlign w:val="bottom"/>
            <w:shd w:val="clear" w:color="auto" w:fill="0A248E"/>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lef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Underlying</w:t>
            </w:r>
          </w:p>
        </w:tc>
        <w:tc>
          <w:tcPr>
            <w:tcW w:w="60" w:type="dxa"/>
            <w:vAlign w:val="bottom"/>
            <w:shd w:val="clear" w:color="auto" w:fill="0A248E"/>
          </w:tcPr>
          <w:p>
            <w:pPr>
              <w:spacing w:after="0"/>
              <w:rPr>
                <w:sz w:val="17"/>
                <w:szCs w:val="17"/>
                <w:color w:val="auto"/>
              </w:rPr>
            </w:pPr>
          </w:p>
        </w:tc>
        <w:tc>
          <w:tcPr>
            <w:tcW w:w="280" w:type="dxa"/>
            <w:vAlign w:val="bottom"/>
            <w:shd w:val="clear" w:color="auto" w:fill="0A248E"/>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5040" w:type="dxa"/>
            <w:vAlign w:val="bottom"/>
            <w:tcBorders>
              <w:bottom w:val="single" w:sz="8" w:color="0A248E"/>
            </w:tcBorders>
            <w:shd w:val="clear" w:color="auto" w:fill="0A248E"/>
          </w:tcPr>
          <w:p>
            <w:pPr>
              <w:ind w:left="40"/>
              <w:spacing w:after="0"/>
              <w:rPr>
                <w:sz w:val="20"/>
                <w:szCs w:val="20"/>
                <w:color w:val="auto"/>
              </w:rPr>
            </w:pPr>
            <w:r>
              <w:rPr>
                <w:rFonts w:ascii="Arial" w:cs="Arial" w:eastAsia="Arial" w:hAnsi="Arial"/>
                <w:sz w:val="15"/>
                <w:szCs w:val="15"/>
                <w:b w:val="1"/>
                <w:bCs w:val="1"/>
                <w:color w:val="FFFFFF"/>
              </w:rPr>
              <w:t>Name</w:t>
            </w:r>
          </w:p>
        </w:tc>
        <w:tc>
          <w:tcPr>
            <w:tcW w:w="20" w:type="dxa"/>
            <w:vAlign w:val="bottom"/>
            <w:shd w:val="clear" w:color="auto" w:fill="0A248E"/>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Grant</w:t>
            </w:r>
            <w:r>
              <w:rPr>
                <w:rFonts w:ascii="Arial" w:cs="Arial" w:eastAsia="Arial" w:hAnsi="Arial"/>
                <w:sz w:val="19"/>
                <w:szCs w:val="19"/>
                <w:b w:val="1"/>
                <w:bCs w:val="1"/>
                <w:color w:val="FFFFFF"/>
                <w:w w:val="97"/>
                <w:vertAlign w:val="superscript"/>
              </w:rPr>
              <w:t>(1)</w:t>
            </w:r>
          </w:p>
        </w:tc>
        <w:tc>
          <w:tcPr>
            <w:tcW w:w="20" w:type="dxa"/>
            <w:vAlign w:val="bottom"/>
            <w:shd w:val="clear" w:color="auto" w:fill="0A248E"/>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left w:val="single" w:sz="8" w:color="0A248E"/>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Unvested Stock Awards (#)</w:t>
            </w:r>
          </w:p>
        </w:tc>
        <w:tc>
          <w:tcPr>
            <w:tcW w:w="60" w:type="dxa"/>
            <w:vAlign w:val="bottom"/>
            <w:tcBorders>
              <w:bottom w:val="single" w:sz="8" w:color="0A248E"/>
            </w:tcBorders>
            <w:shd w:val="clear" w:color="auto" w:fill="0A248E"/>
          </w:tcPr>
          <w:p>
            <w:pPr>
              <w:spacing w:after="0"/>
              <w:rPr>
                <w:sz w:val="24"/>
                <w:szCs w:val="24"/>
                <w:color w:val="auto"/>
              </w:rPr>
            </w:pPr>
          </w:p>
        </w:tc>
        <w:tc>
          <w:tcPr>
            <w:tcW w:w="28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6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Lisa Campbell</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vMerge w:val="continue"/>
          </w:tcPr>
          <w:p>
            <w:pPr>
              <w:spacing w:after="0"/>
              <w:rPr>
                <w:sz w:val="21"/>
                <w:szCs w:val="21"/>
                <w:color w:val="auto"/>
              </w:rPr>
            </w:pPr>
          </w:p>
        </w:tc>
        <w:tc>
          <w:tcPr>
            <w:tcW w:w="21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5/15/2025</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vMerge w:val="continue"/>
          </w:tcPr>
          <w:p>
            <w:pPr>
              <w:spacing w:after="0"/>
              <w:rPr>
                <w:sz w:val="21"/>
                <w:szCs w:val="21"/>
                <w:color w:val="auto"/>
              </w:rPr>
            </w:pPr>
          </w:p>
        </w:tc>
        <w:tc>
          <w:tcPr>
            <w:tcW w:w="2080" w:type="dxa"/>
            <w:vAlign w:val="bottom"/>
            <w:tcBorders>
              <w:left w:val="single" w:sz="8" w:color="E6E6E6"/>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8,443</w:t>
            </w:r>
          </w:p>
        </w:tc>
        <w:tc>
          <w:tcPr>
            <w:tcW w:w="6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Paul E. Jacobs</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7"/>
              </w:rPr>
              <w:t>5/15/2025</w:t>
            </w:r>
          </w:p>
        </w:tc>
        <w:tc>
          <w:tcPr>
            <w:tcW w:w="20" w:type="dxa"/>
            <w:vAlign w:val="bottom"/>
          </w:tcPr>
          <w:p>
            <w:pPr>
              <w:spacing w:after="0"/>
              <w:rPr>
                <w:sz w:val="23"/>
                <w:szCs w:val="23"/>
                <w:color w:val="auto"/>
              </w:rPr>
            </w:pPr>
          </w:p>
        </w:tc>
        <w:tc>
          <w:tcPr>
            <w:tcW w:w="2100" w:type="dxa"/>
            <w:vAlign w:val="bottom"/>
            <w:gridSpan w:val="2"/>
          </w:tcPr>
          <w:p>
            <w:pPr>
              <w:jc w:val="center"/>
              <w:spacing w:after="0"/>
              <w:rPr>
                <w:sz w:val="20"/>
                <w:szCs w:val="20"/>
                <w:color w:val="auto"/>
              </w:rPr>
            </w:pPr>
            <w:r>
              <w:rPr>
                <w:rFonts w:ascii="Arial" w:cs="Arial" w:eastAsia="Arial" w:hAnsi="Arial"/>
                <w:sz w:val="18"/>
                <w:szCs w:val="18"/>
                <w:color w:val="auto"/>
                <w:w w:val="97"/>
              </w:rPr>
              <w:t>8,443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50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5040" w:type="dxa"/>
            <w:vAlign w:val="bottom"/>
            <w:tcBorders>
              <w:top w:val="single" w:sz="8" w:color="E6E6E6"/>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Andrew Moore</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5/15/2025</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Borders>
              <w:left w:val="single" w:sz="8" w:color="E6E6E6"/>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8,443</w:t>
            </w:r>
          </w:p>
        </w:tc>
        <w:tc>
          <w:tcPr>
            <w:tcW w:w="6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top w:val="single" w:sz="8" w:color="E6E6E6"/>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Abhay Parasnis</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7"/>
              </w:rPr>
              <w:t>5/15/2025</w:t>
            </w:r>
          </w:p>
        </w:tc>
        <w:tc>
          <w:tcPr>
            <w:tcW w:w="20" w:type="dxa"/>
            <w:vAlign w:val="bottom"/>
          </w:tcPr>
          <w:p>
            <w:pPr>
              <w:spacing w:after="0"/>
              <w:rPr>
                <w:sz w:val="23"/>
                <w:szCs w:val="23"/>
                <w:color w:val="auto"/>
              </w:rPr>
            </w:pPr>
          </w:p>
        </w:tc>
        <w:tc>
          <w:tcPr>
            <w:tcW w:w="2100" w:type="dxa"/>
            <w:vAlign w:val="bottom"/>
            <w:gridSpan w:val="2"/>
          </w:tcPr>
          <w:p>
            <w:pPr>
              <w:jc w:val="center"/>
              <w:spacing w:after="0"/>
              <w:rPr>
                <w:sz w:val="20"/>
                <w:szCs w:val="20"/>
                <w:color w:val="auto"/>
              </w:rPr>
            </w:pPr>
            <w:r>
              <w:rPr>
                <w:rFonts w:ascii="Arial" w:cs="Arial" w:eastAsia="Arial" w:hAnsi="Arial"/>
                <w:sz w:val="18"/>
                <w:szCs w:val="18"/>
                <w:color w:val="auto"/>
                <w:w w:val="97"/>
              </w:rPr>
              <w:t>8,443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50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5040" w:type="dxa"/>
            <w:vAlign w:val="bottom"/>
            <w:tcBorders>
              <w:top w:val="single" w:sz="8" w:color="E6E6E6"/>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Karen Peacock</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5/15/2025</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Borders>
              <w:left w:val="single" w:sz="8" w:color="E6E6E6"/>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8,443</w:t>
            </w:r>
          </w:p>
        </w:tc>
        <w:tc>
          <w:tcPr>
            <w:tcW w:w="6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top w:val="single" w:sz="8" w:color="E6E6E6"/>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Michael Seibel</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7"/>
              </w:rPr>
              <w:t>5/15/2025</w:t>
            </w:r>
          </w:p>
        </w:tc>
        <w:tc>
          <w:tcPr>
            <w:tcW w:w="20" w:type="dxa"/>
            <w:vAlign w:val="bottom"/>
          </w:tcPr>
          <w:p>
            <w:pPr>
              <w:spacing w:after="0"/>
              <w:rPr>
                <w:sz w:val="23"/>
                <w:szCs w:val="23"/>
                <w:color w:val="auto"/>
              </w:rPr>
            </w:pPr>
          </w:p>
        </w:tc>
        <w:tc>
          <w:tcPr>
            <w:tcW w:w="2100" w:type="dxa"/>
            <w:vAlign w:val="bottom"/>
            <w:gridSpan w:val="2"/>
          </w:tcPr>
          <w:p>
            <w:pPr>
              <w:jc w:val="center"/>
              <w:spacing w:after="0"/>
              <w:rPr>
                <w:sz w:val="20"/>
                <w:szCs w:val="20"/>
                <w:color w:val="auto"/>
              </w:rPr>
            </w:pPr>
            <w:r>
              <w:rPr>
                <w:rFonts w:ascii="Arial" w:cs="Arial" w:eastAsia="Arial" w:hAnsi="Arial"/>
                <w:sz w:val="18"/>
                <w:szCs w:val="18"/>
                <w:color w:val="auto"/>
                <w:w w:val="98"/>
              </w:rPr>
              <w:t>33,487</w:t>
            </w:r>
          </w:p>
        </w:tc>
        <w:tc>
          <w:tcPr>
            <w:tcW w:w="60" w:type="dxa"/>
            <w:vAlign w:val="bottom"/>
          </w:tcPr>
          <w:p>
            <w:pPr>
              <w:spacing w:after="0"/>
              <w:rPr>
                <w:sz w:val="23"/>
                <w:szCs w:val="23"/>
                <w:color w:val="auto"/>
              </w:rPr>
            </w:pP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303"/>
        </w:trPr>
        <w:tc>
          <w:tcPr>
            <w:tcW w:w="5040" w:type="dxa"/>
            <w:vAlign w:val="bottom"/>
            <w:tcBorders>
              <w:top w:val="single" w:sz="8" w:color="E6E6E6"/>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Warren Jenson</w:t>
            </w: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5/15/2025</w:t>
            </w: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left w:val="single" w:sz="8" w:color="E6E6E6"/>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8,443</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top w:val="single" w:sz="8" w:color="E6E6E6"/>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Donald W. Blair</w:t>
            </w:r>
          </w:p>
        </w:tc>
        <w:tc>
          <w:tcPr>
            <w:tcW w:w="20" w:type="dxa"/>
            <w:vAlign w:val="bottom"/>
          </w:tcPr>
          <w:p>
            <w:pPr>
              <w:spacing w:after="0"/>
              <w:rPr>
                <w:sz w:val="19"/>
                <w:szCs w:val="19"/>
                <w:color w:val="auto"/>
              </w:rPr>
            </w:pP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34"/>
        </w:trPr>
        <w:tc>
          <w:tcPr>
            <w:tcW w:w="5060" w:type="dxa"/>
            <w:vAlign w:val="bottom"/>
            <w:gridSpan w:val="2"/>
            <w:shd w:val="clear" w:color="auto" w:fill="E6E6E6"/>
          </w:tcPr>
          <w:p>
            <w:pPr>
              <w:ind w:left="40"/>
              <w:spacing w:after="0"/>
              <w:rPr>
                <w:sz w:val="20"/>
                <w:szCs w:val="20"/>
                <w:color w:val="auto"/>
              </w:rPr>
            </w:pPr>
            <w:r>
              <w:rPr>
                <w:rFonts w:ascii="Arial" w:cs="Arial" w:eastAsia="Arial" w:hAnsi="Arial"/>
                <w:sz w:val="18"/>
                <w:szCs w:val="18"/>
                <w:color w:val="auto"/>
              </w:rPr>
              <w:t>Sara Mathew</w:t>
            </w:r>
          </w:p>
        </w:tc>
        <w:tc>
          <w:tcPr>
            <w:tcW w:w="20" w:type="dxa"/>
            <w:vAlign w:val="bottom"/>
          </w:tcPr>
          <w:p>
            <w:pPr>
              <w:spacing w:after="0"/>
              <w:rPr>
                <w:sz w:val="20"/>
                <w:szCs w:val="20"/>
                <w:color w:val="auto"/>
              </w:rPr>
            </w:pPr>
          </w:p>
        </w:tc>
        <w:tc>
          <w:tcPr>
            <w:tcW w:w="2120" w:type="dxa"/>
            <w:vAlign w:val="bottom"/>
            <w:gridSpan w:val="2"/>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2140" w:type="dxa"/>
            <w:vAlign w:val="bottom"/>
            <w:tcBorders>
              <w:lef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E6E6E6"/>
          </w:tcPr>
          <w:p>
            <w:pPr>
              <w:jc w:val="right"/>
              <w:ind w:right="4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3212465</wp:posOffset>
                </wp:positionH>
                <wp:positionV relativeFrom="paragraph">
                  <wp:posOffset>-2112645</wp:posOffset>
                </wp:positionV>
                <wp:extent cx="0" cy="181864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864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95pt,-166.3499pt" to="252.95pt,-23.1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4578985</wp:posOffset>
                </wp:positionH>
                <wp:positionV relativeFrom="paragraph">
                  <wp:posOffset>-2112645</wp:posOffset>
                </wp:positionV>
                <wp:extent cx="0" cy="181864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864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166.3499pt" to="360.55pt,-23.1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3212465</wp:posOffset>
                </wp:positionH>
                <wp:positionV relativeFrom="paragraph">
                  <wp:posOffset>-148590</wp:posOffset>
                </wp:positionV>
                <wp:extent cx="0" cy="14859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59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95pt,-11.6999pt" to="252.95pt,0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4578985</wp:posOffset>
                </wp:positionH>
                <wp:positionV relativeFrom="paragraph">
                  <wp:posOffset>-148590</wp:posOffset>
                </wp:positionV>
                <wp:extent cx="0" cy="14859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5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11.6999pt" to="360.5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-148590</wp:posOffset>
                </wp:positionV>
                <wp:extent cx="0" cy="14859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5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11.6999pt" to="468pt,0pt" o:allowincell="f" strokecolor="#FFFFFF" strokeweight="1.4039pt"/>
            </w:pict>
          </mc:Fallback>
        </mc:AlternateContent>
      </w:r>
    </w:p>
    <w:p>
      <w:pPr>
        <w:ind w:left="347" w:right="80" w:hanging="347"/>
        <w:spacing w:after="0" w:line="258" w:lineRule="auto"/>
        <w:tabs>
          <w:tab w:leader="none" w:pos="347"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100% of the shares of our Class A common stock underlying the RSUs vest on May 15, 2026 or the day before the next annual meeting of our stockholders, if earlier, subject to the director’s continued service with us. See the section titled “</w:t>
      </w:r>
      <w:r>
        <w:rPr>
          <w:rFonts w:ascii="Arial" w:cs="Arial" w:eastAsia="Arial" w:hAnsi="Arial"/>
          <w:sz w:val="15"/>
          <w:szCs w:val="15"/>
          <w:i w:val="1"/>
          <w:iCs w:val="1"/>
          <w:color w:val="auto"/>
        </w:rPr>
        <w:t>Board of Directors and</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Corporate Governance</w:t>
      </w:r>
      <w:r>
        <w:rPr>
          <w:rFonts w:ascii="Arial" w:cs="Arial" w:eastAsia="Arial" w:hAnsi="Arial"/>
          <w:sz w:val="17"/>
          <w:szCs w:val="17"/>
          <w:i w:val="1"/>
          <w:iCs w:val="1"/>
          <w:color w:val="auto"/>
        </w:rPr>
        <w:t>—</w:t>
      </w:r>
      <w:r>
        <w:rPr>
          <w:rFonts w:ascii="Arial" w:cs="Arial" w:eastAsia="Arial" w:hAnsi="Arial"/>
          <w:sz w:val="15"/>
          <w:szCs w:val="15"/>
          <w:i w:val="1"/>
          <w:iCs w:val="1"/>
          <w:color w:val="auto"/>
        </w:rPr>
        <w:t>Director Compensation</w:t>
      </w:r>
      <w:r>
        <w:rPr>
          <w:rFonts w:ascii="Arial" w:cs="Arial" w:eastAsia="Arial" w:hAnsi="Arial"/>
          <w:sz w:val="15"/>
          <w:szCs w:val="15"/>
          <w:color w:val="auto"/>
        </w:rPr>
        <w:t>” above.</w:t>
      </w:r>
    </w:p>
    <w:p>
      <w:pPr>
        <w:spacing w:after="0" w:line="3" w:lineRule="exact"/>
        <w:rPr>
          <w:rFonts w:ascii="Arial" w:cs="Arial" w:eastAsia="Arial" w:hAnsi="Arial"/>
          <w:sz w:val="20"/>
          <w:szCs w:val="20"/>
          <w:color w:val="auto"/>
          <w:vertAlign w:val="superscript"/>
        </w:rPr>
      </w:pPr>
    </w:p>
    <w:p>
      <w:pPr>
        <w:ind w:left="347" w:right="120" w:hanging="347"/>
        <w:spacing w:after="0" w:line="251" w:lineRule="auto"/>
        <w:tabs>
          <w:tab w:leader="none" w:pos="347"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Includes 4,632 vested RSUs granted on December 11, 2020, 9,335 vested RSUs granted on May 20, 2021, and 11,077 vested RSUs granted on May 18, 2023 that were deferred at time of grant. These vested RSUs will be settled upon the earlier of (a) immediately prior to a Change in Control or (b) within 60 days of Mr. Seibel’s separation from the board or death.</w:t>
      </w:r>
    </w:p>
    <w:p>
      <w:pPr>
        <w:spacing w:after="0" w:line="2" w:lineRule="exact"/>
        <w:rPr>
          <w:rFonts w:ascii="Arial" w:cs="Arial" w:eastAsia="Arial" w:hAnsi="Arial"/>
          <w:sz w:val="20"/>
          <w:szCs w:val="20"/>
          <w:color w:val="auto"/>
          <w:vertAlign w:val="superscript"/>
        </w:rPr>
      </w:pPr>
    </w:p>
    <w:p>
      <w:pPr>
        <w:ind w:left="347" w:right="80" w:hanging="347"/>
        <w:spacing w:after="0" w:line="253" w:lineRule="auto"/>
        <w:tabs>
          <w:tab w:leader="none" w:pos="347"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Mr. Blair and Ms. Mathew did not stand for reelection at the 2025 Annual Meeting, are no longer board members, and did not hold any outstanding equity awards as of December 31, 2025.</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7" w:hanging="475"/>
        <w:spacing w:after="0"/>
        <w:tabs>
          <w:tab w:leader="none" w:pos="527"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36" w:name="page37"/>
    <w:bookmarkEnd w:id="36"/>
    <w:p>
      <w:pPr>
        <w:spacing w:after="0"/>
        <w:rPr>
          <w:sz w:val="20"/>
          <w:szCs w:val="20"/>
          <w:color w:val="auto"/>
        </w:rPr>
      </w:pPr>
      <w:r>
        <w:rPr>
          <w:rFonts w:ascii="Arial" w:cs="Arial" w:eastAsia="Arial" w:hAnsi="Arial"/>
          <w:sz w:val="33"/>
          <w:szCs w:val="33"/>
          <w:color w:val="0A248E"/>
        </w:rPr>
        <w:t>PROPOSAL NO. 1—ELECTION OF DIRECTORS</w:t>
      </w:r>
    </w:p>
    <w:p>
      <w:pPr>
        <w:spacing w:after="0" w:line="28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Our board of directors consists of eight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spacing w:after="0" w:line="127" w:lineRule="exact"/>
        <w:rPr>
          <w:sz w:val="20"/>
          <w:szCs w:val="20"/>
          <w:color w:val="auto"/>
        </w:rPr>
      </w:pPr>
    </w:p>
    <w:p>
      <w:pPr>
        <w:spacing w:after="0" w:line="310" w:lineRule="auto"/>
        <w:rPr>
          <w:sz w:val="20"/>
          <w:szCs w:val="20"/>
          <w:color w:val="auto"/>
        </w:rPr>
      </w:pPr>
      <w:r>
        <w:rPr>
          <w:rFonts w:ascii="Arial" w:cs="Arial" w:eastAsia="Arial" w:hAnsi="Arial"/>
          <w:sz w:val="18"/>
          <w:szCs w:val="18"/>
          <w:color w:val="auto"/>
        </w:rPr>
        <w:t>As noted above, Paul E. Jacobs is not standing for reelection at the annual meeting and therefore, following the meeting, the number of authorized directors will be decreased to seven. The board of directors is grateful for Dr. Jacobs' service.</w:t>
      </w:r>
    </w:p>
    <w:p>
      <w:pPr>
        <w:spacing w:after="0" w:line="355" w:lineRule="exact"/>
        <w:rPr>
          <w:sz w:val="20"/>
          <w:szCs w:val="20"/>
          <w:color w:val="auto"/>
        </w:rPr>
      </w:pPr>
    </w:p>
    <w:p>
      <w:pPr>
        <w:spacing w:after="0"/>
        <w:rPr>
          <w:sz w:val="20"/>
          <w:szCs w:val="20"/>
          <w:color w:val="auto"/>
        </w:rPr>
      </w:pPr>
      <w:r>
        <w:rPr>
          <w:rFonts w:ascii="Arial" w:cs="Arial" w:eastAsia="Arial" w:hAnsi="Arial"/>
          <w:sz w:val="28"/>
          <w:szCs w:val="28"/>
          <w:color w:val="0A248E"/>
        </w:rPr>
        <w:t>Nominees</w:t>
      </w:r>
    </w:p>
    <w:p>
      <w:pPr>
        <w:spacing w:after="0" w:line="291"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Our nominating and corporate governance committee has recommended, and our board of directors has approved, Andrew W. Houston, Lisa Campbell, Warren Jenson, Andrew Moore, Abhay Parasnis, Karen Peacock and Michael Seibel as nominees for election as directors at the Annual Meeting. Each of the nominees is an incumbent director. If elected, each of the nominees will serve as directors until the 2027 annual meeting of stockholders and until their successors are duly elected and qualified. For information concerning the nominees, please see “</w:t>
      </w:r>
      <w:r>
        <w:rPr>
          <w:rFonts w:ascii="Arial" w:cs="Arial" w:eastAsia="Arial" w:hAnsi="Arial"/>
          <w:sz w:val="17"/>
          <w:szCs w:val="17"/>
          <w:i w:val="1"/>
          <w:iCs w:val="1"/>
          <w:color w:val="auto"/>
        </w:rPr>
        <w:t>Board of Directors and Corporate Governance</w:t>
      </w:r>
      <w:r>
        <w:rPr>
          <w:rFonts w:ascii="Arial" w:cs="Arial" w:eastAsia="Arial" w:hAnsi="Arial"/>
          <w:sz w:val="17"/>
          <w:szCs w:val="17"/>
          <w:color w:val="auto"/>
        </w:rPr>
        <w:t>.” We expect that each of Dr. Moore, Messrs. Houston, Jenson, Parasnis and Seibel, and Mss. Campbell and Peacock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29" w:lineRule="exact"/>
        <w:rPr>
          <w:sz w:val="20"/>
          <w:szCs w:val="20"/>
          <w:color w:val="auto"/>
        </w:rPr>
      </w:pPr>
    </w:p>
    <w:p>
      <w:pPr>
        <w:ind w:right="200"/>
        <w:spacing w:after="0" w:line="304" w:lineRule="auto"/>
        <w:rPr>
          <w:sz w:val="20"/>
          <w:szCs w:val="20"/>
          <w:color w:val="auto"/>
        </w:rPr>
      </w:pPr>
      <w:r>
        <w:rPr>
          <w:rFonts w:ascii="Arial" w:cs="Arial" w:eastAsia="Arial" w:hAnsi="Arial"/>
          <w:sz w:val="17"/>
          <w:szCs w:val="17"/>
          <w:color w:val="auto"/>
        </w:rPr>
        <w:t>If you are a stockholder of record and you sign your proxy card or vote by telephone or over the Internet but do not give instructions with respect to the voting of directors, your shares will be voted “FOR” the election of Dr. Moore, Messrs. Houston, Jenson, Parasnis and Seibel, and Mss. Campbell and Peacock. If you are a street name stockholder and you do not give voting instructions to your broker or nominee, your broker will leave your shares unvoted on this matter.</w:t>
      </w:r>
    </w:p>
    <w:p>
      <w:pPr>
        <w:spacing w:after="0" w:line="363" w:lineRule="exact"/>
        <w:rPr>
          <w:sz w:val="20"/>
          <w:szCs w:val="20"/>
          <w:color w:val="auto"/>
        </w:rPr>
      </w:pPr>
    </w:p>
    <w:p>
      <w:pPr>
        <w:spacing w:after="0"/>
        <w:rPr>
          <w:sz w:val="20"/>
          <w:szCs w:val="20"/>
          <w:color w:val="auto"/>
        </w:rPr>
      </w:pPr>
      <w:r>
        <w:rPr>
          <w:rFonts w:ascii="Arial" w:cs="Arial" w:eastAsia="Arial" w:hAnsi="Arial"/>
          <w:sz w:val="28"/>
          <w:szCs w:val="28"/>
          <w:color w:val="0A248E"/>
        </w:rPr>
        <w:t>Vote Required</w:t>
      </w:r>
    </w:p>
    <w:p>
      <w:pPr>
        <w:spacing w:after="0" w:line="29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Each director is elected by a plurality of the votes of the shares present virtually or represented by proxy at the meeting and entitled to vote on the election of directors at the Annual Meeting.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THE BOARD OF DIRECTORS RECOMMENDS A VOTE “FOR” EACH OF THE NOMINEES NAMED ABOVE.</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29</w:t>
      </w:r>
    </w:p>
    <w:p>
      <w:pPr>
        <w:sectPr>
          <w:pgSz w:w="11880" w:h="15480" w:orient="portrait"/>
          <w:cols w:equalWidth="0" w:num="1">
            <w:col w:w="9640"/>
          </w:cols>
          <w:pgMar w:left="1140" w:top="340" w:right="1100" w:bottom="0" w:gutter="0" w:footer="0" w:header="0"/>
          <w:type w:val="continuous"/>
        </w:sectPr>
      </w:pPr>
    </w:p>
    <w:bookmarkStart w:id="37" w:name="page38"/>
    <w:bookmarkEnd w:id="37"/>
    <w:p>
      <w:pPr>
        <w:ind w:left="7" w:right="540"/>
        <w:spacing w:after="0" w:line="323" w:lineRule="auto"/>
        <w:rPr>
          <w:sz w:val="20"/>
          <w:szCs w:val="20"/>
          <w:color w:val="auto"/>
        </w:rPr>
      </w:pPr>
      <w:r>
        <w:rPr>
          <w:rFonts w:ascii="Arial" w:cs="Arial" w:eastAsia="Arial" w:hAnsi="Arial"/>
          <w:sz w:val="33"/>
          <w:szCs w:val="33"/>
          <w:color w:val="0A248E"/>
        </w:rPr>
        <w:t>PROPOSAL NO. 2—RATIFICATION OF APPOINTMENT OF INDEPENDENT REGISTERED PUBLIC ACCOUNTING FIRM</w:t>
      </w:r>
    </w:p>
    <w:p>
      <w:pPr>
        <w:spacing w:after="0" w:line="348" w:lineRule="exact"/>
        <w:rPr>
          <w:sz w:val="20"/>
          <w:szCs w:val="20"/>
          <w:color w:val="auto"/>
        </w:rPr>
      </w:pPr>
    </w:p>
    <w:p>
      <w:pPr>
        <w:jc w:val="both"/>
        <w:ind w:left="7" w:right="500"/>
        <w:spacing w:after="0" w:line="288" w:lineRule="auto"/>
        <w:rPr>
          <w:sz w:val="20"/>
          <w:szCs w:val="20"/>
          <w:color w:val="auto"/>
        </w:rPr>
      </w:pPr>
      <w:r>
        <w:rPr>
          <w:rFonts w:ascii="Arial" w:cs="Arial" w:eastAsia="Arial" w:hAnsi="Arial"/>
          <w:sz w:val="18"/>
          <w:szCs w:val="18"/>
          <w:color w:val="auto"/>
        </w:rPr>
        <w:t>Our audit committee has appointed Ernst &amp; Young LLP, an independent registered public accounting firm, to audit our consolidated financial statements for our fiscal year ending December 31, 2026. Ernst &amp; Young LLP has served as our independent registered public accounting firm since 2013.</w:t>
      </w:r>
    </w:p>
    <w:p>
      <w:pPr>
        <w:spacing w:after="0" w:line="121" w:lineRule="exact"/>
        <w:rPr>
          <w:sz w:val="20"/>
          <w:szCs w:val="20"/>
          <w:color w:val="auto"/>
        </w:rPr>
      </w:pPr>
    </w:p>
    <w:p>
      <w:pPr>
        <w:ind w:left="7" w:right="40"/>
        <w:spacing w:after="0" w:line="285" w:lineRule="auto"/>
        <w:rPr>
          <w:sz w:val="20"/>
          <w:szCs w:val="20"/>
          <w:color w:val="auto"/>
        </w:rPr>
      </w:pPr>
      <w:r>
        <w:rPr>
          <w:rFonts w:ascii="Arial" w:cs="Arial" w:eastAsia="Arial" w:hAnsi="Arial"/>
          <w:sz w:val="17"/>
          <w:szCs w:val="17"/>
          <w:color w:val="auto"/>
        </w:rPr>
        <w:t>At the Annual Meeting, our stockholders are being asked to ratify the appointment of Ernst &amp; Young LLP as our independent registered public accounting firm for our fiscal year ending December 31, 2026. Our audit committee is submitting the appointment of Ernst &amp; Young LLP to our stockholders because we value our stockholders’ views on our independent registered public accounting firm and as a matter of good corporate governance. Notwithstanding the appointment of Ernst</w:t>
      </w:r>
    </w:p>
    <w:p>
      <w:pPr>
        <w:spacing w:after="0" w:line="3" w:lineRule="exact"/>
        <w:rPr>
          <w:sz w:val="20"/>
          <w:szCs w:val="20"/>
          <w:color w:val="auto"/>
        </w:rPr>
      </w:pPr>
    </w:p>
    <w:p>
      <w:pPr>
        <w:ind w:left="7" w:hanging="7"/>
        <w:spacing w:after="0" w:line="277" w:lineRule="auto"/>
        <w:tabs>
          <w:tab w:leader="none" w:pos="1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383" w:lineRule="exact"/>
        <w:rPr>
          <w:sz w:val="20"/>
          <w:szCs w:val="20"/>
          <w:color w:val="auto"/>
        </w:rPr>
      </w:pPr>
    </w:p>
    <w:p>
      <w:pPr>
        <w:ind w:left="7"/>
        <w:spacing w:after="0"/>
        <w:rPr>
          <w:sz w:val="20"/>
          <w:szCs w:val="20"/>
          <w:color w:val="auto"/>
        </w:rPr>
      </w:pPr>
      <w:r>
        <w:rPr>
          <w:rFonts w:ascii="Arial" w:cs="Arial" w:eastAsia="Arial" w:hAnsi="Arial"/>
          <w:sz w:val="28"/>
          <w:szCs w:val="28"/>
          <w:color w:val="0A248E"/>
        </w:rPr>
        <w:t>Fees Paid to the Independent Registered Public Accounting Firm</w:t>
      </w:r>
    </w:p>
    <w:p>
      <w:pPr>
        <w:spacing w:after="0" w:line="291" w:lineRule="exact"/>
        <w:rPr>
          <w:sz w:val="20"/>
          <w:szCs w:val="20"/>
          <w:color w:val="auto"/>
        </w:rPr>
      </w:pPr>
    </w:p>
    <w:p>
      <w:pPr>
        <w:ind w:left="7" w:right="360"/>
        <w:spacing w:after="0" w:line="305"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Ernst &amp; Young LLP for our fiscal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5135245</wp:posOffset>
                </wp:positionH>
                <wp:positionV relativeFrom="paragraph">
                  <wp:posOffset>20955</wp:posOffset>
                </wp:positionV>
                <wp:extent cx="0" cy="40386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38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35pt,1.65pt" to="404.35pt,33.45pt" o:allowincell="f" strokecolor="#FFFFFF" strokeweight="1.4039pt"/>
            </w:pict>
          </mc:Fallback>
        </mc:AlternateContent>
      </w:r>
    </w:p>
    <w:p>
      <w:pPr>
        <w:spacing w:after="0" w:line="13" w:lineRule="exact"/>
        <w:rPr>
          <w:sz w:val="20"/>
          <w:szCs w:val="20"/>
          <w:color w:val="auto"/>
        </w:rPr>
      </w:pPr>
    </w:p>
    <w:tbl>
      <w:tblPr>
        <w:tblLayout w:type="fixed"/>
        <w:tblInd w:w="7" w:type="dxa"/>
        <w:tblCellMar>
          <w:top w:w="0" w:type="dxa"/>
          <w:left w:w="0" w:type="dxa"/>
          <w:bottom w:w="0" w:type="dxa"/>
          <w:right w:w="0" w:type="dxa"/>
        </w:tblCellMar>
      </w:tblPr>
      <w:tr>
        <w:trPr>
          <w:trHeight w:val="61"/>
        </w:trPr>
        <w:tc>
          <w:tcPr>
            <w:tcW w:w="650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shd w:val="clear" w:color="auto" w:fill="0A248E"/>
          </w:tcPr>
          <w:p>
            <w:pPr>
              <w:spacing w:after="0"/>
              <w:rPr>
                <w:sz w:val="5"/>
                <w:szCs w:val="5"/>
                <w:color w:val="auto"/>
              </w:rPr>
            </w:pPr>
          </w:p>
        </w:tc>
        <w:tc>
          <w:tcPr>
            <w:tcW w:w="1160" w:type="dxa"/>
            <w:vAlign w:val="bottom"/>
            <w:vMerge w:val="restart"/>
            <w:shd w:val="clear" w:color="auto" w:fill="0A248E"/>
          </w:tcPr>
          <w:p>
            <w:pPr>
              <w:jc w:val="right"/>
              <w:ind w:right="493"/>
              <w:spacing w:after="0"/>
              <w:rPr>
                <w:sz w:val="20"/>
                <w:szCs w:val="20"/>
                <w:color w:val="auto"/>
              </w:rPr>
            </w:pPr>
            <w:r>
              <w:rPr>
                <w:rFonts w:ascii="Arial" w:cs="Arial" w:eastAsia="Arial" w:hAnsi="Arial"/>
                <w:sz w:val="15"/>
                <w:szCs w:val="15"/>
                <w:b w:val="1"/>
                <w:bCs w:val="1"/>
                <w:color w:val="FFFFFF"/>
              </w:rPr>
              <w:t>2025</w:t>
            </w:r>
          </w:p>
        </w:tc>
        <w:tc>
          <w:tcPr>
            <w:tcW w:w="40" w:type="dxa"/>
            <w:vAlign w:val="bottom"/>
          </w:tcPr>
          <w:p>
            <w:pPr>
              <w:spacing w:after="0"/>
              <w:rPr>
                <w:sz w:val="5"/>
                <w:szCs w:val="5"/>
                <w:color w:val="auto"/>
              </w:rPr>
            </w:pPr>
          </w:p>
        </w:tc>
        <w:tc>
          <w:tcPr>
            <w:tcW w:w="360" w:type="dxa"/>
            <w:vAlign w:val="bottom"/>
            <w:shd w:val="clear" w:color="auto" w:fill="0A248E"/>
          </w:tcPr>
          <w:p>
            <w:pPr>
              <w:spacing w:after="0"/>
              <w:rPr>
                <w:sz w:val="5"/>
                <w:szCs w:val="5"/>
                <w:color w:val="auto"/>
              </w:rPr>
            </w:pPr>
          </w:p>
        </w:tc>
        <w:tc>
          <w:tcPr>
            <w:tcW w:w="1160" w:type="dxa"/>
            <w:vAlign w:val="bottom"/>
            <w:vMerge w:val="restart"/>
            <w:shd w:val="clear" w:color="auto" w:fill="0A248E"/>
          </w:tcPr>
          <w:p>
            <w:pPr>
              <w:jc w:val="right"/>
              <w:ind w:right="493"/>
              <w:spacing w:after="0"/>
              <w:rPr>
                <w:sz w:val="20"/>
                <w:szCs w:val="20"/>
                <w:color w:val="auto"/>
              </w:rPr>
            </w:pPr>
            <w:r>
              <w:rPr>
                <w:rFonts w:ascii="Arial" w:cs="Arial" w:eastAsia="Arial" w:hAnsi="Arial"/>
                <w:sz w:val="15"/>
                <w:szCs w:val="15"/>
                <w:b w:val="1"/>
                <w:bCs w:val="1"/>
                <w:color w:val="FFFFFF"/>
              </w:rPr>
              <w:t>2024</w:t>
            </w:r>
          </w:p>
        </w:tc>
        <w:tc>
          <w:tcPr>
            <w:tcW w:w="2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6500" w:type="dxa"/>
            <w:vAlign w:val="bottom"/>
            <w:shd w:val="clear" w:color="auto" w:fill="0A248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shd w:val="clear" w:color="auto" w:fill="0A248E"/>
          </w:tcPr>
          <w:p>
            <w:pPr>
              <w:spacing w:after="0"/>
              <w:rPr>
                <w:sz w:val="24"/>
                <w:szCs w:val="24"/>
                <w:color w:val="auto"/>
              </w:rPr>
            </w:pPr>
          </w:p>
        </w:tc>
        <w:tc>
          <w:tcPr>
            <w:tcW w:w="1160" w:type="dxa"/>
            <w:vAlign w:val="bottom"/>
            <w:vMerge w:val="continue"/>
            <w:shd w:val="clear" w:color="auto" w:fill="0A248E"/>
          </w:tcPr>
          <w:p>
            <w:pPr>
              <w:spacing w:after="0"/>
              <w:rPr>
                <w:sz w:val="24"/>
                <w:szCs w:val="24"/>
                <w:color w:val="auto"/>
              </w:rPr>
            </w:pPr>
          </w:p>
        </w:tc>
        <w:tc>
          <w:tcPr>
            <w:tcW w:w="40" w:type="dxa"/>
            <w:vAlign w:val="bottom"/>
            <w:tcBorders>
              <w:left w:val="single" w:sz="8" w:color="0A248E"/>
            </w:tcBorders>
          </w:tcPr>
          <w:p>
            <w:pPr>
              <w:spacing w:after="0"/>
              <w:rPr>
                <w:sz w:val="24"/>
                <w:szCs w:val="24"/>
                <w:color w:val="auto"/>
              </w:rPr>
            </w:pPr>
          </w:p>
        </w:tc>
        <w:tc>
          <w:tcPr>
            <w:tcW w:w="360" w:type="dxa"/>
            <w:vAlign w:val="bottom"/>
            <w:shd w:val="clear" w:color="auto" w:fill="0A248E"/>
          </w:tcPr>
          <w:p>
            <w:pPr>
              <w:spacing w:after="0"/>
              <w:rPr>
                <w:sz w:val="24"/>
                <w:szCs w:val="24"/>
                <w:color w:val="auto"/>
              </w:rPr>
            </w:pPr>
          </w:p>
        </w:tc>
        <w:tc>
          <w:tcPr>
            <w:tcW w:w="1160" w:type="dxa"/>
            <w:vAlign w:val="bottom"/>
            <w:vMerge w:val="continue"/>
            <w:shd w:val="clear" w:color="auto" w:fill="0A248E"/>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50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shd w:val="clear" w:color="auto" w:fill="0A248E"/>
          </w:tcPr>
          <w:p>
            <w:pPr>
              <w:spacing w:after="0"/>
              <w:rPr>
                <w:sz w:val="5"/>
                <w:szCs w:val="5"/>
                <w:color w:val="auto"/>
              </w:rPr>
            </w:pPr>
          </w:p>
        </w:tc>
        <w:tc>
          <w:tcPr>
            <w:tcW w:w="116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shd w:val="clear" w:color="auto" w:fill="0A248E"/>
          </w:tcPr>
          <w:p>
            <w:pPr>
              <w:spacing w:after="0"/>
              <w:rPr>
                <w:sz w:val="5"/>
                <w:szCs w:val="5"/>
                <w:color w:val="auto"/>
              </w:rPr>
            </w:pPr>
          </w:p>
        </w:tc>
        <w:tc>
          <w:tcPr>
            <w:tcW w:w="116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E6E6E6"/>
          </w:tcPr>
          <w:p>
            <w:pPr>
              <w:ind w:left="100"/>
              <w:spacing w:after="0" w:line="230"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40" w:type="dxa"/>
            <w:vAlign w:val="bottom"/>
            <w:tcBorders>
              <w:left w:val="single" w:sz="8" w:color="E6E6E6"/>
            </w:tcBorders>
          </w:tcPr>
          <w:p>
            <w:pPr>
              <w:spacing w:after="0"/>
              <w:rPr>
                <w:sz w:val="19"/>
                <w:szCs w:val="19"/>
                <w:color w:val="auto"/>
              </w:rPr>
            </w:pPr>
          </w:p>
        </w:tc>
        <w:tc>
          <w:tcPr>
            <w:tcW w:w="360" w:type="dxa"/>
            <w:vAlign w:val="bottom"/>
            <w:shd w:val="clear" w:color="auto" w:fill="E6E6E6"/>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3,843,000</w:t>
            </w:r>
          </w:p>
        </w:tc>
        <w:tc>
          <w:tcPr>
            <w:tcW w:w="40" w:type="dxa"/>
            <w:vAlign w:val="bottom"/>
            <w:tcBorders>
              <w:left w:val="single" w:sz="8" w:color="E6E6E6"/>
            </w:tcBorders>
          </w:tcPr>
          <w:p>
            <w:pPr>
              <w:spacing w:after="0"/>
              <w:rPr>
                <w:sz w:val="19"/>
                <w:szCs w:val="19"/>
                <w:color w:val="auto"/>
              </w:rPr>
            </w:pPr>
          </w:p>
        </w:tc>
        <w:tc>
          <w:tcPr>
            <w:tcW w:w="3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4,780,000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00" w:type="dxa"/>
            <w:vAlign w:val="bottom"/>
          </w:tcPr>
          <w:p>
            <w:pPr>
              <w:ind w:left="100"/>
              <w:spacing w:after="0" w:line="234"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4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1,318,000</w:t>
            </w:r>
          </w:p>
        </w:tc>
        <w:tc>
          <w:tcPr>
            <w:tcW w:w="40" w:type="dxa"/>
            <w:vAlign w:val="bottom"/>
          </w:tcPr>
          <w:p>
            <w:pPr>
              <w:spacing w:after="0"/>
              <w:rPr>
                <w:sz w:val="20"/>
                <w:szCs w:val="20"/>
                <w:color w:val="auto"/>
              </w:rPr>
            </w:pPr>
          </w:p>
        </w:tc>
        <w:tc>
          <w:tcPr>
            <w:tcW w:w="3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1,744,000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E6E6E6"/>
          </w:tcPr>
          <w:p>
            <w:pPr>
              <w:ind w:left="100"/>
              <w:spacing w:after="0" w:line="230"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40" w:type="dxa"/>
            <w:vAlign w:val="bottom"/>
            <w:tcBorders>
              <w:left w:val="single" w:sz="8" w:color="E6E6E6"/>
            </w:tcBorders>
          </w:tcPr>
          <w:p>
            <w:pPr>
              <w:spacing w:after="0"/>
              <w:rPr>
                <w:sz w:val="19"/>
                <w:szCs w:val="19"/>
                <w:color w:val="auto"/>
              </w:rPr>
            </w:pPr>
          </w:p>
        </w:tc>
        <w:tc>
          <w:tcPr>
            <w:tcW w:w="360" w:type="dxa"/>
            <w:vAlign w:val="bottom"/>
            <w:shd w:val="clear" w:color="auto" w:fill="E6E6E6"/>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49,000</w:t>
            </w:r>
          </w:p>
        </w:tc>
        <w:tc>
          <w:tcPr>
            <w:tcW w:w="40" w:type="dxa"/>
            <w:vAlign w:val="bottom"/>
            <w:tcBorders>
              <w:left w:val="single" w:sz="8" w:color="E6E6E6"/>
            </w:tcBorders>
          </w:tcPr>
          <w:p>
            <w:pPr>
              <w:spacing w:after="0"/>
              <w:rPr>
                <w:sz w:val="19"/>
                <w:szCs w:val="19"/>
                <w:color w:val="auto"/>
              </w:rPr>
            </w:pPr>
          </w:p>
        </w:tc>
        <w:tc>
          <w:tcPr>
            <w:tcW w:w="3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239,000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00" w:type="dxa"/>
            <w:vAlign w:val="bottom"/>
          </w:tcPr>
          <w:p>
            <w:pPr>
              <w:ind w:left="100"/>
              <w:spacing w:after="0" w:line="234"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4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7,000</w:t>
            </w:r>
          </w:p>
        </w:tc>
        <w:tc>
          <w:tcPr>
            <w:tcW w:w="40" w:type="dxa"/>
            <w:vAlign w:val="bottom"/>
          </w:tcPr>
          <w:p>
            <w:pPr>
              <w:spacing w:after="0"/>
              <w:rPr>
                <w:sz w:val="20"/>
                <w:szCs w:val="20"/>
                <w:color w:val="auto"/>
              </w:rPr>
            </w:pPr>
          </w:p>
        </w:tc>
        <w:tc>
          <w:tcPr>
            <w:tcW w:w="3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auto"/>
              </w:rPr>
              <w:t>Total Fees</w:t>
            </w:r>
          </w:p>
        </w:tc>
        <w:tc>
          <w:tcPr>
            <w:tcW w:w="40" w:type="dxa"/>
            <w:vAlign w:val="bottom"/>
            <w:tcBorders>
              <w:left w:val="single" w:sz="8" w:color="E6E6E6"/>
            </w:tcBorders>
          </w:tcPr>
          <w:p>
            <w:pPr>
              <w:spacing w:after="0"/>
              <w:rPr>
                <w:sz w:val="19"/>
                <w:szCs w:val="19"/>
                <w:color w:val="auto"/>
              </w:rPr>
            </w:pPr>
          </w:p>
        </w:tc>
        <w:tc>
          <w:tcPr>
            <w:tcW w:w="360" w:type="dxa"/>
            <w:vAlign w:val="bottom"/>
            <w:shd w:val="clear" w:color="auto" w:fill="E6E6E6"/>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5,217,000</w:t>
            </w:r>
          </w:p>
        </w:tc>
        <w:tc>
          <w:tcPr>
            <w:tcW w:w="40" w:type="dxa"/>
            <w:vAlign w:val="bottom"/>
            <w:tcBorders>
              <w:left w:val="single" w:sz="8" w:color="E6E6E6"/>
            </w:tcBorders>
          </w:tcPr>
          <w:p>
            <w:pPr>
              <w:spacing w:after="0"/>
              <w:rPr>
                <w:sz w:val="19"/>
                <w:szCs w:val="19"/>
                <w:color w:val="auto"/>
              </w:rPr>
            </w:pPr>
          </w:p>
        </w:tc>
        <w:tc>
          <w:tcPr>
            <w:tcW w:w="360" w:type="dxa"/>
            <w:vAlign w:val="bottom"/>
            <w:shd w:val="clear" w:color="auto" w:fill="E6E6E6"/>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6,770,000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4142105</wp:posOffset>
                </wp:positionH>
                <wp:positionV relativeFrom="paragraph">
                  <wp:posOffset>-772160</wp:posOffset>
                </wp:positionV>
                <wp:extent cx="0" cy="18415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15pt,-60.7999pt" to="326.15pt,-46.2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4142105</wp:posOffset>
                </wp:positionH>
                <wp:positionV relativeFrom="paragraph">
                  <wp:posOffset>-439420</wp:posOffset>
                </wp:positionV>
                <wp:extent cx="0" cy="14541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15pt,-34.5999pt" to="326.15pt,-23.1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5135245</wp:posOffset>
                </wp:positionH>
                <wp:positionV relativeFrom="paragraph">
                  <wp:posOffset>-439420</wp:posOffset>
                </wp:positionV>
                <wp:extent cx="0" cy="14541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35pt,-34.5999pt" to="404.35pt,-23.1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4142105</wp:posOffset>
                </wp:positionH>
                <wp:positionV relativeFrom="paragraph">
                  <wp:posOffset>-145415</wp:posOffset>
                </wp:positionV>
                <wp:extent cx="0" cy="14541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15pt,-11.4499pt" to="326.15pt,0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5135245</wp:posOffset>
                </wp:positionH>
                <wp:positionV relativeFrom="paragraph">
                  <wp:posOffset>-145415</wp:posOffset>
                </wp:positionV>
                <wp:extent cx="0" cy="14541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35pt,-11.4499pt" to="404.35pt,0pt" o:allowincell="f" strokecolor="#FFFFFF" strokeweight="1.4039pt"/>
            </w:pict>
          </mc:Fallback>
        </mc:AlternateContent>
      </w:r>
    </w:p>
    <w:p>
      <w:pPr>
        <w:ind w:left="347" w:right="80" w:hanging="347"/>
        <w:spacing w:after="0" w:line="258" w:lineRule="auto"/>
        <w:tabs>
          <w:tab w:leader="none" w:pos="347"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w:t>
      </w:r>
    </w:p>
    <w:p>
      <w:pPr>
        <w:spacing w:after="0" w:line="4" w:lineRule="exact"/>
        <w:rPr>
          <w:rFonts w:ascii="Arial" w:cs="Arial" w:eastAsia="Arial" w:hAnsi="Arial"/>
          <w:sz w:val="20"/>
          <w:szCs w:val="20"/>
          <w:color w:val="auto"/>
          <w:vertAlign w:val="superscript"/>
        </w:rPr>
      </w:pPr>
    </w:p>
    <w:p>
      <w:pPr>
        <w:ind w:left="347" w:right="160" w:hanging="347"/>
        <w:spacing w:after="0" w:line="263" w:lineRule="auto"/>
        <w:tabs>
          <w:tab w:leader="none" w:pos="347"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Consists of fees billed for assurance and related services that are reasonably related to the performance of the audit or review of our consolidated financial statements, audit of our internal controls over financial reporting, and not reported under “Audit Fees”. This includes fees for professional services with respect to the Statement on Standards for Attestation Engagements (SSAE) No. 18 and other service organization control related examinations, certifications, and assessments.</w:t>
      </w:r>
    </w:p>
    <w:p>
      <w:pPr>
        <w:ind w:left="347" w:hanging="347"/>
        <w:spacing w:after="0" w:line="229" w:lineRule="auto"/>
        <w:tabs>
          <w:tab w:leader="none" w:pos="347"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Tax Fees consist of fees for professional services for domestic and international tax advisory services.</w:t>
      </w:r>
    </w:p>
    <w:p>
      <w:pPr>
        <w:spacing w:after="0" w:line="9" w:lineRule="exact"/>
        <w:rPr>
          <w:rFonts w:ascii="Arial" w:cs="Arial" w:eastAsia="Arial" w:hAnsi="Arial"/>
          <w:sz w:val="20"/>
          <w:szCs w:val="20"/>
          <w:color w:val="auto"/>
          <w:vertAlign w:val="superscript"/>
        </w:rPr>
      </w:pPr>
    </w:p>
    <w:p>
      <w:pPr>
        <w:ind w:left="347" w:right="200" w:hanging="347"/>
        <w:spacing w:after="0" w:line="259" w:lineRule="auto"/>
        <w:tabs>
          <w:tab w:leader="none" w:pos="347"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7" w:hanging="478"/>
        <w:spacing w:after="0"/>
        <w:tabs>
          <w:tab w:leader="none" w:pos="527"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38" w:name="page39"/>
    <w:bookmarkEnd w:id="38"/>
    <w:p>
      <w:pPr>
        <w:spacing w:after="0" w:line="300" w:lineRule="auto"/>
        <w:rPr>
          <w:sz w:val="20"/>
          <w:szCs w:val="20"/>
          <w:color w:val="auto"/>
        </w:rPr>
      </w:pPr>
      <w:r>
        <w:rPr>
          <w:rFonts w:ascii="Arial" w:cs="Arial" w:eastAsia="Arial" w:hAnsi="Arial"/>
          <w:sz w:val="35"/>
          <w:szCs w:val="35"/>
          <w:color w:val="0A248E"/>
        </w:rPr>
        <w:t>PROPOSAL NO. 2—RATIFICATION OF APPOINTMENT OF INDEPENDENT REGISTERED PUBLIC ACCOUNTING FIRM (continued)</w:t>
      </w:r>
    </w:p>
    <w:p>
      <w:pPr>
        <w:spacing w:after="0" w:line="314" w:lineRule="exact"/>
        <w:rPr>
          <w:sz w:val="20"/>
          <w:szCs w:val="20"/>
          <w:color w:val="auto"/>
        </w:rPr>
      </w:pPr>
    </w:p>
    <w:p>
      <w:pPr>
        <w:spacing w:after="0"/>
        <w:rPr>
          <w:sz w:val="20"/>
          <w:szCs w:val="20"/>
          <w:color w:val="auto"/>
        </w:rPr>
      </w:pPr>
      <w:r>
        <w:rPr>
          <w:rFonts w:ascii="Arial" w:cs="Arial" w:eastAsia="Arial" w:hAnsi="Arial"/>
          <w:sz w:val="28"/>
          <w:szCs w:val="28"/>
          <w:color w:val="0A248E"/>
        </w:rPr>
        <w:t>Auditor Independence</w:t>
      </w:r>
    </w:p>
    <w:p>
      <w:pPr>
        <w:spacing w:after="0" w:line="295" w:lineRule="exact"/>
        <w:rPr>
          <w:sz w:val="20"/>
          <w:szCs w:val="20"/>
          <w:color w:val="auto"/>
        </w:rPr>
      </w:pPr>
    </w:p>
    <w:p>
      <w:pPr>
        <w:ind w:right="160"/>
        <w:spacing w:after="0" w:line="288" w:lineRule="auto"/>
        <w:rPr>
          <w:sz w:val="20"/>
          <w:szCs w:val="20"/>
          <w:color w:val="auto"/>
        </w:rPr>
      </w:pPr>
      <w:r>
        <w:rPr>
          <w:rFonts w:ascii="Arial" w:cs="Arial" w:eastAsia="Arial" w:hAnsi="Arial"/>
          <w:sz w:val="18"/>
          <w:szCs w:val="18"/>
          <w:color w:val="auto"/>
        </w:rPr>
        <w:t>In our fiscal year ended December 31, 2025, there were no other professional services provided by Ernst &amp; Young LLP, other than those listed above, that would have required our audit committee to consider their compatibility with maintaining the independence of Ernst &amp; Young LLP.</w:t>
      </w:r>
    </w:p>
    <w:p>
      <w:pPr>
        <w:spacing w:after="0" w:line="374" w:lineRule="exact"/>
        <w:rPr>
          <w:sz w:val="20"/>
          <w:szCs w:val="20"/>
          <w:color w:val="auto"/>
        </w:rPr>
      </w:pPr>
    </w:p>
    <w:p>
      <w:pPr>
        <w:ind w:right="160"/>
        <w:spacing w:after="0" w:line="320" w:lineRule="auto"/>
        <w:rPr>
          <w:sz w:val="20"/>
          <w:szCs w:val="20"/>
          <w:color w:val="auto"/>
        </w:rPr>
      </w:pPr>
      <w:r>
        <w:rPr>
          <w:rFonts w:ascii="Arial" w:cs="Arial" w:eastAsia="Arial" w:hAnsi="Arial"/>
          <w:sz w:val="28"/>
          <w:szCs w:val="28"/>
          <w:color w:val="0A248E"/>
        </w:rPr>
        <w:t>Audit Committee Policy on Pre-Approval of Audit and Permissible Non-Audit Services of Independent Registered Public Accounting Firm</w:t>
      </w:r>
    </w:p>
    <w:p>
      <w:pPr>
        <w:spacing w:after="0" w:line="128"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2024 and 2025 were pre-approved by our audit committee.</w:t>
      </w:r>
    </w:p>
    <w:p>
      <w:pPr>
        <w:spacing w:after="0" w:line="384" w:lineRule="exact"/>
        <w:rPr>
          <w:sz w:val="20"/>
          <w:szCs w:val="20"/>
          <w:color w:val="auto"/>
        </w:rPr>
      </w:pPr>
    </w:p>
    <w:p>
      <w:pPr>
        <w:spacing w:after="0"/>
        <w:rPr>
          <w:sz w:val="20"/>
          <w:szCs w:val="20"/>
          <w:color w:val="auto"/>
        </w:rPr>
      </w:pPr>
      <w:r>
        <w:rPr>
          <w:rFonts w:ascii="Arial" w:cs="Arial" w:eastAsia="Arial" w:hAnsi="Arial"/>
          <w:sz w:val="28"/>
          <w:szCs w:val="28"/>
          <w:color w:val="0A248E"/>
        </w:rPr>
        <w:t>Vote Required</w:t>
      </w:r>
    </w:p>
    <w:p>
      <w:pPr>
        <w:spacing w:after="0" w:line="295"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for our fiscal year ending December 31, 2026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384" w:lineRule="exact"/>
        <w:rPr>
          <w:sz w:val="20"/>
          <w:szCs w:val="20"/>
          <w:color w:val="auto"/>
        </w:rPr>
      </w:pPr>
    </w:p>
    <w:p>
      <w:pPr>
        <w:spacing w:after="0" w:line="325" w:lineRule="auto"/>
        <w:rPr>
          <w:sz w:val="20"/>
          <w:szCs w:val="20"/>
          <w:color w:val="auto"/>
        </w:rPr>
      </w:pPr>
      <w:r>
        <w:rPr>
          <w:rFonts w:ascii="Arial" w:cs="Arial" w:eastAsia="Arial" w:hAnsi="Arial"/>
          <w:sz w:val="18"/>
          <w:szCs w:val="18"/>
          <w:b w:val="1"/>
          <w:bCs w:val="1"/>
          <w:color w:val="0A248E"/>
        </w:rPr>
        <w:t>THE BOARD OF DIRECTORS RECOMMENDS A VOTE “FOR” THE RATIFICATION OF THE APPOINTMENT OF ERNST &amp; YOUNG LLP AS OUR INDEPENDENT REGISTERED PUBLIC ACCOUNTING FIRM.</w:t>
      </w:r>
    </w:p>
    <w:p>
      <w:pPr>
        <w:sectPr>
          <w:pgSz w:w="11880" w:h="15480" w:orient="portrait"/>
          <w:cols w:equalWidth="0" w:num="1">
            <w:col w:w="9640"/>
          </w:cols>
          <w:pgMar w:left="1140" w:top="335"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31</w:t>
      </w:r>
    </w:p>
    <w:p>
      <w:pPr>
        <w:sectPr>
          <w:pgSz w:w="11880" w:h="15480" w:orient="portrait"/>
          <w:cols w:equalWidth="0" w:num="1">
            <w:col w:w="9640"/>
          </w:cols>
          <w:pgMar w:left="1140" w:top="335" w:right="1100" w:bottom="0" w:gutter="0" w:footer="0" w:header="0"/>
          <w:type w:val="continuous"/>
        </w:sectPr>
      </w:pPr>
    </w:p>
    <w:bookmarkStart w:id="39" w:name="page40"/>
    <w:bookmarkEnd w:id="39"/>
    <w:p>
      <w:pPr>
        <w:spacing w:after="0"/>
        <w:rPr>
          <w:sz w:val="20"/>
          <w:szCs w:val="20"/>
          <w:color w:val="auto"/>
        </w:rPr>
      </w:pPr>
      <w:r>
        <w:rPr>
          <w:rFonts w:ascii="Arial" w:cs="Arial" w:eastAsia="Arial" w:hAnsi="Arial"/>
          <w:sz w:val="33"/>
          <w:szCs w:val="33"/>
          <w:color w:val="0A248E"/>
        </w:rPr>
        <w:t>REPORT OF THE AUDIT COMMITTEE</w:t>
      </w:r>
    </w:p>
    <w:p>
      <w:pPr>
        <w:spacing w:after="0" w:line="200" w:lineRule="exact"/>
        <w:rPr>
          <w:sz w:val="20"/>
          <w:szCs w:val="20"/>
          <w:color w:val="auto"/>
        </w:rPr>
      </w:pP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 (1) establishing and maintaining internal controls and (2) preparing Dropbox’s consolidated financial statements. Dropbox’s independent registered public accounting firm, Ernst &amp; Young LLP (“</w:t>
      </w:r>
      <w:r>
        <w:rPr>
          <w:rFonts w:ascii="Arial" w:cs="Arial" w:eastAsia="Arial" w:hAnsi="Arial"/>
          <w:sz w:val="17"/>
          <w:szCs w:val="17"/>
          <w:b w:val="1"/>
          <w:bCs w:val="1"/>
          <w:i w:val="1"/>
          <w:iCs w:val="1"/>
          <w:color w:val="auto"/>
        </w:rPr>
        <w:t>Ernst &amp; Young</w:t>
      </w:r>
      <w:r>
        <w:rPr>
          <w:rFonts w:ascii="Arial" w:cs="Arial" w:eastAsia="Arial" w:hAnsi="Arial"/>
          <w:sz w:val="17"/>
          <w:szCs w:val="17"/>
          <w:color w:val="auto"/>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132" w:lineRule="exact"/>
        <w:rPr>
          <w:sz w:val="20"/>
          <w:szCs w:val="20"/>
          <w:color w:val="auto"/>
        </w:rPr>
      </w:pPr>
    </w:p>
    <w:p>
      <w:pPr>
        <w:ind w:left="780" w:right="80" w:hanging="348"/>
        <w:spacing w:after="0" w:line="310" w:lineRule="auto"/>
        <w:tabs>
          <w:tab w:leader="none" w:pos="780" w:val="left"/>
        </w:tabs>
        <w:numPr>
          <w:ilvl w:val="0"/>
          <w:numId w:val="41"/>
        </w:numPr>
        <w:rPr>
          <w:rFonts w:ascii="Arial" w:cs="Arial" w:eastAsia="Arial" w:hAnsi="Arial"/>
          <w:sz w:val="18"/>
          <w:szCs w:val="18"/>
          <w:color w:val="0A248E"/>
        </w:rPr>
      </w:pPr>
      <w:r>
        <w:rPr>
          <w:rFonts w:ascii="Arial" w:cs="Arial" w:eastAsia="Arial" w:hAnsi="Arial"/>
          <w:sz w:val="18"/>
          <w:szCs w:val="18"/>
          <w:color w:val="auto"/>
        </w:rPr>
        <w:t>reviewed and discussed the audited consolidated financial statements with management, internal audit and Ernst &amp; Young;</w:t>
      </w:r>
    </w:p>
    <w:p>
      <w:pPr>
        <w:spacing w:after="0" w:line="106" w:lineRule="exact"/>
        <w:rPr>
          <w:rFonts w:ascii="Arial" w:cs="Arial" w:eastAsia="Arial" w:hAnsi="Arial"/>
          <w:sz w:val="18"/>
          <w:szCs w:val="18"/>
          <w:color w:val="0A248E"/>
        </w:rPr>
      </w:pPr>
    </w:p>
    <w:p>
      <w:pPr>
        <w:ind w:left="780" w:right="200" w:hanging="348"/>
        <w:spacing w:after="0" w:line="322" w:lineRule="auto"/>
        <w:tabs>
          <w:tab w:leader="none" w:pos="780" w:val="left"/>
        </w:tabs>
        <w:numPr>
          <w:ilvl w:val="0"/>
          <w:numId w:val="41"/>
        </w:numPr>
        <w:rPr>
          <w:rFonts w:ascii="Arial" w:cs="Arial" w:eastAsia="Arial" w:hAnsi="Arial"/>
          <w:sz w:val="18"/>
          <w:szCs w:val="18"/>
          <w:color w:val="0A248E"/>
        </w:rPr>
      </w:pPr>
      <w:r>
        <w:rPr>
          <w:rFonts w:ascii="Arial" w:cs="Arial" w:eastAsia="Arial" w:hAnsi="Arial"/>
          <w:sz w:val="18"/>
          <w:szCs w:val="18"/>
          <w:color w:val="auto"/>
        </w:rPr>
        <w:t>discussed with Ernst &amp; Young the matters required to be discussed by the applicable requirements of the Public Company Accounting Oversight Board (“</w:t>
      </w:r>
      <w:r>
        <w:rPr>
          <w:rFonts w:ascii="Arial" w:cs="Arial" w:eastAsia="Arial" w:hAnsi="Arial"/>
          <w:sz w:val="18"/>
          <w:szCs w:val="18"/>
          <w:b w:val="1"/>
          <w:bCs w:val="1"/>
          <w:i w:val="1"/>
          <w:iCs w:val="1"/>
          <w:color w:val="auto"/>
        </w:rPr>
        <w:t>PCAOB</w:t>
      </w:r>
      <w:r>
        <w:rPr>
          <w:rFonts w:ascii="Arial" w:cs="Arial" w:eastAsia="Arial" w:hAnsi="Arial"/>
          <w:sz w:val="18"/>
          <w:szCs w:val="18"/>
          <w:color w:val="auto"/>
        </w:rPr>
        <w:t>”) and the SEC; and</w:t>
      </w:r>
    </w:p>
    <w:p>
      <w:pPr>
        <w:spacing w:after="0" w:line="81" w:lineRule="exact"/>
        <w:rPr>
          <w:rFonts w:ascii="Arial" w:cs="Arial" w:eastAsia="Arial" w:hAnsi="Arial"/>
          <w:sz w:val="18"/>
          <w:szCs w:val="18"/>
          <w:color w:val="0A248E"/>
        </w:rPr>
      </w:pPr>
    </w:p>
    <w:p>
      <w:pPr>
        <w:ind w:left="780" w:right="420" w:hanging="348"/>
        <w:spacing w:after="0" w:line="291" w:lineRule="auto"/>
        <w:tabs>
          <w:tab w:leader="none" w:pos="780" w:val="left"/>
        </w:tabs>
        <w:numPr>
          <w:ilvl w:val="0"/>
          <w:numId w:val="41"/>
        </w:numPr>
        <w:rPr>
          <w:rFonts w:ascii="Arial" w:cs="Arial" w:eastAsia="Arial" w:hAnsi="Arial"/>
          <w:sz w:val="18"/>
          <w:szCs w:val="18"/>
          <w:color w:val="0A248E"/>
        </w:rPr>
      </w:pPr>
      <w:r>
        <w:rPr>
          <w:rFonts w:ascii="Arial" w:cs="Arial" w:eastAsia="Arial" w:hAnsi="Arial"/>
          <w:sz w:val="18"/>
          <w:szCs w:val="18"/>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122" w:lineRule="exact"/>
        <w:rPr>
          <w:sz w:val="20"/>
          <w:szCs w:val="20"/>
          <w:color w:val="auto"/>
        </w:rPr>
      </w:pPr>
    </w:p>
    <w:p>
      <w:pPr>
        <w:ind w:right="40"/>
        <w:spacing w:after="0" w:line="288" w:lineRule="auto"/>
        <w:rPr>
          <w:sz w:val="20"/>
          <w:szCs w:val="20"/>
          <w:color w:val="auto"/>
        </w:rPr>
      </w:pPr>
      <w:r>
        <w:rPr>
          <w:rFonts w:ascii="Arial" w:cs="Arial" w:eastAsia="Arial" w:hAnsi="Arial"/>
          <w:sz w:val="18"/>
          <w:szCs w:val="18"/>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2025 for filing with the SEC.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Warren Jenson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Lisa Campbell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Moore</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under the Exchange Act, except to the extent that we specifically incorporate this information by reference, and will not otherwise be deemed “soliciting material” or “filed” under either the Securities Act or the Exchange Act.</w:t>
      </w:r>
    </w:p>
    <w:p>
      <w:pPr>
        <w:sectPr>
          <w:pgSz w:w="11880" w:h="15480" w:orient="portrait"/>
          <w:cols w:equalWidth="0" w:num="1">
            <w:col w:w="9620"/>
          </w:cols>
          <w:pgMar w:left="1140" w:top="3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 w:hanging="475"/>
        <w:spacing w:after="0"/>
        <w:tabs>
          <w:tab w:leader="none" w:pos="52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20"/>
          </w:cols>
          <w:pgMar w:left="1140" w:top="340" w:right="1120" w:bottom="0" w:gutter="0" w:footer="0" w:header="0"/>
          <w:type w:val="continuous"/>
        </w:sectPr>
      </w:pPr>
    </w:p>
    <w:bookmarkStart w:id="40" w:name="page41"/>
    <w:bookmarkEnd w:id="40"/>
    <w:p>
      <w:pPr>
        <w:ind w:right="560"/>
        <w:spacing w:after="0" w:line="323" w:lineRule="auto"/>
        <w:rPr>
          <w:sz w:val="20"/>
          <w:szCs w:val="20"/>
          <w:color w:val="auto"/>
        </w:rPr>
      </w:pPr>
      <w:r>
        <w:rPr>
          <w:rFonts w:ascii="Arial" w:cs="Arial" w:eastAsia="Arial" w:hAnsi="Arial"/>
          <w:sz w:val="33"/>
          <w:szCs w:val="33"/>
          <w:color w:val="0A248E"/>
        </w:rPr>
        <w:t>PROPOSAL NO. 3—ADVISORY VOTE ON THE COMPENSATION OF OUR NAMED EXECUTIVE OFFICERS</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accordance with Section 14A of the Exchange Act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4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Say-on-Pay vote is advisory, and therefore is not binding on us, our talent and compensation committee, or our board of directors. The Say-on-Pay vote will, however, provide information to us regarding investor sentiment about our executive compensation philosophy, policies and practices, which our talent and compensation committee will be able to consider when determining executive compensation for the remainder of the current fiscal year and beyond. Our board of directors and our talent and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talent and compensation committee will evaluate whether any actions are necessary to address those concerns.</w:t>
      </w:r>
    </w:p>
    <w:p>
      <w:pPr>
        <w:spacing w:after="0" w:line="138" w:lineRule="exact"/>
        <w:rPr>
          <w:sz w:val="20"/>
          <w:szCs w:val="20"/>
          <w:color w:val="auto"/>
        </w:rPr>
      </w:pPr>
    </w:p>
    <w:p>
      <w:pPr>
        <w:ind w:right="120"/>
        <w:spacing w:after="0" w:line="299" w:lineRule="auto"/>
        <w:rPr>
          <w:sz w:val="20"/>
          <w:szCs w:val="20"/>
          <w:color w:val="auto"/>
        </w:rPr>
      </w:pPr>
      <w:r>
        <w:rPr>
          <w:rFonts w:ascii="Arial" w:cs="Arial" w:eastAsia="Arial" w:hAnsi="Arial"/>
          <w:sz w:val="17"/>
          <w:szCs w:val="17"/>
          <w:color w:val="auto"/>
        </w:rPr>
        <w:t>We believe that the information provided in the section 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 and in particular the information discussed in the section titled “</w:t>
      </w:r>
      <w:r>
        <w:rPr>
          <w:rFonts w:ascii="Arial" w:cs="Arial" w:eastAsia="Arial" w:hAnsi="Arial"/>
          <w:sz w:val="17"/>
          <w:szCs w:val="17"/>
          <w:i w:val="1"/>
          <w:iCs w:val="1"/>
          <w:color w:val="auto"/>
        </w:rPr>
        <w:t>Executive Compensation—Compensation Discussion and Analysis—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Philosophy and Objectives</w:t>
      </w:r>
      <w:r>
        <w:rPr>
          <w:rFonts w:ascii="Arial" w:cs="Arial" w:eastAsia="Arial" w:hAnsi="Arial"/>
          <w:sz w:val="17"/>
          <w:szCs w:val="17"/>
          <w:color w:val="auto"/>
        </w:rPr>
        <w:t>,” demonstrates that our executive compensation program was designed</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appropriately and is working to ensure management’s interests are aligned with our stockholders’ interests to support long-term value creation. Accordingly, we ask our stockholders to vote “FOR” the following resolution at the Annual Meeting:</w:t>
      </w:r>
    </w:p>
    <w:p>
      <w:pPr>
        <w:spacing w:after="0" w:line="11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380" w:lineRule="exact"/>
        <w:rPr>
          <w:sz w:val="20"/>
          <w:szCs w:val="20"/>
          <w:color w:val="auto"/>
        </w:rPr>
      </w:pPr>
    </w:p>
    <w:p>
      <w:pPr>
        <w:spacing w:after="0"/>
        <w:rPr>
          <w:sz w:val="20"/>
          <w:szCs w:val="20"/>
          <w:color w:val="auto"/>
        </w:rPr>
      </w:pPr>
      <w:r>
        <w:rPr>
          <w:rFonts w:ascii="Arial" w:cs="Arial" w:eastAsia="Arial" w:hAnsi="Arial"/>
          <w:sz w:val="28"/>
          <w:szCs w:val="28"/>
          <w:color w:val="0A248E"/>
        </w:rPr>
        <w:t>Vote Required</w:t>
      </w:r>
    </w:p>
    <w:p>
      <w:pPr>
        <w:spacing w:after="0" w:line="295"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134"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As an advisory vote, the result of this proposal is non-binding. Although the vote is non-binding, our board of directors and our talent and compensation committee value the opinions of our stockholders and will consider the outcome of the vote when making future compensation decisions for our named executive officers.</w:t>
      </w:r>
    </w:p>
    <w:p>
      <w:pPr>
        <w:spacing w:after="0" w:line="367" w:lineRule="exact"/>
        <w:rPr>
          <w:sz w:val="20"/>
          <w:szCs w:val="20"/>
          <w:color w:val="auto"/>
        </w:rPr>
      </w:pPr>
    </w:p>
    <w:p>
      <w:pPr>
        <w:ind w:right="260"/>
        <w:spacing w:after="0" w:line="325" w:lineRule="auto"/>
        <w:rPr>
          <w:sz w:val="20"/>
          <w:szCs w:val="20"/>
          <w:color w:val="auto"/>
        </w:rPr>
      </w:pPr>
      <w:r>
        <w:rPr>
          <w:rFonts w:ascii="Arial" w:cs="Arial" w:eastAsia="Arial" w:hAnsi="Arial"/>
          <w:sz w:val="18"/>
          <w:szCs w:val="18"/>
          <w:b w:val="1"/>
          <w:bCs w:val="1"/>
          <w:color w:val="0A248E"/>
        </w:rPr>
        <w:t>THE BOARD OF DIRECTORS RECOMMENDS A VOTE “FOR” THE APPROVAL, ON AN ADVISORY BASIS, OF THE COMPENSATION OF OUR NAMED EXECUTIVE OFFICERS.</w:t>
      </w:r>
    </w:p>
    <w:p>
      <w:pPr>
        <w:sectPr>
          <w:pgSz w:w="11880" w:h="15480" w:orient="portrait"/>
          <w:cols w:equalWidth="0" w:num="1">
            <w:col w:w="9620"/>
          </w:cols>
          <w:pgMar w:left="1140" w:top="3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33</w:t>
      </w:r>
    </w:p>
    <w:p>
      <w:pPr>
        <w:sectPr>
          <w:pgSz w:w="11880" w:h="15480" w:orient="portrait"/>
          <w:cols w:equalWidth="0" w:num="1">
            <w:col w:w="9620"/>
          </w:cols>
          <w:pgMar w:left="1140" w:top="340" w:right="1120" w:bottom="0" w:gutter="0" w:footer="0" w:header="0"/>
          <w:type w:val="continuous"/>
        </w:sectPr>
      </w:pPr>
    </w:p>
    <w:bookmarkStart w:id="41" w:name="page42"/>
    <w:bookmarkEnd w:id="41"/>
    <w:p>
      <w:pPr>
        <w:ind w:right="100"/>
        <w:spacing w:after="0" w:line="301" w:lineRule="auto"/>
        <w:rPr>
          <w:sz w:val="20"/>
          <w:szCs w:val="20"/>
          <w:color w:val="auto"/>
        </w:rPr>
      </w:pPr>
      <w:r>
        <w:rPr>
          <w:rFonts w:ascii="Arial" w:cs="Arial" w:eastAsia="Arial" w:hAnsi="Arial"/>
          <w:sz w:val="33"/>
          <w:szCs w:val="33"/>
          <w:color w:val="0A248E"/>
        </w:rPr>
        <w:t>PROPOSAL NO. 4—PROPOSAL TO APPROVE AN AMENDMENT AND RESTATEMENT OF OUR ARTICLES (JURY TRIAL WAIVER)</w:t>
      </w: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color w:val="0A248E"/>
        </w:rPr>
        <w:t>Overview and Background</w:t>
      </w:r>
    </w:p>
    <w:p>
      <w:pPr>
        <w:spacing w:after="0" w:line="286"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In March 2025, we reincorporated to Nevada from Delaware and the company is now incorporated under the laws of the State of Nevada, and governed by Chapters 78 and 92A of the Nevada Revised Statutes (“</w:t>
      </w:r>
      <w:r>
        <w:rPr>
          <w:rFonts w:ascii="Arial" w:cs="Arial" w:eastAsia="Arial" w:hAnsi="Arial"/>
          <w:sz w:val="18"/>
          <w:szCs w:val="18"/>
          <w:b w:val="1"/>
          <w:bCs w:val="1"/>
          <w:i w:val="1"/>
          <w:iCs w:val="1"/>
          <w:color w:val="auto"/>
        </w:rPr>
        <w:t>NRS</w:t>
      </w:r>
      <w:r>
        <w:rPr>
          <w:rFonts w:ascii="Arial" w:cs="Arial" w:eastAsia="Arial" w:hAnsi="Arial"/>
          <w:sz w:val="18"/>
          <w:szCs w:val="18"/>
          <w:color w:val="auto"/>
        </w:rPr>
        <w:t>”).</w:t>
      </w:r>
    </w:p>
    <w:p>
      <w:pPr>
        <w:spacing w:after="0" w:line="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described below, in May 2025, the Nevada Legislature enacted Assembly Bill No. 239 (“</w:t>
      </w:r>
      <w:r>
        <w:rPr>
          <w:rFonts w:ascii="Arial" w:cs="Arial" w:eastAsia="Arial" w:hAnsi="Arial"/>
          <w:sz w:val="17"/>
          <w:szCs w:val="17"/>
          <w:b w:val="1"/>
          <w:bCs w:val="1"/>
          <w:i w:val="1"/>
          <w:iCs w:val="1"/>
          <w:color w:val="auto"/>
        </w:rPr>
        <w:t>AB 239</w:t>
      </w:r>
      <w:r>
        <w:rPr>
          <w:rFonts w:ascii="Arial" w:cs="Arial" w:eastAsia="Arial" w:hAnsi="Arial"/>
          <w:sz w:val="17"/>
          <w:szCs w:val="17"/>
          <w:color w:val="auto"/>
        </w:rPr>
        <w:t>”) which permits a Nevada corporation to include a provision in its articles of incorporation specifying that certain “internal actions” filed in Nevada state court must be tried by the presiding judge as the trier of fact. In consultation with counsel, our board of directors has evaluated this and certain other changes to our Articles and has approved, and recommended that our stockholders approve, the amendment and restatement of our Articles to include a limited jury trial waiver and make certain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contextual and other ministerial amendments</w:t>
      </w:r>
      <w:r>
        <w:rPr>
          <w:rFonts w:ascii="Arial" w:cs="Arial" w:eastAsia="Arial" w:hAnsi="Arial"/>
          <w:sz w:val="23"/>
          <w:szCs w:val="23"/>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8"/>
          <w:szCs w:val="28"/>
          <w:color w:val="0A248E"/>
        </w:rPr>
        <w:t>Description of Proposed Amendments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Jury Trial Waiver</w:t>
      </w:r>
    </w:p>
    <w:p>
      <w:pPr>
        <w:spacing w:after="0" w:line="19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AB 239 amended NRS 78.046 to permit a Nevada corporation to include a provision in its articles of incorporation specifying that, to the extent not inconsistent with U.S. federal law, all or certain “internal actions” (as defined in NRS 78.046) filed in Nevada state court must be tried before the presiding judge as the trier of fact, rather than before a jury. Under NRS 78.046, “internal actions” include any action, suit or proceeding:</w:t>
      </w:r>
    </w:p>
    <w:p>
      <w:pPr>
        <w:spacing w:after="0" w:line="164" w:lineRule="exact"/>
        <w:rPr>
          <w:sz w:val="20"/>
          <w:szCs w:val="20"/>
          <w:color w:val="auto"/>
        </w:rPr>
      </w:pPr>
    </w:p>
    <w:p>
      <w:pPr>
        <w:ind w:left="700" w:hanging="356"/>
        <w:spacing w:after="0"/>
        <w:tabs>
          <w:tab w:leader="none" w:pos="700" w:val="left"/>
        </w:tabs>
        <w:numPr>
          <w:ilvl w:val="0"/>
          <w:numId w:val="43"/>
        </w:numPr>
        <w:rPr>
          <w:rFonts w:ascii="Arial" w:cs="Arial" w:eastAsia="Arial" w:hAnsi="Arial"/>
          <w:sz w:val="23"/>
          <w:szCs w:val="23"/>
          <w:color w:val="auto"/>
        </w:rPr>
      </w:pPr>
      <w:r>
        <w:rPr>
          <w:rFonts w:ascii="Arial" w:cs="Arial" w:eastAsia="Arial" w:hAnsi="Arial"/>
          <w:sz w:val="18"/>
          <w:szCs w:val="18"/>
          <w:color w:val="auto"/>
        </w:rPr>
        <w:t>Brought in the name or right of the corporation;</w:t>
      </w:r>
    </w:p>
    <w:p>
      <w:pPr>
        <w:spacing w:after="0" w:line="194" w:lineRule="exact"/>
        <w:rPr>
          <w:rFonts w:ascii="Arial" w:cs="Arial" w:eastAsia="Arial" w:hAnsi="Arial"/>
          <w:sz w:val="23"/>
          <w:szCs w:val="23"/>
          <w:color w:val="auto"/>
        </w:rPr>
      </w:pPr>
    </w:p>
    <w:p>
      <w:pPr>
        <w:ind w:left="700" w:hanging="356"/>
        <w:spacing w:after="0"/>
        <w:tabs>
          <w:tab w:leader="none" w:pos="700" w:val="left"/>
        </w:tabs>
        <w:numPr>
          <w:ilvl w:val="0"/>
          <w:numId w:val="43"/>
        </w:numPr>
        <w:rPr>
          <w:rFonts w:ascii="Times New Roman" w:cs="Times New Roman" w:eastAsia="Times New Roman" w:hAnsi="Times New Roman"/>
          <w:sz w:val="23"/>
          <w:szCs w:val="23"/>
          <w:color w:val="auto"/>
        </w:rPr>
      </w:pPr>
      <w:r>
        <w:rPr>
          <w:rFonts w:ascii="Arial" w:cs="Arial" w:eastAsia="Arial" w:hAnsi="Arial"/>
          <w:sz w:val="18"/>
          <w:szCs w:val="18"/>
          <w:color w:val="auto"/>
        </w:rPr>
        <w:t>For or based upon any breach of fiduciary duty owed by any director, officer or controlling stockholder; or</w:t>
      </w:r>
    </w:p>
    <w:p>
      <w:pPr>
        <w:spacing w:after="0" w:line="203" w:lineRule="exact"/>
        <w:rPr>
          <w:rFonts w:ascii="Times New Roman" w:cs="Times New Roman" w:eastAsia="Times New Roman" w:hAnsi="Times New Roman"/>
          <w:sz w:val="23"/>
          <w:szCs w:val="23"/>
          <w:color w:val="auto"/>
        </w:rPr>
      </w:pPr>
    </w:p>
    <w:p>
      <w:pPr>
        <w:ind w:left="700" w:right="220" w:hanging="356"/>
        <w:spacing w:after="0" w:line="214" w:lineRule="auto"/>
        <w:tabs>
          <w:tab w:leader="none" w:pos="700" w:val="left"/>
        </w:tabs>
        <w:numPr>
          <w:ilvl w:val="0"/>
          <w:numId w:val="43"/>
        </w:numPr>
        <w:rPr>
          <w:rFonts w:ascii="Times New Roman" w:cs="Times New Roman" w:eastAsia="Times New Roman" w:hAnsi="Times New Roman"/>
          <w:sz w:val="23"/>
          <w:szCs w:val="23"/>
          <w:color w:val="auto"/>
        </w:rPr>
      </w:pPr>
      <w:r>
        <w:rPr>
          <w:rFonts w:ascii="Arial" w:cs="Arial" w:eastAsia="Arial" w:hAnsi="Arial"/>
          <w:sz w:val="18"/>
          <w:szCs w:val="18"/>
          <w:color w:val="auto"/>
        </w:rPr>
        <w:t>Arising pursuant to, or to interpret, apply, enforce or determine the validity of, any provision of NRS Title 7 (which includes Nevada’s corporation statutes), the articles of incorporation, the bylaws or any agreement entered into pursuant to NRS 78.365 to which the corporation is a party or a stated beneficiary thereof.</w:t>
      </w:r>
    </w:p>
    <w:p>
      <w:pPr>
        <w:spacing w:after="0" w:line="134" w:lineRule="exact"/>
        <w:rPr>
          <w:sz w:val="20"/>
          <w:szCs w:val="20"/>
          <w:color w:val="auto"/>
        </w:rPr>
      </w:pPr>
    </w:p>
    <w:p>
      <w:pPr>
        <w:ind w:right="880"/>
        <w:spacing w:after="0" w:line="310" w:lineRule="auto"/>
        <w:rPr>
          <w:sz w:val="20"/>
          <w:szCs w:val="20"/>
          <w:color w:val="auto"/>
        </w:rPr>
      </w:pPr>
      <w:r>
        <w:rPr>
          <w:rFonts w:ascii="Arial" w:cs="Arial" w:eastAsia="Arial" w:hAnsi="Arial"/>
          <w:sz w:val="18"/>
          <w:szCs w:val="18"/>
          <w:color w:val="auto"/>
        </w:rPr>
        <w:t>A limited jury trial waiver must appear in the corporation’s articles of incorporation, which requires both board and stockholder approval.</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Our board of directors believes that a limited jury trial waiver in our articles of incorporation would enhance the predictability and efficiency of resolving disputes relating to “internal actions” (as described above). A limited jury trial waiver for internal actions, such as fiduciary duty claims or derivative suits, could help these matters resolve more quickly and with greater consistency, potentially reducing litigation uncertainty, legal costs, and the potential for unpredictable outcomes that could negatively affect our operations or stockholder value. Including a limited jury trial waiver in the proposed amendments to our Articles also aligns our framework more closely with how we previously operated under Delaware law, where internal actions would have been tried before a judge in the Delaware Chancery Court, rather than before a jury.</w:t>
      </w:r>
    </w:p>
    <w:p>
      <w:pPr>
        <w:spacing w:after="0" w:line="126" w:lineRule="exact"/>
        <w:rPr>
          <w:sz w:val="20"/>
          <w:szCs w:val="20"/>
          <w:color w:val="auto"/>
        </w:rPr>
      </w:pPr>
    </w:p>
    <w:p>
      <w:pPr>
        <w:ind w:right="100"/>
        <w:spacing w:after="0" w:line="310" w:lineRule="auto"/>
        <w:rPr>
          <w:sz w:val="20"/>
          <w:szCs w:val="20"/>
          <w:color w:val="auto"/>
        </w:rPr>
      </w:pPr>
      <w:r>
        <w:rPr>
          <w:rFonts w:ascii="Arial" w:cs="Arial" w:eastAsia="Arial" w:hAnsi="Arial"/>
          <w:sz w:val="18"/>
          <w:szCs w:val="18"/>
          <w:color w:val="auto"/>
        </w:rPr>
        <w:t>In light of this update in Nevada law, our board is proposing to amend and restate our Articles to include the limited jury trial waiver, as permitted by NRS 78.046.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Other Changes</w:t>
      </w:r>
    </w:p>
    <w:p>
      <w:pPr>
        <w:spacing w:after="0" w:line="19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In connection with consideration of our proposal to amend and restate our Articles with respect to the limited jury trial waiver, the company considered additional textual and immaterial matters that require update in our Articles, and the company has included certain contextual and other ministerial revisions in the proposed amendments, including new defined terms and drafting refinements. If approved, the amendments to our Articles contemplated by this Proposal No. 4 would be filed with the Nevada Secretary of State in an amendment and restatement of our Articles.</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 w:hanging="475"/>
        <w:spacing w:after="0"/>
        <w:tabs>
          <w:tab w:leader="none" w:pos="52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42" w:name="page43"/>
    <w:bookmarkEnd w:id="42"/>
    <w:p>
      <w:pPr>
        <w:ind w:right="60"/>
        <w:spacing w:after="0" w:line="301" w:lineRule="auto"/>
        <w:rPr>
          <w:sz w:val="20"/>
          <w:szCs w:val="20"/>
          <w:color w:val="auto"/>
        </w:rPr>
      </w:pPr>
      <w:r>
        <w:rPr>
          <w:rFonts w:ascii="Arial" w:cs="Arial" w:eastAsia="Arial" w:hAnsi="Arial"/>
          <w:sz w:val="33"/>
          <w:szCs w:val="33"/>
          <w:color w:val="0A248E"/>
        </w:rPr>
        <w:t>PROPOSAL NO. 4—PROPOSAL TO APPROVE AN AMENDMENT AND RESTATEMENT OF OUR ARTICLES (JURY TRIAL WAIVER)</w:t>
      </w:r>
    </w:p>
    <w:p>
      <w:pPr>
        <w:spacing w:after="0" w:line="286"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Taking into account the benefits our board of directors believes would accrue to the company and its stockholders with a limited jury trial waiver, along with incorporating certain textual and immaterial revisions, our board of directors has unanimously determined that it is advisable and in the best interests of the company and our stockholders to approve these amendments to our Articles and has approved and adopted the proposed amendment and restatement of our Articles, subject to approval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3280" w:type="dxa"/>
        <w:tblCellMar>
          <w:top w:w="0" w:type="dxa"/>
          <w:left w:w="0" w:type="dxa"/>
          <w:bottom w:w="0" w:type="dxa"/>
          <w:right w:w="0" w:type="dxa"/>
        </w:tblCellMar>
      </w:tblPr>
      <w:tr>
        <w:trPr>
          <w:trHeight w:val="221"/>
        </w:trPr>
        <w:tc>
          <w:tcPr>
            <w:tcW w:w="5980" w:type="dxa"/>
            <w:vAlign w:val="bottom"/>
          </w:tcPr>
          <w:p>
            <w:pPr>
              <w:spacing w:after="0"/>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35</w:t>
            </w:r>
          </w:p>
        </w:tc>
      </w:tr>
    </w:tbl>
    <w:p>
      <w:pPr>
        <w:sectPr>
          <w:pgSz w:w="11880" w:h="15480" w:orient="portrait"/>
          <w:cols w:equalWidth="0" w:num="1">
            <w:col w:w="9600"/>
          </w:cols>
          <w:pgMar w:left="1140" w:top="312" w:right="1140" w:bottom="0" w:gutter="0" w:footer="0" w:header="0"/>
        </w:sectPr>
      </w:pPr>
    </w:p>
    <w:bookmarkStart w:id="43" w:name="page44"/>
    <w:bookmarkEnd w:id="43"/>
    <w:p>
      <w:pPr>
        <w:ind w:right="100"/>
        <w:spacing w:after="0" w:line="301" w:lineRule="auto"/>
        <w:rPr>
          <w:sz w:val="20"/>
          <w:szCs w:val="20"/>
          <w:color w:val="auto"/>
        </w:rPr>
      </w:pPr>
      <w:r>
        <w:rPr>
          <w:rFonts w:ascii="Arial" w:cs="Arial" w:eastAsia="Arial" w:hAnsi="Arial"/>
          <w:sz w:val="33"/>
          <w:szCs w:val="33"/>
          <w:color w:val="0A248E"/>
        </w:rPr>
        <w:t>PROPOSAL NO. 4—PROPOSAL TO APPROVE AN AMENDMENT AND RESTATEMENT OF OUR ARTICLES (JURY TRIAL WAIVER) (continued)</w:t>
      </w:r>
    </w:p>
    <w:p>
      <w:pPr>
        <w:spacing w:after="0" w:line="355" w:lineRule="exact"/>
        <w:rPr>
          <w:sz w:val="20"/>
          <w:szCs w:val="20"/>
          <w:color w:val="auto"/>
        </w:rPr>
      </w:pPr>
    </w:p>
    <w:p>
      <w:pPr>
        <w:spacing w:after="0"/>
        <w:rPr>
          <w:sz w:val="20"/>
          <w:szCs w:val="20"/>
          <w:color w:val="auto"/>
        </w:rPr>
      </w:pPr>
      <w:r>
        <w:rPr>
          <w:rFonts w:ascii="Arial" w:cs="Arial" w:eastAsia="Arial" w:hAnsi="Arial"/>
          <w:sz w:val="28"/>
          <w:szCs w:val="28"/>
          <w:color w:val="0A248E"/>
        </w:rPr>
        <w:t>Text of Proposed New Article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WAIVER OF JURY TRIAL</w:t>
      </w:r>
    </w:p>
    <w:p>
      <w:pPr>
        <w:spacing w:after="0" w:line="259" w:lineRule="exact"/>
        <w:rPr>
          <w:sz w:val="20"/>
          <w:szCs w:val="20"/>
          <w:color w:val="auto"/>
        </w:rPr>
      </w:pPr>
    </w:p>
    <w:p>
      <w:pPr>
        <w:jc w:val="both"/>
        <w:ind w:firstLine="702"/>
        <w:spacing w:after="0" w:line="315" w:lineRule="auto"/>
        <w:rPr>
          <w:sz w:val="20"/>
          <w:szCs w:val="20"/>
          <w:color w:val="auto"/>
        </w:rPr>
      </w:pPr>
      <w:r>
        <w:rPr>
          <w:rFonts w:ascii="Arial" w:cs="Arial" w:eastAsia="Arial" w:hAnsi="Arial"/>
          <w:sz w:val="17"/>
          <w:szCs w:val="17"/>
          <w:color w:val="auto"/>
        </w:rPr>
        <w:t>To the fullest extent not inconsistent with any applicable U.S. federal laws, any and all “internal actions” (as defined in NRS 78.046) must be tried in a court of competent jurisdiction before the presiding judge as the trier of fact and not before a jury. This Article XI shall conclusively operate as a waiver of the right to trial by jury by each party to any such internal action.</w:t>
      </w:r>
    </w:p>
    <w:p>
      <w:pPr>
        <w:spacing w:after="0" w:line="159" w:lineRule="exact"/>
        <w:rPr>
          <w:sz w:val="20"/>
          <w:szCs w:val="20"/>
          <w:color w:val="auto"/>
        </w:rPr>
      </w:pPr>
    </w:p>
    <w:p>
      <w:pPr>
        <w:ind w:left="4320"/>
        <w:spacing w:after="0"/>
        <w:tabs>
          <w:tab w:leader="none" w:pos="4780" w:val="left"/>
          <w:tab w:leader="none" w:pos="52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w:t>
      </w:r>
    </w:p>
    <w:p>
      <w:pPr>
        <w:spacing w:after="0" w:line="198" w:lineRule="exact"/>
        <w:rPr>
          <w:sz w:val="20"/>
          <w:szCs w:val="20"/>
          <w:color w:val="auto"/>
        </w:rPr>
      </w:pPr>
    </w:p>
    <w:p>
      <w:pPr>
        <w:ind w:right="660"/>
        <w:spacing w:after="0" w:line="284" w:lineRule="auto"/>
        <w:rPr>
          <w:sz w:val="20"/>
          <w:szCs w:val="20"/>
          <w:color w:val="auto"/>
        </w:rPr>
      </w:pPr>
      <w:r>
        <w:rPr>
          <w:rFonts w:ascii="Arial" w:cs="Arial" w:eastAsia="Arial" w:hAnsi="Arial"/>
          <w:sz w:val="18"/>
          <w:szCs w:val="18"/>
          <w:color w:val="auto"/>
        </w:rPr>
        <w:t xml:space="preserve">A copy of the proposed amended and restated Articles showing the proposed revisions, with deleted text shown in strikethrough and added text shown as underlined in blue, is included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All stockholders are encouraged to read the proposed amended and restated Articles in its entirety for a more complete description of its terms.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our stockholders to vote on the following resolution:</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"RESOLVED, that the company’s stockholders approve the company’s proposed amendment and restatement of our Articles with respect to the limited jury trial waiver and related contextual and other ministerial amendments, as set forth in </w:t>
      </w:r>
      <w:r>
        <w:rPr>
          <w:rFonts w:ascii="Arial" w:cs="Arial" w:eastAsia="Arial" w:hAnsi="Arial"/>
          <w:sz w:val="18"/>
          <w:szCs w:val="18"/>
          <w:u w:val="single" w:color="auto"/>
          <w:color w:val="auto"/>
        </w:rPr>
        <w:t>Appendix</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28"/>
          <w:szCs w:val="28"/>
          <w:color w:val="0A248E"/>
        </w:rPr>
        <w:t>Vote Required</w:t>
      </w:r>
    </w:p>
    <w:p>
      <w:pPr>
        <w:spacing w:after="0" w:line="28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approval of the amendment and restatement of our Articles to include the limited jury trial waiver (and other contextual and other ministerial revisions) requires the affirmative vote of the holders of at least two-thirds of the voting power of the outstanding shares of our common stock entitled to vote thereon, voting together as a single class. As a result, abstentions and broker non-votes will have the same effect as a vote “against” this proposal.</w:t>
      </w:r>
    </w:p>
    <w:p>
      <w:pPr>
        <w:spacing w:after="0" w:line="382" w:lineRule="exact"/>
        <w:rPr>
          <w:sz w:val="20"/>
          <w:szCs w:val="20"/>
          <w:color w:val="auto"/>
        </w:rPr>
      </w:pPr>
    </w:p>
    <w:p>
      <w:pPr>
        <w:ind w:right="220"/>
        <w:spacing w:after="0" w:line="298" w:lineRule="auto"/>
        <w:rPr>
          <w:sz w:val="20"/>
          <w:szCs w:val="20"/>
          <w:color w:val="auto"/>
        </w:rPr>
      </w:pPr>
      <w:r>
        <w:rPr>
          <w:rFonts w:ascii="Arial" w:cs="Arial" w:eastAsia="Arial" w:hAnsi="Arial"/>
          <w:sz w:val="18"/>
          <w:szCs w:val="18"/>
          <w:b w:val="1"/>
          <w:bCs w:val="1"/>
          <w:color w:val="0A248E"/>
        </w:rPr>
        <w:t>THE BOARD OF DIRECTORS UNANIMOUSLY RECOMMENDS A VOTE “FOR” THE PROPOSED AMENDED AND RESTATED ARTICLES WITH RESPECT TO THE LIMITED JURY TRIAL WAIVER AND RELATED CONTEXTUAL AND OTHER MINISTERIAL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 w:hanging="475"/>
        <w:spacing w:after="0"/>
        <w:tabs>
          <w:tab w:leader="none" w:pos="52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12" w:right="1100" w:bottom="0" w:gutter="0" w:footer="0" w:header="0"/>
        </w:sectPr>
      </w:pPr>
    </w:p>
    <w:bookmarkStart w:id="44" w:name="page45"/>
    <w:bookmarkEnd w:id="44"/>
    <w:p>
      <w:pPr>
        <w:spacing w:after="0"/>
        <w:rPr>
          <w:sz w:val="20"/>
          <w:szCs w:val="20"/>
          <w:color w:val="auto"/>
        </w:rPr>
      </w:pPr>
      <w:r>
        <w:rPr>
          <w:rFonts w:ascii="Arial" w:cs="Arial" w:eastAsia="Arial" w:hAnsi="Arial"/>
          <w:sz w:val="33"/>
          <w:szCs w:val="33"/>
          <w:color w:val="0A248E"/>
        </w:rPr>
        <w:t>EXECUTIVE OFFICERS</w:t>
      </w:r>
    </w:p>
    <w:p>
      <w:pPr>
        <w:spacing w:after="0" w:line="282"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The following table identifies certain information about our current executive officers as of April 6, 2026. Our executive officers are appointed by, and serve at the discretion of, our board of directors. There are no family relationships among any of our directors or executive officers.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61"/>
        </w:trPr>
        <w:tc>
          <w:tcPr>
            <w:tcW w:w="3040" w:type="dxa"/>
            <w:vAlign w:val="bottom"/>
            <w:vMerge w:val="restart"/>
            <w:shd w:val="clear" w:color="auto" w:fill="0A248E"/>
          </w:tcPr>
          <w:p>
            <w:pPr>
              <w:ind w:left="100"/>
              <w:spacing w:after="0"/>
              <w:rPr>
                <w:sz w:val="20"/>
                <w:szCs w:val="20"/>
                <w:color w:val="auto"/>
              </w:rPr>
            </w:pPr>
            <w:r>
              <w:rPr>
                <w:rFonts w:ascii="Arial" w:cs="Arial" w:eastAsia="Arial" w:hAnsi="Arial"/>
                <w:sz w:val="15"/>
                <w:szCs w:val="15"/>
                <w:color w:val="FFFFFF"/>
              </w:rPr>
              <w:t>Name</w:t>
            </w:r>
          </w:p>
        </w:tc>
        <w:tc>
          <w:tcPr>
            <w:tcW w:w="20" w:type="dxa"/>
            <w:vAlign w:val="bottom"/>
            <w:vMerge w:val="restart"/>
          </w:tcPr>
          <w:p>
            <w:pPr>
              <w:spacing w:after="0"/>
              <w:rPr>
                <w:sz w:val="5"/>
                <w:szCs w:val="5"/>
                <w:color w:val="auto"/>
              </w:rPr>
            </w:pPr>
          </w:p>
        </w:tc>
        <w:tc>
          <w:tcPr>
            <w:tcW w:w="1440" w:type="dxa"/>
            <w:vAlign w:val="bottom"/>
            <w:vMerge w:val="restart"/>
            <w:shd w:val="clear" w:color="auto" w:fill="0A248E"/>
          </w:tcPr>
          <w:p>
            <w:pPr>
              <w:jc w:val="center"/>
              <w:spacing w:after="0"/>
              <w:rPr>
                <w:sz w:val="20"/>
                <w:szCs w:val="20"/>
                <w:color w:val="auto"/>
              </w:rPr>
            </w:pPr>
            <w:r>
              <w:rPr>
                <w:rFonts w:ascii="Arial" w:cs="Arial" w:eastAsia="Arial" w:hAnsi="Arial"/>
                <w:sz w:val="15"/>
                <w:szCs w:val="15"/>
                <w:color w:val="FFFFFF"/>
              </w:rPr>
              <w:t>Age</w:t>
            </w:r>
          </w:p>
        </w:tc>
        <w:tc>
          <w:tcPr>
            <w:tcW w:w="20" w:type="dxa"/>
            <w:vAlign w:val="bottom"/>
            <w:vMerge w:val="restart"/>
          </w:tcPr>
          <w:p>
            <w:pPr>
              <w:spacing w:after="0"/>
              <w:rPr>
                <w:sz w:val="5"/>
                <w:szCs w:val="5"/>
                <w:color w:val="auto"/>
              </w:rPr>
            </w:pPr>
          </w:p>
        </w:tc>
        <w:tc>
          <w:tcPr>
            <w:tcW w:w="5120" w:type="dxa"/>
            <w:vAlign w:val="bottom"/>
            <w:vMerge w:val="restart"/>
            <w:shd w:val="clear" w:color="auto" w:fill="0A248E"/>
          </w:tcPr>
          <w:p>
            <w:pPr>
              <w:ind w:left="80"/>
              <w:spacing w:after="0"/>
              <w:rPr>
                <w:sz w:val="20"/>
                <w:szCs w:val="20"/>
                <w:color w:val="auto"/>
              </w:rPr>
            </w:pPr>
            <w:r>
              <w:rPr>
                <w:rFonts w:ascii="Arial" w:cs="Arial" w:eastAsia="Arial" w:hAnsi="Arial"/>
                <w:sz w:val="15"/>
                <w:szCs w:val="15"/>
                <w:color w:val="FFFFFF"/>
              </w:rPr>
              <w:t>Position</w:t>
            </w:r>
          </w:p>
        </w:tc>
        <w:tc>
          <w:tcPr>
            <w:tcW w:w="0" w:type="dxa"/>
            <w:vAlign w:val="bottom"/>
          </w:tcPr>
          <w:p>
            <w:pPr>
              <w:spacing w:after="0"/>
              <w:rPr>
                <w:sz w:val="1"/>
                <w:szCs w:val="1"/>
                <w:color w:val="auto"/>
              </w:rPr>
            </w:pPr>
          </w:p>
        </w:tc>
      </w:tr>
      <w:tr>
        <w:trPr>
          <w:trHeight w:val="201"/>
        </w:trPr>
        <w:tc>
          <w:tcPr>
            <w:tcW w:w="3040" w:type="dxa"/>
            <w:vAlign w:val="bottom"/>
            <w:vMerge w:val="continue"/>
            <w:shd w:val="clear" w:color="auto" w:fill="0A248E"/>
          </w:tcPr>
          <w:p>
            <w:pPr>
              <w:spacing w:after="0"/>
              <w:rPr>
                <w:sz w:val="17"/>
                <w:szCs w:val="17"/>
                <w:color w:val="auto"/>
              </w:rPr>
            </w:pPr>
          </w:p>
        </w:tc>
        <w:tc>
          <w:tcPr>
            <w:tcW w:w="20" w:type="dxa"/>
            <w:vAlign w:val="bottom"/>
            <w:vMerge w:val="continue"/>
          </w:tcPr>
          <w:p>
            <w:pPr>
              <w:spacing w:after="0"/>
              <w:rPr>
                <w:sz w:val="17"/>
                <w:szCs w:val="17"/>
                <w:color w:val="auto"/>
              </w:rPr>
            </w:pPr>
          </w:p>
        </w:tc>
        <w:tc>
          <w:tcPr>
            <w:tcW w:w="1440" w:type="dxa"/>
            <w:vAlign w:val="bottom"/>
            <w:vMerge w:val="continue"/>
            <w:shd w:val="clear" w:color="auto" w:fill="0A248E"/>
          </w:tcPr>
          <w:p>
            <w:pPr>
              <w:spacing w:after="0"/>
              <w:rPr>
                <w:sz w:val="17"/>
                <w:szCs w:val="17"/>
                <w:color w:val="auto"/>
              </w:rPr>
            </w:pPr>
          </w:p>
        </w:tc>
        <w:tc>
          <w:tcPr>
            <w:tcW w:w="20" w:type="dxa"/>
            <w:vAlign w:val="bottom"/>
            <w:vMerge w:val="continue"/>
          </w:tcPr>
          <w:p>
            <w:pPr>
              <w:spacing w:after="0"/>
              <w:rPr>
                <w:sz w:val="17"/>
                <w:szCs w:val="17"/>
                <w:color w:val="auto"/>
              </w:rPr>
            </w:pPr>
          </w:p>
        </w:tc>
        <w:tc>
          <w:tcPr>
            <w:tcW w:w="5120" w:type="dxa"/>
            <w:vAlign w:val="bottom"/>
            <w:vMerge w:val="continue"/>
            <w:shd w:val="clear" w:color="auto" w:fill="0A248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30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512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0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Andrew W. Houston</w:t>
            </w:r>
          </w:p>
        </w:tc>
        <w:tc>
          <w:tcPr>
            <w:tcW w:w="20" w:type="dxa"/>
            <w:vAlign w:val="bottom"/>
            <w:vMerge w:val="continue"/>
          </w:tcPr>
          <w:p>
            <w:pPr>
              <w:spacing w:after="0"/>
              <w:rPr>
                <w:sz w:val="17"/>
                <w:szCs w:val="17"/>
                <w:color w:val="auto"/>
              </w:rPr>
            </w:pPr>
          </w:p>
        </w:tc>
        <w:tc>
          <w:tcPr>
            <w:tcW w:w="144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43</w:t>
            </w:r>
          </w:p>
        </w:tc>
        <w:tc>
          <w:tcPr>
            <w:tcW w:w="20" w:type="dxa"/>
            <w:vAlign w:val="bottom"/>
          </w:tcPr>
          <w:p>
            <w:pPr>
              <w:spacing w:after="0"/>
              <w:rPr>
                <w:sz w:val="17"/>
                <w:szCs w:val="17"/>
                <w:color w:val="auto"/>
              </w:rPr>
            </w:pPr>
          </w:p>
        </w:tc>
        <w:tc>
          <w:tcPr>
            <w:tcW w:w="5120" w:type="dxa"/>
            <w:vAlign w:val="bottom"/>
            <w:shd w:val="clear" w:color="auto" w:fill="E6E6E6"/>
          </w:tcPr>
          <w:p>
            <w:pPr>
              <w:ind w:left="80"/>
              <w:spacing w:after="0"/>
              <w:rPr>
                <w:sz w:val="20"/>
                <w:szCs w:val="20"/>
                <w:color w:val="auto"/>
              </w:rPr>
            </w:pPr>
            <w:r>
              <w:rPr>
                <w:rFonts w:ascii="Arial" w:cs="Arial" w:eastAsia="Arial" w:hAnsi="Arial"/>
                <w:sz w:val="15"/>
                <w:szCs w:val="15"/>
                <w:color w:val="auto"/>
              </w:rPr>
              <w:t>Chief Executive Officer, Co-Founder, and Chair</w:t>
            </w:r>
          </w:p>
        </w:tc>
        <w:tc>
          <w:tcPr>
            <w:tcW w:w="0" w:type="dxa"/>
            <w:vAlign w:val="bottom"/>
          </w:tcPr>
          <w:p>
            <w:pPr>
              <w:spacing w:after="0"/>
              <w:rPr>
                <w:sz w:val="1"/>
                <w:szCs w:val="1"/>
                <w:color w:val="auto"/>
              </w:rPr>
            </w:pPr>
          </w:p>
        </w:tc>
      </w:tr>
      <w:tr>
        <w:trPr>
          <w:trHeight w:val="228"/>
        </w:trPr>
        <w:tc>
          <w:tcPr>
            <w:tcW w:w="3040" w:type="dxa"/>
            <w:vAlign w:val="bottom"/>
          </w:tcPr>
          <w:p>
            <w:pPr>
              <w:ind w:left="100"/>
              <w:spacing w:after="0"/>
              <w:rPr>
                <w:sz w:val="20"/>
                <w:szCs w:val="20"/>
                <w:color w:val="auto"/>
              </w:rPr>
            </w:pPr>
            <w:r>
              <w:rPr>
                <w:rFonts w:ascii="Arial" w:cs="Arial" w:eastAsia="Arial" w:hAnsi="Arial"/>
                <w:sz w:val="15"/>
                <w:szCs w:val="15"/>
                <w:color w:val="auto"/>
              </w:rPr>
              <w:t>Ross Tennenbaum</w:t>
            </w:r>
          </w:p>
        </w:tc>
        <w:tc>
          <w:tcPr>
            <w:tcW w:w="1460" w:type="dxa"/>
            <w:vAlign w:val="bottom"/>
            <w:gridSpan w:val="2"/>
          </w:tcPr>
          <w:p>
            <w:pPr>
              <w:jc w:val="center"/>
              <w:spacing w:after="0"/>
              <w:rPr>
                <w:sz w:val="20"/>
                <w:szCs w:val="20"/>
                <w:color w:val="auto"/>
              </w:rPr>
            </w:pPr>
            <w:r>
              <w:rPr>
                <w:rFonts w:ascii="Arial" w:cs="Arial" w:eastAsia="Arial" w:hAnsi="Arial"/>
                <w:sz w:val="15"/>
                <w:szCs w:val="15"/>
                <w:color w:val="auto"/>
                <w:w w:val="95"/>
              </w:rPr>
              <w:t>47</w:t>
            </w:r>
          </w:p>
        </w:tc>
        <w:tc>
          <w:tcPr>
            <w:tcW w:w="20" w:type="dxa"/>
            <w:vAlign w:val="bottom"/>
          </w:tcPr>
          <w:p>
            <w:pPr>
              <w:spacing w:after="0"/>
              <w:rPr>
                <w:sz w:val="19"/>
                <w:szCs w:val="19"/>
                <w:color w:val="auto"/>
              </w:rPr>
            </w:pPr>
          </w:p>
        </w:tc>
        <w:tc>
          <w:tcPr>
            <w:tcW w:w="5120" w:type="dxa"/>
            <w:vAlign w:val="bottom"/>
          </w:tcPr>
          <w:p>
            <w:pPr>
              <w:ind w:left="8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34"/>
        </w:trPr>
        <w:tc>
          <w:tcPr>
            <w:tcW w:w="30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0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William Yoon</w:t>
            </w:r>
          </w:p>
        </w:tc>
        <w:tc>
          <w:tcPr>
            <w:tcW w:w="20" w:type="dxa"/>
            <w:vAlign w:val="bottom"/>
            <w:vMerge w:val="continue"/>
          </w:tcPr>
          <w:p>
            <w:pPr>
              <w:spacing w:after="0"/>
              <w:rPr>
                <w:sz w:val="17"/>
                <w:szCs w:val="17"/>
                <w:color w:val="auto"/>
              </w:rPr>
            </w:pPr>
          </w:p>
        </w:tc>
        <w:tc>
          <w:tcPr>
            <w:tcW w:w="144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47</w:t>
            </w:r>
          </w:p>
        </w:tc>
        <w:tc>
          <w:tcPr>
            <w:tcW w:w="20" w:type="dxa"/>
            <w:vAlign w:val="bottom"/>
          </w:tcPr>
          <w:p>
            <w:pPr>
              <w:spacing w:after="0"/>
              <w:rPr>
                <w:sz w:val="17"/>
                <w:szCs w:val="17"/>
                <w:color w:val="auto"/>
              </w:rPr>
            </w:pPr>
          </w:p>
        </w:tc>
        <w:tc>
          <w:tcPr>
            <w:tcW w:w="5120" w:type="dxa"/>
            <w:vAlign w:val="bottom"/>
            <w:shd w:val="clear" w:color="auto" w:fill="E6E6E6"/>
          </w:tcPr>
          <w:p>
            <w:pPr>
              <w:ind w:left="80"/>
              <w:spacing w:after="0"/>
              <w:rPr>
                <w:sz w:val="20"/>
                <w:szCs w:val="20"/>
                <w:color w:val="auto"/>
              </w:rPr>
            </w:pPr>
            <w:r>
              <w:rPr>
                <w:rFonts w:ascii="Arial" w:cs="Arial" w:eastAsia="Arial" w:hAnsi="Arial"/>
                <w:sz w:val="15"/>
                <w:szCs w:val="15"/>
                <w:color w:val="auto"/>
              </w:rPr>
              <w:t>Chief Legal Officer</w:t>
            </w:r>
          </w:p>
        </w:tc>
        <w:tc>
          <w:tcPr>
            <w:tcW w:w="0" w:type="dxa"/>
            <w:vAlign w:val="bottom"/>
          </w:tcPr>
          <w:p>
            <w:pPr>
              <w:spacing w:after="0"/>
              <w:rPr>
                <w:sz w:val="1"/>
                <w:szCs w:val="1"/>
                <w:color w:val="auto"/>
              </w:rPr>
            </w:pPr>
          </w:p>
        </w:tc>
      </w:tr>
      <w:tr>
        <w:trPr>
          <w:trHeight w:val="206"/>
        </w:trPr>
        <w:tc>
          <w:tcPr>
            <w:tcW w:w="3040" w:type="dxa"/>
            <w:vAlign w:val="bottom"/>
          </w:tcPr>
          <w:p>
            <w:pPr>
              <w:ind w:left="100"/>
              <w:spacing w:after="0"/>
              <w:rPr>
                <w:sz w:val="20"/>
                <w:szCs w:val="20"/>
                <w:color w:val="auto"/>
              </w:rPr>
            </w:pPr>
            <w:r>
              <w:rPr>
                <w:rFonts w:ascii="Arial" w:cs="Arial" w:eastAsia="Arial" w:hAnsi="Arial"/>
                <w:sz w:val="15"/>
                <w:szCs w:val="15"/>
                <w:color w:val="auto"/>
              </w:rPr>
              <w:t>Ali Dasdan</w:t>
            </w:r>
          </w:p>
        </w:tc>
        <w:tc>
          <w:tcPr>
            <w:tcW w:w="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5"/>
              </w:rPr>
              <w:t>56</w:t>
            </w:r>
          </w:p>
        </w:tc>
        <w:tc>
          <w:tcPr>
            <w:tcW w:w="20" w:type="dxa"/>
            <w:vAlign w:val="bottom"/>
          </w:tcPr>
          <w:p>
            <w:pPr>
              <w:spacing w:after="0"/>
              <w:rPr>
                <w:sz w:val="17"/>
                <w:szCs w:val="17"/>
                <w:color w:val="auto"/>
              </w:rPr>
            </w:pPr>
          </w:p>
        </w:tc>
        <w:tc>
          <w:tcPr>
            <w:tcW w:w="5120" w:type="dxa"/>
            <w:vAlign w:val="bottom"/>
          </w:tcPr>
          <w:p>
            <w:pPr>
              <w:ind w:left="80"/>
              <w:spacing w:after="0"/>
              <w:rPr>
                <w:sz w:val="20"/>
                <w:szCs w:val="20"/>
                <w:color w:val="auto"/>
              </w:rPr>
            </w:pPr>
            <w:r>
              <w:rPr>
                <w:rFonts w:ascii="Arial" w:cs="Arial" w:eastAsia="Arial" w:hAnsi="Arial"/>
                <w:sz w:val="15"/>
                <w:szCs w:val="15"/>
                <w:color w:val="auto"/>
              </w:rPr>
              <w:t>Chief Technology Officer</w:t>
            </w:r>
          </w:p>
        </w:tc>
        <w:tc>
          <w:tcPr>
            <w:tcW w:w="0" w:type="dxa"/>
            <w:vAlign w:val="bottom"/>
          </w:tcPr>
          <w:p>
            <w:pPr>
              <w:spacing w:after="0"/>
              <w:rPr>
                <w:sz w:val="1"/>
                <w:szCs w:val="1"/>
                <w:color w:val="auto"/>
              </w:rPr>
            </w:pPr>
          </w:p>
        </w:tc>
      </w:tr>
      <w:tr>
        <w:trPr>
          <w:trHeight w:val="201"/>
        </w:trPr>
        <w:tc>
          <w:tcPr>
            <w:tcW w:w="30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Ashraf Alkarmi</w:t>
            </w:r>
          </w:p>
        </w:tc>
        <w:tc>
          <w:tcPr>
            <w:tcW w:w="1460" w:type="dxa"/>
            <w:vAlign w:val="bottom"/>
            <w:gridSpan w:val="2"/>
            <w:shd w:val="clear" w:color="auto" w:fill="E6E6E6"/>
          </w:tcPr>
          <w:p>
            <w:pPr>
              <w:jc w:val="center"/>
              <w:spacing w:after="0"/>
              <w:rPr>
                <w:sz w:val="20"/>
                <w:szCs w:val="20"/>
                <w:color w:val="auto"/>
              </w:rPr>
            </w:pPr>
            <w:r>
              <w:rPr>
                <w:rFonts w:ascii="Arial" w:cs="Arial" w:eastAsia="Arial" w:hAnsi="Arial"/>
                <w:sz w:val="15"/>
                <w:szCs w:val="15"/>
                <w:color w:val="auto"/>
                <w:w w:val="95"/>
              </w:rPr>
              <w:t>47</w:t>
            </w:r>
          </w:p>
        </w:tc>
        <w:tc>
          <w:tcPr>
            <w:tcW w:w="20" w:type="dxa"/>
            <w:vAlign w:val="bottom"/>
            <w:shd w:val="clear" w:color="auto" w:fill="E6E6E6"/>
          </w:tcPr>
          <w:p>
            <w:pPr>
              <w:spacing w:after="0"/>
              <w:rPr>
                <w:sz w:val="17"/>
                <w:szCs w:val="17"/>
                <w:color w:val="auto"/>
              </w:rPr>
            </w:pPr>
          </w:p>
        </w:tc>
        <w:tc>
          <w:tcPr>
            <w:tcW w:w="5120" w:type="dxa"/>
            <w:vAlign w:val="bottom"/>
            <w:shd w:val="clear" w:color="auto" w:fill="E6E6E6"/>
          </w:tcPr>
          <w:p>
            <w:pPr>
              <w:ind w:left="80"/>
              <w:spacing w:after="0"/>
              <w:rPr>
                <w:sz w:val="20"/>
                <w:szCs w:val="20"/>
                <w:color w:val="auto"/>
              </w:rPr>
            </w:pPr>
            <w:r>
              <w:rPr>
                <w:rFonts w:ascii="Arial" w:cs="Arial" w:eastAsia="Arial" w:hAnsi="Arial"/>
                <w:sz w:val="15"/>
                <w:szCs w:val="15"/>
                <w:color w:val="auto"/>
              </w:rPr>
              <w:t>General Manager and Senior Vice President, Core Products</w:t>
            </w:r>
          </w:p>
        </w:tc>
        <w:tc>
          <w:tcPr>
            <w:tcW w:w="0" w:type="dxa"/>
            <w:vAlign w:val="bottom"/>
          </w:tcPr>
          <w:p>
            <w:pPr>
              <w:spacing w:after="0"/>
              <w:rPr>
                <w:sz w:val="1"/>
                <w:szCs w:val="1"/>
                <w:color w:val="auto"/>
              </w:rPr>
            </w:pPr>
          </w:p>
        </w:tc>
      </w:tr>
      <w:tr>
        <w:trPr>
          <w:trHeight w:val="210"/>
        </w:trPr>
        <w:tc>
          <w:tcPr>
            <w:tcW w:w="3040" w:type="dxa"/>
            <w:vAlign w:val="bottom"/>
          </w:tcPr>
          <w:p>
            <w:pPr>
              <w:ind w:left="100"/>
              <w:spacing w:after="0"/>
              <w:rPr>
                <w:sz w:val="20"/>
                <w:szCs w:val="20"/>
                <w:color w:val="auto"/>
              </w:rPr>
            </w:pPr>
            <w:r>
              <w:rPr>
                <w:rFonts w:ascii="Arial" w:cs="Arial" w:eastAsia="Arial" w:hAnsi="Arial"/>
                <w:sz w:val="15"/>
                <w:szCs w:val="15"/>
                <w:color w:val="auto"/>
              </w:rPr>
              <w:t>Eric Webster</w:t>
            </w:r>
          </w:p>
        </w:tc>
        <w:tc>
          <w:tcPr>
            <w:tcW w:w="1460" w:type="dxa"/>
            <w:vAlign w:val="bottom"/>
            <w:gridSpan w:val="2"/>
          </w:tcPr>
          <w:p>
            <w:pPr>
              <w:jc w:val="center"/>
              <w:spacing w:after="0"/>
              <w:rPr>
                <w:sz w:val="20"/>
                <w:szCs w:val="20"/>
                <w:color w:val="auto"/>
              </w:rPr>
            </w:pPr>
            <w:r>
              <w:rPr>
                <w:rFonts w:ascii="Arial" w:cs="Arial" w:eastAsia="Arial" w:hAnsi="Arial"/>
                <w:sz w:val="15"/>
                <w:szCs w:val="15"/>
                <w:color w:val="auto"/>
                <w:w w:val="95"/>
              </w:rPr>
              <w:t>48</w:t>
            </w:r>
          </w:p>
        </w:tc>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Arial" w:cs="Arial" w:eastAsia="Arial" w:hAnsi="Arial"/>
                <w:sz w:val="15"/>
                <w:szCs w:val="15"/>
                <w:color w:val="auto"/>
              </w:rPr>
              <w:t>Chief Business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1936115</wp:posOffset>
                </wp:positionH>
                <wp:positionV relativeFrom="paragraph">
                  <wp:posOffset>-1003935</wp:posOffset>
                </wp:positionV>
                <wp:extent cx="0" cy="61214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214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45pt,-79.0499pt" to="152.45pt,-30.8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2866390</wp:posOffset>
                </wp:positionH>
                <wp:positionV relativeFrom="paragraph">
                  <wp:posOffset>-1003935</wp:posOffset>
                </wp:positionV>
                <wp:extent cx="0" cy="61214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214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7pt,-79.0499pt" to="225.7pt,-30.8499pt" o:allowincell="f" strokecolor="#FFFFFF" strokeweight="1.4039pt"/>
            </w:pict>
          </mc:Fallback>
        </mc:AlternateConten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 Biographies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Mr. Houston's biography, see the section titled “</w:t>
      </w:r>
      <w:r>
        <w:rPr>
          <w:rFonts w:ascii="Arial" w:cs="Arial" w:eastAsia="Arial" w:hAnsi="Arial"/>
          <w:sz w:val="17"/>
          <w:szCs w:val="17"/>
          <w:i w:val="1"/>
          <w:iCs w:val="1"/>
          <w:color w:val="auto"/>
        </w:rPr>
        <w:t>Board of Directors and Corporate Governance—Nominees for Director</w:t>
      </w:r>
      <w:r>
        <w:rPr>
          <w:rFonts w:ascii="Arial" w:cs="Arial" w:eastAsia="Arial" w:hAnsi="Arial"/>
          <w:sz w:val="17"/>
          <w:szCs w:val="17"/>
          <w:color w:val="auto"/>
        </w:rPr>
        <w:t>.”</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color w:val="0A248E"/>
        </w:rPr>
        <w:t>Ross Tennenbaum</w:t>
      </w:r>
      <w:r>
        <w:rPr>
          <w:rFonts w:ascii="Arial" w:cs="Arial" w:eastAsia="Arial" w:hAnsi="Arial"/>
          <w:sz w:val="17"/>
          <w:szCs w:val="17"/>
          <w:color w:val="0A248E"/>
        </w:rPr>
        <w:t>.</w:t>
      </w:r>
      <w:r>
        <w:rPr>
          <w:rFonts w:ascii="Arial" w:cs="Arial" w:eastAsia="Arial" w:hAnsi="Arial"/>
          <w:sz w:val="17"/>
          <w:szCs w:val="17"/>
          <w:b w:val="1"/>
          <w:bCs w:val="1"/>
          <w:color w:val="0A248E"/>
        </w:rPr>
        <w:t xml:space="preserve"> </w:t>
      </w:r>
      <w:r>
        <w:rPr>
          <w:rFonts w:ascii="Arial" w:cs="Arial" w:eastAsia="Arial" w:hAnsi="Arial"/>
          <w:sz w:val="17"/>
          <w:szCs w:val="17"/>
          <w:color w:val="000000"/>
        </w:rPr>
        <w:t>Ross Tennenbaum has served as Dropbox's Chief Financial Officer since December 2025. Prior to joining</w:t>
      </w:r>
      <w:r>
        <w:rPr>
          <w:rFonts w:ascii="Arial" w:cs="Arial" w:eastAsia="Arial" w:hAnsi="Arial"/>
          <w:sz w:val="17"/>
          <w:szCs w:val="17"/>
          <w:b w:val="1"/>
          <w:bCs w:val="1"/>
          <w:color w:val="0A248E"/>
        </w:rPr>
        <w:t xml:space="preserve"> </w:t>
      </w:r>
      <w:r>
        <w:rPr>
          <w:rFonts w:ascii="Arial" w:cs="Arial" w:eastAsia="Arial" w:hAnsi="Arial"/>
          <w:sz w:val="17"/>
          <w:szCs w:val="17"/>
          <w:color w:val="000000"/>
        </w:rPr>
        <w:t>Dropbox, Mr. Tennenbaum served in several leadership roles at Avalara, an agentic tax and compliance company, where he served as President from April 2024 to December 2025, as Chief Financial Officer from April 2020 to April 2024, and as Executive Vice President, Strategic Initiatives group from March 2019 to April 2024. He previously served as Vice President and later Managing Director, Software Investment Banking at Goldman Sachs from 2014 to 2019. Prior to Goldman Sachs, Mr. Tennenbaum served as Associate and later Vice President, Software Investment Banking at Credit Suisse from 2009 to 2014. Mr. Tennenbaum holds a B.S. in Finance and Economics from the University of Florida and an M.B.A. in Finance and Venture Capital from The Wharton School of the University of Pennsylvania.</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0A248E"/>
        </w:rPr>
        <w:t>William Yoon</w:t>
      </w:r>
      <w:r>
        <w:rPr>
          <w:rFonts w:ascii="Arial" w:cs="Arial" w:eastAsia="Arial" w:hAnsi="Arial"/>
          <w:sz w:val="18"/>
          <w:szCs w:val="18"/>
          <w:color w:val="0A248E"/>
        </w:rPr>
        <w:t>.</w:t>
      </w:r>
      <w:r>
        <w:rPr>
          <w:rFonts w:ascii="Arial" w:cs="Arial" w:eastAsia="Arial" w:hAnsi="Arial"/>
          <w:sz w:val="18"/>
          <w:szCs w:val="18"/>
          <w:b w:val="1"/>
          <w:bCs w:val="1"/>
          <w:color w:val="0A248E"/>
        </w:rPr>
        <w:t xml:space="preserve"> </w:t>
      </w:r>
      <w:r>
        <w:rPr>
          <w:rFonts w:ascii="Arial" w:cs="Arial" w:eastAsia="Arial" w:hAnsi="Arial"/>
          <w:sz w:val="18"/>
          <w:szCs w:val="18"/>
          <w:color w:val="000000"/>
        </w:rPr>
        <w:t>William Yoon has served as Dropbox's Chief Legal Officer since March 2025. Previously, he served as</w:t>
      </w:r>
      <w:r>
        <w:rPr>
          <w:rFonts w:ascii="Arial" w:cs="Arial" w:eastAsia="Arial" w:hAnsi="Arial"/>
          <w:sz w:val="18"/>
          <w:szCs w:val="18"/>
          <w:b w:val="1"/>
          <w:bCs w:val="1"/>
          <w:color w:val="0A248E"/>
        </w:rPr>
        <w:t xml:space="preserve"> </w:t>
      </w:r>
      <w:r>
        <w:rPr>
          <w:rFonts w:ascii="Arial" w:cs="Arial" w:eastAsia="Arial" w:hAnsi="Arial"/>
          <w:sz w:val="18"/>
          <w:szCs w:val="18"/>
          <w:color w:val="000000"/>
        </w:rPr>
        <w:t>Dropbox's Vice President, Product Counseling &amp; Privacy from September 2021 to March 2025 and as Dropbox's Chief Privacy Officer since 2020. He first joined Dropbox in 2013, when he established the company’s product counseling team, and has since taken on increasing responsibilities, most recently overseeing product counseling, privacy, commercial, litigation, and regulatory. In addition to Dropbox, Mr. Yoon has held leadership roles in product counseling and privacy functions at Facebook and Google. Prior to joining Google, Mr. Yoon practiced law at Foley &amp; Lardner LLP from 2006 to 2010. Mr. Yoon holds a Juris Doctor from Northwestern University Pritzker School of Law and a Bachelor of Arts in Government - Latin American Studies from Cornell University.</w:t>
      </w:r>
    </w:p>
    <w:p>
      <w:pPr>
        <w:spacing w:after="0" w:line="1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color w:val="0A248E"/>
        </w:rPr>
        <w:t>Ali Dasdan</w:t>
      </w:r>
      <w:r>
        <w:rPr>
          <w:rFonts w:ascii="Arial" w:cs="Arial" w:eastAsia="Arial" w:hAnsi="Arial"/>
          <w:sz w:val="18"/>
          <w:szCs w:val="18"/>
          <w:color w:val="0A248E"/>
        </w:rPr>
        <w:t>.</w:t>
      </w:r>
      <w:r>
        <w:rPr>
          <w:rFonts w:ascii="Arial" w:cs="Arial" w:eastAsia="Arial" w:hAnsi="Arial"/>
          <w:sz w:val="18"/>
          <w:szCs w:val="18"/>
          <w:b w:val="1"/>
          <w:bCs w:val="1"/>
          <w:color w:val="0A248E"/>
        </w:rPr>
        <w:t xml:space="preserve"> </w:t>
      </w:r>
      <w:r>
        <w:rPr>
          <w:rFonts w:ascii="Arial" w:cs="Arial" w:eastAsia="Arial" w:hAnsi="Arial"/>
          <w:sz w:val="18"/>
          <w:szCs w:val="18"/>
          <w:color w:val="000000"/>
        </w:rPr>
        <w:t>Ali Dasdan has served as Dropbox's Chief Technology Officer since March 2025. Prior to joining Dropbox, he</w:t>
      </w:r>
      <w:r>
        <w:rPr>
          <w:rFonts w:ascii="Arial" w:cs="Arial" w:eastAsia="Arial" w:hAnsi="Arial"/>
          <w:sz w:val="18"/>
          <w:szCs w:val="18"/>
          <w:b w:val="1"/>
          <w:bCs w:val="1"/>
          <w:color w:val="0A248E"/>
        </w:rPr>
        <w:t xml:space="preserve"> </w:t>
      </w:r>
      <w:r>
        <w:rPr>
          <w:rFonts w:ascii="Arial" w:cs="Arial" w:eastAsia="Arial" w:hAnsi="Arial"/>
          <w:sz w:val="18"/>
          <w:szCs w:val="18"/>
          <w:color w:val="000000"/>
        </w:rPr>
        <w:t>served as the Executive Vice President and Chief Technology Officer at Zoominfo Technologies, Inc., a comprehensive sales and marketing intelligence software-as-a-service platform, from January 2023 to March 2025. From April 2019 to January 2023, Mr. Dasdan worked at Atlassian Corporation Plc, or Atlassian, an enterprise software company, where he served as Head of Engineering for Confluence Cloud and, later, Head of Engineering for Work Management for All. Prior to joining Atlassian, Mr. Dasdan was Head of Engineering and Product at Poynt LLC, a platform for next generation payments, from 2018 to 2019 and he was Head of Engineering, Data and Marketing Automation at Tesco PLC, or Tesco, a multinational grocery and general merchandise retailer, from 2016 to 2018. Prior to his role at Tesco, Mr. Dasdan held various engineering and product management leadership roles at other technology companies, including Turn Inc., eBay Inc., Yahoo! Inc., and Synopsys, Inc. Mr. Dasdan holds a PhD in Computer Science from the University of Illinois at Urbana-Champaign, USA, an MSc in Computer Engineering from Bilkent University, Türkiye and a BSc in Computer Engineering from Bogazici University, Türkiye.</w:t>
      </w:r>
    </w:p>
    <w:p>
      <w:pPr>
        <w:spacing w:after="0" w:line="14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color w:val="0A248E"/>
        </w:rPr>
        <w:t>Ashraf Alkarmi</w:t>
      </w:r>
      <w:r>
        <w:rPr>
          <w:rFonts w:ascii="Arial" w:cs="Arial" w:eastAsia="Arial" w:hAnsi="Arial"/>
          <w:sz w:val="17"/>
          <w:szCs w:val="17"/>
          <w:color w:val="0A248E"/>
        </w:rPr>
        <w:t>.</w:t>
      </w:r>
      <w:r>
        <w:rPr>
          <w:rFonts w:ascii="Arial" w:cs="Arial" w:eastAsia="Arial" w:hAnsi="Arial"/>
          <w:sz w:val="17"/>
          <w:szCs w:val="17"/>
          <w:b w:val="1"/>
          <w:bCs w:val="1"/>
          <w:color w:val="0A248E"/>
        </w:rPr>
        <w:t xml:space="preserve"> </w:t>
      </w:r>
      <w:r>
        <w:rPr>
          <w:rFonts w:ascii="Arial" w:cs="Arial" w:eastAsia="Arial" w:hAnsi="Arial"/>
          <w:sz w:val="17"/>
          <w:szCs w:val="17"/>
          <w:color w:val="000000"/>
        </w:rPr>
        <w:t>Ashraf Alkarmi has served as Dropbox's General Manager and Senior Vice President, Core Products since</w:t>
      </w:r>
      <w:r>
        <w:rPr>
          <w:rFonts w:ascii="Arial" w:cs="Arial" w:eastAsia="Arial" w:hAnsi="Arial"/>
          <w:sz w:val="17"/>
          <w:szCs w:val="17"/>
          <w:b w:val="1"/>
          <w:bCs w:val="1"/>
          <w:color w:val="0A248E"/>
        </w:rPr>
        <w:t xml:space="preserve"> </w:t>
      </w:r>
      <w:r>
        <w:rPr>
          <w:rFonts w:ascii="Arial" w:cs="Arial" w:eastAsia="Arial" w:hAnsi="Arial"/>
          <w:sz w:val="17"/>
          <w:szCs w:val="17"/>
          <w:color w:val="000000"/>
        </w:rPr>
        <w:t>November 2024. Previously, he served as Chief Product Officer at Vimeo, Inc. from July 2022 to September 2024. He also served as Director, General Manager, Freevee at Amazon.com, Inc., or Amazon, from May 2018 to June 2022, Founder and CEO of PresAsk from January 2013 to July 2021, Head of Product at Meta Platforms, Inc. from January 2017 to May 2018, and as Head of Product at Amazon from June 2013 to January 2017. Mr. Alkarmi has also served in various senior positions at Brightcove, Inc., Nokia Corporation and Motorola Solutions, Inc. Mr. Alkarmi received his Bachelor of Science in Electrical Engineering from University of Jordan in 2002, his Master of Science in Electrical Engineering from Southern Illinois University, Carbondale in 2004, and his Master of Arts in Management and Operations from Harvard University in 2009.</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0A248E"/>
        </w:rPr>
        <w:t>Eric Webster</w:t>
      </w:r>
      <w:r>
        <w:rPr>
          <w:rFonts w:ascii="Arial" w:cs="Arial" w:eastAsia="Arial" w:hAnsi="Arial"/>
          <w:sz w:val="18"/>
          <w:szCs w:val="18"/>
          <w:color w:val="000000"/>
        </w:rPr>
        <w:t>. Eric Webster has served as Dropbox's Chief Business Officer since December 2025. Prior to joining Dropbox,</w:t>
      </w:r>
      <w:r>
        <w:rPr>
          <w:rFonts w:ascii="Arial" w:cs="Arial" w:eastAsia="Arial" w:hAnsi="Arial"/>
          <w:sz w:val="18"/>
          <w:szCs w:val="18"/>
          <w:b w:val="1"/>
          <w:bCs w:val="1"/>
          <w:color w:val="0A248E"/>
        </w:rPr>
        <w:t xml:space="preserve"> </w:t>
      </w:r>
      <w:r>
        <w:rPr>
          <w:rFonts w:ascii="Arial" w:cs="Arial" w:eastAsia="Arial" w:hAnsi="Arial"/>
          <w:sz w:val="18"/>
          <w:szCs w:val="18"/>
          <w:color w:val="000000"/>
        </w:rPr>
        <w:t>he served as Operating Partner, GTM at Silversmith Capital Partners from April 2025 to December 2025. He previously served as Senior Vice President of Sales at Salesforce from June 2019 to March 2025. Prior to Salesforce, Mr. Webster served as Chief Revenue Officer at Mighty AI (acquired by UBER) from 2015 to 2019. He also served as a Mentor with Techstars from 2020 to 2023. Mr. Webster holds a B.S. in Management from Northeastern University.</w:t>
      </w:r>
    </w:p>
    <w:p>
      <w:pPr>
        <w:sectPr>
          <w:pgSz w:w="11880" w:h="15480" w:orient="portrait"/>
          <w:cols w:equalWidth="0" w:num="1">
            <w:col w:w="9660"/>
          </w:cols>
          <w:pgMar w:left="1140" w:top="340" w:right="1080" w:bottom="0" w:gutter="0" w:footer="0" w:header="0"/>
        </w:sectPr>
      </w:pPr>
    </w:p>
    <w:p>
      <w:pPr>
        <w:spacing w:after="0" w:line="200" w:lineRule="exact"/>
        <w:rPr>
          <w:sz w:val="20"/>
          <w:szCs w:val="20"/>
          <w:color w:val="auto"/>
        </w:rPr>
      </w:pPr>
    </w:p>
    <w:p>
      <w:pPr>
        <w:spacing w:after="0" w:line="358"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37</w:t>
      </w:r>
    </w:p>
    <w:p>
      <w:pPr>
        <w:sectPr>
          <w:pgSz w:w="11880" w:h="15480" w:orient="portrait"/>
          <w:cols w:equalWidth="0" w:num="1">
            <w:col w:w="9660"/>
          </w:cols>
          <w:pgMar w:left="1140" w:top="340" w:right="1080" w:bottom="0" w:gutter="0" w:footer="0" w:header="0"/>
          <w:type w:val="continuous"/>
        </w:sectPr>
      </w:pPr>
    </w:p>
    <w:bookmarkStart w:id="45" w:name="page46"/>
    <w:bookmarkEnd w:id="45"/>
    <w:p>
      <w:pPr>
        <w:ind w:left="20"/>
        <w:spacing w:after="0"/>
        <w:rPr>
          <w:sz w:val="20"/>
          <w:szCs w:val="20"/>
          <w:color w:val="auto"/>
        </w:rPr>
      </w:pPr>
      <w:r>
        <w:rPr>
          <w:rFonts w:ascii="Arial" w:cs="Arial" w:eastAsia="Arial" w:hAnsi="Arial"/>
          <w:sz w:val="33"/>
          <w:szCs w:val="33"/>
          <w:color w:val="0A248E"/>
        </w:rPr>
        <w:t>EXECUTIVE COMPENSATION</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8"/>
          <w:szCs w:val="28"/>
          <w:color w:val="0A248E"/>
        </w:rPr>
        <w:t>Compensation Discussion and Analysis</w:t>
      </w:r>
    </w:p>
    <w:p>
      <w:pPr>
        <w:spacing w:after="0" w:line="291" w:lineRule="exact"/>
        <w:rPr>
          <w:sz w:val="20"/>
          <w:szCs w:val="20"/>
          <w:color w:val="auto"/>
        </w:rPr>
      </w:pPr>
    </w:p>
    <w:p>
      <w:pPr>
        <w:ind w:left="20" w:right="20"/>
        <w:spacing w:after="0" w:line="279" w:lineRule="auto"/>
        <w:rPr>
          <w:sz w:val="20"/>
          <w:szCs w:val="20"/>
          <w:color w:val="auto"/>
        </w:rPr>
      </w:pPr>
      <w:r>
        <w:rPr>
          <w:rFonts w:ascii="Arial" w:cs="Arial" w:eastAsia="Arial" w:hAnsi="Arial"/>
          <w:sz w:val="18"/>
          <w:szCs w:val="18"/>
          <w:color w:val="auto"/>
        </w:rPr>
        <w:t>This Compensation Discussion and Analysis describes the material elements of our executive compensation program during 2025. It also provides an overview of our executive compensation philosophy, including our principal compensation policies and practices. Finally, it analyzes how and why our talent and compensation committee arrived at the specific compensation decisions for our executive officers, including our named executive officers in 2025, and discusses the key factors that our talent and compensation committee considered in determining their compensation.</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named executive officers for 2025 were:</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76"/>
        </w:trPr>
        <w:tc>
          <w:tcPr>
            <w:tcW w:w="2780" w:type="dxa"/>
            <w:vAlign w:val="bottom"/>
            <w:tcBorders>
              <w:top w:val="single" w:sz="8" w:color="0A248E"/>
              <w:left w:val="single" w:sz="8" w:color="E6E6E6"/>
              <w:right w:val="single" w:sz="8" w:color="E6E6E6"/>
            </w:tcBorders>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6880" w:type="dxa"/>
            <w:vAlign w:val="bottom"/>
            <w:tcBorders>
              <w:top w:val="single" w:sz="8" w:color="0A248E"/>
              <w:right w:val="single" w:sz="8" w:color="E6E6E6"/>
            </w:tcBorders>
            <w:shd w:val="clear" w:color="auto" w:fill="E6E6E6"/>
          </w:tcPr>
          <w:p>
            <w:pPr>
              <w:spacing w:after="0"/>
              <w:rPr>
                <w:sz w:val="6"/>
                <w:szCs w:val="6"/>
                <w:color w:val="auto"/>
              </w:rPr>
            </w:pPr>
          </w:p>
        </w:tc>
      </w:tr>
      <w:tr>
        <w:trPr>
          <w:trHeight w:val="270"/>
        </w:trPr>
        <w:tc>
          <w:tcPr>
            <w:tcW w:w="2780" w:type="dxa"/>
            <w:vAlign w:val="bottom"/>
            <w:tcBorders>
              <w:left w:val="single" w:sz="8" w:color="E6E6E6"/>
              <w:bottom w:val="single" w:sz="8" w:color="E6E6E6"/>
              <w:right w:val="single" w:sz="8" w:color="E6E6E6"/>
            </w:tcBorders>
            <w:shd w:val="clear" w:color="auto" w:fill="0A248E"/>
          </w:tcPr>
          <w:p>
            <w:pPr>
              <w:ind w:left="120"/>
              <w:spacing w:after="0"/>
              <w:rPr>
                <w:sz w:val="20"/>
                <w:szCs w:val="20"/>
                <w:color w:val="auto"/>
              </w:rPr>
            </w:pPr>
            <w:r>
              <w:rPr>
                <w:rFonts w:ascii="Arial" w:cs="Arial" w:eastAsia="Arial" w:hAnsi="Arial"/>
                <w:sz w:val="15"/>
                <w:szCs w:val="15"/>
                <w:b w:val="1"/>
                <w:bCs w:val="1"/>
                <w:color w:val="FFFFFF"/>
              </w:rPr>
              <w:t>Named Executive Officer</w:t>
            </w:r>
          </w:p>
        </w:tc>
        <w:tc>
          <w:tcPr>
            <w:tcW w:w="20" w:type="dxa"/>
            <w:vAlign w:val="bottom"/>
            <w:tcBorders>
              <w:bottom w:val="single" w:sz="8" w:color="E6E6E6"/>
            </w:tcBorders>
            <w:shd w:val="clear" w:color="auto" w:fill="0A248E"/>
          </w:tcPr>
          <w:p>
            <w:pPr>
              <w:spacing w:after="0"/>
              <w:rPr>
                <w:sz w:val="23"/>
                <w:szCs w:val="23"/>
                <w:color w:val="auto"/>
              </w:rPr>
            </w:pPr>
          </w:p>
        </w:tc>
        <w:tc>
          <w:tcPr>
            <w:tcW w:w="6880" w:type="dxa"/>
            <w:vAlign w:val="bottom"/>
            <w:tcBorders>
              <w:bottom w:val="single" w:sz="8" w:color="E6E6E6"/>
              <w:right w:val="single" w:sz="8" w:color="E6E6E6"/>
            </w:tcBorders>
            <w:shd w:val="clear" w:color="auto" w:fill="0A248E"/>
          </w:tcPr>
          <w:p>
            <w:pPr>
              <w:ind w:left="80"/>
              <w:spacing w:after="0"/>
              <w:rPr>
                <w:sz w:val="20"/>
                <w:szCs w:val="20"/>
                <w:color w:val="auto"/>
              </w:rPr>
            </w:pPr>
            <w:r>
              <w:rPr>
                <w:rFonts w:ascii="Arial" w:cs="Arial" w:eastAsia="Arial" w:hAnsi="Arial"/>
                <w:sz w:val="15"/>
                <w:szCs w:val="15"/>
                <w:b w:val="1"/>
                <w:bCs w:val="1"/>
                <w:color w:val="FFFFFF"/>
              </w:rPr>
              <w:t>Title</w:t>
            </w:r>
          </w:p>
        </w:tc>
      </w:tr>
      <w:tr>
        <w:trPr>
          <w:trHeight w:val="228"/>
        </w:trPr>
        <w:tc>
          <w:tcPr>
            <w:tcW w:w="2780" w:type="dxa"/>
            <w:vAlign w:val="bottom"/>
            <w:tcBorders>
              <w:top w:val="single" w:sz="8" w:color="0A248E"/>
              <w:left w:val="single" w:sz="8" w:color="E6E6E6"/>
              <w:bottom w:val="single" w:sz="8" w:color="E6E6E6"/>
              <w:right w:val="single" w:sz="8" w:color="E6E6E6"/>
            </w:tcBorders>
          </w:tcPr>
          <w:p>
            <w:pPr>
              <w:ind w:left="120"/>
              <w:spacing w:after="0"/>
              <w:rPr>
                <w:sz w:val="20"/>
                <w:szCs w:val="20"/>
                <w:color w:val="auto"/>
              </w:rPr>
            </w:pPr>
            <w:r>
              <w:rPr>
                <w:rFonts w:ascii="Arial" w:cs="Arial" w:eastAsia="Arial" w:hAnsi="Arial"/>
                <w:sz w:val="18"/>
                <w:szCs w:val="18"/>
                <w:b w:val="1"/>
                <w:bCs w:val="1"/>
                <w:color w:val="auto"/>
              </w:rPr>
              <w:t>Andrew W. Houston</w:t>
            </w:r>
          </w:p>
        </w:tc>
        <w:tc>
          <w:tcPr>
            <w:tcW w:w="20" w:type="dxa"/>
            <w:vAlign w:val="bottom"/>
            <w:tcBorders>
              <w:top w:val="single" w:sz="8" w:color="0A248E"/>
              <w:bottom w:val="single" w:sz="8" w:color="E6E6E6"/>
            </w:tcBorders>
          </w:tcPr>
          <w:p>
            <w:pPr>
              <w:spacing w:after="0"/>
              <w:rPr>
                <w:sz w:val="19"/>
                <w:szCs w:val="19"/>
                <w:color w:val="auto"/>
              </w:rPr>
            </w:pPr>
          </w:p>
        </w:tc>
        <w:tc>
          <w:tcPr>
            <w:tcW w:w="6880" w:type="dxa"/>
            <w:vAlign w:val="bottom"/>
            <w:tcBorders>
              <w:top w:val="single" w:sz="8" w:color="0A248E"/>
              <w:bottom w:val="single" w:sz="8" w:color="E6E6E6"/>
              <w:right w:val="single" w:sz="8" w:color="E6E6E6"/>
            </w:tcBorders>
          </w:tcPr>
          <w:p>
            <w:pPr>
              <w:ind w:left="80"/>
              <w:spacing w:after="0"/>
              <w:rPr>
                <w:sz w:val="20"/>
                <w:szCs w:val="20"/>
                <w:color w:val="auto"/>
              </w:rPr>
            </w:pPr>
            <w:r>
              <w:rPr>
                <w:rFonts w:ascii="Arial" w:cs="Arial" w:eastAsia="Arial" w:hAnsi="Arial"/>
                <w:sz w:val="18"/>
                <w:szCs w:val="18"/>
                <w:color w:val="auto"/>
              </w:rPr>
              <w:t>Chief Executive Officer</w:t>
            </w:r>
          </w:p>
        </w:tc>
      </w:tr>
      <w:tr>
        <w:trPr>
          <w:trHeight w:val="233"/>
        </w:trPr>
        <w:tc>
          <w:tcPr>
            <w:tcW w:w="2780" w:type="dxa"/>
            <w:vAlign w:val="bottom"/>
            <w:tcBorders>
              <w:left w:val="single" w:sz="8" w:color="E6E6E6"/>
              <w:bottom w:val="single" w:sz="8" w:color="E6E6E6"/>
              <w:right w:val="single" w:sz="8" w:color="E6E6E6"/>
            </w:tcBorders>
            <w:shd w:val="clear" w:color="auto" w:fill="E6E6E6"/>
          </w:tcPr>
          <w:p>
            <w:pPr>
              <w:ind w:left="120"/>
              <w:spacing w:after="0" w:line="233" w:lineRule="exact"/>
              <w:rPr>
                <w:sz w:val="20"/>
                <w:szCs w:val="20"/>
                <w:color w:val="auto"/>
              </w:rPr>
            </w:pPr>
            <w:r>
              <w:rPr>
                <w:rFonts w:ascii="Arial" w:cs="Arial" w:eastAsia="Arial" w:hAnsi="Arial"/>
                <w:sz w:val="18"/>
                <w:szCs w:val="18"/>
                <w:b w:val="1"/>
                <w:bCs w:val="1"/>
                <w:color w:val="auto"/>
              </w:rPr>
              <w:t>Ross Tennenbaum</w:t>
            </w:r>
            <w:r>
              <w:rPr>
                <w:rFonts w:ascii="Arial" w:cs="Arial" w:eastAsia="Arial" w:hAnsi="Arial"/>
                <w:sz w:val="23"/>
                <w:szCs w:val="23"/>
                <w:b w:val="1"/>
                <w:bCs w:val="1"/>
                <w:color w:val="auto"/>
                <w:vertAlign w:val="superscript"/>
              </w:rPr>
              <w:t>(1)</w:t>
            </w:r>
          </w:p>
        </w:tc>
        <w:tc>
          <w:tcPr>
            <w:tcW w:w="20" w:type="dxa"/>
            <w:vAlign w:val="bottom"/>
            <w:tcBorders>
              <w:bottom w:val="single" w:sz="8" w:color="E6E6E6"/>
            </w:tcBorders>
            <w:shd w:val="clear" w:color="auto" w:fill="E6E6E6"/>
          </w:tcPr>
          <w:p>
            <w:pPr>
              <w:spacing w:after="0"/>
              <w:rPr>
                <w:sz w:val="20"/>
                <w:szCs w:val="20"/>
                <w:color w:val="auto"/>
              </w:rPr>
            </w:pPr>
          </w:p>
        </w:tc>
        <w:tc>
          <w:tcPr>
            <w:tcW w:w="6880" w:type="dxa"/>
            <w:vAlign w:val="bottom"/>
            <w:tcBorders>
              <w:bottom w:val="single" w:sz="8" w:color="E6E6E6"/>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Chief Financial Officer</w:t>
            </w:r>
          </w:p>
        </w:tc>
      </w:tr>
      <w:tr>
        <w:trPr>
          <w:trHeight w:val="228"/>
        </w:trPr>
        <w:tc>
          <w:tcPr>
            <w:tcW w:w="2780" w:type="dxa"/>
            <w:vAlign w:val="bottom"/>
            <w:tcBorders>
              <w:left w:val="single" w:sz="8" w:color="E6E6E6"/>
              <w:bottom w:val="single" w:sz="8" w:color="E6E6E6"/>
              <w:right w:val="single" w:sz="8" w:color="E6E6E6"/>
            </w:tcBorders>
          </w:tcPr>
          <w:p>
            <w:pPr>
              <w:ind w:left="120"/>
              <w:spacing w:after="0" w:line="228" w:lineRule="exact"/>
              <w:rPr>
                <w:sz w:val="20"/>
                <w:szCs w:val="20"/>
                <w:color w:val="auto"/>
              </w:rPr>
            </w:pPr>
            <w:r>
              <w:rPr>
                <w:rFonts w:ascii="Arial" w:cs="Arial" w:eastAsia="Arial" w:hAnsi="Arial"/>
                <w:sz w:val="18"/>
                <w:szCs w:val="18"/>
                <w:b w:val="1"/>
                <w:bCs w:val="1"/>
                <w:color w:val="auto"/>
              </w:rPr>
              <w:t>Timothy Regan</w:t>
            </w:r>
            <w:r>
              <w:rPr>
                <w:rFonts w:ascii="Arial" w:cs="Arial" w:eastAsia="Arial" w:hAnsi="Arial"/>
                <w:sz w:val="23"/>
                <w:szCs w:val="23"/>
                <w:b w:val="1"/>
                <w:bCs w:val="1"/>
                <w:color w:val="auto"/>
                <w:vertAlign w:val="superscript"/>
              </w:rPr>
              <w:t>(2)</w:t>
            </w:r>
          </w:p>
        </w:tc>
        <w:tc>
          <w:tcPr>
            <w:tcW w:w="20" w:type="dxa"/>
            <w:vAlign w:val="bottom"/>
            <w:tcBorders>
              <w:bottom w:val="single" w:sz="8" w:color="E6E6E6"/>
            </w:tcBorders>
          </w:tcPr>
          <w:p>
            <w:pPr>
              <w:spacing w:after="0"/>
              <w:rPr>
                <w:sz w:val="19"/>
                <w:szCs w:val="19"/>
                <w:color w:val="auto"/>
              </w:rPr>
            </w:pPr>
          </w:p>
        </w:tc>
        <w:tc>
          <w:tcPr>
            <w:tcW w:w="6880" w:type="dxa"/>
            <w:vAlign w:val="bottom"/>
            <w:tcBorders>
              <w:bottom w:val="single" w:sz="8" w:color="E6E6E6"/>
              <w:right w:val="single" w:sz="8" w:color="E6E6E6"/>
            </w:tcBorders>
          </w:tcPr>
          <w:p>
            <w:pPr>
              <w:ind w:left="80"/>
              <w:spacing w:after="0"/>
              <w:rPr>
                <w:sz w:val="20"/>
                <w:szCs w:val="20"/>
                <w:color w:val="auto"/>
              </w:rPr>
            </w:pPr>
            <w:r>
              <w:rPr>
                <w:rFonts w:ascii="Arial" w:cs="Arial" w:eastAsia="Arial" w:hAnsi="Arial"/>
                <w:sz w:val="18"/>
                <w:szCs w:val="18"/>
                <w:color w:val="auto"/>
              </w:rPr>
              <w:t>Former Chief Financial Officer</w:t>
            </w:r>
          </w:p>
        </w:tc>
      </w:tr>
      <w:tr>
        <w:trPr>
          <w:trHeight w:val="228"/>
        </w:trPr>
        <w:tc>
          <w:tcPr>
            <w:tcW w:w="2780" w:type="dxa"/>
            <w:vAlign w:val="bottom"/>
            <w:tcBorders>
              <w:left w:val="single" w:sz="8" w:color="E6E6E6"/>
              <w:bottom w:val="single" w:sz="8" w:color="E6E6E6"/>
              <w:right w:val="single" w:sz="8" w:color="E6E6E6"/>
            </w:tcBorders>
            <w:shd w:val="clear" w:color="auto" w:fill="E6E6E6"/>
          </w:tcPr>
          <w:p>
            <w:pPr>
              <w:ind w:left="120"/>
              <w:spacing w:after="0" w:line="228" w:lineRule="exact"/>
              <w:rPr>
                <w:sz w:val="20"/>
                <w:szCs w:val="20"/>
                <w:color w:val="auto"/>
              </w:rPr>
            </w:pPr>
            <w:r>
              <w:rPr>
                <w:rFonts w:ascii="Arial" w:cs="Arial" w:eastAsia="Arial" w:hAnsi="Arial"/>
                <w:sz w:val="18"/>
                <w:szCs w:val="18"/>
                <w:b w:val="1"/>
                <w:bCs w:val="1"/>
                <w:color w:val="auto"/>
              </w:rPr>
              <w:t>William Yoon</w:t>
            </w:r>
            <w:r>
              <w:rPr>
                <w:rFonts w:ascii="Arial" w:cs="Arial" w:eastAsia="Arial" w:hAnsi="Arial"/>
                <w:sz w:val="23"/>
                <w:szCs w:val="23"/>
                <w:b w:val="1"/>
                <w:bCs w:val="1"/>
                <w:color w:val="auto"/>
                <w:vertAlign w:val="superscript"/>
              </w:rPr>
              <w:t>(3)</w:t>
            </w:r>
          </w:p>
        </w:tc>
        <w:tc>
          <w:tcPr>
            <w:tcW w:w="20" w:type="dxa"/>
            <w:vAlign w:val="bottom"/>
            <w:tcBorders>
              <w:bottom w:val="single" w:sz="8" w:color="E6E6E6"/>
            </w:tcBorders>
            <w:shd w:val="clear" w:color="auto" w:fill="E6E6E6"/>
          </w:tcPr>
          <w:p>
            <w:pPr>
              <w:spacing w:after="0"/>
              <w:rPr>
                <w:sz w:val="19"/>
                <w:szCs w:val="19"/>
                <w:color w:val="auto"/>
              </w:rPr>
            </w:pPr>
          </w:p>
        </w:tc>
        <w:tc>
          <w:tcPr>
            <w:tcW w:w="6880" w:type="dxa"/>
            <w:vAlign w:val="bottom"/>
            <w:tcBorders>
              <w:bottom w:val="single" w:sz="8" w:color="E6E6E6"/>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Chief Legal Officer</w:t>
            </w:r>
          </w:p>
        </w:tc>
      </w:tr>
      <w:tr>
        <w:trPr>
          <w:trHeight w:val="233"/>
        </w:trPr>
        <w:tc>
          <w:tcPr>
            <w:tcW w:w="2780" w:type="dxa"/>
            <w:vAlign w:val="bottom"/>
            <w:tcBorders>
              <w:left w:val="single" w:sz="8" w:color="E6E6E6"/>
              <w:bottom w:val="single" w:sz="8" w:color="E6E6E6"/>
              <w:right w:val="single" w:sz="8" w:color="E6E6E6"/>
            </w:tcBorders>
          </w:tcPr>
          <w:p>
            <w:pPr>
              <w:ind w:left="120"/>
              <w:spacing w:after="0" w:line="233" w:lineRule="exact"/>
              <w:rPr>
                <w:sz w:val="20"/>
                <w:szCs w:val="20"/>
                <w:color w:val="auto"/>
              </w:rPr>
            </w:pPr>
            <w:r>
              <w:rPr>
                <w:rFonts w:ascii="Arial" w:cs="Arial" w:eastAsia="Arial" w:hAnsi="Arial"/>
                <w:sz w:val="18"/>
                <w:szCs w:val="18"/>
                <w:b w:val="1"/>
                <w:bCs w:val="1"/>
                <w:color w:val="auto"/>
              </w:rPr>
              <w:t>Ali Dasdan</w:t>
            </w:r>
            <w:r>
              <w:rPr>
                <w:rFonts w:ascii="Arial" w:cs="Arial" w:eastAsia="Arial" w:hAnsi="Arial"/>
                <w:sz w:val="23"/>
                <w:szCs w:val="23"/>
                <w:b w:val="1"/>
                <w:bCs w:val="1"/>
                <w:color w:val="auto"/>
                <w:vertAlign w:val="superscript"/>
              </w:rPr>
              <w:t>(4)</w:t>
            </w:r>
          </w:p>
        </w:tc>
        <w:tc>
          <w:tcPr>
            <w:tcW w:w="20" w:type="dxa"/>
            <w:vAlign w:val="bottom"/>
            <w:tcBorders>
              <w:bottom w:val="single" w:sz="8" w:color="E6E6E6"/>
            </w:tcBorders>
          </w:tcPr>
          <w:p>
            <w:pPr>
              <w:spacing w:after="0"/>
              <w:rPr>
                <w:sz w:val="20"/>
                <w:szCs w:val="20"/>
                <w:color w:val="auto"/>
              </w:rPr>
            </w:pPr>
          </w:p>
        </w:tc>
        <w:tc>
          <w:tcPr>
            <w:tcW w:w="6880" w:type="dxa"/>
            <w:vAlign w:val="bottom"/>
            <w:tcBorders>
              <w:bottom w:val="single" w:sz="8" w:color="E6E6E6"/>
              <w:right w:val="single" w:sz="8" w:color="E6E6E6"/>
            </w:tcBorders>
          </w:tcPr>
          <w:p>
            <w:pPr>
              <w:ind w:left="80"/>
              <w:spacing w:after="0"/>
              <w:rPr>
                <w:sz w:val="20"/>
                <w:szCs w:val="20"/>
                <w:color w:val="auto"/>
              </w:rPr>
            </w:pPr>
            <w:r>
              <w:rPr>
                <w:rFonts w:ascii="Arial" w:cs="Arial" w:eastAsia="Arial" w:hAnsi="Arial"/>
                <w:sz w:val="18"/>
                <w:szCs w:val="18"/>
                <w:color w:val="auto"/>
              </w:rPr>
              <w:t>Chief Technology Officer</w:t>
            </w:r>
          </w:p>
        </w:tc>
      </w:tr>
      <w:tr>
        <w:trPr>
          <w:trHeight w:val="228"/>
        </w:trPr>
        <w:tc>
          <w:tcPr>
            <w:tcW w:w="2780" w:type="dxa"/>
            <w:vAlign w:val="bottom"/>
            <w:tcBorders>
              <w:left w:val="single" w:sz="8" w:color="E6E6E6"/>
              <w:right w:val="single" w:sz="8" w:color="E6E6E6"/>
            </w:tcBorders>
            <w:shd w:val="clear" w:color="auto" w:fill="E6E6E6"/>
          </w:tcPr>
          <w:p>
            <w:pPr>
              <w:ind w:left="120"/>
              <w:spacing w:after="0"/>
              <w:rPr>
                <w:sz w:val="20"/>
                <w:szCs w:val="20"/>
                <w:color w:val="auto"/>
              </w:rPr>
            </w:pPr>
            <w:r>
              <w:rPr>
                <w:rFonts w:ascii="Arial" w:cs="Arial" w:eastAsia="Arial" w:hAnsi="Arial"/>
                <w:sz w:val="18"/>
                <w:szCs w:val="18"/>
                <w:b w:val="1"/>
                <w:bCs w:val="1"/>
                <w:color w:val="auto"/>
              </w:rPr>
              <w:t>Ashraf Alkarmi</w:t>
            </w:r>
          </w:p>
        </w:tc>
        <w:tc>
          <w:tcPr>
            <w:tcW w:w="20" w:type="dxa"/>
            <w:vAlign w:val="bottom"/>
            <w:shd w:val="clear" w:color="auto" w:fill="E6E6E6"/>
          </w:tcPr>
          <w:p>
            <w:pPr>
              <w:spacing w:after="0"/>
              <w:rPr>
                <w:sz w:val="19"/>
                <w:szCs w:val="19"/>
                <w:color w:val="auto"/>
              </w:rPr>
            </w:pPr>
          </w:p>
        </w:tc>
        <w:tc>
          <w:tcPr>
            <w:tcW w:w="6880" w:type="dxa"/>
            <w:vAlign w:val="bottom"/>
            <w:tcBorders>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General Manager and Senior Vice President, Core Products</w:t>
            </w:r>
          </w:p>
        </w:tc>
      </w:tr>
      <w:tr>
        <w:trPr>
          <w:trHeight w:val="20"/>
        </w:trPr>
        <w:tc>
          <w:tcPr>
            <w:tcW w:w="2780" w:type="dxa"/>
            <w:vAlign w:val="bottom"/>
            <w:tcBorders>
              <w:left w:val="single" w:sz="8" w:color="E6E6E6"/>
              <w:right w:val="single" w:sz="8" w:color="E6E6E6"/>
            </w:tcBorders>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6880" w:type="dxa"/>
            <w:vAlign w:val="bottom"/>
            <w:tcBorders>
              <w:right w:val="single" w:sz="8" w:color="E6E6E6"/>
            </w:tcBorders>
            <w:shd w:val="clear" w:color="auto" w:fill="E6E6E6"/>
          </w:tcPr>
          <w:p>
            <w:pPr>
              <w:spacing w:after="0" w:line="20" w:lineRule="exact"/>
              <w:rPr>
                <w:sz w:val="1"/>
                <w:szCs w:val="1"/>
                <w:color w:val="auto"/>
              </w:rPr>
            </w:pPr>
          </w:p>
        </w:tc>
      </w:tr>
    </w:tbl>
    <w:p>
      <w:pPr>
        <w:spacing w:after="0" w:line="208" w:lineRule="exact"/>
        <w:rPr>
          <w:sz w:val="20"/>
          <w:szCs w:val="20"/>
          <w:color w:val="auto"/>
        </w:rPr>
      </w:pPr>
    </w:p>
    <w:p>
      <w:pPr>
        <w:ind w:left="360" w:hanging="347"/>
        <w:spacing w:after="0"/>
        <w:tabs>
          <w:tab w:leader="none" w:pos="360" w:val="left"/>
        </w:tabs>
        <w:numPr>
          <w:ilvl w:val="0"/>
          <w:numId w:val="46"/>
        </w:numPr>
        <w:rPr>
          <w:rFonts w:ascii="Arial" w:cs="Arial" w:eastAsia="Arial" w:hAnsi="Arial"/>
          <w:sz w:val="20"/>
          <w:szCs w:val="20"/>
          <w:color w:val="auto"/>
          <w:vertAlign w:val="superscript"/>
        </w:rPr>
      </w:pPr>
      <w:r>
        <w:rPr>
          <w:rFonts w:ascii="Arial" w:cs="Arial" w:eastAsia="Arial" w:hAnsi="Arial"/>
          <w:sz w:val="15"/>
          <w:szCs w:val="15"/>
          <w:color w:val="auto"/>
        </w:rPr>
        <w:t>Mr. Tennenbaum has served as our Chief Financial Officer since December 2025.</w:t>
      </w:r>
    </w:p>
    <w:p>
      <w:pPr>
        <w:spacing w:after="0" w:line="9" w:lineRule="exact"/>
        <w:rPr>
          <w:rFonts w:ascii="Arial" w:cs="Arial" w:eastAsia="Arial" w:hAnsi="Arial"/>
          <w:sz w:val="20"/>
          <w:szCs w:val="20"/>
          <w:color w:val="auto"/>
          <w:vertAlign w:val="superscript"/>
        </w:rPr>
      </w:pPr>
    </w:p>
    <w:p>
      <w:pPr>
        <w:ind w:left="360" w:hanging="347"/>
        <w:spacing w:after="0" w:line="219" w:lineRule="auto"/>
        <w:tabs>
          <w:tab w:leader="none" w:pos="360" w:val="left"/>
        </w:tabs>
        <w:numPr>
          <w:ilvl w:val="0"/>
          <w:numId w:val="46"/>
        </w:numPr>
        <w:rPr>
          <w:rFonts w:ascii="Arial" w:cs="Arial" w:eastAsia="Arial" w:hAnsi="Arial"/>
          <w:sz w:val="20"/>
          <w:szCs w:val="20"/>
          <w:color w:val="auto"/>
          <w:vertAlign w:val="superscript"/>
        </w:rPr>
      </w:pPr>
      <w:r>
        <w:rPr>
          <w:rFonts w:ascii="Arial" w:cs="Arial" w:eastAsia="Arial" w:hAnsi="Arial"/>
          <w:sz w:val="15"/>
          <w:szCs w:val="15"/>
          <w:color w:val="auto"/>
        </w:rPr>
        <w:t>Mr. Regan resigned as our Chief Financial Officer, effective December 16, 2025.</w:t>
      </w:r>
    </w:p>
    <w:p>
      <w:pPr>
        <w:spacing w:after="0" w:line="10" w:lineRule="exact"/>
        <w:rPr>
          <w:rFonts w:ascii="Arial" w:cs="Arial" w:eastAsia="Arial" w:hAnsi="Arial"/>
          <w:sz w:val="20"/>
          <w:szCs w:val="20"/>
          <w:color w:val="auto"/>
          <w:vertAlign w:val="superscript"/>
        </w:rPr>
      </w:pPr>
    </w:p>
    <w:p>
      <w:pPr>
        <w:ind w:left="360" w:hanging="347"/>
        <w:spacing w:after="0" w:line="219" w:lineRule="auto"/>
        <w:tabs>
          <w:tab w:leader="none" w:pos="360" w:val="left"/>
        </w:tabs>
        <w:numPr>
          <w:ilvl w:val="0"/>
          <w:numId w:val="46"/>
        </w:numPr>
        <w:rPr>
          <w:rFonts w:ascii="Arial" w:cs="Arial" w:eastAsia="Arial" w:hAnsi="Arial"/>
          <w:sz w:val="20"/>
          <w:szCs w:val="20"/>
          <w:color w:val="auto"/>
          <w:vertAlign w:val="superscript"/>
        </w:rPr>
      </w:pPr>
      <w:r>
        <w:rPr>
          <w:rFonts w:ascii="Arial" w:cs="Arial" w:eastAsia="Arial" w:hAnsi="Arial"/>
          <w:sz w:val="15"/>
          <w:szCs w:val="15"/>
          <w:color w:val="auto"/>
        </w:rPr>
        <w:t>Mr. Yoon has served as our Chief Legal Officer since March 2025.</w:t>
      </w:r>
    </w:p>
    <w:p>
      <w:pPr>
        <w:spacing w:after="0" w:line="10" w:lineRule="exact"/>
        <w:rPr>
          <w:rFonts w:ascii="Arial" w:cs="Arial" w:eastAsia="Arial" w:hAnsi="Arial"/>
          <w:sz w:val="20"/>
          <w:szCs w:val="20"/>
          <w:color w:val="auto"/>
          <w:vertAlign w:val="superscript"/>
        </w:rPr>
      </w:pPr>
    </w:p>
    <w:p>
      <w:pPr>
        <w:ind w:left="360" w:hanging="347"/>
        <w:spacing w:after="0" w:line="219" w:lineRule="auto"/>
        <w:tabs>
          <w:tab w:leader="none" w:pos="360" w:val="left"/>
        </w:tabs>
        <w:numPr>
          <w:ilvl w:val="0"/>
          <w:numId w:val="46"/>
        </w:numPr>
        <w:rPr>
          <w:rFonts w:ascii="Arial" w:cs="Arial" w:eastAsia="Arial" w:hAnsi="Arial"/>
          <w:sz w:val="20"/>
          <w:szCs w:val="20"/>
          <w:color w:val="auto"/>
          <w:vertAlign w:val="superscript"/>
        </w:rPr>
      </w:pPr>
      <w:r>
        <w:rPr>
          <w:rFonts w:ascii="Arial" w:cs="Arial" w:eastAsia="Arial" w:hAnsi="Arial"/>
          <w:sz w:val="15"/>
          <w:szCs w:val="15"/>
          <w:color w:val="auto"/>
        </w:rPr>
        <w:t>Mr. Dasdan has served as our Chief Technology Officer since March 2025.</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Certain Fiscal 2025 Leadership Changes</w:t>
      </w:r>
    </w:p>
    <w:p>
      <w:pPr>
        <w:spacing w:after="0" w:line="188" w:lineRule="exact"/>
        <w:rPr>
          <w:sz w:val="20"/>
          <w:szCs w:val="20"/>
          <w:color w:val="auto"/>
        </w:rPr>
      </w:pPr>
    </w:p>
    <w:p>
      <w:pPr>
        <w:jc w:val="both"/>
        <w:ind w:left="20" w:right="20"/>
        <w:spacing w:after="0" w:line="280" w:lineRule="auto"/>
        <w:rPr>
          <w:sz w:val="20"/>
          <w:szCs w:val="20"/>
          <w:color w:val="auto"/>
        </w:rPr>
      </w:pPr>
      <w:r>
        <w:rPr>
          <w:rFonts w:ascii="Arial" w:cs="Arial" w:eastAsia="Arial" w:hAnsi="Arial"/>
          <w:sz w:val="18"/>
          <w:szCs w:val="18"/>
          <w:color w:val="auto"/>
        </w:rPr>
        <w:t>As previously disclosed, certain leadership changes occurred in fiscal year 2025. We remain focused on ensuring our executive leadership team has the depth of experience necessary to advance our strategic priorities, including scaling Dropbox Dash and strengthening our core file storage and sync experience.</w:t>
      </w:r>
    </w:p>
    <w:p>
      <w:pPr>
        <w:spacing w:after="0" w:line="132" w:lineRule="exact"/>
        <w:rPr>
          <w:sz w:val="20"/>
          <w:szCs w:val="20"/>
          <w:color w:val="auto"/>
        </w:rPr>
      </w:pPr>
    </w:p>
    <w:p>
      <w:pPr>
        <w:jc w:val="both"/>
        <w:ind w:left="20" w:right="20"/>
        <w:spacing w:after="0" w:line="303" w:lineRule="auto"/>
        <w:rPr>
          <w:sz w:val="20"/>
          <w:szCs w:val="20"/>
          <w:color w:val="auto"/>
        </w:rPr>
      </w:pPr>
      <w:r>
        <w:rPr>
          <w:rFonts w:ascii="Arial" w:cs="Arial" w:eastAsia="Arial" w:hAnsi="Arial"/>
          <w:sz w:val="17"/>
          <w:szCs w:val="17"/>
          <w:color w:val="auto"/>
        </w:rPr>
        <w:t>In December 2025, Mr. Regan, former Chief Financial Officer of Dropbox, notified the company of his decision to resign to pursue the next chapter of his career after more than five years as Chief Financial Officer and nine years with the company. As a result, the board of directors appointed Mr. Tennenbaum as the company's Chief Financial Officer in December 2025.</w:t>
      </w:r>
    </w:p>
    <w:p>
      <w:pPr>
        <w:spacing w:after="0" w:line="111" w:lineRule="exact"/>
        <w:rPr>
          <w:sz w:val="20"/>
          <w:szCs w:val="20"/>
          <w:color w:val="auto"/>
        </w:rPr>
      </w:pPr>
    </w:p>
    <w:p>
      <w:pPr>
        <w:jc w:val="both"/>
        <w:ind w:left="20" w:right="20"/>
        <w:spacing w:after="0" w:line="280" w:lineRule="auto"/>
        <w:rPr>
          <w:sz w:val="20"/>
          <w:szCs w:val="20"/>
          <w:color w:val="auto"/>
        </w:rPr>
      </w:pPr>
      <w:r>
        <w:rPr>
          <w:rFonts w:ascii="Arial" w:cs="Arial" w:eastAsia="Arial" w:hAnsi="Arial"/>
          <w:sz w:val="18"/>
          <w:szCs w:val="18"/>
          <w:color w:val="auto"/>
        </w:rPr>
        <w:t>In addition, in March 2025, Mr. Yoon was appointed as Chief Legal Officer to replace our prior Chief Legal Officer upon his resignation. Mr. Yoon previously served as our Vice President, Product Counseling &amp; Privacy and has over a decade of experience with Dropbox.</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also appointed Mr. Dasdan as the company's Chief Technology Officer in March 2025.</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Additional information on Messrs. Tennenbaum, Yoon, and Dasdan can be found in their biographies set forth above.</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28"/>
          <w:szCs w:val="28"/>
          <w:color w:val="0A248E"/>
        </w:rPr>
        <w:t>Executive Summary</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A248E"/>
        </w:rPr>
        <w:t>Who We Are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Dropbox is the one place to keep life organized and keep work moving.</w:t>
      </w:r>
    </w:p>
    <w:p>
      <w:pPr>
        <w:spacing w:after="0" w:line="200" w:lineRule="exact"/>
        <w:rPr>
          <w:sz w:val="20"/>
          <w:szCs w:val="20"/>
          <w:color w:val="auto"/>
        </w:rPr>
      </w:pPr>
    </w:p>
    <w:p>
      <w:pPr>
        <w:ind w:left="20" w:right="140"/>
        <w:spacing w:after="0" w:line="284" w:lineRule="auto"/>
        <w:rPr>
          <w:sz w:val="20"/>
          <w:szCs w:val="20"/>
          <w:color w:val="auto"/>
        </w:rPr>
      </w:pPr>
      <w:r>
        <w:rPr>
          <w:rFonts w:ascii="Arial" w:cs="Arial" w:eastAsia="Arial" w:hAnsi="Arial"/>
          <w:sz w:val="18"/>
          <w:szCs w:val="18"/>
          <w:color w:val="auto"/>
        </w:rPr>
        <w:t>We were founded in 2007 with a simple idea: Life would be a lot better if everyone could access their most important information anytime from any device. We’ve largely accomplished that mission by building tools to help people work from anywhere—and along the way we recognized that for most of our users, sharing and collaborating on the Dropbox platform was even more valuable than storing files.</w:t>
      </w:r>
    </w:p>
    <w:p>
      <w:pPr>
        <w:spacing w:after="0" w:line="125" w:lineRule="exact"/>
        <w:rPr>
          <w:sz w:val="20"/>
          <w:szCs w:val="20"/>
          <w:color w:val="auto"/>
        </w:rPr>
      </w:pPr>
    </w:p>
    <w:p>
      <w:pPr>
        <w:ind w:left="20" w:right="60"/>
        <w:spacing w:after="0" w:line="315" w:lineRule="auto"/>
        <w:rPr>
          <w:sz w:val="20"/>
          <w:szCs w:val="20"/>
          <w:color w:val="auto"/>
        </w:rPr>
      </w:pPr>
      <w:r>
        <w:rPr>
          <w:rFonts w:ascii="Arial" w:cs="Arial" w:eastAsia="Arial" w:hAnsi="Arial"/>
          <w:sz w:val="17"/>
          <w:szCs w:val="17"/>
          <w:color w:val="auto"/>
        </w:rPr>
        <w:t>Our market opportunity grew as we’ve expanded from keeping files in sync to keeping teams in sync. Today, we are focused on reimagining the way work gets done by reducing the inordinate amount of time and energy the world spends on “work about work”—tedious tasks like searching for content, switching between applications, and managing workflows. We believe</w:t>
      </w:r>
    </w:p>
    <w:p>
      <w:pPr>
        <w:sectPr>
          <w:pgSz w:w="11880" w:h="15480" w:orient="portrait"/>
          <w:cols w:equalWidth="0" w:num="1">
            <w:col w:w="9680"/>
          </w:cols>
          <w:pgMar w:left="1120" w:top="3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0" w:hanging="475"/>
        <w:spacing w:after="0"/>
        <w:tabs>
          <w:tab w:leader="none" w:pos="54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80"/>
          </w:cols>
          <w:pgMar w:left="1120" w:top="340" w:right="1080" w:bottom="0" w:gutter="0" w:footer="0" w:header="0"/>
          <w:type w:val="continuous"/>
        </w:sectPr>
      </w:pPr>
    </w:p>
    <w:bookmarkStart w:id="46" w:name="page47"/>
    <w:bookmarkEnd w:id="46"/>
    <w:p>
      <w:pPr>
        <w:spacing w:after="0"/>
        <w:rPr>
          <w:sz w:val="20"/>
          <w:szCs w:val="20"/>
          <w:color w:val="auto"/>
        </w:rPr>
      </w:pPr>
      <w:r>
        <w:rPr>
          <w:rFonts w:ascii="Arial" w:cs="Arial" w:eastAsia="Arial" w:hAnsi="Arial"/>
          <w:sz w:val="33"/>
          <w:szCs w:val="33"/>
          <w:color w:val="0A248E"/>
        </w:rPr>
        <w:t>EXECUTIVE COMPENSATION (continued)</w:t>
      </w:r>
    </w:p>
    <w:p>
      <w:pPr>
        <w:spacing w:after="0" w:line="28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pacing w:after="0" w:line="127" w:lineRule="exact"/>
        <w:rPr>
          <w:sz w:val="20"/>
          <w:szCs w:val="20"/>
          <w:color w:val="auto"/>
        </w:rPr>
      </w:pPr>
    </w:p>
    <w:p>
      <w:pPr>
        <w:spacing w:after="0" w:line="310"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allows us to scale efficiently. We’ve built a thriving global business with 18.08 million paying users as of December 31,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2025 Business Results and Business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97790</wp:posOffset>
                </wp:positionV>
                <wp:extent cx="6115685" cy="25273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5685" cy="252730"/>
                        </a:xfrm>
                        <a:prstGeom prst="rect">
                          <a:avLst/>
                        </a:prstGeom>
                        <a:solidFill>
                          <a:srgbClr val="F2F2F2"/>
                        </a:solidFill>
                      </wps:spPr>
                      <wps:bodyPr/>
                    </wps:wsp>
                  </a:graphicData>
                </a:graphic>
              </wp:anchor>
            </w:drawing>
          </mc:Choice>
          <mc:Fallback>
            <w:pict>
              <v:rect id="Shape 75" o:spid="_x0000_s1100" style="position:absolute;margin-left:0.15pt;margin-top:7.7pt;width:481.55pt;height:1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mc:AlternateContent>
          <mc:Choice Requires="wps">
            <w:drawing>
              <wp:anchor simplePos="0" relativeHeight="251657728" behindDoc="1" locked="0" layoutInCell="0" allowOverlap="1">
                <wp:simplePos x="0" y="0"/>
                <wp:positionH relativeFrom="column">
                  <wp:posOffset>3086735</wp:posOffset>
                </wp:positionH>
                <wp:positionV relativeFrom="paragraph">
                  <wp:posOffset>97790</wp:posOffset>
                </wp:positionV>
                <wp:extent cx="3030855" cy="48450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855" cy="484505"/>
                        </a:xfrm>
                        <a:prstGeom prst="rect">
                          <a:avLst/>
                        </a:prstGeom>
                        <a:solidFill>
                          <a:srgbClr val="F2F2F2"/>
                        </a:solidFill>
                      </wps:spPr>
                      <wps:bodyPr/>
                    </wps:wsp>
                  </a:graphicData>
                </a:graphic>
              </wp:anchor>
            </w:drawing>
          </mc:Choice>
          <mc:Fallback>
            <w:pict>
              <v:rect id="Shape 76" o:spid="_x0000_s1101" style="position:absolute;margin-left:243.05pt;margin-top:7.7pt;width:238.65pt;height:38.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91440</wp:posOffset>
                </wp:positionV>
                <wp:extent cx="614172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1720" cy="4763"/>
                        </a:xfrm>
                        <a:prstGeom prst="line">
                          <a:avLst/>
                        </a:prstGeom>
                        <a:solidFill>
                          <a:srgbClr val="FFFFFF"/>
                        </a:solidFill>
                        <a:ln w="11886">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499pt,7.2pt" to="482.85pt,7.2pt" o:allowincell="f" strokecolor="#000000" strokeweight="0.9359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85725</wp:posOffset>
                </wp:positionV>
                <wp:extent cx="0" cy="489712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97120"/>
                        </a:xfrm>
                        <a:prstGeom prst="line">
                          <a:avLst/>
                        </a:prstGeom>
                        <a:solidFill>
                          <a:srgbClr val="FFFFFF"/>
                        </a:solidFill>
                        <a:ln w="11887">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6.75pt" to="-0.2999pt,392.35pt" o:allowincell="f" strokecolor="#000000" strokeweight="0.936pt"/>
            </w:pict>
          </mc:Fallback>
        </mc:AlternateContent>
        <mc:AlternateContent>
          <mc:Choice Requires="wps">
            <w:drawing>
              <wp:anchor simplePos="0" relativeHeight="251657728" behindDoc="1" locked="0" layoutInCell="0" allowOverlap="1">
                <wp:simplePos x="0" y="0"/>
                <wp:positionH relativeFrom="column">
                  <wp:posOffset>6126480</wp:posOffset>
                </wp:positionH>
                <wp:positionV relativeFrom="paragraph">
                  <wp:posOffset>85725</wp:posOffset>
                </wp:positionV>
                <wp:extent cx="0" cy="489712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97120"/>
                        </a:xfrm>
                        <a:prstGeom prst="line">
                          <a:avLst/>
                        </a:prstGeom>
                        <a:solidFill>
                          <a:srgbClr val="FFFFFF"/>
                        </a:solidFill>
                        <a:ln w="11886">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4pt,6.75pt" to="482.4pt,392.35pt" o:allowincell="f" strokecolor="#000000" strokeweight="0.9359pt"/>
            </w:pict>
          </mc:Fallback>
        </mc:AlternateContent>
      </w:r>
    </w:p>
    <w:p>
      <w:pPr>
        <w:spacing w:after="0" w:line="156" w:lineRule="exact"/>
        <w:rPr>
          <w:sz w:val="20"/>
          <w:szCs w:val="20"/>
          <w:color w:val="auto"/>
        </w:rPr>
      </w:pPr>
    </w:p>
    <w:p>
      <w:pPr>
        <w:ind w:left="1360"/>
        <w:spacing w:after="0"/>
        <w:rPr>
          <w:sz w:val="20"/>
          <w:szCs w:val="20"/>
          <w:color w:val="auto"/>
        </w:rPr>
      </w:pPr>
      <w:r>
        <w:rPr>
          <w:rFonts w:ascii="Calibri" w:cs="Calibri" w:eastAsia="Calibri" w:hAnsi="Calibri"/>
          <w:sz w:val="27"/>
          <w:szCs w:val="27"/>
          <w:b w:val="1"/>
          <w:bCs w:val="1"/>
          <w:u w:val="single" w:color="auto"/>
          <w:color w:val="auto"/>
        </w:rPr>
        <w:t xml:space="preserve">Business Results            </w:t>
      </w:r>
      <w:r>
        <w:rPr>
          <w:sz w:val="1"/>
          <w:szCs w:val="1"/>
          <w:color w:val="auto"/>
        </w:rPr>
        <w:drawing>
          <wp:inline distT="0" distB="0" distL="0" distR="0">
            <wp:extent cx="184150" cy="4038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a:extLst>
                        <a:ext uri="{28A0092B-C50C-407E-A947-70E740481C1C}"/>
                      </a:extLst>
                    </a:blip>
                    <a:srcRect/>
                    <a:stretch>
                      <a:fillRect/>
                    </a:stretch>
                  </pic:blipFill>
                  <pic:spPr bwMode="auto">
                    <a:xfrm>
                      <a:off x="0" y="0"/>
                      <a:ext cx="184150" cy="403860"/>
                    </a:xfrm>
                    <a:prstGeom prst="rect">
                      <a:avLst/>
                    </a:prstGeom>
                    <a:noFill/>
                    <a:ln>
                      <a:noFill/>
                    </a:ln>
                  </pic:spPr>
                </pic:pic>
              </a:graphicData>
            </a:graphic>
          </wp:inline>
        </w:drawing>
      </w:r>
      <w:r>
        <w:rPr>
          <w:rFonts w:ascii="Calibri" w:cs="Calibri" w:eastAsia="Calibri" w:hAnsi="Calibri"/>
          <w:sz w:val="27"/>
          <w:szCs w:val="27"/>
          <w:b w:val="1"/>
          <w:bCs w:val="1"/>
          <w:u w:val="single" w:color="auto"/>
          <w:color w:val="auto"/>
        </w:rPr>
        <w:t xml:space="preserve">            Business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-210820</wp:posOffset>
                </wp:positionV>
                <wp:extent cx="2900680" cy="23114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00680" cy="231140"/>
                        </a:xfrm>
                        <a:prstGeom prst="rect">
                          <a:avLst/>
                        </a:prstGeom>
                        <a:solidFill>
                          <a:srgbClr val="F2F2F2"/>
                        </a:solidFill>
                      </wps:spPr>
                      <wps:bodyPr/>
                    </wps:wsp>
                  </a:graphicData>
                </a:graphic>
              </wp:anchor>
            </w:drawing>
          </mc:Choice>
          <mc:Fallback>
            <w:pict>
              <v:rect id="Shape 81" o:spid="_x0000_s1106" style="position:absolute;margin-left:0.15pt;margin-top:-16.5999pt;width:228.4pt;height:1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-151765</wp:posOffset>
                </wp:positionV>
                <wp:extent cx="6115685" cy="17208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5685" cy="172085"/>
                        </a:xfrm>
                        <a:prstGeom prst="rect">
                          <a:avLst/>
                        </a:prstGeom>
                        <a:solidFill>
                          <a:srgbClr val="F2F2F2"/>
                        </a:solidFill>
                      </wps:spPr>
                      <wps:bodyPr/>
                    </wps:wsp>
                  </a:graphicData>
                </a:graphic>
              </wp:anchor>
            </w:drawing>
          </mc:Choice>
          <mc:Fallback>
            <w:pict>
              <v:rect id="Shape 82" o:spid="_x0000_s1107" style="position:absolute;margin-left:0.15pt;margin-top:-11.9499pt;width:481.55pt;height:1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19685</wp:posOffset>
                </wp:positionV>
                <wp:extent cx="6116320" cy="7429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6320" cy="74295"/>
                        </a:xfrm>
                        <a:prstGeom prst="rect">
                          <a:avLst/>
                        </a:prstGeom>
                        <a:solidFill>
                          <a:srgbClr val="F2F2F2"/>
                        </a:solidFill>
                      </wps:spPr>
                      <wps:bodyPr/>
                    </wps:wsp>
                  </a:graphicData>
                </a:graphic>
              </wp:anchor>
            </w:drawing>
          </mc:Choice>
          <mc:Fallback>
            <w:pict>
              <v:rect id="Shape 83" o:spid="_x0000_s1108" style="position:absolute;margin-left:0.1pt;margin-top:1.55pt;width:481.6pt;height:5.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-151765</wp:posOffset>
                </wp:positionV>
                <wp:extent cx="1292225" cy="29019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290195"/>
                        </a:xfrm>
                        <a:prstGeom prst="rect">
                          <a:avLst/>
                        </a:prstGeom>
                        <a:solidFill>
                          <a:srgbClr val="F2F2F2"/>
                        </a:solidFill>
                      </wps:spPr>
                      <wps:bodyPr/>
                    </wps:wsp>
                  </a:graphicData>
                </a:graphic>
              </wp:anchor>
            </w:drawing>
          </mc:Choice>
          <mc:Fallback>
            <w:pict>
              <v:rect id="Shape 84" o:spid="_x0000_s1109" style="position:absolute;margin-left:0.15pt;margin-top:-11.9499pt;width:101.75pt;height:2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mc:AlternateContent>
          <mc:Choice Requires="wps">
            <w:drawing>
              <wp:anchor simplePos="0" relativeHeight="251657728" behindDoc="1" locked="0" layoutInCell="0" allowOverlap="1">
                <wp:simplePos x="0" y="0"/>
                <wp:positionH relativeFrom="column">
                  <wp:posOffset>3086735</wp:posOffset>
                </wp:positionH>
                <wp:positionV relativeFrom="paragraph">
                  <wp:posOffset>94615</wp:posOffset>
                </wp:positionV>
                <wp:extent cx="3030855" cy="414845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855" cy="4148455"/>
                        </a:xfrm>
                        <a:prstGeom prst="rect">
                          <a:avLst/>
                        </a:prstGeom>
                        <a:solidFill>
                          <a:srgbClr val="F2F2F2"/>
                        </a:solidFill>
                      </wps:spPr>
                      <wps:bodyPr/>
                    </wps:wsp>
                  </a:graphicData>
                </a:graphic>
              </wp:anchor>
            </w:drawing>
          </mc:Choice>
          <mc:Fallback>
            <w:pict>
              <v:rect id="Shape 85" o:spid="_x0000_s1110" style="position:absolute;margin-left:243.05pt;margin-top:7.45pt;width:238.65pt;height:326.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mc:AlternateContent>
          <mc:Choice Requires="wps">
            <w:drawing>
              <wp:anchor simplePos="0" relativeHeight="251657728" behindDoc="1" locked="0" layoutInCell="0" allowOverlap="1">
                <wp:simplePos x="0" y="0"/>
                <wp:positionH relativeFrom="column">
                  <wp:posOffset>3119120</wp:posOffset>
                </wp:positionH>
                <wp:positionV relativeFrom="paragraph">
                  <wp:posOffset>94615</wp:posOffset>
                </wp:positionV>
                <wp:extent cx="2971800" cy="360489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1800" cy="3604895"/>
                        </a:xfrm>
                        <a:prstGeom prst="rect">
                          <a:avLst/>
                        </a:prstGeom>
                        <a:solidFill>
                          <a:srgbClr val="F2F2F2"/>
                        </a:solidFill>
                      </wps:spPr>
                      <wps:bodyPr/>
                    </wps:wsp>
                  </a:graphicData>
                </a:graphic>
              </wp:anchor>
            </w:drawing>
          </mc:Choice>
          <mc:Fallback>
            <w:pict>
              <v:rect id="Shape 86" o:spid="_x0000_s1111" style="position:absolute;margin-left:245.6pt;margin-top:7.45pt;width:234pt;height:28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sectPr>
          <w:pgSz w:w="11880" w:h="15480" w:orient="portrait"/>
          <w:cols w:equalWidth="0" w:num="1">
            <w:col w:w="9640"/>
          </w:cols>
          <w:pgMar w:left="1140" w:top="340" w:right="1100" w:bottom="0" w:gutter="0" w:footer="0" w:header="0"/>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70"/>
        </w:trPr>
        <w:tc>
          <w:tcPr>
            <w:tcW w:w="20" w:type="dxa"/>
            <w:vAlign w:val="bottom"/>
            <w:shd w:val="clear" w:color="auto" w:fill="F2F2F2"/>
          </w:tcPr>
          <w:p>
            <w:pPr>
              <w:spacing w:after="0"/>
              <w:rPr>
                <w:sz w:val="6"/>
                <w:szCs w:val="6"/>
                <w:color w:val="auto"/>
              </w:rPr>
            </w:pPr>
          </w:p>
        </w:tc>
        <w:tc>
          <w:tcPr>
            <w:tcW w:w="20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Revenue ($M)</w:t>
            </w:r>
          </w:p>
        </w:tc>
        <w:tc>
          <w:tcPr>
            <w:tcW w:w="1160" w:type="dxa"/>
            <w:vAlign w:val="bottom"/>
            <w:tcBorders>
              <w:left w:val="single" w:sz="8" w:color="9E9ACC"/>
              <w:right w:val="single" w:sz="8" w:color="9E9ACC"/>
            </w:tcBorders>
            <w:vMerge w:val="restart"/>
            <w:shd w:val="clear" w:color="auto" w:fill="9E9ACC"/>
          </w:tcPr>
          <w:p>
            <w:pPr>
              <w:jc w:val="center"/>
              <w:spacing w:after="0"/>
              <w:rPr>
                <w:sz w:val="20"/>
                <w:szCs w:val="20"/>
                <w:color w:val="auto"/>
              </w:rPr>
            </w:pPr>
            <w:r>
              <w:rPr>
                <w:rFonts w:ascii="Arial" w:cs="Arial" w:eastAsia="Arial" w:hAnsi="Arial"/>
                <w:sz w:val="18"/>
                <w:szCs w:val="18"/>
                <w:b w:val="1"/>
                <w:bCs w:val="1"/>
                <w:color w:val="auto"/>
                <w:w w:val="96"/>
              </w:rPr>
              <w:t>$2,548.2</w:t>
            </w:r>
          </w:p>
        </w:tc>
        <w:tc>
          <w:tcPr>
            <w:tcW w:w="260" w:type="dxa"/>
            <w:vAlign w:val="bottom"/>
            <w:tcBorders>
              <w:right w:val="single" w:sz="8" w:color="F2F2F2"/>
            </w:tcBorders>
            <w:shd w:val="clear" w:color="auto" w:fill="F2F2F2"/>
          </w:tcPr>
          <w:p>
            <w:pPr>
              <w:spacing w:after="0"/>
              <w:rPr>
                <w:sz w:val="6"/>
                <w:szCs w:val="6"/>
                <w:color w:val="auto"/>
              </w:rPr>
            </w:pPr>
          </w:p>
        </w:tc>
        <w:tc>
          <w:tcPr>
            <w:tcW w:w="1120" w:type="dxa"/>
            <w:vAlign w:val="bottom"/>
            <w:tcBorders>
              <w:right w:val="single" w:sz="8" w:color="F2F2F2"/>
            </w:tcBorders>
            <w:shd w:val="clear" w:color="auto" w:fill="F2F2F2"/>
          </w:tcPr>
          <w:p>
            <w:pPr>
              <w:spacing w:after="0"/>
              <w:rPr>
                <w:sz w:val="6"/>
                <w:szCs w:val="6"/>
                <w:color w:val="auto"/>
              </w:rPr>
            </w:pPr>
          </w:p>
        </w:tc>
        <w:tc>
          <w:tcPr>
            <w:tcW w:w="2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160" w:type="dxa"/>
            <w:vAlign w:val="bottom"/>
            <w:tcBorders>
              <w:left w:val="single" w:sz="8" w:color="9E9ACC"/>
              <w:right w:val="single" w:sz="8" w:color="9E9ACC"/>
            </w:tcBorders>
            <w:vMerge w:val="continue"/>
            <w:shd w:val="clear" w:color="auto" w:fill="9E9ACC"/>
          </w:tcPr>
          <w:p>
            <w:pPr>
              <w:spacing w:after="0"/>
              <w:rPr>
                <w:sz w:val="24"/>
                <w:szCs w:val="24"/>
                <w:color w:val="auto"/>
              </w:rPr>
            </w:pPr>
          </w:p>
        </w:tc>
        <w:tc>
          <w:tcPr>
            <w:tcW w:w="260" w:type="dxa"/>
            <w:vAlign w:val="bottom"/>
            <w:tcBorders>
              <w:right w:val="single" w:sz="8" w:color="0A248E"/>
            </w:tcBorders>
            <w:shd w:val="clear" w:color="auto" w:fill="F2F2F2"/>
          </w:tcPr>
          <w:p>
            <w:pPr>
              <w:spacing w:after="0"/>
              <w:rPr>
                <w:sz w:val="24"/>
                <w:szCs w:val="24"/>
                <w:color w:val="auto"/>
              </w:rPr>
            </w:pPr>
          </w:p>
        </w:tc>
        <w:tc>
          <w:tcPr>
            <w:tcW w:w="11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8"/>
                <w:szCs w:val="18"/>
                <w:b w:val="1"/>
                <w:bCs w:val="1"/>
                <w:color w:val="FFFFFF"/>
                <w:w w:val="96"/>
              </w:rPr>
              <w:t>$2,521.0</w:t>
            </w: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60" w:type="dxa"/>
            <w:vAlign w:val="bottom"/>
            <w:tcBorders>
              <w:left w:val="single" w:sz="8" w:color="9E9ACC"/>
              <w:right w:val="single" w:sz="8" w:color="9E9ACC"/>
            </w:tcBorders>
            <w:shd w:val="clear" w:color="auto" w:fill="9E9ACC"/>
          </w:tcPr>
          <w:p>
            <w:pPr>
              <w:spacing w:after="0"/>
              <w:rPr>
                <w:sz w:val="13"/>
                <w:szCs w:val="13"/>
                <w:color w:val="auto"/>
              </w:rPr>
            </w:pPr>
          </w:p>
        </w:tc>
        <w:tc>
          <w:tcPr>
            <w:tcW w:w="260" w:type="dxa"/>
            <w:vAlign w:val="bottom"/>
            <w:tcBorders>
              <w:right w:val="single" w:sz="8" w:color="0A248E"/>
            </w:tcBorders>
            <w:shd w:val="clear" w:color="auto" w:fill="F2F2F2"/>
          </w:tcPr>
          <w:p>
            <w:pPr>
              <w:spacing w:after="0"/>
              <w:rPr>
                <w:sz w:val="13"/>
                <w:szCs w:val="13"/>
                <w:color w:val="auto"/>
              </w:rPr>
            </w:pPr>
          </w:p>
        </w:tc>
        <w:tc>
          <w:tcPr>
            <w:tcW w:w="1120" w:type="dxa"/>
            <w:vAlign w:val="bottom"/>
            <w:tcBorders>
              <w:right w:val="single" w:sz="8" w:color="0A248E"/>
            </w:tcBorders>
            <w:shd w:val="clear" w:color="auto" w:fill="0A248E"/>
          </w:tcPr>
          <w:p>
            <w:pPr>
              <w:spacing w:after="0"/>
              <w:rPr>
                <w:sz w:val="13"/>
                <w:szCs w:val="13"/>
                <w:color w:val="auto"/>
              </w:rPr>
            </w:pPr>
          </w:p>
        </w:tc>
        <w:tc>
          <w:tcPr>
            <w:tcW w:w="28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20" w:type="dxa"/>
            <w:vAlign w:val="bottom"/>
            <w:shd w:val="clear" w:color="auto" w:fill="F2F2F2"/>
          </w:tcPr>
          <w:p>
            <w:pPr>
              <w:spacing w:after="0"/>
              <w:rPr>
                <w:sz w:val="24"/>
                <w:szCs w:val="24"/>
                <w:color w:val="auto"/>
              </w:rPr>
            </w:pPr>
          </w:p>
        </w:tc>
        <w:tc>
          <w:tcPr>
            <w:tcW w:w="2020" w:type="dxa"/>
            <w:vAlign w:val="bottom"/>
            <w:tcBorders>
              <w:right w:val="single" w:sz="8" w:color="F2F2F2"/>
            </w:tcBorders>
            <w:shd w:val="clear" w:color="auto" w:fill="F2F2F2"/>
          </w:tcPr>
          <w:p>
            <w:pPr>
              <w:spacing w:after="0"/>
              <w:rPr>
                <w:sz w:val="24"/>
                <w:szCs w:val="24"/>
                <w:color w:val="auto"/>
              </w:rPr>
            </w:pPr>
          </w:p>
        </w:tc>
        <w:tc>
          <w:tcPr>
            <w:tcW w:w="1160" w:type="dxa"/>
            <w:vAlign w:val="bottom"/>
            <w:tcBorders>
              <w:left w:val="single" w:sz="8" w:color="F2F2F2"/>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2024</w:t>
            </w:r>
          </w:p>
        </w:tc>
        <w:tc>
          <w:tcPr>
            <w:tcW w:w="260" w:type="dxa"/>
            <w:vAlign w:val="bottom"/>
            <w:tcBorders>
              <w:right w:val="single" w:sz="8" w:color="F2F2F2"/>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2025</w:t>
            </w: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shd w:val="clear" w:color="auto" w:fill="F2F2F2"/>
          </w:tcPr>
          <w:p>
            <w:pPr>
              <w:spacing w:after="0"/>
              <w:rPr>
                <w:sz w:val="24"/>
                <w:szCs w:val="24"/>
                <w:color w:val="auto"/>
              </w:rPr>
            </w:pPr>
          </w:p>
        </w:tc>
        <w:tc>
          <w:tcPr>
            <w:tcW w:w="2020" w:type="dxa"/>
            <w:vAlign w:val="bottom"/>
            <w:tcBorders>
              <w:right w:val="single" w:sz="8" w:color="F2F2F2"/>
            </w:tcBorders>
            <w:vMerge w:val="restart"/>
            <w:shd w:val="clear" w:color="auto" w:fill="F2F2F2"/>
          </w:tcPr>
          <w:p>
            <w:pPr>
              <w:jc w:val="right"/>
              <w:ind w:right="71"/>
              <w:spacing w:after="0"/>
              <w:rPr>
                <w:sz w:val="20"/>
                <w:szCs w:val="20"/>
                <w:color w:val="auto"/>
              </w:rPr>
            </w:pPr>
            <w:r>
              <w:rPr>
                <w:rFonts w:ascii="Arial" w:cs="Arial" w:eastAsia="Arial" w:hAnsi="Arial"/>
                <w:sz w:val="18"/>
                <w:szCs w:val="18"/>
                <w:b w:val="1"/>
                <w:bCs w:val="1"/>
                <w:color w:val="auto"/>
              </w:rPr>
              <w:t>Paying</w:t>
            </w:r>
          </w:p>
        </w:tc>
        <w:tc>
          <w:tcPr>
            <w:tcW w:w="1160" w:type="dxa"/>
            <w:vAlign w:val="bottom"/>
            <w:tcBorders>
              <w:left w:val="single" w:sz="8" w:color="F2F2F2"/>
              <w:right w:val="single" w:sz="8" w:color="F2F2F2"/>
            </w:tcBorders>
            <w:shd w:val="clear" w:color="auto" w:fill="F2F2F2"/>
          </w:tcPr>
          <w:p>
            <w:pPr>
              <w:spacing w:after="0"/>
              <w:rPr>
                <w:sz w:val="24"/>
                <w:szCs w:val="24"/>
                <w:color w:val="auto"/>
              </w:rPr>
            </w:pPr>
          </w:p>
        </w:tc>
        <w:tc>
          <w:tcPr>
            <w:tcW w:w="260" w:type="dxa"/>
            <w:vAlign w:val="bottom"/>
            <w:tcBorders>
              <w:right w:val="single" w:sz="8" w:color="F2F2F2"/>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F2F2F2"/>
          </w:tcPr>
          <w:p>
            <w:pPr>
              <w:spacing w:after="0"/>
              <w:rPr>
                <w:sz w:val="5"/>
                <w:szCs w:val="5"/>
                <w:color w:val="auto"/>
              </w:rPr>
            </w:pPr>
          </w:p>
        </w:tc>
        <w:tc>
          <w:tcPr>
            <w:tcW w:w="2020" w:type="dxa"/>
            <w:vAlign w:val="bottom"/>
            <w:tcBorders>
              <w:right w:val="single" w:sz="8" w:color="F2F2F2"/>
            </w:tcBorders>
            <w:vMerge w:val="continue"/>
            <w:shd w:val="clear" w:color="auto" w:fill="F2F2F2"/>
          </w:tcPr>
          <w:p>
            <w:pPr>
              <w:spacing w:after="0"/>
              <w:rPr>
                <w:sz w:val="5"/>
                <w:szCs w:val="5"/>
                <w:color w:val="auto"/>
              </w:rPr>
            </w:pPr>
          </w:p>
        </w:tc>
        <w:tc>
          <w:tcPr>
            <w:tcW w:w="1160" w:type="dxa"/>
            <w:vAlign w:val="bottom"/>
            <w:tcBorders>
              <w:left w:val="single" w:sz="8" w:color="9E9ACC"/>
              <w:right w:val="single" w:sz="8" w:color="9E9ACC"/>
            </w:tcBorders>
            <w:vMerge w:val="restart"/>
            <w:shd w:val="clear" w:color="auto" w:fill="9E9ACC"/>
          </w:tcPr>
          <w:p>
            <w:pPr>
              <w:jc w:val="center"/>
              <w:spacing w:after="0"/>
              <w:rPr>
                <w:sz w:val="20"/>
                <w:szCs w:val="20"/>
                <w:color w:val="auto"/>
              </w:rPr>
            </w:pPr>
            <w:r>
              <w:rPr>
                <w:rFonts w:ascii="Arial" w:cs="Arial" w:eastAsia="Arial" w:hAnsi="Arial"/>
                <w:sz w:val="18"/>
                <w:szCs w:val="18"/>
                <w:b w:val="1"/>
                <w:bCs w:val="1"/>
                <w:color w:val="auto"/>
                <w:w w:val="97"/>
              </w:rPr>
              <w:t>18.22</w:t>
            </w:r>
          </w:p>
        </w:tc>
        <w:tc>
          <w:tcPr>
            <w:tcW w:w="260" w:type="dxa"/>
            <w:vAlign w:val="bottom"/>
            <w:tcBorders>
              <w:right w:val="single" w:sz="8" w:color="F2F2F2"/>
            </w:tcBorders>
            <w:shd w:val="clear" w:color="auto" w:fill="F2F2F2"/>
          </w:tcPr>
          <w:p>
            <w:pPr>
              <w:spacing w:after="0"/>
              <w:rPr>
                <w:sz w:val="5"/>
                <w:szCs w:val="5"/>
                <w:color w:val="auto"/>
              </w:rPr>
            </w:pPr>
          </w:p>
        </w:tc>
        <w:tc>
          <w:tcPr>
            <w:tcW w:w="1120" w:type="dxa"/>
            <w:vAlign w:val="bottom"/>
            <w:tcBorders>
              <w:right w:val="single" w:sz="8" w:color="F2F2F2"/>
            </w:tcBorders>
            <w:shd w:val="clear" w:color="auto" w:fill="F2F2F2"/>
          </w:tcPr>
          <w:p>
            <w:pPr>
              <w:spacing w:after="0"/>
              <w:rPr>
                <w:sz w:val="5"/>
                <w:szCs w:val="5"/>
                <w:color w:val="auto"/>
              </w:rPr>
            </w:pPr>
          </w:p>
        </w:tc>
        <w:tc>
          <w:tcPr>
            <w:tcW w:w="2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F2F2F2"/>
          </w:tcPr>
          <w:p>
            <w:pPr>
              <w:spacing w:after="0"/>
              <w:rPr>
                <w:sz w:val="20"/>
                <w:szCs w:val="20"/>
                <w:color w:val="auto"/>
              </w:rPr>
            </w:pPr>
          </w:p>
        </w:tc>
        <w:tc>
          <w:tcPr>
            <w:tcW w:w="2020" w:type="dxa"/>
            <w:vAlign w:val="bottom"/>
            <w:tcBorders>
              <w:right w:val="single" w:sz="8" w:color="F2F2F2"/>
            </w:tcBorders>
            <w:vMerge w:val="continue"/>
            <w:shd w:val="clear" w:color="auto" w:fill="F2F2F2"/>
          </w:tcPr>
          <w:p>
            <w:pPr>
              <w:spacing w:after="0"/>
              <w:rPr>
                <w:sz w:val="20"/>
                <w:szCs w:val="20"/>
                <w:color w:val="auto"/>
              </w:rPr>
            </w:pPr>
          </w:p>
        </w:tc>
        <w:tc>
          <w:tcPr>
            <w:tcW w:w="1160" w:type="dxa"/>
            <w:vAlign w:val="bottom"/>
            <w:tcBorders>
              <w:left w:val="single" w:sz="8" w:color="9E9ACC"/>
              <w:right w:val="single" w:sz="8" w:color="9E9ACC"/>
            </w:tcBorders>
            <w:vMerge w:val="continue"/>
            <w:shd w:val="clear" w:color="auto" w:fill="9E9ACC"/>
          </w:tcPr>
          <w:p>
            <w:pPr>
              <w:spacing w:after="0"/>
              <w:rPr>
                <w:sz w:val="20"/>
                <w:szCs w:val="20"/>
                <w:color w:val="auto"/>
              </w:rPr>
            </w:pPr>
          </w:p>
        </w:tc>
        <w:tc>
          <w:tcPr>
            <w:tcW w:w="260" w:type="dxa"/>
            <w:vAlign w:val="bottom"/>
            <w:tcBorders>
              <w:right w:val="single" w:sz="8" w:color="0A248E"/>
            </w:tcBorders>
            <w:shd w:val="clear" w:color="auto" w:fill="F2F2F2"/>
          </w:tcPr>
          <w:p>
            <w:pPr>
              <w:spacing w:after="0"/>
              <w:rPr>
                <w:sz w:val="20"/>
                <w:szCs w:val="20"/>
                <w:color w:val="auto"/>
              </w:rPr>
            </w:pPr>
          </w:p>
        </w:tc>
        <w:tc>
          <w:tcPr>
            <w:tcW w:w="112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8"/>
                <w:szCs w:val="18"/>
                <w:b w:val="1"/>
                <w:bCs w:val="1"/>
                <w:color w:val="FFFFFF"/>
                <w:w w:val="97"/>
              </w:rPr>
              <w:t>18.08</w:t>
            </w:r>
          </w:p>
        </w:tc>
        <w:tc>
          <w:tcPr>
            <w:tcW w:w="2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F2F2F2"/>
          </w:tcPr>
          <w:p>
            <w:pPr>
              <w:spacing w:after="0"/>
              <w:rPr>
                <w:sz w:val="17"/>
                <w:szCs w:val="17"/>
                <w:color w:val="auto"/>
              </w:rPr>
            </w:pPr>
          </w:p>
        </w:tc>
        <w:tc>
          <w:tcPr>
            <w:tcW w:w="2020" w:type="dxa"/>
            <w:vAlign w:val="bottom"/>
            <w:tcBorders>
              <w:right w:val="single" w:sz="8" w:color="F2F2F2"/>
            </w:tcBorders>
            <w:shd w:val="clear" w:color="auto" w:fill="F2F2F2"/>
          </w:tcPr>
          <w:p>
            <w:pPr>
              <w:jc w:val="right"/>
              <w:ind w:right="71"/>
              <w:spacing w:after="0" w:line="201" w:lineRule="exact"/>
              <w:rPr>
                <w:sz w:val="20"/>
                <w:szCs w:val="20"/>
                <w:color w:val="auto"/>
              </w:rPr>
            </w:pPr>
            <w:r>
              <w:rPr>
                <w:rFonts w:ascii="Arial" w:cs="Arial" w:eastAsia="Arial" w:hAnsi="Arial"/>
                <w:sz w:val="18"/>
                <w:szCs w:val="18"/>
                <w:b w:val="1"/>
                <w:bCs w:val="1"/>
                <w:color w:val="auto"/>
              </w:rPr>
              <w:t>Users (M)</w:t>
            </w:r>
          </w:p>
        </w:tc>
        <w:tc>
          <w:tcPr>
            <w:tcW w:w="1160" w:type="dxa"/>
            <w:vAlign w:val="bottom"/>
            <w:tcBorders>
              <w:left w:val="single" w:sz="8" w:color="9E9ACC"/>
              <w:right w:val="single" w:sz="8" w:color="9E9ACC"/>
            </w:tcBorders>
            <w:vMerge w:val="continue"/>
            <w:shd w:val="clear" w:color="auto" w:fill="9E9ACC"/>
          </w:tcPr>
          <w:p>
            <w:pPr>
              <w:spacing w:after="0"/>
              <w:rPr>
                <w:sz w:val="17"/>
                <w:szCs w:val="17"/>
                <w:color w:val="auto"/>
              </w:rPr>
            </w:pPr>
          </w:p>
        </w:tc>
        <w:tc>
          <w:tcPr>
            <w:tcW w:w="260" w:type="dxa"/>
            <w:vAlign w:val="bottom"/>
            <w:tcBorders>
              <w:right w:val="single" w:sz="8" w:color="0A248E"/>
            </w:tcBorders>
            <w:shd w:val="clear" w:color="auto" w:fill="F2F2F2"/>
          </w:tcPr>
          <w:p>
            <w:pPr>
              <w:spacing w:after="0"/>
              <w:rPr>
                <w:sz w:val="17"/>
                <w:szCs w:val="17"/>
                <w:color w:val="auto"/>
              </w:rPr>
            </w:pPr>
          </w:p>
        </w:tc>
        <w:tc>
          <w:tcPr>
            <w:tcW w:w="1120" w:type="dxa"/>
            <w:vAlign w:val="bottom"/>
            <w:tcBorders>
              <w:right w:val="single" w:sz="8" w:color="0A248E"/>
            </w:tcBorders>
            <w:vMerge w:val="continue"/>
            <w:shd w:val="clear" w:color="auto" w:fill="0A248E"/>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shd w:val="clear" w:color="auto" w:fill="F2F2F2"/>
          </w:tcPr>
          <w:p>
            <w:pPr>
              <w:spacing w:after="0"/>
              <w:rPr>
                <w:sz w:val="4"/>
                <w:szCs w:val="4"/>
                <w:color w:val="auto"/>
              </w:rPr>
            </w:pPr>
          </w:p>
        </w:tc>
        <w:tc>
          <w:tcPr>
            <w:tcW w:w="2020" w:type="dxa"/>
            <w:vAlign w:val="bottom"/>
            <w:tcBorders>
              <w:right w:val="single" w:sz="8" w:color="F2F2F2"/>
            </w:tcBorders>
            <w:shd w:val="clear" w:color="auto" w:fill="F2F2F2"/>
          </w:tcPr>
          <w:p>
            <w:pPr>
              <w:spacing w:after="0"/>
              <w:rPr>
                <w:sz w:val="4"/>
                <w:szCs w:val="4"/>
                <w:color w:val="auto"/>
              </w:rPr>
            </w:pPr>
          </w:p>
        </w:tc>
        <w:tc>
          <w:tcPr>
            <w:tcW w:w="1160" w:type="dxa"/>
            <w:vAlign w:val="bottom"/>
            <w:tcBorders>
              <w:left w:val="single" w:sz="8" w:color="9E9ACC"/>
              <w:right w:val="single" w:sz="8" w:color="9E9ACC"/>
            </w:tcBorders>
            <w:shd w:val="clear" w:color="auto" w:fill="9E9ACC"/>
          </w:tcPr>
          <w:p>
            <w:pPr>
              <w:spacing w:after="0"/>
              <w:rPr>
                <w:sz w:val="4"/>
                <w:szCs w:val="4"/>
                <w:color w:val="auto"/>
              </w:rPr>
            </w:pPr>
          </w:p>
        </w:tc>
        <w:tc>
          <w:tcPr>
            <w:tcW w:w="260" w:type="dxa"/>
            <w:vAlign w:val="bottom"/>
            <w:tcBorders>
              <w:right w:val="single" w:sz="8" w:color="0A248E"/>
            </w:tcBorders>
            <w:shd w:val="clear" w:color="auto" w:fill="F2F2F2"/>
          </w:tcPr>
          <w:p>
            <w:pPr>
              <w:spacing w:after="0"/>
              <w:rPr>
                <w:sz w:val="4"/>
                <w:szCs w:val="4"/>
                <w:color w:val="auto"/>
              </w:rPr>
            </w:pPr>
          </w:p>
        </w:tc>
        <w:tc>
          <w:tcPr>
            <w:tcW w:w="1120" w:type="dxa"/>
            <w:vAlign w:val="bottom"/>
            <w:tcBorders>
              <w:right w:val="single" w:sz="8" w:color="0A248E"/>
            </w:tcBorders>
            <w:shd w:val="clear" w:color="auto" w:fill="0A248E"/>
          </w:tcPr>
          <w:p>
            <w:pPr>
              <w:spacing w:after="0"/>
              <w:rPr>
                <w:sz w:val="4"/>
                <w:szCs w:val="4"/>
                <w:color w:val="auto"/>
              </w:rPr>
            </w:pPr>
          </w:p>
        </w:tc>
        <w:tc>
          <w:tcPr>
            <w:tcW w:w="28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F2F2F2"/>
          </w:tcPr>
          <w:p>
            <w:pPr>
              <w:spacing w:after="0"/>
              <w:rPr>
                <w:sz w:val="16"/>
                <w:szCs w:val="16"/>
                <w:color w:val="auto"/>
              </w:rPr>
            </w:pPr>
          </w:p>
        </w:tc>
        <w:tc>
          <w:tcPr>
            <w:tcW w:w="2020" w:type="dxa"/>
            <w:vAlign w:val="bottom"/>
            <w:tcBorders>
              <w:right w:val="single" w:sz="8" w:color="F2F2F2"/>
            </w:tcBorders>
            <w:shd w:val="clear" w:color="auto" w:fill="F2F2F2"/>
          </w:tcPr>
          <w:p>
            <w:pPr>
              <w:spacing w:after="0"/>
              <w:rPr>
                <w:sz w:val="16"/>
                <w:szCs w:val="16"/>
                <w:color w:val="auto"/>
              </w:rPr>
            </w:pPr>
          </w:p>
        </w:tc>
        <w:tc>
          <w:tcPr>
            <w:tcW w:w="1160" w:type="dxa"/>
            <w:vAlign w:val="bottom"/>
            <w:tcBorders>
              <w:left w:val="single" w:sz="8" w:color="9E9ACC"/>
              <w:right w:val="single" w:sz="8" w:color="9E9ACC"/>
            </w:tcBorders>
            <w:shd w:val="clear" w:color="auto" w:fill="9E9ACC"/>
          </w:tcPr>
          <w:p>
            <w:pPr>
              <w:spacing w:after="0"/>
              <w:rPr>
                <w:sz w:val="16"/>
                <w:szCs w:val="16"/>
                <w:color w:val="auto"/>
              </w:rPr>
            </w:pPr>
          </w:p>
        </w:tc>
        <w:tc>
          <w:tcPr>
            <w:tcW w:w="260" w:type="dxa"/>
            <w:vAlign w:val="bottom"/>
            <w:tcBorders>
              <w:right w:val="single" w:sz="8" w:color="0A248E"/>
            </w:tcBorders>
            <w:shd w:val="clear" w:color="auto" w:fill="F2F2F2"/>
          </w:tcPr>
          <w:p>
            <w:pPr>
              <w:spacing w:after="0"/>
              <w:rPr>
                <w:sz w:val="16"/>
                <w:szCs w:val="16"/>
                <w:color w:val="auto"/>
              </w:rPr>
            </w:pPr>
          </w:p>
        </w:tc>
        <w:tc>
          <w:tcPr>
            <w:tcW w:w="1120" w:type="dxa"/>
            <w:vAlign w:val="bottom"/>
            <w:tcBorders>
              <w:right w:val="single" w:sz="8" w:color="0A248E"/>
            </w:tcBorders>
            <w:shd w:val="clear" w:color="auto" w:fill="0A248E"/>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20" w:type="dxa"/>
            <w:vAlign w:val="bottom"/>
            <w:shd w:val="clear" w:color="auto" w:fill="F2F2F2"/>
          </w:tcPr>
          <w:p>
            <w:pPr>
              <w:spacing w:after="0"/>
              <w:rPr>
                <w:sz w:val="24"/>
                <w:szCs w:val="24"/>
                <w:color w:val="auto"/>
              </w:rPr>
            </w:pPr>
          </w:p>
        </w:tc>
        <w:tc>
          <w:tcPr>
            <w:tcW w:w="2020" w:type="dxa"/>
            <w:vAlign w:val="bottom"/>
            <w:tcBorders>
              <w:right w:val="single" w:sz="8" w:color="F2F2F2"/>
            </w:tcBorders>
            <w:shd w:val="clear" w:color="auto" w:fill="F2F2F2"/>
          </w:tcPr>
          <w:p>
            <w:pPr>
              <w:spacing w:after="0"/>
              <w:rPr>
                <w:sz w:val="24"/>
                <w:szCs w:val="24"/>
                <w:color w:val="auto"/>
              </w:rPr>
            </w:pPr>
          </w:p>
        </w:tc>
        <w:tc>
          <w:tcPr>
            <w:tcW w:w="1160" w:type="dxa"/>
            <w:vAlign w:val="bottom"/>
            <w:tcBorders>
              <w:left w:val="single" w:sz="8" w:color="F2F2F2"/>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2024</w:t>
            </w:r>
          </w:p>
        </w:tc>
        <w:tc>
          <w:tcPr>
            <w:tcW w:w="260" w:type="dxa"/>
            <w:vAlign w:val="bottom"/>
            <w:tcBorders>
              <w:right w:val="single" w:sz="8" w:color="F2F2F2"/>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2025</w:t>
            </w: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F2F2F2"/>
          </w:tcPr>
          <w:p>
            <w:pPr>
              <w:spacing w:after="0"/>
              <w:rPr>
                <w:sz w:val="16"/>
                <w:szCs w:val="16"/>
                <w:color w:val="auto"/>
              </w:rPr>
            </w:pPr>
          </w:p>
        </w:tc>
        <w:tc>
          <w:tcPr>
            <w:tcW w:w="2020" w:type="dxa"/>
            <w:vAlign w:val="bottom"/>
            <w:tcBorders>
              <w:right w:val="single" w:sz="8" w:color="F2F2F2"/>
            </w:tcBorders>
            <w:vMerge w:val="restart"/>
            <w:shd w:val="clear" w:color="auto" w:fill="F2F2F2"/>
          </w:tcPr>
          <w:p>
            <w:pPr>
              <w:jc w:val="right"/>
              <w:ind w:right="71"/>
              <w:spacing w:after="0"/>
              <w:rPr>
                <w:sz w:val="20"/>
                <w:szCs w:val="20"/>
                <w:color w:val="auto"/>
              </w:rPr>
            </w:pPr>
            <w:r>
              <w:rPr>
                <w:rFonts w:ascii="Arial" w:cs="Arial" w:eastAsia="Arial" w:hAnsi="Arial"/>
                <w:sz w:val="18"/>
                <w:szCs w:val="18"/>
                <w:b w:val="1"/>
                <w:bCs w:val="1"/>
                <w:color w:val="auto"/>
              </w:rPr>
              <w:t>Average Revenue</w:t>
            </w:r>
          </w:p>
        </w:tc>
        <w:tc>
          <w:tcPr>
            <w:tcW w:w="1160" w:type="dxa"/>
            <w:vAlign w:val="bottom"/>
            <w:tcBorders>
              <w:left w:val="single" w:sz="8" w:color="F2F2F2"/>
              <w:right w:val="single" w:sz="8" w:color="F2F2F2"/>
            </w:tcBorders>
            <w:shd w:val="clear" w:color="auto" w:fill="F2F2F2"/>
          </w:tcPr>
          <w:p>
            <w:pPr>
              <w:spacing w:after="0"/>
              <w:rPr>
                <w:sz w:val="16"/>
                <w:szCs w:val="16"/>
                <w:color w:val="auto"/>
              </w:rPr>
            </w:pPr>
          </w:p>
        </w:tc>
        <w:tc>
          <w:tcPr>
            <w:tcW w:w="260" w:type="dxa"/>
            <w:vAlign w:val="bottom"/>
            <w:tcBorders>
              <w:right w:val="single" w:sz="8" w:color="F2F2F2"/>
            </w:tcBorders>
            <w:shd w:val="clear" w:color="auto" w:fill="F2F2F2"/>
          </w:tcPr>
          <w:p>
            <w:pPr>
              <w:spacing w:after="0"/>
              <w:rPr>
                <w:sz w:val="16"/>
                <w:szCs w:val="16"/>
                <w:color w:val="auto"/>
              </w:rPr>
            </w:pPr>
          </w:p>
        </w:tc>
        <w:tc>
          <w:tcPr>
            <w:tcW w:w="1120" w:type="dxa"/>
            <w:vAlign w:val="bottom"/>
            <w:tcBorders>
              <w:right w:val="single" w:sz="8" w:color="F2F2F2"/>
            </w:tcBorders>
            <w:shd w:val="clear" w:color="auto" w:fill="F2F2F2"/>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F2F2F2"/>
          </w:tcPr>
          <w:p>
            <w:pPr>
              <w:spacing w:after="0"/>
              <w:rPr>
                <w:sz w:val="5"/>
                <w:szCs w:val="5"/>
                <w:color w:val="auto"/>
              </w:rPr>
            </w:pPr>
          </w:p>
        </w:tc>
        <w:tc>
          <w:tcPr>
            <w:tcW w:w="2020" w:type="dxa"/>
            <w:vAlign w:val="bottom"/>
            <w:tcBorders>
              <w:right w:val="single" w:sz="8" w:color="F2F2F2"/>
            </w:tcBorders>
            <w:vMerge w:val="continue"/>
            <w:shd w:val="clear" w:color="auto" w:fill="F2F2F2"/>
          </w:tcPr>
          <w:p>
            <w:pPr>
              <w:spacing w:after="0"/>
              <w:rPr>
                <w:sz w:val="5"/>
                <w:szCs w:val="5"/>
                <w:color w:val="auto"/>
              </w:rPr>
            </w:pPr>
          </w:p>
        </w:tc>
        <w:tc>
          <w:tcPr>
            <w:tcW w:w="1160" w:type="dxa"/>
            <w:vAlign w:val="bottom"/>
            <w:tcBorders>
              <w:left w:val="single" w:sz="8" w:color="9E9ACC"/>
              <w:right w:val="single" w:sz="8" w:color="9E9ACC"/>
            </w:tcBorders>
            <w:vMerge w:val="restart"/>
            <w:shd w:val="clear" w:color="auto" w:fill="9E9ACC"/>
          </w:tcPr>
          <w:p>
            <w:pPr>
              <w:jc w:val="center"/>
              <w:spacing w:after="0"/>
              <w:rPr>
                <w:sz w:val="20"/>
                <w:szCs w:val="20"/>
                <w:color w:val="auto"/>
              </w:rPr>
            </w:pPr>
            <w:r>
              <w:rPr>
                <w:rFonts w:ascii="Arial" w:cs="Arial" w:eastAsia="Arial" w:hAnsi="Arial"/>
                <w:sz w:val="18"/>
                <w:szCs w:val="18"/>
                <w:b w:val="1"/>
                <w:bCs w:val="1"/>
                <w:color w:val="auto"/>
                <w:w w:val="98"/>
              </w:rPr>
              <w:t>$140.23</w:t>
            </w:r>
          </w:p>
        </w:tc>
        <w:tc>
          <w:tcPr>
            <w:tcW w:w="260" w:type="dxa"/>
            <w:vAlign w:val="bottom"/>
            <w:tcBorders>
              <w:right w:val="single" w:sz="8" w:color="0A248E"/>
            </w:tcBorders>
            <w:shd w:val="clear" w:color="auto" w:fill="F2F2F2"/>
          </w:tcPr>
          <w:p>
            <w:pPr>
              <w:spacing w:after="0"/>
              <w:rPr>
                <w:sz w:val="5"/>
                <w:szCs w:val="5"/>
                <w:color w:val="auto"/>
              </w:rPr>
            </w:pPr>
          </w:p>
        </w:tc>
        <w:tc>
          <w:tcPr>
            <w:tcW w:w="112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8"/>
                <w:szCs w:val="18"/>
                <w:b w:val="1"/>
                <w:bCs w:val="1"/>
                <w:color w:val="FFFFFF"/>
                <w:w w:val="98"/>
              </w:rPr>
              <w:t>$138.91</w:t>
            </w:r>
          </w:p>
        </w:tc>
        <w:tc>
          <w:tcPr>
            <w:tcW w:w="2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F2F2F2"/>
          </w:tcPr>
          <w:p>
            <w:pPr>
              <w:spacing w:after="0"/>
              <w:rPr>
                <w:sz w:val="20"/>
                <w:szCs w:val="20"/>
                <w:color w:val="auto"/>
              </w:rPr>
            </w:pPr>
          </w:p>
        </w:tc>
        <w:tc>
          <w:tcPr>
            <w:tcW w:w="2020" w:type="dxa"/>
            <w:vAlign w:val="bottom"/>
            <w:tcBorders>
              <w:right w:val="single" w:sz="8" w:color="F2F2F2"/>
            </w:tcBorders>
            <w:vMerge w:val="continue"/>
            <w:shd w:val="clear" w:color="auto" w:fill="F2F2F2"/>
          </w:tcPr>
          <w:p>
            <w:pPr>
              <w:spacing w:after="0"/>
              <w:rPr>
                <w:sz w:val="20"/>
                <w:szCs w:val="20"/>
                <w:color w:val="auto"/>
              </w:rPr>
            </w:pPr>
          </w:p>
        </w:tc>
        <w:tc>
          <w:tcPr>
            <w:tcW w:w="1160" w:type="dxa"/>
            <w:vAlign w:val="bottom"/>
            <w:tcBorders>
              <w:left w:val="single" w:sz="8" w:color="9E9ACC"/>
              <w:right w:val="single" w:sz="8" w:color="9E9ACC"/>
            </w:tcBorders>
            <w:vMerge w:val="continue"/>
            <w:shd w:val="clear" w:color="auto" w:fill="9E9ACC"/>
          </w:tcPr>
          <w:p>
            <w:pPr>
              <w:spacing w:after="0"/>
              <w:rPr>
                <w:sz w:val="20"/>
                <w:szCs w:val="20"/>
                <w:color w:val="auto"/>
              </w:rPr>
            </w:pPr>
          </w:p>
        </w:tc>
        <w:tc>
          <w:tcPr>
            <w:tcW w:w="260" w:type="dxa"/>
            <w:vAlign w:val="bottom"/>
            <w:tcBorders>
              <w:right w:val="single" w:sz="8" w:color="0A248E"/>
            </w:tcBorders>
            <w:shd w:val="clear" w:color="auto" w:fill="F2F2F2"/>
          </w:tcPr>
          <w:p>
            <w:pPr>
              <w:spacing w:after="0"/>
              <w:rPr>
                <w:sz w:val="20"/>
                <w:szCs w:val="20"/>
                <w:color w:val="auto"/>
              </w:rPr>
            </w:pPr>
          </w:p>
        </w:tc>
        <w:tc>
          <w:tcPr>
            <w:tcW w:w="1120" w:type="dxa"/>
            <w:vAlign w:val="bottom"/>
            <w:tcBorders>
              <w:right w:val="single" w:sz="8" w:color="0A248E"/>
            </w:tcBorders>
            <w:vMerge w:val="continue"/>
            <w:shd w:val="clear" w:color="auto" w:fill="0A248E"/>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F2F2F2"/>
          </w:tcPr>
          <w:p>
            <w:pPr>
              <w:spacing w:after="0"/>
              <w:rPr>
                <w:sz w:val="17"/>
                <w:szCs w:val="17"/>
                <w:color w:val="auto"/>
              </w:rPr>
            </w:pPr>
          </w:p>
        </w:tc>
        <w:tc>
          <w:tcPr>
            <w:tcW w:w="2020" w:type="dxa"/>
            <w:vAlign w:val="bottom"/>
            <w:tcBorders>
              <w:right w:val="single" w:sz="8" w:color="F2F2F2"/>
            </w:tcBorders>
            <w:shd w:val="clear" w:color="auto" w:fill="F2F2F2"/>
          </w:tcPr>
          <w:p>
            <w:pPr>
              <w:jc w:val="right"/>
              <w:ind w:right="71"/>
              <w:spacing w:after="0" w:line="206" w:lineRule="exact"/>
              <w:rPr>
                <w:sz w:val="20"/>
                <w:szCs w:val="20"/>
                <w:color w:val="auto"/>
              </w:rPr>
            </w:pPr>
            <w:r>
              <w:rPr>
                <w:rFonts w:ascii="Arial" w:cs="Arial" w:eastAsia="Arial" w:hAnsi="Arial"/>
                <w:sz w:val="18"/>
                <w:szCs w:val="18"/>
                <w:b w:val="1"/>
                <w:bCs w:val="1"/>
                <w:color w:val="auto"/>
              </w:rPr>
              <w:t>per Paying User</w:t>
            </w:r>
          </w:p>
        </w:tc>
        <w:tc>
          <w:tcPr>
            <w:tcW w:w="1160" w:type="dxa"/>
            <w:vAlign w:val="bottom"/>
            <w:tcBorders>
              <w:left w:val="single" w:sz="8" w:color="9E9ACC"/>
              <w:right w:val="single" w:sz="8" w:color="9E9ACC"/>
            </w:tcBorders>
            <w:vMerge w:val="continue"/>
            <w:shd w:val="clear" w:color="auto" w:fill="9E9ACC"/>
          </w:tcPr>
          <w:p>
            <w:pPr>
              <w:spacing w:after="0"/>
              <w:rPr>
                <w:sz w:val="17"/>
                <w:szCs w:val="17"/>
                <w:color w:val="auto"/>
              </w:rPr>
            </w:pPr>
          </w:p>
        </w:tc>
        <w:tc>
          <w:tcPr>
            <w:tcW w:w="260" w:type="dxa"/>
            <w:vAlign w:val="bottom"/>
            <w:tcBorders>
              <w:right w:val="single" w:sz="8" w:color="0A248E"/>
            </w:tcBorders>
            <w:shd w:val="clear" w:color="auto" w:fill="F2F2F2"/>
          </w:tcPr>
          <w:p>
            <w:pPr>
              <w:spacing w:after="0"/>
              <w:rPr>
                <w:sz w:val="17"/>
                <w:szCs w:val="17"/>
                <w:color w:val="auto"/>
              </w:rPr>
            </w:pPr>
          </w:p>
        </w:tc>
        <w:tc>
          <w:tcPr>
            <w:tcW w:w="1120" w:type="dxa"/>
            <w:vAlign w:val="bottom"/>
            <w:tcBorders>
              <w:right w:val="single" w:sz="8" w:color="0A248E"/>
            </w:tcBorders>
            <w:vMerge w:val="continue"/>
            <w:shd w:val="clear" w:color="auto" w:fill="0A248E"/>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shd w:val="clear" w:color="auto" w:fill="F2F2F2"/>
          </w:tcPr>
          <w:p>
            <w:pPr>
              <w:spacing w:after="0"/>
              <w:rPr>
                <w:sz w:val="4"/>
                <w:szCs w:val="4"/>
                <w:color w:val="auto"/>
              </w:rPr>
            </w:pPr>
          </w:p>
        </w:tc>
        <w:tc>
          <w:tcPr>
            <w:tcW w:w="2020" w:type="dxa"/>
            <w:vAlign w:val="bottom"/>
            <w:tcBorders>
              <w:right w:val="single" w:sz="8" w:color="F2F2F2"/>
            </w:tcBorders>
            <w:shd w:val="clear" w:color="auto" w:fill="F2F2F2"/>
          </w:tcPr>
          <w:p>
            <w:pPr>
              <w:spacing w:after="0"/>
              <w:rPr>
                <w:sz w:val="4"/>
                <w:szCs w:val="4"/>
                <w:color w:val="auto"/>
              </w:rPr>
            </w:pPr>
          </w:p>
        </w:tc>
        <w:tc>
          <w:tcPr>
            <w:tcW w:w="1160" w:type="dxa"/>
            <w:vAlign w:val="bottom"/>
            <w:tcBorders>
              <w:left w:val="single" w:sz="8" w:color="9E9ACC"/>
              <w:right w:val="single" w:sz="8" w:color="9E9ACC"/>
            </w:tcBorders>
            <w:shd w:val="clear" w:color="auto" w:fill="9E9ACC"/>
          </w:tcPr>
          <w:p>
            <w:pPr>
              <w:spacing w:after="0"/>
              <w:rPr>
                <w:sz w:val="4"/>
                <w:szCs w:val="4"/>
                <w:color w:val="auto"/>
              </w:rPr>
            </w:pPr>
          </w:p>
        </w:tc>
        <w:tc>
          <w:tcPr>
            <w:tcW w:w="260" w:type="dxa"/>
            <w:vAlign w:val="bottom"/>
            <w:tcBorders>
              <w:right w:val="single" w:sz="8" w:color="0A248E"/>
            </w:tcBorders>
            <w:shd w:val="clear" w:color="auto" w:fill="F2F2F2"/>
          </w:tcPr>
          <w:p>
            <w:pPr>
              <w:spacing w:after="0"/>
              <w:rPr>
                <w:sz w:val="4"/>
                <w:szCs w:val="4"/>
                <w:color w:val="auto"/>
              </w:rPr>
            </w:pPr>
          </w:p>
        </w:tc>
        <w:tc>
          <w:tcPr>
            <w:tcW w:w="1120" w:type="dxa"/>
            <w:vAlign w:val="bottom"/>
            <w:tcBorders>
              <w:right w:val="single" w:sz="8" w:color="0A248E"/>
            </w:tcBorders>
            <w:shd w:val="clear" w:color="auto" w:fill="0A248E"/>
          </w:tcPr>
          <w:p>
            <w:pPr>
              <w:spacing w:after="0"/>
              <w:rPr>
                <w:sz w:val="4"/>
                <w:szCs w:val="4"/>
                <w:color w:val="auto"/>
              </w:rPr>
            </w:pPr>
          </w:p>
        </w:tc>
        <w:tc>
          <w:tcPr>
            <w:tcW w:w="28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F2F2F2"/>
          </w:tcPr>
          <w:p>
            <w:pPr>
              <w:spacing w:after="0"/>
              <w:rPr>
                <w:sz w:val="16"/>
                <w:szCs w:val="16"/>
                <w:color w:val="auto"/>
              </w:rPr>
            </w:pPr>
          </w:p>
        </w:tc>
        <w:tc>
          <w:tcPr>
            <w:tcW w:w="2020" w:type="dxa"/>
            <w:vAlign w:val="bottom"/>
            <w:tcBorders>
              <w:right w:val="single" w:sz="8" w:color="F2F2F2"/>
            </w:tcBorders>
            <w:shd w:val="clear" w:color="auto" w:fill="F2F2F2"/>
          </w:tcPr>
          <w:p>
            <w:pPr>
              <w:spacing w:after="0"/>
              <w:rPr>
                <w:sz w:val="16"/>
                <w:szCs w:val="16"/>
                <w:color w:val="auto"/>
              </w:rPr>
            </w:pPr>
          </w:p>
        </w:tc>
        <w:tc>
          <w:tcPr>
            <w:tcW w:w="1160" w:type="dxa"/>
            <w:vAlign w:val="bottom"/>
            <w:tcBorders>
              <w:left w:val="single" w:sz="8" w:color="9E9ACC"/>
              <w:right w:val="single" w:sz="8" w:color="9E9ACC"/>
            </w:tcBorders>
            <w:shd w:val="clear" w:color="auto" w:fill="9E9ACC"/>
          </w:tcPr>
          <w:p>
            <w:pPr>
              <w:spacing w:after="0"/>
              <w:rPr>
                <w:sz w:val="16"/>
                <w:szCs w:val="16"/>
                <w:color w:val="auto"/>
              </w:rPr>
            </w:pPr>
          </w:p>
        </w:tc>
        <w:tc>
          <w:tcPr>
            <w:tcW w:w="260" w:type="dxa"/>
            <w:vAlign w:val="bottom"/>
            <w:tcBorders>
              <w:right w:val="single" w:sz="8" w:color="0A248E"/>
            </w:tcBorders>
            <w:shd w:val="clear" w:color="auto" w:fill="F2F2F2"/>
          </w:tcPr>
          <w:p>
            <w:pPr>
              <w:spacing w:after="0"/>
              <w:rPr>
                <w:sz w:val="16"/>
                <w:szCs w:val="16"/>
                <w:color w:val="auto"/>
              </w:rPr>
            </w:pPr>
          </w:p>
        </w:tc>
        <w:tc>
          <w:tcPr>
            <w:tcW w:w="1120" w:type="dxa"/>
            <w:vAlign w:val="bottom"/>
            <w:tcBorders>
              <w:right w:val="single" w:sz="8" w:color="0A248E"/>
            </w:tcBorders>
            <w:shd w:val="clear" w:color="auto" w:fill="0A248E"/>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20" w:type="dxa"/>
            <w:vAlign w:val="bottom"/>
            <w:shd w:val="clear" w:color="auto" w:fill="F2F2F2"/>
          </w:tcPr>
          <w:p>
            <w:pPr>
              <w:spacing w:after="0"/>
              <w:rPr>
                <w:sz w:val="24"/>
                <w:szCs w:val="24"/>
                <w:color w:val="auto"/>
              </w:rPr>
            </w:pPr>
          </w:p>
        </w:tc>
        <w:tc>
          <w:tcPr>
            <w:tcW w:w="2020" w:type="dxa"/>
            <w:vAlign w:val="bottom"/>
            <w:tcBorders>
              <w:right w:val="single" w:sz="8" w:color="F2F2F2"/>
            </w:tcBorders>
            <w:shd w:val="clear" w:color="auto" w:fill="F2F2F2"/>
          </w:tcPr>
          <w:p>
            <w:pPr>
              <w:spacing w:after="0"/>
              <w:rPr>
                <w:sz w:val="24"/>
                <w:szCs w:val="24"/>
                <w:color w:val="auto"/>
              </w:rPr>
            </w:pPr>
          </w:p>
        </w:tc>
        <w:tc>
          <w:tcPr>
            <w:tcW w:w="1160" w:type="dxa"/>
            <w:vAlign w:val="bottom"/>
            <w:tcBorders>
              <w:left w:val="single" w:sz="8" w:color="F2F2F2"/>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2024</w:t>
            </w:r>
          </w:p>
        </w:tc>
        <w:tc>
          <w:tcPr>
            <w:tcW w:w="260" w:type="dxa"/>
            <w:vAlign w:val="bottom"/>
            <w:tcBorders>
              <w:right w:val="single" w:sz="8" w:color="F2F2F2"/>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2025</w:t>
            </w: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F2F2F2"/>
          </w:tcPr>
          <w:p>
            <w:pPr>
              <w:spacing w:after="0"/>
              <w:rPr>
                <w:sz w:val="16"/>
                <w:szCs w:val="16"/>
                <w:color w:val="auto"/>
              </w:rPr>
            </w:pPr>
          </w:p>
        </w:tc>
        <w:tc>
          <w:tcPr>
            <w:tcW w:w="2020" w:type="dxa"/>
            <w:vAlign w:val="bottom"/>
            <w:tcBorders>
              <w:right w:val="single" w:sz="8" w:color="F2F2F2"/>
            </w:tcBorders>
            <w:vMerge w:val="restart"/>
            <w:shd w:val="clear" w:color="auto" w:fill="F2F2F2"/>
          </w:tcPr>
          <w:p>
            <w:pPr>
              <w:jc w:val="right"/>
              <w:ind w:right="71"/>
              <w:spacing w:after="0"/>
              <w:rPr>
                <w:sz w:val="20"/>
                <w:szCs w:val="20"/>
                <w:color w:val="auto"/>
              </w:rPr>
            </w:pPr>
            <w:r>
              <w:rPr>
                <w:rFonts w:ascii="Arial" w:cs="Arial" w:eastAsia="Arial" w:hAnsi="Arial"/>
                <w:sz w:val="18"/>
                <w:szCs w:val="18"/>
                <w:b w:val="1"/>
                <w:bCs w:val="1"/>
                <w:color w:val="auto"/>
              </w:rPr>
              <w:t>Non-GAAP</w:t>
            </w:r>
          </w:p>
        </w:tc>
        <w:tc>
          <w:tcPr>
            <w:tcW w:w="1160" w:type="dxa"/>
            <w:vAlign w:val="bottom"/>
            <w:tcBorders>
              <w:left w:val="single" w:sz="8" w:color="F2F2F2"/>
              <w:right w:val="single" w:sz="8" w:color="F2F2F2"/>
            </w:tcBorders>
            <w:shd w:val="clear" w:color="auto" w:fill="F2F2F2"/>
          </w:tcPr>
          <w:p>
            <w:pPr>
              <w:spacing w:after="0"/>
              <w:rPr>
                <w:sz w:val="16"/>
                <w:szCs w:val="16"/>
                <w:color w:val="auto"/>
              </w:rPr>
            </w:pPr>
          </w:p>
        </w:tc>
        <w:tc>
          <w:tcPr>
            <w:tcW w:w="260" w:type="dxa"/>
            <w:vAlign w:val="bottom"/>
            <w:tcBorders>
              <w:right w:val="single" w:sz="8" w:color="F2F2F2"/>
            </w:tcBorders>
            <w:shd w:val="clear" w:color="auto" w:fill="F2F2F2"/>
          </w:tcPr>
          <w:p>
            <w:pPr>
              <w:spacing w:after="0"/>
              <w:rPr>
                <w:sz w:val="16"/>
                <w:szCs w:val="16"/>
                <w:color w:val="auto"/>
              </w:rPr>
            </w:pPr>
          </w:p>
        </w:tc>
        <w:tc>
          <w:tcPr>
            <w:tcW w:w="1120" w:type="dxa"/>
            <w:vAlign w:val="bottom"/>
            <w:tcBorders>
              <w:right w:val="single" w:sz="8" w:color="F2F2F2"/>
            </w:tcBorders>
            <w:shd w:val="clear" w:color="auto" w:fill="F2F2F2"/>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shd w:val="clear" w:color="auto" w:fill="F2F2F2"/>
          </w:tcPr>
          <w:p>
            <w:pPr>
              <w:spacing w:after="0"/>
              <w:rPr>
                <w:sz w:val="10"/>
                <w:szCs w:val="10"/>
                <w:color w:val="auto"/>
              </w:rPr>
            </w:pPr>
          </w:p>
        </w:tc>
        <w:tc>
          <w:tcPr>
            <w:tcW w:w="2020" w:type="dxa"/>
            <w:vAlign w:val="bottom"/>
            <w:tcBorders>
              <w:right w:val="single" w:sz="8" w:color="F2F2F2"/>
            </w:tcBorders>
            <w:vMerge w:val="continue"/>
            <w:shd w:val="clear" w:color="auto" w:fill="F2F2F2"/>
          </w:tcPr>
          <w:p>
            <w:pPr>
              <w:spacing w:after="0"/>
              <w:rPr>
                <w:sz w:val="10"/>
                <w:szCs w:val="10"/>
                <w:color w:val="auto"/>
              </w:rPr>
            </w:pPr>
          </w:p>
        </w:tc>
        <w:tc>
          <w:tcPr>
            <w:tcW w:w="1160" w:type="dxa"/>
            <w:vAlign w:val="bottom"/>
            <w:tcBorders>
              <w:left w:val="single" w:sz="8" w:color="F2F2F2"/>
              <w:right w:val="single" w:sz="8" w:color="F2F2F2"/>
            </w:tcBorders>
            <w:shd w:val="clear" w:color="auto" w:fill="F2F2F2"/>
          </w:tcPr>
          <w:p>
            <w:pPr>
              <w:spacing w:after="0"/>
              <w:rPr>
                <w:sz w:val="10"/>
                <w:szCs w:val="10"/>
                <w:color w:val="auto"/>
              </w:rPr>
            </w:pPr>
          </w:p>
        </w:tc>
        <w:tc>
          <w:tcPr>
            <w:tcW w:w="260" w:type="dxa"/>
            <w:vAlign w:val="bottom"/>
            <w:tcBorders>
              <w:right w:val="single" w:sz="8" w:color="0A248E"/>
            </w:tcBorders>
            <w:shd w:val="clear" w:color="auto" w:fill="F2F2F2"/>
          </w:tcPr>
          <w:p>
            <w:pPr>
              <w:spacing w:after="0"/>
              <w:rPr>
                <w:sz w:val="10"/>
                <w:szCs w:val="10"/>
                <w:color w:val="auto"/>
              </w:rPr>
            </w:pPr>
          </w:p>
        </w:tc>
        <w:tc>
          <w:tcPr>
            <w:tcW w:w="1120" w:type="dxa"/>
            <w:vAlign w:val="bottom"/>
            <w:tcBorders>
              <w:right w:val="single" w:sz="8" w:color="0A248E"/>
            </w:tcBorders>
            <w:shd w:val="clear" w:color="auto" w:fill="0A248E"/>
          </w:tcPr>
          <w:p>
            <w:pPr>
              <w:spacing w:after="0"/>
              <w:rPr>
                <w:sz w:val="10"/>
                <w:szCs w:val="10"/>
                <w:color w:val="auto"/>
              </w:rPr>
            </w:pPr>
          </w:p>
        </w:tc>
        <w:tc>
          <w:tcPr>
            <w:tcW w:w="28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F2F2F2"/>
          </w:tcPr>
          <w:p>
            <w:pPr>
              <w:spacing w:after="0"/>
              <w:rPr>
                <w:sz w:val="5"/>
                <w:szCs w:val="5"/>
                <w:color w:val="auto"/>
              </w:rPr>
            </w:pPr>
          </w:p>
        </w:tc>
        <w:tc>
          <w:tcPr>
            <w:tcW w:w="2020" w:type="dxa"/>
            <w:vAlign w:val="bottom"/>
            <w:tcBorders>
              <w:right w:val="single" w:sz="8" w:color="F2F2F2"/>
            </w:tcBorders>
            <w:vMerge w:val="continue"/>
            <w:shd w:val="clear" w:color="auto" w:fill="F2F2F2"/>
          </w:tcPr>
          <w:p>
            <w:pPr>
              <w:spacing w:after="0"/>
              <w:rPr>
                <w:sz w:val="5"/>
                <w:szCs w:val="5"/>
                <w:color w:val="auto"/>
              </w:rPr>
            </w:pPr>
          </w:p>
        </w:tc>
        <w:tc>
          <w:tcPr>
            <w:tcW w:w="1160" w:type="dxa"/>
            <w:vAlign w:val="bottom"/>
            <w:tcBorders>
              <w:left w:val="single" w:sz="8" w:color="9E9ACC"/>
              <w:right w:val="single" w:sz="8" w:color="9E9ACC"/>
            </w:tcBorders>
            <w:shd w:val="clear" w:color="auto" w:fill="9E9ACC"/>
          </w:tcPr>
          <w:p>
            <w:pPr>
              <w:spacing w:after="0"/>
              <w:rPr>
                <w:sz w:val="5"/>
                <w:szCs w:val="5"/>
                <w:color w:val="auto"/>
              </w:rPr>
            </w:pPr>
          </w:p>
        </w:tc>
        <w:tc>
          <w:tcPr>
            <w:tcW w:w="260" w:type="dxa"/>
            <w:vAlign w:val="bottom"/>
            <w:tcBorders>
              <w:right w:val="single" w:sz="8" w:color="0A248E"/>
            </w:tcBorders>
            <w:shd w:val="clear" w:color="auto" w:fill="F2F2F2"/>
          </w:tcPr>
          <w:p>
            <w:pPr>
              <w:spacing w:after="0"/>
              <w:rPr>
                <w:sz w:val="5"/>
                <w:szCs w:val="5"/>
                <w:color w:val="auto"/>
              </w:rPr>
            </w:pPr>
          </w:p>
        </w:tc>
        <w:tc>
          <w:tcPr>
            <w:tcW w:w="1120" w:type="dxa"/>
            <w:vAlign w:val="bottom"/>
            <w:tcBorders>
              <w:right w:val="single" w:sz="8" w:color="0A248E"/>
            </w:tcBorders>
            <w:shd w:val="clear" w:color="auto" w:fill="0A248E"/>
          </w:tcPr>
          <w:p>
            <w:pPr>
              <w:spacing w:after="0"/>
              <w:rPr>
                <w:sz w:val="5"/>
                <w:szCs w:val="5"/>
                <w:color w:val="auto"/>
              </w:rPr>
            </w:pPr>
          </w:p>
        </w:tc>
        <w:tc>
          <w:tcPr>
            <w:tcW w:w="2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F2F2F2"/>
          </w:tcPr>
          <w:p>
            <w:pPr>
              <w:spacing w:after="0"/>
              <w:rPr>
                <w:sz w:val="24"/>
                <w:szCs w:val="24"/>
                <w:color w:val="auto"/>
              </w:rPr>
            </w:pPr>
          </w:p>
        </w:tc>
        <w:tc>
          <w:tcPr>
            <w:tcW w:w="2020" w:type="dxa"/>
            <w:vAlign w:val="bottom"/>
            <w:tcBorders>
              <w:right w:val="single" w:sz="8" w:color="F2F2F2"/>
            </w:tcBorders>
            <w:vMerge w:val="continue"/>
            <w:shd w:val="clear" w:color="auto" w:fill="F2F2F2"/>
          </w:tcPr>
          <w:p>
            <w:pPr>
              <w:spacing w:after="0"/>
              <w:rPr>
                <w:sz w:val="24"/>
                <w:szCs w:val="24"/>
                <w:color w:val="auto"/>
              </w:rPr>
            </w:pPr>
          </w:p>
        </w:tc>
        <w:tc>
          <w:tcPr>
            <w:tcW w:w="1160" w:type="dxa"/>
            <w:vAlign w:val="bottom"/>
            <w:tcBorders>
              <w:left w:val="single" w:sz="8" w:color="9E9ACC"/>
              <w:right w:val="single" w:sz="8" w:color="9E9ACC"/>
            </w:tcBorders>
            <w:vMerge w:val="restart"/>
            <w:shd w:val="clear" w:color="auto" w:fill="9E9ACC"/>
          </w:tcPr>
          <w:p>
            <w:pPr>
              <w:jc w:val="center"/>
              <w:spacing w:after="0"/>
              <w:rPr>
                <w:sz w:val="20"/>
                <w:szCs w:val="20"/>
                <w:color w:val="auto"/>
              </w:rPr>
            </w:pPr>
            <w:r>
              <w:rPr>
                <w:rFonts w:ascii="Arial" w:cs="Arial" w:eastAsia="Arial" w:hAnsi="Arial"/>
                <w:sz w:val="18"/>
                <w:szCs w:val="18"/>
                <w:b w:val="1"/>
                <w:bCs w:val="1"/>
                <w:color w:val="auto"/>
                <w:w w:val="97"/>
              </w:rPr>
              <w:t>36.4%</w:t>
            </w:r>
          </w:p>
        </w:tc>
        <w:tc>
          <w:tcPr>
            <w:tcW w:w="260" w:type="dxa"/>
            <w:vAlign w:val="bottom"/>
            <w:tcBorders>
              <w:right w:val="single" w:sz="8" w:color="0A248E"/>
            </w:tcBorders>
            <w:shd w:val="clear" w:color="auto" w:fill="F2F2F2"/>
          </w:tcPr>
          <w:p>
            <w:pPr>
              <w:spacing w:after="0"/>
              <w:rPr>
                <w:sz w:val="24"/>
                <w:szCs w:val="24"/>
                <w:color w:val="auto"/>
              </w:rPr>
            </w:pPr>
          </w:p>
        </w:tc>
        <w:tc>
          <w:tcPr>
            <w:tcW w:w="11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8"/>
                <w:szCs w:val="18"/>
                <w:b w:val="1"/>
                <w:bCs w:val="1"/>
                <w:color w:val="FFFFFF"/>
                <w:w w:val="97"/>
              </w:rPr>
              <w:t>40.6%</w:t>
            </w: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0" w:type="dxa"/>
            <w:vAlign w:val="bottom"/>
            <w:shd w:val="clear" w:color="auto" w:fill="F2F2F2"/>
          </w:tcPr>
          <w:p>
            <w:pPr>
              <w:spacing w:after="0"/>
              <w:rPr>
                <w:sz w:val="4"/>
                <w:szCs w:val="4"/>
                <w:color w:val="auto"/>
              </w:rPr>
            </w:pPr>
          </w:p>
        </w:tc>
        <w:tc>
          <w:tcPr>
            <w:tcW w:w="2020" w:type="dxa"/>
            <w:vAlign w:val="bottom"/>
            <w:tcBorders>
              <w:right w:val="single" w:sz="8" w:color="F2F2F2"/>
            </w:tcBorders>
            <w:vMerge w:val="restart"/>
            <w:shd w:val="clear" w:color="auto" w:fill="F2F2F2"/>
          </w:tcPr>
          <w:p>
            <w:pPr>
              <w:jc w:val="right"/>
              <w:ind w:right="71"/>
              <w:spacing w:after="0" w:line="178" w:lineRule="exact"/>
              <w:rPr>
                <w:sz w:val="20"/>
                <w:szCs w:val="20"/>
                <w:color w:val="auto"/>
              </w:rPr>
            </w:pPr>
            <w:r>
              <w:rPr>
                <w:rFonts w:ascii="Arial" w:cs="Arial" w:eastAsia="Arial" w:hAnsi="Arial"/>
                <w:sz w:val="18"/>
                <w:szCs w:val="18"/>
                <w:b w:val="1"/>
                <w:bCs w:val="1"/>
                <w:color w:val="auto"/>
              </w:rPr>
              <w:t>Operating Margin</w:t>
            </w:r>
          </w:p>
        </w:tc>
        <w:tc>
          <w:tcPr>
            <w:tcW w:w="1160" w:type="dxa"/>
            <w:vAlign w:val="bottom"/>
            <w:tcBorders>
              <w:left w:val="single" w:sz="8" w:color="9E9ACC"/>
              <w:right w:val="single" w:sz="8" w:color="9E9ACC"/>
            </w:tcBorders>
            <w:vMerge w:val="continue"/>
            <w:shd w:val="clear" w:color="auto" w:fill="9E9ACC"/>
          </w:tcPr>
          <w:p>
            <w:pPr>
              <w:spacing w:after="0"/>
              <w:rPr>
                <w:sz w:val="4"/>
                <w:szCs w:val="4"/>
                <w:color w:val="auto"/>
              </w:rPr>
            </w:pPr>
          </w:p>
        </w:tc>
        <w:tc>
          <w:tcPr>
            <w:tcW w:w="260" w:type="dxa"/>
            <w:vAlign w:val="bottom"/>
            <w:tcBorders>
              <w:right w:val="single" w:sz="8" w:color="0A248E"/>
            </w:tcBorders>
            <w:shd w:val="clear" w:color="auto" w:fill="F2F2F2"/>
          </w:tcPr>
          <w:p>
            <w:pPr>
              <w:spacing w:after="0"/>
              <w:rPr>
                <w:sz w:val="4"/>
                <w:szCs w:val="4"/>
                <w:color w:val="auto"/>
              </w:rPr>
            </w:pPr>
          </w:p>
        </w:tc>
        <w:tc>
          <w:tcPr>
            <w:tcW w:w="1120" w:type="dxa"/>
            <w:vAlign w:val="bottom"/>
            <w:tcBorders>
              <w:right w:val="single" w:sz="8" w:color="0A248E"/>
            </w:tcBorders>
            <w:shd w:val="clear" w:color="auto" w:fill="0A248E"/>
          </w:tcPr>
          <w:p>
            <w:pPr>
              <w:spacing w:after="0"/>
              <w:rPr>
                <w:sz w:val="4"/>
                <w:szCs w:val="4"/>
                <w:color w:val="auto"/>
              </w:rPr>
            </w:pPr>
          </w:p>
        </w:tc>
        <w:tc>
          <w:tcPr>
            <w:tcW w:w="28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F2F2F2"/>
            </w:tcBorders>
            <w:shd w:val="clear" w:color="auto" w:fill="F2F2F2"/>
          </w:tcPr>
          <w:p>
            <w:pPr>
              <w:spacing w:after="0"/>
              <w:rPr>
                <w:sz w:val="14"/>
                <w:szCs w:val="14"/>
                <w:color w:val="auto"/>
              </w:rPr>
            </w:pPr>
          </w:p>
        </w:tc>
        <w:tc>
          <w:tcPr>
            <w:tcW w:w="2020" w:type="dxa"/>
            <w:vAlign w:val="bottom"/>
            <w:tcBorders>
              <w:bottom w:val="single" w:sz="8" w:color="F2F2F2"/>
              <w:right w:val="single" w:sz="8" w:color="F2F2F2"/>
            </w:tcBorders>
            <w:vMerge w:val="continue"/>
            <w:shd w:val="clear" w:color="auto" w:fill="F2F2F2"/>
          </w:tcPr>
          <w:p>
            <w:pPr>
              <w:spacing w:after="0"/>
              <w:rPr>
                <w:sz w:val="14"/>
                <w:szCs w:val="14"/>
                <w:color w:val="auto"/>
              </w:rPr>
            </w:pPr>
          </w:p>
        </w:tc>
        <w:tc>
          <w:tcPr>
            <w:tcW w:w="1160" w:type="dxa"/>
            <w:vAlign w:val="bottom"/>
            <w:tcBorders>
              <w:left w:val="single" w:sz="8" w:color="9E9ACC"/>
              <w:bottom w:val="single" w:sz="8" w:color="9E9ACC"/>
              <w:right w:val="single" w:sz="8" w:color="9E9ACC"/>
            </w:tcBorders>
            <w:shd w:val="clear" w:color="auto" w:fill="9E9ACC"/>
          </w:tcPr>
          <w:p>
            <w:pPr>
              <w:spacing w:after="0"/>
              <w:rPr>
                <w:sz w:val="14"/>
                <w:szCs w:val="14"/>
                <w:color w:val="auto"/>
              </w:rPr>
            </w:pPr>
          </w:p>
        </w:tc>
        <w:tc>
          <w:tcPr>
            <w:tcW w:w="260" w:type="dxa"/>
            <w:vAlign w:val="bottom"/>
            <w:tcBorders>
              <w:bottom w:val="single" w:sz="8" w:color="F2F2F2"/>
              <w:right w:val="single" w:sz="8" w:color="0A248E"/>
            </w:tcBorders>
            <w:shd w:val="clear" w:color="auto" w:fill="F2F2F2"/>
          </w:tcPr>
          <w:p>
            <w:pPr>
              <w:spacing w:after="0"/>
              <w:rPr>
                <w:sz w:val="14"/>
                <w:szCs w:val="14"/>
                <w:color w:val="auto"/>
              </w:rPr>
            </w:pPr>
          </w:p>
        </w:tc>
        <w:tc>
          <w:tcPr>
            <w:tcW w:w="1120" w:type="dxa"/>
            <w:vAlign w:val="bottom"/>
            <w:tcBorders>
              <w:bottom w:val="single" w:sz="8" w:color="0A248E"/>
              <w:right w:val="single" w:sz="8" w:color="0A248E"/>
            </w:tcBorders>
            <w:shd w:val="clear" w:color="auto" w:fill="0A248E"/>
          </w:tcPr>
          <w:p>
            <w:pPr>
              <w:spacing w:after="0"/>
              <w:rPr>
                <w:sz w:val="14"/>
                <w:szCs w:val="14"/>
                <w:color w:val="auto"/>
              </w:rPr>
            </w:pPr>
          </w:p>
        </w:tc>
        <w:tc>
          <w:tcPr>
            <w:tcW w:w="280" w:type="dxa"/>
            <w:vAlign w:val="bottom"/>
            <w:tcBorders>
              <w:bottom w:val="single" w:sz="8" w:color="F2F2F2"/>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20" w:type="dxa"/>
            <w:vAlign w:val="bottom"/>
            <w:shd w:val="clear" w:color="auto" w:fill="F2F2F2"/>
          </w:tcPr>
          <w:p>
            <w:pPr>
              <w:spacing w:after="0"/>
              <w:rPr>
                <w:sz w:val="24"/>
                <w:szCs w:val="24"/>
                <w:color w:val="auto"/>
              </w:rPr>
            </w:pPr>
          </w:p>
        </w:tc>
        <w:tc>
          <w:tcPr>
            <w:tcW w:w="2020" w:type="dxa"/>
            <w:vAlign w:val="bottom"/>
            <w:tcBorders>
              <w:right w:val="single" w:sz="8" w:color="F2F2F2"/>
            </w:tcBorders>
            <w:shd w:val="clear" w:color="auto" w:fill="F2F2F2"/>
          </w:tcPr>
          <w:p>
            <w:pPr>
              <w:spacing w:after="0"/>
              <w:rPr>
                <w:sz w:val="24"/>
                <w:szCs w:val="24"/>
                <w:color w:val="auto"/>
              </w:rPr>
            </w:pPr>
          </w:p>
        </w:tc>
        <w:tc>
          <w:tcPr>
            <w:tcW w:w="1160" w:type="dxa"/>
            <w:vAlign w:val="bottom"/>
            <w:tcBorders>
              <w:left w:val="single" w:sz="8" w:color="F2F2F2"/>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2024</w:t>
            </w:r>
          </w:p>
        </w:tc>
        <w:tc>
          <w:tcPr>
            <w:tcW w:w="260" w:type="dxa"/>
            <w:vAlign w:val="bottom"/>
            <w:tcBorders>
              <w:right w:val="single" w:sz="8" w:color="F2F2F2"/>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2025</w:t>
            </w: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F2F2F2"/>
          </w:tcPr>
          <w:p>
            <w:pPr>
              <w:spacing w:after="0"/>
              <w:rPr>
                <w:sz w:val="15"/>
                <w:szCs w:val="15"/>
                <w:color w:val="auto"/>
              </w:rPr>
            </w:pPr>
          </w:p>
        </w:tc>
        <w:tc>
          <w:tcPr>
            <w:tcW w:w="2020" w:type="dxa"/>
            <w:vAlign w:val="bottom"/>
            <w:tcBorders>
              <w:right w:val="single" w:sz="8" w:color="F2F2F2"/>
            </w:tcBorders>
            <w:shd w:val="clear" w:color="auto" w:fill="F2F2F2"/>
          </w:tcPr>
          <w:p>
            <w:pPr>
              <w:spacing w:after="0"/>
              <w:rPr>
                <w:sz w:val="15"/>
                <w:szCs w:val="15"/>
                <w:color w:val="auto"/>
              </w:rPr>
            </w:pPr>
          </w:p>
        </w:tc>
        <w:tc>
          <w:tcPr>
            <w:tcW w:w="1160" w:type="dxa"/>
            <w:vAlign w:val="bottom"/>
            <w:tcBorders>
              <w:left w:val="single" w:sz="8" w:color="F2F2F2"/>
              <w:right w:val="single" w:sz="8" w:color="F2F2F2"/>
            </w:tcBorders>
            <w:shd w:val="clear" w:color="auto" w:fill="F2F2F2"/>
          </w:tcPr>
          <w:p>
            <w:pPr>
              <w:spacing w:after="0"/>
              <w:rPr>
                <w:sz w:val="15"/>
                <w:szCs w:val="15"/>
                <w:color w:val="auto"/>
              </w:rPr>
            </w:pPr>
          </w:p>
        </w:tc>
        <w:tc>
          <w:tcPr>
            <w:tcW w:w="260" w:type="dxa"/>
            <w:vAlign w:val="bottom"/>
            <w:tcBorders>
              <w:right w:val="single" w:sz="8" w:color="F2F2F2"/>
            </w:tcBorders>
            <w:shd w:val="clear" w:color="auto" w:fill="F2F2F2"/>
          </w:tcPr>
          <w:p>
            <w:pPr>
              <w:spacing w:after="0"/>
              <w:rPr>
                <w:sz w:val="15"/>
                <w:szCs w:val="15"/>
                <w:color w:val="auto"/>
              </w:rPr>
            </w:pPr>
          </w:p>
        </w:tc>
        <w:tc>
          <w:tcPr>
            <w:tcW w:w="1120" w:type="dxa"/>
            <w:vAlign w:val="bottom"/>
            <w:tcBorders>
              <w:right w:val="single" w:sz="8" w:color="F2F2F2"/>
            </w:tcBorders>
            <w:shd w:val="clear" w:color="auto" w:fill="F2F2F2"/>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20" w:type="dxa"/>
            <w:vAlign w:val="bottom"/>
            <w:shd w:val="clear" w:color="auto" w:fill="F2F2F2"/>
          </w:tcPr>
          <w:p>
            <w:pPr>
              <w:spacing w:after="0"/>
              <w:rPr>
                <w:sz w:val="24"/>
                <w:szCs w:val="24"/>
                <w:color w:val="auto"/>
              </w:rPr>
            </w:pPr>
          </w:p>
        </w:tc>
        <w:tc>
          <w:tcPr>
            <w:tcW w:w="2020" w:type="dxa"/>
            <w:vAlign w:val="bottom"/>
            <w:tcBorders>
              <w:right w:val="single" w:sz="8" w:color="F2F2F2"/>
            </w:tcBorders>
            <w:shd w:val="clear" w:color="auto" w:fill="F2F2F2"/>
          </w:tcPr>
          <w:p>
            <w:pPr>
              <w:spacing w:after="0"/>
              <w:rPr>
                <w:sz w:val="24"/>
                <w:szCs w:val="24"/>
                <w:color w:val="auto"/>
              </w:rPr>
            </w:pPr>
          </w:p>
        </w:tc>
        <w:tc>
          <w:tcPr>
            <w:tcW w:w="1160" w:type="dxa"/>
            <w:vAlign w:val="bottom"/>
            <w:tcBorders>
              <w:left w:val="single" w:sz="8" w:color="F2F2F2"/>
              <w:right w:val="single" w:sz="8" w:color="F2F2F2"/>
            </w:tcBorders>
            <w:shd w:val="clear" w:color="auto" w:fill="F2F2F2"/>
          </w:tcPr>
          <w:p>
            <w:pPr>
              <w:spacing w:after="0"/>
              <w:rPr>
                <w:sz w:val="24"/>
                <w:szCs w:val="24"/>
                <w:color w:val="auto"/>
              </w:rPr>
            </w:pPr>
          </w:p>
        </w:tc>
        <w:tc>
          <w:tcPr>
            <w:tcW w:w="260" w:type="dxa"/>
            <w:vAlign w:val="bottom"/>
            <w:tcBorders>
              <w:right w:val="single" w:sz="8" w:color="0A248E"/>
            </w:tcBorders>
            <w:shd w:val="clear" w:color="auto" w:fill="F2F2F2"/>
          </w:tcPr>
          <w:p>
            <w:pPr>
              <w:spacing w:after="0"/>
              <w:rPr>
                <w:sz w:val="24"/>
                <w:szCs w:val="24"/>
                <w:color w:val="auto"/>
              </w:rPr>
            </w:pPr>
          </w:p>
        </w:tc>
        <w:tc>
          <w:tcPr>
            <w:tcW w:w="1120" w:type="dxa"/>
            <w:vAlign w:val="bottom"/>
            <w:tcBorders>
              <w:right w:val="single" w:sz="8" w:color="0A248E"/>
            </w:tcBorders>
            <w:shd w:val="clear" w:color="auto" w:fill="0A248E"/>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shd w:val="clear" w:color="auto" w:fill="F2F2F2"/>
          </w:tcPr>
          <w:p>
            <w:pPr>
              <w:spacing w:after="0"/>
              <w:rPr>
                <w:sz w:val="24"/>
                <w:szCs w:val="24"/>
                <w:color w:val="auto"/>
              </w:rPr>
            </w:pPr>
          </w:p>
        </w:tc>
        <w:tc>
          <w:tcPr>
            <w:tcW w:w="2020" w:type="dxa"/>
            <w:vAlign w:val="bottom"/>
            <w:tcBorders>
              <w:right w:val="single" w:sz="8" w:color="F2F2F2"/>
            </w:tcBorders>
            <w:vMerge w:val="restart"/>
            <w:shd w:val="clear" w:color="auto" w:fill="F2F2F2"/>
          </w:tcPr>
          <w:p>
            <w:pPr>
              <w:jc w:val="right"/>
              <w:ind w:right="71"/>
              <w:spacing w:after="0"/>
              <w:rPr>
                <w:sz w:val="20"/>
                <w:szCs w:val="20"/>
                <w:color w:val="auto"/>
              </w:rPr>
            </w:pPr>
            <w:r>
              <w:rPr>
                <w:rFonts w:ascii="Arial" w:cs="Arial" w:eastAsia="Arial" w:hAnsi="Arial"/>
                <w:sz w:val="18"/>
                <w:szCs w:val="18"/>
                <w:b w:val="1"/>
                <w:bCs w:val="1"/>
                <w:color w:val="auto"/>
              </w:rPr>
              <w:t>Free Cash</w:t>
            </w:r>
          </w:p>
        </w:tc>
        <w:tc>
          <w:tcPr>
            <w:tcW w:w="1160" w:type="dxa"/>
            <w:vAlign w:val="bottom"/>
            <w:tcBorders>
              <w:left w:val="single" w:sz="8" w:color="9E9ACC"/>
              <w:right w:val="single" w:sz="8" w:color="9E9ACC"/>
            </w:tcBorders>
            <w:vMerge w:val="restart"/>
            <w:shd w:val="clear" w:color="auto" w:fill="9E9ACC"/>
          </w:tcPr>
          <w:p>
            <w:pPr>
              <w:jc w:val="center"/>
              <w:spacing w:after="0"/>
              <w:rPr>
                <w:sz w:val="20"/>
                <w:szCs w:val="20"/>
                <w:color w:val="auto"/>
              </w:rPr>
            </w:pPr>
            <w:r>
              <w:rPr>
                <w:rFonts w:ascii="Arial" w:cs="Arial" w:eastAsia="Arial" w:hAnsi="Arial"/>
                <w:sz w:val="18"/>
                <w:szCs w:val="18"/>
                <w:b w:val="1"/>
                <w:bCs w:val="1"/>
                <w:color w:val="auto"/>
                <w:w w:val="98"/>
              </w:rPr>
              <w:t>$871.6</w:t>
            </w:r>
          </w:p>
        </w:tc>
        <w:tc>
          <w:tcPr>
            <w:tcW w:w="260" w:type="dxa"/>
            <w:vAlign w:val="bottom"/>
            <w:tcBorders>
              <w:right w:val="single" w:sz="8" w:color="0A248E"/>
            </w:tcBorders>
            <w:shd w:val="clear" w:color="auto" w:fill="F2F2F2"/>
          </w:tcPr>
          <w:p>
            <w:pPr>
              <w:spacing w:after="0"/>
              <w:rPr>
                <w:sz w:val="24"/>
                <w:szCs w:val="24"/>
                <w:color w:val="auto"/>
              </w:rPr>
            </w:pPr>
          </w:p>
        </w:tc>
        <w:tc>
          <w:tcPr>
            <w:tcW w:w="11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8"/>
                <w:szCs w:val="18"/>
                <w:b w:val="1"/>
                <w:bCs w:val="1"/>
                <w:color w:val="FFFFFF"/>
                <w:w w:val="97"/>
              </w:rPr>
              <w:t>930.8</w:t>
            </w: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F2F2F2"/>
          </w:tcPr>
          <w:p>
            <w:pPr>
              <w:spacing w:after="0"/>
              <w:rPr>
                <w:sz w:val="15"/>
                <w:szCs w:val="15"/>
                <w:color w:val="auto"/>
              </w:rPr>
            </w:pPr>
          </w:p>
        </w:tc>
        <w:tc>
          <w:tcPr>
            <w:tcW w:w="2020" w:type="dxa"/>
            <w:vAlign w:val="bottom"/>
            <w:tcBorders>
              <w:right w:val="single" w:sz="8" w:color="F2F2F2"/>
            </w:tcBorders>
            <w:vMerge w:val="continue"/>
            <w:shd w:val="clear" w:color="auto" w:fill="F2F2F2"/>
          </w:tcPr>
          <w:p>
            <w:pPr>
              <w:spacing w:after="0"/>
              <w:rPr>
                <w:sz w:val="15"/>
                <w:szCs w:val="15"/>
                <w:color w:val="auto"/>
              </w:rPr>
            </w:pPr>
          </w:p>
        </w:tc>
        <w:tc>
          <w:tcPr>
            <w:tcW w:w="1160" w:type="dxa"/>
            <w:vAlign w:val="bottom"/>
            <w:tcBorders>
              <w:left w:val="single" w:sz="8" w:color="9E9ACC"/>
              <w:right w:val="single" w:sz="8" w:color="9E9ACC"/>
            </w:tcBorders>
            <w:vMerge w:val="continue"/>
            <w:shd w:val="clear" w:color="auto" w:fill="9E9ACC"/>
          </w:tcPr>
          <w:p>
            <w:pPr>
              <w:spacing w:after="0"/>
              <w:rPr>
                <w:sz w:val="15"/>
                <w:szCs w:val="15"/>
                <w:color w:val="auto"/>
              </w:rPr>
            </w:pPr>
          </w:p>
        </w:tc>
        <w:tc>
          <w:tcPr>
            <w:tcW w:w="260" w:type="dxa"/>
            <w:vAlign w:val="bottom"/>
            <w:tcBorders>
              <w:right w:val="single" w:sz="8" w:color="0A248E"/>
            </w:tcBorders>
            <w:shd w:val="clear" w:color="auto" w:fill="F2F2F2"/>
          </w:tcPr>
          <w:p>
            <w:pPr>
              <w:spacing w:after="0"/>
              <w:rPr>
                <w:sz w:val="15"/>
                <w:szCs w:val="15"/>
                <w:color w:val="auto"/>
              </w:rPr>
            </w:pPr>
          </w:p>
        </w:tc>
        <w:tc>
          <w:tcPr>
            <w:tcW w:w="1120" w:type="dxa"/>
            <w:vAlign w:val="bottom"/>
            <w:tcBorders>
              <w:right w:val="single" w:sz="8" w:color="0A248E"/>
            </w:tcBorders>
            <w:shd w:val="clear" w:color="auto" w:fill="0A248E"/>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F2F2F2"/>
          </w:tcPr>
          <w:p>
            <w:pPr>
              <w:spacing w:after="0" w:line="20" w:lineRule="exact"/>
              <w:rPr>
                <w:sz w:val="1"/>
                <w:szCs w:val="1"/>
                <w:color w:val="auto"/>
              </w:rPr>
            </w:pPr>
          </w:p>
        </w:tc>
        <w:tc>
          <w:tcPr>
            <w:tcW w:w="2020" w:type="dxa"/>
            <w:vAlign w:val="bottom"/>
            <w:tcBorders>
              <w:right w:val="single" w:sz="8" w:color="F2F2F2"/>
            </w:tcBorders>
            <w:vMerge w:val="continue"/>
            <w:shd w:val="clear" w:color="auto" w:fill="F2F2F2"/>
          </w:tcPr>
          <w:p>
            <w:pPr>
              <w:spacing w:after="0" w:line="20" w:lineRule="exact"/>
              <w:rPr>
                <w:sz w:val="1"/>
                <w:szCs w:val="1"/>
                <w:color w:val="auto"/>
              </w:rPr>
            </w:pPr>
          </w:p>
        </w:tc>
        <w:tc>
          <w:tcPr>
            <w:tcW w:w="1160" w:type="dxa"/>
            <w:vAlign w:val="bottom"/>
            <w:tcBorders>
              <w:left w:val="single" w:sz="8" w:color="9E9ACC"/>
              <w:right w:val="single" w:sz="8" w:color="9E9ACC"/>
            </w:tcBorders>
            <w:shd w:val="clear" w:color="auto" w:fill="9E9ACC"/>
          </w:tcPr>
          <w:p>
            <w:pPr>
              <w:spacing w:after="0" w:line="20" w:lineRule="exact"/>
              <w:rPr>
                <w:sz w:val="1"/>
                <w:szCs w:val="1"/>
                <w:color w:val="auto"/>
              </w:rPr>
            </w:pPr>
          </w:p>
        </w:tc>
        <w:tc>
          <w:tcPr>
            <w:tcW w:w="260" w:type="dxa"/>
            <w:vAlign w:val="bottom"/>
            <w:tcBorders>
              <w:right w:val="single" w:sz="8" w:color="0A248E"/>
            </w:tcBorders>
            <w:shd w:val="clear" w:color="auto" w:fill="F2F2F2"/>
          </w:tcPr>
          <w:p>
            <w:pPr>
              <w:spacing w:after="0" w:line="20" w:lineRule="exact"/>
              <w:rPr>
                <w:sz w:val="1"/>
                <w:szCs w:val="1"/>
                <w:color w:val="auto"/>
              </w:rPr>
            </w:pPr>
          </w:p>
        </w:tc>
        <w:tc>
          <w:tcPr>
            <w:tcW w:w="1120" w:type="dxa"/>
            <w:vAlign w:val="bottom"/>
            <w:tcBorders>
              <w:right w:val="single" w:sz="8" w:color="0A248E"/>
            </w:tcBorders>
            <w:shd w:val="clear" w:color="auto" w:fill="0A248E"/>
          </w:tcPr>
          <w:p>
            <w:pPr>
              <w:spacing w:after="0" w:line="20" w:lineRule="exact"/>
              <w:rPr>
                <w:sz w:val="1"/>
                <w:szCs w:val="1"/>
                <w:color w:val="auto"/>
              </w:rPr>
            </w:pPr>
          </w:p>
        </w:tc>
        <w:tc>
          <w:tcPr>
            <w:tcW w:w="28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shd w:val="clear" w:color="auto" w:fill="F2F2F2"/>
          </w:tcPr>
          <w:p>
            <w:pPr>
              <w:spacing w:after="0"/>
              <w:rPr>
                <w:sz w:val="21"/>
                <w:szCs w:val="21"/>
                <w:color w:val="auto"/>
              </w:rPr>
            </w:pPr>
          </w:p>
        </w:tc>
        <w:tc>
          <w:tcPr>
            <w:tcW w:w="2020" w:type="dxa"/>
            <w:vAlign w:val="bottom"/>
            <w:tcBorders>
              <w:right w:val="single" w:sz="8" w:color="F2F2F2"/>
            </w:tcBorders>
            <w:shd w:val="clear" w:color="auto" w:fill="F2F2F2"/>
          </w:tcPr>
          <w:p>
            <w:pPr>
              <w:jc w:val="right"/>
              <w:ind w:right="71"/>
              <w:spacing w:after="0"/>
              <w:rPr>
                <w:sz w:val="20"/>
                <w:szCs w:val="20"/>
                <w:color w:val="auto"/>
              </w:rPr>
            </w:pPr>
            <w:r>
              <w:rPr>
                <w:rFonts w:ascii="Arial" w:cs="Arial" w:eastAsia="Arial" w:hAnsi="Arial"/>
                <w:sz w:val="18"/>
                <w:szCs w:val="18"/>
                <w:b w:val="1"/>
                <w:bCs w:val="1"/>
                <w:color w:val="auto"/>
              </w:rPr>
              <w:t>Flow ($M)</w:t>
            </w:r>
          </w:p>
        </w:tc>
        <w:tc>
          <w:tcPr>
            <w:tcW w:w="1160" w:type="dxa"/>
            <w:vAlign w:val="bottom"/>
            <w:tcBorders>
              <w:left w:val="single" w:sz="8" w:color="9E9ACC"/>
              <w:right w:val="single" w:sz="8" w:color="9E9ACC"/>
            </w:tcBorders>
            <w:shd w:val="clear" w:color="auto" w:fill="9E9ACC"/>
          </w:tcPr>
          <w:p>
            <w:pPr>
              <w:spacing w:after="0"/>
              <w:rPr>
                <w:sz w:val="21"/>
                <w:szCs w:val="21"/>
                <w:color w:val="auto"/>
              </w:rPr>
            </w:pPr>
          </w:p>
        </w:tc>
        <w:tc>
          <w:tcPr>
            <w:tcW w:w="260" w:type="dxa"/>
            <w:vAlign w:val="bottom"/>
            <w:tcBorders>
              <w:right w:val="single" w:sz="8" w:color="0A248E"/>
            </w:tcBorders>
            <w:shd w:val="clear" w:color="auto" w:fill="F2F2F2"/>
          </w:tcPr>
          <w:p>
            <w:pPr>
              <w:spacing w:after="0"/>
              <w:rPr>
                <w:sz w:val="21"/>
                <w:szCs w:val="21"/>
                <w:color w:val="auto"/>
              </w:rPr>
            </w:pPr>
          </w:p>
        </w:tc>
        <w:tc>
          <w:tcPr>
            <w:tcW w:w="1120" w:type="dxa"/>
            <w:vAlign w:val="bottom"/>
            <w:tcBorders>
              <w:right w:val="single" w:sz="8" w:color="0A248E"/>
            </w:tcBorders>
            <w:shd w:val="clear" w:color="auto" w:fill="0A248E"/>
          </w:tcPr>
          <w:p>
            <w:pPr>
              <w:spacing w:after="0"/>
              <w:rPr>
                <w:sz w:val="21"/>
                <w:szCs w:val="21"/>
                <w:color w:val="auto"/>
              </w:rPr>
            </w:pPr>
          </w:p>
        </w:tc>
        <w:tc>
          <w:tcPr>
            <w:tcW w:w="2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20" w:type="dxa"/>
            <w:vAlign w:val="bottom"/>
            <w:shd w:val="clear" w:color="auto" w:fill="F2F2F2"/>
          </w:tcPr>
          <w:p>
            <w:pPr>
              <w:spacing w:after="0"/>
              <w:rPr>
                <w:sz w:val="24"/>
                <w:szCs w:val="24"/>
                <w:color w:val="auto"/>
              </w:rPr>
            </w:pPr>
          </w:p>
        </w:tc>
        <w:tc>
          <w:tcPr>
            <w:tcW w:w="2020" w:type="dxa"/>
            <w:vAlign w:val="bottom"/>
            <w:tcBorders>
              <w:right w:val="single" w:sz="8" w:color="F2F2F2"/>
            </w:tcBorders>
            <w:shd w:val="clear" w:color="auto" w:fill="F2F2F2"/>
          </w:tcPr>
          <w:p>
            <w:pPr>
              <w:spacing w:after="0"/>
              <w:rPr>
                <w:sz w:val="24"/>
                <w:szCs w:val="24"/>
                <w:color w:val="auto"/>
              </w:rPr>
            </w:pPr>
          </w:p>
        </w:tc>
        <w:tc>
          <w:tcPr>
            <w:tcW w:w="1160" w:type="dxa"/>
            <w:vAlign w:val="bottom"/>
            <w:tcBorders>
              <w:left w:val="single" w:sz="8" w:color="F2F2F2"/>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2024</w:t>
            </w:r>
          </w:p>
        </w:tc>
        <w:tc>
          <w:tcPr>
            <w:tcW w:w="260" w:type="dxa"/>
            <w:vAlign w:val="bottom"/>
            <w:tcBorders>
              <w:right w:val="single" w:sz="8" w:color="F2F2F2"/>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2025</w:t>
            </w:r>
          </w:p>
        </w:tc>
        <w:tc>
          <w:tcPr>
            <w:tcW w:w="2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-4104005</wp:posOffset>
                </wp:positionV>
                <wp:extent cx="1297305" cy="13970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305" cy="139700"/>
                        </a:xfrm>
                        <a:prstGeom prst="rect">
                          <a:avLst/>
                        </a:prstGeom>
                        <a:solidFill>
                          <a:srgbClr val="F2F2F2"/>
                        </a:solidFill>
                      </wps:spPr>
                      <wps:bodyPr/>
                    </wps:wsp>
                  </a:graphicData>
                </a:graphic>
              </wp:anchor>
            </w:drawing>
          </mc:Choice>
          <mc:Fallback>
            <w:pict>
              <v:rect id="Shape 87" o:spid="_x0000_s1112" style="position:absolute;margin-left:0.1pt;margin-top:-323.1499pt;width:102.1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-3964305</wp:posOffset>
                </wp:positionV>
                <wp:extent cx="1292860" cy="60960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860" cy="609600"/>
                        </a:xfrm>
                        <a:prstGeom prst="rect">
                          <a:avLst/>
                        </a:prstGeom>
                        <a:solidFill>
                          <a:srgbClr val="F2F2F2"/>
                        </a:solidFill>
                      </wps:spPr>
                      <wps:bodyPr/>
                    </wps:wsp>
                  </a:graphicData>
                </a:graphic>
              </wp:anchor>
            </w:drawing>
          </mc:Choice>
          <mc:Fallback>
            <w:pict>
              <v:rect id="Shape 88" o:spid="_x0000_s1113" style="position:absolute;margin-left:0.1pt;margin-top:-312.1499pt;width:101.8pt;height: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0</wp:posOffset>
                </wp:positionV>
                <wp:extent cx="6115685" cy="16637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5685" cy="166370"/>
                        </a:xfrm>
                        <a:prstGeom prst="rect">
                          <a:avLst/>
                        </a:prstGeom>
                        <a:solidFill>
                          <a:srgbClr val="F2F2F2"/>
                        </a:solidFill>
                      </wps:spPr>
                      <wps:bodyPr/>
                    </wps:wsp>
                  </a:graphicData>
                </a:graphic>
              </wp:anchor>
            </w:drawing>
          </mc:Choice>
          <mc:Fallback>
            <w:pict>
              <v:rect id="Shape 89" o:spid="_x0000_s1114" style="position:absolute;margin-left:0.15pt;margin-top:0pt;width:481.5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72" w:right="200" w:hanging="172"/>
        <w:spacing w:after="0" w:line="304" w:lineRule="auto"/>
        <w:tabs>
          <w:tab w:leader="none" w:pos="172" w:val="left"/>
        </w:tabs>
        <w:numPr>
          <w:ilvl w:val="0"/>
          <w:numId w:val="48"/>
        </w:numPr>
        <w:rPr>
          <w:rFonts w:ascii="Arial" w:cs="Arial" w:eastAsia="Arial" w:hAnsi="Arial"/>
          <w:sz w:val="17"/>
          <w:szCs w:val="17"/>
          <w:color w:val="0A248E"/>
        </w:rPr>
      </w:pPr>
      <w:r>
        <w:rPr>
          <w:rFonts w:ascii="Arial" w:cs="Arial" w:eastAsia="Arial" w:hAnsi="Arial"/>
          <w:sz w:val="17"/>
          <w:szCs w:val="17"/>
          <w:color w:val="auto"/>
        </w:rPr>
        <w:t>From our founding, we’ve focused on simplifying the lives of our users. In a world where business software can be frustrating to use, challenging to integrate, and expensive to sell, we take a different approach.</w:t>
      </w:r>
    </w:p>
    <w:p>
      <w:pPr>
        <w:spacing w:after="0" w:line="174" w:lineRule="exact"/>
        <w:rPr>
          <w:rFonts w:ascii="Arial" w:cs="Arial" w:eastAsia="Arial" w:hAnsi="Arial"/>
          <w:sz w:val="17"/>
          <w:szCs w:val="17"/>
          <w:color w:val="0A248E"/>
        </w:rPr>
      </w:pPr>
    </w:p>
    <w:p>
      <w:pPr>
        <w:ind w:left="172" w:right="100" w:hanging="172"/>
        <w:spacing w:after="0" w:line="298" w:lineRule="auto"/>
        <w:tabs>
          <w:tab w:leader="none" w:pos="172" w:val="left"/>
        </w:tabs>
        <w:numPr>
          <w:ilvl w:val="0"/>
          <w:numId w:val="48"/>
        </w:numPr>
        <w:rPr>
          <w:rFonts w:ascii="Arial" w:cs="Arial" w:eastAsia="Arial" w:hAnsi="Arial"/>
          <w:sz w:val="17"/>
          <w:szCs w:val="17"/>
          <w:color w:val="0A248E"/>
        </w:rPr>
      </w:pPr>
      <w:r>
        <w:rPr>
          <w:rFonts w:ascii="Arial" w:cs="Arial" w:eastAsia="Arial" w:hAnsi="Arial"/>
          <w:sz w:val="17"/>
          <w:szCs w:val="17"/>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spacing w:after="0" w:line="181" w:lineRule="exact"/>
        <w:rPr>
          <w:rFonts w:ascii="Arial" w:cs="Arial" w:eastAsia="Arial" w:hAnsi="Arial"/>
          <w:sz w:val="17"/>
          <w:szCs w:val="17"/>
          <w:color w:val="0A248E"/>
        </w:rPr>
      </w:pPr>
    </w:p>
    <w:p>
      <w:pPr>
        <w:ind w:left="172" w:right="160" w:hanging="172"/>
        <w:spacing w:after="0" w:line="275" w:lineRule="auto"/>
        <w:tabs>
          <w:tab w:leader="none" w:pos="172" w:val="left"/>
        </w:tabs>
        <w:numPr>
          <w:ilvl w:val="0"/>
          <w:numId w:val="48"/>
        </w:numPr>
        <w:rPr>
          <w:rFonts w:ascii="Arial" w:cs="Arial" w:eastAsia="Arial" w:hAnsi="Arial"/>
          <w:sz w:val="18"/>
          <w:szCs w:val="18"/>
          <w:color w:val="0A248E"/>
        </w:rPr>
      </w:pPr>
      <w:r>
        <w:rPr>
          <w:rFonts w:ascii="Arial" w:cs="Arial" w:eastAsia="Arial" w:hAnsi="Arial"/>
          <w:sz w:val="18"/>
          <w:szCs w:val="18"/>
          <w:color w:val="auto"/>
        </w:rPr>
        <w:t>Every year, millions of users sign up for Dropbox. Bottom-up adoption within organizations has been critical to our strategy and success as users increasingly choose their own tools at work. We generate over 90% of our revenue from self-serve channels—users who purchase a subscription through our app or website.</w:t>
      </w:r>
    </w:p>
    <w:p>
      <w:pPr>
        <w:spacing w:after="0" w:line="197" w:lineRule="exact"/>
        <w:rPr>
          <w:rFonts w:ascii="Arial" w:cs="Arial" w:eastAsia="Arial" w:hAnsi="Arial"/>
          <w:sz w:val="18"/>
          <w:szCs w:val="18"/>
          <w:color w:val="0A248E"/>
        </w:rPr>
      </w:pPr>
    </w:p>
    <w:p>
      <w:pPr>
        <w:ind w:left="172" w:right="60" w:hanging="172"/>
        <w:spacing w:after="0" w:line="277" w:lineRule="auto"/>
        <w:tabs>
          <w:tab w:leader="none" w:pos="172" w:val="left"/>
        </w:tabs>
        <w:numPr>
          <w:ilvl w:val="0"/>
          <w:numId w:val="48"/>
        </w:numPr>
        <w:rPr>
          <w:rFonts w:ascii="Arial" w:cs="Arial" w:eastAsia="Arial" w:hAnsi="Arial"/>
          <w:sz w:val="18"/>
          <w:szCs w:val="18"/>
          <w:color w:val="0A248E"/>
        </w:rPr>
      </w:pPr>
      <w:r>
        <w:rPr>
          <w:rFonts w:ascii="Arial" w:cs="Arial" w:eastAsia="Arial" w:hAnsi="Arial"/>
          <w:sz w:val="18"/>
          <w:szCs w:val="18"/>
          <w:color w:val="auto"/>
        </w:rPr>
        <w:t>Dropbox allows individuals, teams, and organizations to collaborate more effectively and focus on the work that matters. Anyone can sign up for free through our website or app, and upgrade to a paid subscription plan for premium features.</w:t>
      </w:r>
    </w:p>
    <w:p>
      <w:pPr>
        <w:spacing w:after="0" w:line="917" w:lineRule="exact"/>
        <w:rPr>
          <w:sz w:val="20"/>
          <w:szCs w:val="20"/>
          <w:color w:val="auto"/>
        </w:rPr>
      </w:pPr>
    </w:p>
    <w:p>
      <w:pPr>
        <w:sectPr>
          <w:pgSz w:w="11880" w:h="15480" w:orient="portrait"/>
          <w:cols w:equalWidth="0" w:num="2">
            <w:col w:w="4860" w:space="228"/>
            <w:col w:w="4552"/>
          </w:cols>
          <w:pgMar w:left="1140" w:top="340" w:right="1100" w:bottom="0" w:gutter="0" w:footer="0" w:header="0"/>
          <w:type w:val="continuous"/>
        </w:sectPr>
      </w:pPr>
    </w:p>
    <w:p>
      <w:pPr>
        <w:ind w:left="40"/>
        <w:spacing w:after="0"/>
        <w:rPr>
          <w:sz w:val="20"/>
          <w:szCs w:val="20"/>
          <w:color w:val="auto"/>
        </w:rPr>
      </w:pPr>
      <w:r>
        <w:rPr>
          <w:rFonts w:ascii="Arial" w:cs="Arial" w:eastAsia="Arial" w:hAnsi="Arial"/>
          <w:sz w:val="15"/>
          <w:szCs w:val="15"/>
          <w:color w:val="auto"/>
        </w:rPr>
        <w:t xml:space="preserve">* A reconciliation of GAAP to non-GAAP results is provided in </w:t>
      </w:r>
      <w:r>
        <w:rPr>
          <w:rFonts w:ascii="Arial" w:cs="Arial" w:eastAsia="Arial" w:hAnsi="Arial"/>
          <w:sz w:val="15"/>
          <w:szCs w:val="15"/>
          <w:u w:val="single" w:color="auto"/>
          <w:color w:val="auto"/>
        </w:rPr>
        <w:t>Appendix A</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30480</wp:posOffset>
                </wp:positionV>
                <wp:extent cx="614172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1720" cy="4763"/>
                        </a:xfrm>
                        <a:prstGeom prst="line">
                          <a:avLst/>
                        </a:prstGeom>
                        <a:solidFill>
                          <a:srgbClr val="FFFFFF"/>
                        </a:solidFill>
                        <a:ln w="11887">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499pt,2.4pt" to="482.85pt,2.4pt" o:allowincell="f" strokecolor="#000000" strokeweight="0.936pt"/>
            </w:pict>
          </mc:Fallback>
        </mc:AlternateConten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Executive Compensation Policies and Practices</w:t>
      </w:r>
    </w:p>
    <w:p>
      <w:pPr>
        <w:spacing w:after="0" w:line="203" w:lineRule="exact"/>
        <w:rPr>
          <w:sz w:val="20"/>
          <w:szCs w:val="20"/>
          <w:color w:val="auto"/>
        </w:rPr>
      </w:pPr>
    </w:p>
    <w:p>
      <w:pPr>
        <w:jc w:val="both"/>
        <w:ind w:right="100"/>
        <w:spacing w:after="0" w:line="280" w:lineRule="auto"/>
        <w:rPr>
          <w:sz w:val="20"/>
          <w:szCs w:val="20"/>
          <w:color w:val="auto"/>
        </w:rPr>
      </w:pPr>
      <w:r>
        <w:rPr>
          <w:rFonts w:ascii="Arial" w:cs="Arial" w:eastAsia="Arial" w:hAnsi="Arial"/>
          <w:sz w:val="18"/>
          <w:szCs w:val="18"/>
          <w:color w:val="auto"/>
        </w:rPr>
        <w:t>Our talent and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key executive compensation program and related policies and practices:</w:t>
      </w:r>
    </w:p>
    <w:p>
      <w:pPr>
        <w:spacing w:after="0" w:line="196" w:lineRule="exact"/>
        <w:rPr>
          <w:sz w:val="20"/>
          <w:szCs w:val="20"/>
          <w:color w:val="auto"/>
        </w:rPr>
      </w:pPr>
    </w:p>
    <w:p>
      <w:pPr>
        <w:ind w:left="1640"/>
        <w:spacing w:after="0"/>
        <w:tabs>
          <w:tab w:leader="none" w:pos="6100" w:val="left"/>
        </w:tabs>
        <w:rPr>
          <w:sz w:val="20"/>
          <w:szCs w:val="20"/>
          <w:color w:val="auto"/>
        </w:rPr>
      </w:pPr>
      <w:r>
        <w:rPr>
          <w:rFonts w:ascii="Arial" w:cs="Arial" w:eastAsia="Arial" w:hAnsi="Arial"/>
          <w:sz w:val="27"/>
          <w:szCs w:val="27"/>
          <w:b w:val="1"/>
          <w:bCs w:val="1"/>
          <w:color w:val="auto"/>
        </w:rPr>
        <w:t>What we do</w:t>
      </w:r>
      <w:r>
        <w:rPr>
          <w:sz w:val="20"/>
          <w:szCs w:val="20"/>
          <w:color w:val="auto"/>
        </w:rPr>
        <w:tab/>
      </w:r>
      <w:r>
        <w:rPr>
          <w:rFonts w:ascii="Arial" w:cs="Arial" w:eastAsia="Arial" w:hAnsi="Arial"/>
          <w:sz w:val="27"/>
          <w:szCs w:val="27"/>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6127750" cy="7575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4">
                      <a:extLst>
                        <a:ext uri="{28A0092B-C50C-407E-A947-70E740481C1C}"/>
                      </a:extLst>
                    </a:blip>
                    <a:srcRect/>
                    <a:stretch>
                      <a:fillRect/>
                    </a:stretch>
                  </pic:blipFill>
                  <pic:spPr bwMode="auto">
                    <a:xfrm>
                      <a:off x="0" y="0"/>
                      <a:ext cx="6127750" cy="757555"/>
                    </a:xfrm>
                    <a:prstGeom prst="rect">
                      <a:avLst/>
                    </a:prstGeom>
                    <a:noFill/>
                  </pic:spPr>
                </pic:pic>
              </a:graphicData>
            </a:graphic>
          </wp:anchor>
        </w:drawing>
      </w:r>
    </w:p>
    <w:p>
      <w:pPr>
        <w:sectPr>
          <w:pgSz w:w="11880" w:h="15480" w:orient="portrait"/>
          <w:cols w:equalWidth="0" w:num="1">
            <w:col w:w="9640"/>
          </w:cols>
          <w:pgMar w:left="1140" w:top="340" w:right="1100" w:bottom="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440"/>
        <w:spacing w:after="0" w:line="305" w:lineRule="auto"/>
        <w:rPr>
          <w:sz w:val="20"/>
          <w:szCs w:val="20"/>
          <w:color w:val="auto"/>
        </w:rPr>
      </w:pPr>
      <w:r>
        <w:rPr>
          <w:rFonts w:ascii="Arial" w:cs="Arial" w:eastAsia="Arial" w:hAnsi="Arial"/>
          <w:sz w:val="17"/>
          <w:szCs w:val="17"/>
          <w:b w:val="1"/>
          <w:bCs w:val="1"/>
          <w:color w:val="auto"/>
        </w:rPr>
        <w:t xml:space="preserve">Maintain an Independent Talent and Compensation Committee. </w:t>
      </w:r>
      <w:r>
        <w:rPr>
          <w:rFonts w:ascii="Arial" w:cs="Arial" w:eastAsia="Arial" w:hAnsi="Arial"/>
          <w:sz w:val="17"/>
          <w:szCs w:val="17"/>
          <w:color w:val="auto"/>
        </w:rPr>
        <w:t>The talent and compensation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consists solely of independent directors who establish our executive compensation policies and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jc w:val="both"/>
        <w:ind w:left="347" w:right="780" w:hanging="347"/>
        <w:spacing w:after="0" w:line="309" w:lineRule="auto"/>
        <w:tabs>
          <w:tab w:leader="none" w:pos="347" w:val="left"/>
        </w:tabs>
        <w:numPr>
          <w:ilvl w:val="0"/>
          <w:numId w:val="49"/>
        </w:numPr>
        <w:rPr>
          <w:rFonts w:ascii="Segoe UI Symbol" w:cs="Segoe UI Symbol" w:eastAsia="Segoe UI Symbol" w:hAnsi="Segoe UI Symbol"/>
          <w:sz w:val="17"/>
          <w:szCs w:val="17"/>
          <w:color w:val="auto"/>
        </w:rPr>
      </w:pPr>
      <w:r>
        <w:rPr>
          <w:rFonts w:ascii="Arial" w:cs="Arial" w:eastAsia="Arial" w:hAnsi="Arial"/>
          <w:sz w:val="17"/>
          <w:szCs w:val="17"/>
          <w:b w:val="1"/>
          <w:bCs w:val="1"/>
          <w:color w:val="auto"/>
        </w:rPr>
        <w:t xml:space="preserve">No Guaranteed Bonuses. </w:t>
      </w:r>
      <w:r>
        <w:rPr>
          <w:rFonts w:ascii="Arial" w:cs="Arial" w:eastAsia="Arial" w:hAnsi="Arial"/>
          <w:sz w:val="17"/>
          <w:szCs w:val="17"/>
          <w:color w:val="auto"/>
        </w:rPr>
        <w:t>We do not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guaranteed bonuses to our executive officers.</w:t>
      </w:r>
    </w:p>
    <w:p>
      <w:pPr>
        <w:spacing w:after="0" w:line="641" w:lineRule="exact"/>
        <w:rPr>
          <w:sz w:val="20"/>
          <w:szCs w:val="20"/>
          <w:color w:val="auto"/>
        </w:rPr>
      </w:pPr>
    </w:p>
    <w:p>
      <w:pPr>
        <w:sectPr>
          <w:pgSz w:w="11880" w:h="15480" w:orient="portrait"/>
          <w:cols w:equalWidth="0" w:num="2">
            <w:col w:w="4680" w:space="253"/>
            <w:col w:w="4707"/>
          </w:cols>
          <w:pgMar w:left="1140" w:top="340" w:right="1100" w:bottom="0" w:gutter="0" w:footer="0" w:header="0"/>
          <w:type w:val="continuous"/>
        </w:sectPr>
      </w:pPr>
    </w:p>
    <w:p>
      <w:pPr>
        <w:spacing w:after="0" w:line="291"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39</w:t>
      </w:r>
    </w:p>
    <w:p>
      <w:pPr>
        <w:sectPr>
          <w:pgSz w:w="11880" w:h="15480" w:orient="portrait"/>
          <w:cols w:equalWidth="0" w:num="1">
            <w:col w:w="9640"/>
          </w:cols>
          <w:pgMar w:left="1140" w:top="340" w:right="1100" w:bottom="0" w:gutter="0" w:footer="0" w:header="0"/>
          <w:type w:val="continuous"/>
        </w:sectPr>
      </w:pPr>
    </w:p>
    <w:bookmarkStart w:id="47" w:name="page48"/>
    <w:bookmarkEnd w:id="47"/>
    <w:p>
      <w:pPr>
        <w:ind w:left="7"/>
        <w:spacing w:after="0"/>
        <w:rPr>
          <w:sz w:val="20"/>
          <w:szCs w:val="20"/>
          <w:color w:val="auto"/>
        </w:rPr>
      </w:pPr>
      <w:r>
        <w:rPr>
          <w:rFonts w:ascii="Arial" w:cs="Arial" w:eastAsia="Arial" w:hAnsi="Arial"/>
          <w:sz w:val="32"/>
          <w:szCs w:val="32"/>
          <w:color w:val="0A248E"/>
        </w:rPr>
        <w:t>EXECUTIVE COMPENSATION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6127750" cy="62052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5">
                      <a:extLst>
                        <a:ext uri="{28A0092B-C50C-407E-A947-70E740481C1C}"/>
                      </a:extLst>
                    </a:blip>
                    <a:srcRect/>
                    <a:stretch>
                      <a:fillRect/>
                    </a:stretch>
                  </pic:blipFill>
                  <pic:spPr bwMode="auto">
                    <a:xfrm>
                      <a:off x="0" y="0"/>
                      <a:ext cx="6127750" cy="6205220"/>
                    </a:xfrm>
                    <a:prstGeom prst="rect">
                      <a:avLst/>
                    </a:prstGeom>
                    <a:noFill/>
                  </pic:spPr>
                </pic:pic>
              </a:graphicData>
            </a:graphic>
          </wp:anchor>
        </w:drawing>
      </w:r>
    </w:p>
    <w:p>
      <w:pPr>
        <w:sectPr>
          <w:pgSz w:w="11880" w:h="15480" w:orient="portrait"/>
          <w:cols w:equalWidth="0" w:num="1">
            <w:col w:w="9627"/>
          </w:cols>
          <w:pgMar w:left="1133" w:top="340" w:right="1120" w:bottom="0" w:gutter="0" w:footer="0" w:header="0"/>
        </w:sectPr>
      </w:pPr>
    </w:p>
    <w:p>
      <w:pPr>
        <w:spacing w:after="0" w:line="200" w:lineRule="exact"/>
        <w:rPr>
          <w:sz w:val="20"/>
          <w:szCs w:val="20"/>
          <w:color w:val="auto"/>
        </w:rPr>
      </w:pPr>
    </w:p>
    <w:p>
      <w:pPr>
        <w:spacing w:after="0" w:line="254" w:lineRule="exact"/>
        <w:rPr>
          <w:sz w:val="20"/>
          <w:szCs w:val="20"/>
          <w:color w:val="auto"/>
        </w:rPr>
      </w:pPr>
    </w:p>
    <w:p>
      <w:pPr>
        <w:ind w:left="447" w:right="60"/>
        <w:spacing w:after="0" w:line="276" w:lineRule="auto"/>
        <w:rPr>
          <w:sz w:val="20"/>
          <w:szCs w:val="20"/>
          <w:color w:val="auto"/>
        </w:rPr>
      </w:pPr>
      <w:r>
        <w:rPr>
          <w:rFonts w:ascii="Arial" w:cs="Arial" w:eastAsia="Arial" w:hAnsi="Arial"/>
          <w:sz w:val="18"/>
          <w:szCs w:val="18"/>
          <w:b w:val="1"/>
          <w:bCs w:val="1"/>
          <w:color w:val="auto"/>
        </w:rPr>
        <w:t xml:space="preserve">Retain an Independent Compensation Advisor.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talent and compensation committee has engaged its own compensation consultant to provide information, analysis, and other advice on executive compensation independent of management. This consultant performed no other consulting or other services for us in 2025.</w:t>
      </w:r>
    </w:p>
    <w:p>
      <w:pPr>
        <w:spacing w:after="0" w:line="126" w:lineRule="exact"/>
        <w:rPr>
          <w:sz w:val="20"/>
          <w:szCs w:val="20"/>
          <w:color w:val="auto"/>
        </w:rPr>
      </w:pPr>
    </w:p>
    <w:p>
      <w:pPr>
        <w:jc w:val="both"/>
        <w:ind w:left="447" w:right="300"/>
        <w:spacing w:after="0" w:line="283"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maintain robust</w:t>
      </w:r>
      <w:r>
        <w:rPr>
          <w:rFonts w:ascii="Arial" w:cs="Arial" w:eastAsia="Arial" w:hAnsi="Arial"/>
          <w:sz w:val="18"/>
          <w:szCs w:val="18"/>
          <w:b w:val="1"/>
          <w:bCs w:val="1"/>
          <w:color w:val="auto"/>
        </w:rPr>
        <w:t xml:space="preserve"> </w:t>
      </w:r>
      <w:r>
        <w:rPr>
          <w:rFonts w:ascii="Arial" w:cs="Arial" w:eastAsia="Arial" w:hAnsi="Arial"/>
          <w:sz w:val="18"/>
          <w:szCs w:val="18"/>
          <w:color w:val="auto"/>
        </w:rPr>
        <w:t>stock ownership guidelines for our Chief Executive Officer, our executive officers, and the independent members of our board of directors.</w:t>
      </w:r>
    </w:p>
    <w:p>
      <w:pPr>
        <w:spacing w:after="0" w:line="119" w:lineRule="exact"/>
        <w:rPr>
          <w:sz w:val="20"/>
          <w:szCs w:val="20"/>
          <w:color w:val="auto"/>
        </w:rPr>
      </w:pPr>
    </w:p>
    <w:p>
      <w:pPr>
        <w:ind w:left="447" w:right="80"/>
        <w:spacing w:after="0" w:line="289" w:lineRule="auto"/>
        <w:rPr>
          <w:sz w:val="20"/>
          <w:szCs w:val="20"/>
          <w:color w:val="auto"/>
        </w:rPr>
      </w:pPr>
      <w:r>
        <w:rPr>
          <w:rFonts w:ascii="Arial" w:cs="Arial" w:eastAsia="Arial" w:hAnsi="Arial"/>
          <w:sz w:val="18"/>
          <w:szCs w:val="18"/>
          <w:b w:val="1"/>
          <w:bCs w:val="1"/>
          <w:color w:val="auto"/>
        </w:rPr>
        <w:t xml:space="preserve">Compensation Clawback Policy. </w:t>
      </w:r>
      <w:r>
        <w:rPr>
          <w:rFonts w:ascii="Arial" w:cs="Arial" w:eastAsia="Arial" w:hAnsi="Arial"/>
          <w:sz w:val="18"/>
          <w:szCs w:val="18"/>
          <w:color w:val="auto"/>
        </w:rPr>
        <w:t>We maintain a</w:t>
      </w:r>
      <w:r>
        <w:rPr>
          <w:rFonts w:ascii="Arial" w:cs="Arial" w:eastAsia="Arial" w:hAnsi="Arial"/>
          <w:sz w:val="18"/>
          <w:szCs w:val="18"/>
          <w:b w:val="1"/>
          <w:bCs w:val="1"/>
          <w:color w:val="auto"/>
        </w:rPr>
        <w:t xml:space="preserve"> </w:t>
      </w:r>
      <w:r>
        <w:rPr>
          <w:rFonts w:ascii="Arial" w:cs="Arial" w:eastAsia="Arial" w:hAnsi="Arial"/>
          <w:sz w:val="18"/>
          <w:szCs w:val="18"/>
          <w:color w:val="auto"/>
        </w:rPr>
        <w:t>Nasdaq-compliant clawback policy covering both cash and equity compensation.</w:t>
      </w:r>
    </w:p>
    <w:p>
      <w:pPr>
        <w:spacing w:after="0" w:line="113" w:lineRule="exact"/>
        <w:rPr>
          <w:sz w:val="20"/>
          <w:szCs w:val="20"/>
          <w:color w:val="auto"/>
        </w:rPr>
      </w:pPr>
    </w:p>
    <w:p>
      <w:pPr>
        <w:ind w:left="447" w:right="20"/>
        <w:spacing w:after="0" w:line="278" w:lineRule="auto"/>
        <w:rPr>
          <w:sz w:val="20"/>
          <w:szCs w:val="20"/>
          <w:color w:val="auto"/>
        </w:rPr>
      </w:pPr>
      <w:r>
        <w:rPr>
          <w:rFonts w:ascii="Arial" w:cs="Arial" w:eastAsia="Arial" w:hAnsi="Arial"/>
          <w:sz w:val="18"/>
          <w:szCs w:val="18"/>
          <w:b w:val="1"/>
          <w:bCs w:val="1"/>
          <w:color w:val="auto"/>
        </w:rPr>
        <w:t xml:space="preserve">Annual Executive Compensation Review. </w:t>
      </w:r>
      <w:r>
        <w:rPr>
          <w:rFonts w:ascii="Arial" w:cs="Arial" w:eastAsia="Arial" w:hAnsi="Arial"/>
          <w:sz w:val="18"/>
          <w:szCs w:val="18"/>
          <w:color w:val="auto"/>
        </w:rPr>
        <w:t>The talent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compensation committee conducts an annual review of our compensation strategy and a review of our compensation-related risk profile to ensure that our compensation programs do not encourage excessive or inappropriate risk-taking.</w:t>
      </w:r>
    </w:p>
    <w:p>
      <w:pPr>
        <w:spacing w:after="0" w:line="120" w:lineRule="exact"/>
        <w:rPr>
          <w:sz w:val="20"/>
          <w:szCs w:val="20"/>
          <w:color w:val="auto"/>
        </w:rPr>
      </w:pPr>
    </w:p>
    <w:p>
      <w:pPr>
        <w:ind w:left="447" w:right="60"/>
        <w:spacing w:after="0" w:line="278" w:lineRule="auto"/>
        <w:rPr>
          <w:sz w:val="20"/>
          <w:szCs w:val="20"/>
          <w:color w:val="auto"/>
        </w:rPr>
      </w:pPr>
      <w:r>
        <w:rPr>
          <w:rFonts w:ascii="Arial" w:cs="Arial" w:eastAsia="Arial" w:hAnsi="Arial"/>
          <w:sz w:val="18"/>
          <w:szCs w:val="18"/>
          <w:b w:val="1"/>
          <w:bCs w:val="1"/>
          <w:color w:val="auto"/>
        </w:rPr>
        <w:t xml:space="preserve">Compensation At-Risk. </w:t>
      </w:r>
      <w:r>
        <w:rPr>
          <w:rFonts w:ascii="Arial" w:cs="Arial" w:eastAsia="Arial" w:hAnsi="Arial"/>
          <w:sz w:val="18"/>
          <w:szCs w:val="18"/>
          <w:color w:val="auto"/>
        </w:rPr>
        <w:t>Our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is designed so that a significant portion of our executive officers' compensation is “at-risk” based on corporate performance, as well as equity-based, to align the interests of our executive officers and stockholders.</w:t>
      </w:r>
    </w:p>
    <w:p>
      <w:pPr>
        <w:spacing w:after="0" w:line="120" w:lineRule="exact"/>
        <w:rPr>
          <w:sz w:val="20"/>
          <w:szCs w:val="20"/>
          <w:color w:val="auto"/>
        </w:rPr>
      </w:pPr>
    </w:p>
    <w:p>
      <w:pPr>
        <w:ind w:left="447"/>
        <w:spacing w:after="0" w:line="294" w:lineRule="auto"/>
        <w:rPr>
          <w:sz w:val="20"/>
          <w:szCs w:val="20"/>
          <w:color w:val="auto"/>
        </w:rPr>
      </w:pPr>
      <w:r>
        <w:rPr>
          <w:rFonts w:ascii="Arial" w:cs="Arial" w:eastAsia="Arial" w:hAnsi="Arial"/>
          <w:sz w:val="17"/>
          <w:szCs w:val="17"/>
          <w:b w:val="1"/>
          <w:bCs w:val="1"/>
          <w:color w:val="auto"/>
        </w:rPr>
        <w:t xml:space="preserve">Use a Pay-for-Performance Philosophy. </w:t>
      </w:r>
      <w:r>
        <w:rPr>
          <w:rFonts w:ascii="Arial" w:cs="Arial" w:eastAsia="Arial" w:hAnsi="Arial"/>
          <w:sz w:val="17"/>
          <w:szCs w:val="17"/>
          <w:color w:val="auto"/>
        </w:rPr>
        <w:t>The majority</w:t>
      </w:r>
      <w:r>
        <w:rPr>
          <w:rFonts w:ascii="Arial" w:cs="Arial" w:eastAsia="Arial" w:hAnsi="Arial"/>
          <w:sz w:val="17"/>
          <w:szCs w:val="17"/>
          <w:b w:val="1"/>
          <w:bCs w:val="1"/>
          <w:color w:val="auto"/>
        </w:rPr>
        <w:t xml:space="preserve"> </w:t>
      </w:r>
      <w:r>
        <w:rPr>
          <w:rFonts w:ascii="Arial" w:cs="Arial" w:eastAsia="Arial" w:hAnsi="Arial"/>
          <w:sz w:val="17"/>
          <w:szCs w:val="17"/>
          <w:color w:val="auto"/>
        </w:rPr>
        <w:t>of our executive officers’ compensation is directly linked to corporate performance; we also structure their annual target total direct compensation opportunities with a significant long-term equity component, thereby making a substantial portion of each executive officer’s annual target total direct compensation dependent upon our stock price and/or total stockholder return.</w:t>
      </w:r>
    </w:p>
    <w:p>
      <w:pPr>
        <w:spacing w:after="0" w:line="111" w:lineRule="exact"/>
        <w:rPr>
          <w:sz w:val="20"/>
          <w:szCs w:val="20"/>
          <w:color w:val="auto"/>
        </w:rPr>
      </w:pPr>
    </w:p>
    <w:p>
      <w:pPr>
        <w:ind w:left="447" w:right="20"/>
        <w:spacing w:after="0" w:line="289" w:lineRule="auto"/>
        <w:rPr>
          <w:sz w:val="20"/>
          <w:szCs w:val="20"/>
          <w:color w:val="auto"/>
        </w:rPr>
      </w:pPr>
      <w:r>
        <w:rPr>
          <w:rFonts w:ascii="Arial" w:cs="Arial" w:eastAsia="Arial" w:hAnsi="Arial"/>
          <w:sz w:val="18"/>
          <w:szCs w:val="18"/>
          <w:b w:val="1"/>
          <w:bCs w:val="1"/>
          <w:color w:val="auto"/>
        </w:rPr>
        <w:t xml:space="preserve">Succession Planning. </w:t>
      </w:r>
      <w:r>
        <w:rPr>
          <w:rFonts w:ascii="Arial" w:cs="Arial" w:eastAsia="Arial" w:hAnsi="Arial"/>
          <w:sz w:val="18"/>
          <w:szCs w:val="18"/>
          <w:color w:val="auto"/>
        </w:rPr>
        <w:t>We review the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key executive officer positions to ensure adequate succession plans are in 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347" w:right="240" w:hanging="347"/>
        <w:spacing w:after="0" w:line="270" w:lineRule="auto"/>
        <w:tabs>
          <w:tab w:leader="none" w:pos="347" w:val="left"/>
        </w:tabs>
        <w:numPr>
          <w:ilvl w:val="0"/>
          <w:numId w:val="50"/>
        </w:numPr>
        <w:rPr>
          <w:rFonts w:ascii="Segoe UI Symbol" w:cs="Segoe UI Symbol" w:eastAsia="Segoe UI Symbol" w:hAnsi="Segoe UI Symbol"/>
          <w:sz w:val="18"/>
          <w:szCs w:val="18"/>
          <w:color w:val="auto"/>
        </w:rPr>
      </w:pPr>
      <w:r>
        <w:rPr>
          <w:rFonts w:ascii="Arial" w:cs="Arial" w:eastAsia="Arial" w:hAnsi="Arial"/>
          <w:sz w:val="18"/>
          <w:szCs w:val="18"/>
          <w:b w:val="1"/>
          <w:bCs w:val="1"/>
          <w:color w:val="auto"/>
        </w:rPr>
        <w:t xml:space="preserve">No Executive Retirement Plans. </w:t>
      </w:r>
      <w:r>
        <w:rPr>
          <w:rFonts w:ascii="Arial" w:cs="Arial" w:eastAsia="Arial" w:hAnsi="Arial"/>
          <w:sz w:val="18"/>
          <w:szCs w:val="18"/>
          <w:color w:val="auto"/>
        </w:rPr>
        <w:t>We do not offer</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pension plans or any non-qualified deferred compensation plans or arrangements to our executive officers, other than the plans and arrangements that are available to all employees.</w:t>
      </w:r>
    </w:p>
    <w:p>
      <w:pPr>
        <w:spacing w:after="0" w:line="137" w:lineRule="exact"/>
        <w:rPr>
          <w:rFonts w:ascii="Segoe UI Symbol" w:cs="Segoe UI Symbol" w:eastAsia="Segoe UI Symbol" w:hAnsi="Segoe UI Symbol"/>
          <w:sz w:val="18"/>
          <w:szCs w:val="18"/>
          <w:color w:val="auto"/>
        </w:rPr>
      </w:pPr>
    </w:p>
    <w:p>
      <w:pPr>
        <w:ind w:left="347" w:right="160" w:hanging="347"/>
        <w:spacing w:after="0" w:line="271" w:lineRule="auto"/>
        <w:tabs>
          <w:tab w:leader="none" w:pos="347" w:val="left"/>
        </w:tabs>
        <w:numPr>
          <w:ilvl w:val="0"/>
          <w:numId w:val="50"/>
        </w:numPr>
        <w:rPr>
          <w:rFonts w:ascii="Segoe UI Symbol" w:cs="Segoe UI Symbol" w:eastAsia="Segoe UI Symbol" w:hAnsi="Segoe UI Symbol"/>
          <w:sz w:val="18"/>
          <w:szCs w:val="18"/>
          <w:color w:val="auto"/>
        </w:rPr>
      </w:pPr>
      <w:r>
        <w:rPr>
          <w:rFonts w:ascii="Arial" w:cs="Arial" w:eastAsia="Arial" w:hAnsi="Arial"/>
          <w:sz w:val="18"/>
          <w:szCs w:val="18"/>
          <w:b w:val="1"/>
          <w:bCs w:val="1"/>
          <w:color w:val="auto"/>
        </w:rPr>
        <w:t xml:space="preserve">No Hedging or Pledging. </w:t>
      </w:r>
      <w:r>
        <w:rPr>
          <w:rFonts w:ascii="Arial" w:cs="Arial" w:eastAsia="Arial" w:hAnsi="Arial"/>
          <w:sz w:val="18"/>
          <w:szCs w:val="18"/>
          <w:color w:val="auto"/>
        </w:rPr>
        <w:t>We prohibit our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executive officers) and the non-employee members of our board of directors from hedging or pledging our securities.</w:t>
      </w:r>
    </w:p>
    <w:p>
      <w:pPr>
        <w:spacing w:after="0" w:line="137" w:lineRule="exact"/>
        <w:rPr>
          <w:rFonts w:ascii="Segoe UI Symbol" w:cs="Segoe UI Symbol" w:eastAsia="Segoe UI Symbol" w:hAnsi="Segoe UI Symbol"/>
          <w:sz w:val="18"/>
          <w:szCs w:val="18"/>
          <w:color w:val="auto"/>
        </w:rPr>
      </w:pPr>
    </w:p>
    <w:p>
      <w:pPr>
        <w:ind w:left="347" w:right="100" w:hanging="347"/>
        <w:spacing w:after="0" w:line="293" w:lineRule="auto"/>
        <w:tabs>
          <w:tab w:leader="none" w:pos="347" w:val="left"/>
        </w:tabs>
        <w:numPr>
          <w:ilvl w:val="0"/>
          <w:numId w:val="50"/>
        </w:numPr>
        <w:rPr>
          <w:rFonts w:ascii="Segoe UI Symbol" w:cs="Segoe UI Symbol" w:eastAsia="Segoe UI Symbol" w:hAnsi="Segoe UI Symbol"/>
          <w:sz w:val="17"/>
          <w:szCs w:val="17"/>
          <w:color w:val="auto"/>
        </w:rPr>
      </w:pPr>
      <w:r>
        <w:rPr>
          <w:rFonts w:ascii="Arial" w:cs="Arial" w:eastAsia="Arial" w:hAnsi="Arial"/>
          <w:sz w:val="17"/>
          <w:szCs w:val="17"/>
          <w:b w:val="1"/>
          <w:bCs w:val="1"/>
          <w:color w:val="auto"/>
        </w:rPr>
        <w:t xml:space="preserve">No Tax Payments on Perquisites. </w:t>
      </w:r>
      <w:r>
        <w:rPr>
          <w:rFonts w:ascii="Arial" w:cs="Arial" w:eastAsia="Arial" w:hAnsi="Arial"/>
          <w:sz w:val="17"/>
          <w:szCs w:val="17"/>
          <w:color w:val="auto"/>
        </w:rPr>
        <w:t>We do not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reimbursement payments (including “gross-ups”) on any perquisites or other personal benefits.</w:t>
      </w:r>
    </w:p>
    <w:p>
      <w:pPr>
        <w:spacing w:after="0" w:line="126" w:lineRule="exact"/>
        <w:rPr>
          <w:rFonts w:ascii="Segoe UI Symbol" w:cs="Segoe UI Symbol" w:eastAsia="Segoe UI Symbol" w:hAnsi="Segoe UI Symbol"/>
          <w:sz w:val="17"/>
          <w:szCs w:val="17"/>
          <w:color w:val="auto"/>
        </w:rPr>
      </w:pPr>
    </w:p>
    <w:p>
      <w:pPr>
        <w:ind w:left="347" w:right="180" w:hanging="347"/>
        <w:spacing w:after="0" w:line="289" w:lineRule="auto"/>
        <w:tabs>
          <w:tab w:leader="none" w:pos="347" w:val="left"/>
        </w:tabs>
        <w:numPr>
          <w:ilvl w:val="0"/>
          <w:numId w:val="50"/>
        </w:numPr>
        <w:rPr>
          <w:rFonts w:ascii="Segoe UI Symbol" w:cs="Segoe UI Symbol" w:eastAsia="Segoe UI Symbol" w:hAnsi="Segoe UI Symbol"/>
          <w:sz w:val="17"/>
          <w:szCs w:val="17"/>
          <w:color w:val="auto"/>
        </w:rPr>
      </w:pPr>
      <w:r>
        <w:rPr>
          <w:rFonts w:ascii="Arial" w:cs="Arial" w:eastAsia="Arial" w:hAnsi="Arial"/>
          <w:sz w:val="17"/>
          <w:szCs w:val="17"/>
          <w:b w:val="1"/>
          <w:bCs w:val="1"/>
          <w:color w:val="auto"/>
        </w:rPr>
        <w:t xml:space="preserve">No Excise Tax Payments on Future Post-Employment Compensation Arrangements. </w:t>
      </w:r>
      <w:r>
        <w:rPr>
          <w:rFonts w:ascii="Arial" w:cs="Arial" w:eastAsia="Arial" w:hAnsi="Arial"/>
          <w:sz w:val="17"/>
          <w:szCs w:val="17"/>
          <w:color w:val="auto"/>
        </w:rPr>
        <w:t>We do</w:t>
      </w:r>
      <w:r>
        <w:rPr>
          <w:rFonts w:ascii="Arial" w:cs="Arial" w:eastAsia="Arial" w:hAnsi="Arial"/>
          <w:sz w:val="17"/>
          <w:szCs w:val="17"/>
          <w:b w:val="1"/>
          <w:bCs w:val="1"/>
          <w:color w:val="auto"/>
        </w:rPr>
        <w:t xml:space="preserve"> </w:t>
      </w:r>
      <w:r>
        <w:rPr>
          <w:rFonts w:ascii="Arial" w:cs="Arial" w:eastAsia="Arial" w:hAnsi="Arial"/>
          <w:sz w:val="17"/>
          <w:szCs w:val="17"/>
          <w:color w:val="auto"/>
        </w:rPr>
        <w:t>not provide any excise tax reimbursement payments (including “gross-ups”) on payments or benefits contingent upon a change in control of the company.</w:t>
      </w:r>
    </w:p>
    <w:p>
      <w:pPr>
        <w:spacing w:after="0" w:line="124" w:lineRule="exact"/>
        <w:rPr>
          <w:rFonts w:ascii="Segoe UI Symbol" w:cs="Segoe UI Symbol" w:eastAsia="Segoe UI Symbol" w:hAnsi="Segoe UI Symbol"/>
          <w:sz w:val="17"/>
          <w:szCs w:val="17"/>
          <w:color w:val="auto"/>
        </w:rPr>
      </w:pPr>
    </w:p>
    <w:p>
      <w:pPr>
        <w:ind w:left="347" w:right="120" w:hanging="347"/>
        <w:spacing w:after="0" w:line="269" w:lineRule="auto"/>
        <w:tabs>
          <w:tab w:leader="none" w:pos="347" w:val="left"/>
        </w:tabs>
        <w:numPr>
          <w:ilvl w:val="0"/>
          <w:numId w:val="50"/>
        </w:numPr>
        <w:rPr>
          <w:rFonts w:ascii="Segoe UI Symbol" w:cs="Segoe UI Symbol" w:eastAsia="Segoe UI Symbol" w:hAnsi="Segoe UI Symbol"/>
          <w:sz w:val="18"/>
          <w:szCs w:val="18"/>
          <w:color w:val="auto"/>
        </w:rPr>
      </w:pPr>
      <w:r>
        <w:rPr>
          <w:rFonts w:ascii="Arial" w:cs="Arial" w:eastAsia="Arial" w:hAnsi="Arial"/>
          <w:sz w:val="18"/>
          <w:szCs w:val="18"/>
          <w:b w:val="1"/>
          <w:bCs w:val="1"/>
          <w:color w:val="auto"/>
        </w:rPr>
        <w:t xml:space="preserve">No Special Welfare or Health Benefits. </w:t>
      </w:r>
      <w:r>
        <w:rPr>
          <w:rFonts w:ascii="Arial" w:cs="Arial" w:eastAsia="Arial" w:hAnsi="Arial"/>
          <w:sz w:val="18"/>
          <w:szCs w:val="18"/>
          <w:color w:val="auto"/>
        </w:rPr>
        <w:t>We do not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our executive officers with any welfare or health benefit programs, other than participation in our broad-based employee programs. All highly compensated employees are eligible for special long-term disability insurance.</w:t>
      </w:r>
    </w:p>
    <w:p>
      <w:pPr>
        <w:spacing w:after="0" w:line="3699" w:lineRule="exact"/>
        <w:rPr>
          <w:sz w:val="20"/>
          <w:szCs w:val="20"/>
          <w:color w:val="auto"/>
        </w:rPr>
      </w:pPr>
    </w:p>
    <w:p>
      <w:pPr>
        <w:sectPr>
          <w:pgSz w:w="11880" w:h="15480" w:orient="portrait"/>
          <w:cols w:equalWidth="0" w:num="2">
            <w:col w:w="4727" w:space="213"/>
            <w:col w:w="4687"/>
          </w:cols>
          <w:pgMar w:left="1133" w:top="340" w:right="1120" w:bottom="0" w:gutter="0" w:footer="0" w:header="0"/>
          <w:type w:val="continuous"/>
        </w:sectPr>
      </w:pPr>
    </w:p>
    <w:p>
      <w:pPr>
        <w:ind w:left="7"/>
        <w:spacing w:after="0"/>
        <w:rPr>
          <w:sz w:val="20"/>
          <w:szCs w:val="20"/>
          <w:color w:val="auto"/>
        </w:rPr>
      </w:pPr>
      <w:r>
        <w:rPr>
          <w:rFonts w:ascii="Arial" w:cs="Arial" w:eastAsia="Arial" w:hAnsi="Arial"/>
          <w:sz w:val="28"/>
          <w:szCs w:val="28"/>
          <w:color w:val="0A248E"/>
        </w:rPr>
        <w:t>Executive Compensation Philosophy and Objectives</w:t>
      </w:r>
    </w:p>
    <w:p>
      <w:pPr>
        <w:spacing w:after="0" w:line="291" w:lineRule="exact"/>
        <w:rPr>
          <w:sz w:val="20"/>
          <w:szCs w:val="20"/>
          <w:color w:val="auto"/>
        </w:rPr>
      </w:pPr>
    </w:p>
    <w:p>
      <w:pPr>
        <w:jc w:val="both"/>
        <w:ind w:left="7" w:right="280"/>
        <w:spacing w:after="0" w:line="288" w:lineRule="auto"/>
        <w:rPr>
          <w:sz w:val="20"/>
          <w:szCs w:val="20"/>
          <w:color w:val="auto"/>
        </w:rPr>
      </w:pPr>
      <w:r>
        <w:rPr>
          <w:rFonts w:ascii="Arial" w:cs="Arial" w:eastAsia="Arial" w:hAnsi="Arial"/>
          <w:sz w:val="18"/>
          <w:szCs w:val="18"/>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25" w:lineRule="exact"/>
        <w:rPr>
          <w:sz w:val="20"/>
          <w:szCs w:val="20"/>
          <w:color w:val="auto"/>
        </w:rPr>
      </w:pPr>
    </w:p>
    <w:p>
      <w:pPr>
        <w:ind w:left="347" w:right="440" w:hanging="347"/>
        <w:spacing w:after="0" w:line="310" w:lineRule="auto"/>
        <w:tabs>
          <w:tab w:leader="none" w:pos="347" w:val="left"/>
        </w:tabs>
        <w:numPr>
          <w:ilvl w:val="0"/>
          <w:numId w:val="51"/>
        </w:numPr>
        <w:rPr>
          <w:rFonts w:ascii="Arial" w:cs="Arial" w:eastAsia="Arial" w:hAnsi="Arial"/>
          <w:sz w:val="18"/>
          <w:szCs w:val="18"/>
          <w:color w:val="0A248E"/>
        </w:rPr>
      </w:pPr>
      <w:r>
        <w:rPr>
          <w:rFonts w:ascii="Arial" w:cs="Arial" w:eastAsia="Arial" w:hAnsi="Arial"/>
          <w:sz w:val="18"/>
          <w:szCs w:val="18"/>
          <w:color w:val="auto"/>
        </w:rPr>
        <w:t>Provide market-competitive compensation and benefit levels that will attract, retain, motivate, and reward a highly-talented team of executive officers within the context of responsible cost management;</w:t>
      </w:r>
    </w:p>
    <w:p>
      <w:pPr>
        <w:spacing w:after="0" w:line="106" w:lineRule="exact"/>
        <w:rPr>
          <w:rFonts w:ascii="Arial" w:cs="Arial" w:eastAsia="Arial" w:hAnsi="Arial"/>
          <w:sz w:val="18"/>
          <w:szCs w:val="18"/>
          <w:color w:val="0A248E"/>
        </w:rPr>
      </w:pPr>
    </w:p>
    <w:p>
      <w:pPr>
        <w:ind w:left="347" w:hanging="347"/>
        <w:spacing w:after="0" w:line="310" w:lineRule="auto"/>
        <w:tabs>
          <w:tab w:leader="none" w:pos="347" w:val="left"/>
        </w:tabs>
        <w:numPr>
          <w:ilvl w:val="0"/>
          <w:numId w:val="51"/>
        </w:numPr>
        <w:rPr>
          <w:rFonts w:ascii="Arial" w:cs="Arial" w:eastAsia="Arial" w:hAnsi="Arial"/>
          <w:sz w:val="18"/>
          <w:szCs w:val="18"/>
          <w:color w:val="0A248E"/>
        </w:rPr>
      </w:pPr>
      <w:r>
        <w:rPr>
          <w:rFonts w:ascii="Arial" w:cs="Arial" w:eastAsia="Arial" w:hAnsi="Arial"/>
          <w:sz w:val="18"/>
          <w:szCs w:val="18"/>
          <w:color w:val="auto"/>
        </w:rPr>
        <w:t>Establish a direct link between our financial, operational, and strategic objectives and results, as well as our values, and the compensation of our executive officers; and</w:t>
      </w:r>
    </w:p>
    <w:p>
      <w:pPr>
        <w:spacing w:after="0" w:line="101" w:lineRule="exact"/>
        <w:rPr>
          <w:rFonts w:ascii="Arial" w:cs="Arial" w:eastAsia="Arial" w:hAnsi="Arial"/>
          <w:sz w:val="18"/>
          <w:szCs w:val="18"/>
          <w:color w:val="0A248E"/>
        </w:rPr>
      </w:pPr>
    </w:p>
    <w:p>
      <w:pPr>
        <w:ind w:left="347" w:right="320" w:hanging="347"/>
        <w:spacing w:after="0" w:line="291" w:lineRule="auto"/>
        <w:tabs>
          <w:tab w:leader="none" w:pos="347" w:val="left"/>
        </w:tabs>
        <w:numPr>
          <w:ilvl w:val="0"/>
          <w:numId w:val="51"/>
        </w:numPr>
        <w:rPr>
          <w:rFonts w:ascii="Arial" w:cs="Arial" w:eastAsia="Arial" w:hAnsi="Arial"/>
          <w:sz w:val="18"/>
          <w:szCs w:val="18"/>
          <w:color w:val="0A248E"/>
        </w:rPr>
      </w:pPr>
      <w:r>
        <w:rPr>
          <w:rFonts w:ascii="Arial" w:cs="Arial" w:eastAsia="Arial" w:hAnsi="Arial"/>
          <w:sz w:val="18"/>
          <w:szCs w:val="18"/>
          <w:color w:val="auto"/>
        </w:rPr>
        <w:t>Align the interests and objectives of our executive officers with those of our stockholders by linking their long-term equity incentive compensation opportunities to long-term stockholder value creation and their cash incentives to our annual performance.</w:t>
      </w:r>
    </w:p>
    <w:p>
      <w:pPr>
        <w:sectPr>
          <w:pgSz w:w="11880" w:h="15480" w:orient="portrait"/>
          <w:cols w:equalWidth="0" w:num="1">
            <w:col w:w="9627"/>
          </w:cols>
          <w:pgMar w:left="1133" w:top="340" w:right="1120" w:bottom="0" w:gutter="0" w:footer="0" w:header="0"/>
          <w:type w:val="continuous"/>
        </w:sectPr>
      </w:pPr>
    </w:p>
    <w:p>
      <w:pPr>
        <w:spacing w:after="0" w:line="359" w:lineRule="exact"/>
        <w:rPr>
          <w:sz w:val="20"/>
          <w:szCs w:val="20"/>
          <w:color w:val="auto"/>
        </w:rPr>
      </w:pPr>
    </w:p>
    <w:p>
      <w:pPr>
        <w:ind w:left="527" w:hanging="475"/>
        <w:spacing w:after="0"/>
        <w:tabs>
          <w:tab w:leader="none" w:pos="527"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27"/>
          </w:cols>
          <w:pgMar w:left="1133" w:top="340" w:right="1120" w:bottom="0" w:gutter="0" w:footer="0" w:header="0"/>
          <w:type w:val="continuous"/>
        </w:sectPr>
      </w:pPr>
    </w:p>
    <w:bookmarkStart w:id="48" w:name="page49"/>
    <w:bookmarkEnd w:id="48"/>
    <w:p>
      <w:pPr>
        <w:ind w:left="7"/>
        <w:spacing w:after="0"/>
        <w:rPr>
          <w:sz w:val="20"/>
          <w:szCs w:val="20"/>
          <w:color w:val="auto"/>
        </w:rPr>
      </w:pPr>
      <w:r>
        <w:rPr>
          <w:rFonts w:ascii="Arial" w:cs="Arial" w:eastAsia="Arial" w:hAnsi="Arial"/>
          <w:sz w:val="33"/>
          <w:szCs w:val="33"/>
          <w:color w:val="0A248E"/>
        </w:rPr>
        <w:t>EXECUTIVE COMPENSATION (continued)</w:t>
      </w:r>
    </w:p>
    <w:p>
      <w:pPr>
        <w:spacing w:after="0" w:line="27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Pay-for-Performance</w:t>
      </w:r>
    </w:p>
    <w:p>
      <w:pPr>
        <w:spacing w:after="0" w:line="198" w:lineRule="exact"/>
        <w:rPr>
          <w:sz w:val="20"/>
          <w:szCs w:val="20"/>
          <w:color w:val="auto"/>
        </w:rPr>
      </w:pPr>
    </w:p>
    <w:p>
      <w:pPr>
        <w:ind w:left="7"/>
        <w:spacing w:after="0" w:line="305" w:lineRule="auto"/>
        <w:rPr>
          <w:sz w:val="20"/>
          <w:szCs w:val="20"/>
          <w:color w:val="auto"/>
        </w:rPr>
      </w:pPr>
      <w:r>
        <w:rPr>
          <w:rFonts w:ascii="Arial" w:cs="Arial" w:eastAsia="Arial" w:hAnsi="Arial"/>
          <w:sz w:val="17"/>
          <w:szCs w:val="17"/>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w:t>
      </w:r>
    </w:p>
    <w:p>
      <w:pPr>
        <w:spacing w:after="0" w:line="111" w:lineRule="exact"/>
        <w:rPr>
          <w:sz w:val="20"/>
          <w:szCs w:val="20"/>
          <w:color w:val="auto"/>
        </w:rPr>
      </w:pPr>
    </w:p>
    <w:p>
      <w:pPr>
        <w:ind w:left="7" w:right="60"/>
        <w:spacing w:after="0" w:line="310" w:lineRule="auto"/>
        <w:rPr>
          <w:sz w:val="20"/>
          <w:szCs w:val="20"/>
          <w:color w:val="auto"/>
        </w:rPr>
      </w:pPr>
      <w:r>
        <w:rPr>
          <w:rFonts w:ascii="Arial" w:cs="Arial" w:eastAsia="Arial" w:hAnsi="Arial"/>
          <w:sz w:val="18"/>
          <w:szCs w:val="18"/>
          <w:color w:val="auto"/>
        </w:rPr>
        <w:t>We emphasize variable compensation that appropriately rewards our executive officers through two separate compensation elements:</w:t>
      </w:r>
    </w:p>
    <w:p>
      <w:pPr>
        <w:spacing w:after="0" w:line="106" w:lineRule="exact"/>
        <w:rPr>
          <w:sz w:val="20"/>
          <w:szCs w:val="20"/>
          <w:color w:val="auto"/>
        </w:rPr>
      </w:pPr>
    </w:p>
    <w:p>
      <w:pPr>
        <w:ind w:left="347" w:right="80" w:hanging="347"/>
        <w:spacing w:after="0" w:line="310" w:lineRule="auto"/>
        <w:tabs>
          <w:tab w:leader="none" w:pos="347" w:val="left"/>
        </w:tabs>
        <w:numPr>
          <w:ilvl w:val="0"/>
          <w:numId w:val="53"/>
        </w:numPr>
        <w:rPr>
          <w:rFonts w:ascii="Arial" w:cs="Arial" w:eastAsia="Arial" w:hAnsi="Arial"/>
          <w:sz w:val="18"/>
          <w:szCs w:val="18"/>
          <w:color w:val="0A248E"/>
        </w:rPr>
      </w:pPr>
      <w:r>
        <w:rPr>
          <w:rFonts w:ascii="Arial" w:cs="Arial" w:eastAsia="Arial" w:hAnsi="Arial"/>
          <w:sz w:val="18"/>
          <w:szCs w:val="18"/>
          <w:color w:val="auto"/>
        </w:rPr>
        <w:t>Our annual cash bonus plan provides cash payments if our executive officers produce short-term financial, operational, and/or strategic results that meet or exceed the objectives set forth in our annual operating plan.</w:t>
      </w:r>
    </w:p>
    <w:p>
      <w:pPr>
        <w:spacing w:after="0" w:line="106" w:lineRule="exact"/>
        <w:rPr>
          <w:rFonts w:ascii="Arial" w:cs="Arial" w:eastAsia="Arial" w:hAnsi="Arial"/>
          <w:sz w:val="18"/>
          <w:szCs w:val="18"/>
          <w:color w:val="0A248E"/>
        </w:rPr>
      </w:pPr>
    </w:p>
    <w:p>
      <w:pPr>
        <w:ind w:left="347" w:right="140" w:hanging="347"/>
        <w:spacing w:after="0" w:line="288" w:lineRule="auto"/>
        <w:tabs>
          <w:tab w:leader="none" w:pos="347" w:val="left"/>
        </w:tabs>
        <w:numPr>
          <w:ilvl w:val="0"/>
          <w:numId w:val="53"/>
        </w:numPr>
        <w:rPr>
          <w:rFonts w:ascii="Arial" w:cs="Arial" w:eastAsia="Arial" w:hAnsi="Arial"/>
          <w:sz w:val="18"/>
          <w:szCs w:val="18"/>
          <w:color w:val="0A248E"/>
        </w:rPr>
      </w:pPr>
      <w:r>
        <w:rPr>
          <w:rFonts w:ascii="Arial" w:cs="Arial" w:eastAsia="Arial" w:hAnsi="Arial"/>
          <w:sz w:val="18"/>
          <w:szCs w:val="18"/>
          <w:color w:val="auto"/>
        </w:rPr>
        <w:t>Equity-based awards, which represent a majority of our executive officers’ annual target total direct compensation opportunities, the value of which depends entirely on the value of our common stock, incentivize our executive officers to build sustainable long-term value for the benefit of our stockholders.</w:t>
      </w:r>
    </w:p>
    <w:p>
      <w:pPr>
        <w:spacing w:after="0" w:line="125" w:lineRule="exact"/>
        <w:rPr>
          <w:sz w:val="20"/>
          <w:szCs w:val="20"/>
          <w:color w:val="auto"/>
        </w:rPr>
      </w:pPr>
    </w:p>
    <w:p>
      <w:pPr>
        <w:ind w:left="7" w:right="40"/>
        <w:spacing w:after="0" w:line="291" w:lineRule="auto"/>
        <w:rPr>
          <w:sz w:val="20"/>
          <w:szCs w:val="20"/>
          <w:color w:val="auto"/>
        </w:rPr>
      </w:pPr>
      <w:r>
        <w:rPr>
          <w:rFonts w:ascii="Arial" w:cs="Arial" w:eastAsia="Arial" w:hAnsi="Arial"/>
          <w:sz w:val="18"/>
          <w:szCs w:val="18"/>
          <w:color w:val="auto"/>
        </w:rPr>
        <w:t>These variable pay elements are intended to result in a substantial portion of our executive officers’ annual target total direct compensation opportunities being contingent (rather than fixed) in nature, with the amounts ultimately payable subject to variability above or below target levels commensurate with our actual performance.</w:t>
      </w:r>
    </w:p>
    <w:p>
      <w:pPr>
        <w:spacing w:after="0" w:line="118"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We believe that this design provides balanced incentives for our executive officers to drive financial performance and long-term growth. Our talent and compensation committee regularly evaluates the relationship between the reported values of the equity awards granted to our executive officers and the amount of realizable and realized value from such awards in subsequent years.</w:t>
      </w:r>
    </w:p>
    <w:p>
      <w:pPr>
        <w:spacing w:after="0" w:line="380" w:lineRule="exact"/>
        <w:rPr>
          <w:sz w:val="20"/>
          <w:szCs w:val="20"/>
          <w:color w:val="auto"/>
        </w:rPr>
      </w:pPr>
    </w:p>
    <w:p>
      <w:pPr>
        <w:ind w:left="7"/>
        <w:spacing w:after="0"/>
        <w:rPr>
          <w:sz w:val="20"/>
          <w:szCs w:val="20"/>
          <w:color w:val="auto"/>
        </w:rPr>
      </w:pPr>
      <w:r>
        <w:rPr>
          <w:rFonts w:ascii="Arial" w:cs="Arial" w:eastAsia="Arial" w:hAnsi="Arial"/>
          <w:sz w:val="28"/>
          <w:szCs w:val="28"/>
          <w:color w:val="0A248E"/>
        </w:rPr>
        <w:t>Compensation-Setting Process</w:t>
      </w:r>
    </w:p>
    <w:p>
      <w:pPr>
        <w:spacing w:after="0" w:line="29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Role of Talent and Compensation Committee and the Stock Committee</w:t>
      </w:r>
    </w:p>
    <w:p>
      <w:pPr>
        <w:spacing w:after="0" w:line="198" w:lineRule="exact"/>
        <w:rPr>
          <w:sz w:val="20"/>
          <w:szCs w:val="20"/>
          <w:color w:val="auto"/>
        </w:rPr>
      </w:pPr>
    </w:p>
    <w:p>
      <w:pPr>
        <w:ind w:left="7" w:right="440"/>
        <w:spacing w:after="0" w:line="304" w:lineRule="auto"/>
        <w:rPr>
          <w:sz w:val="20"/>
          <w:szCs w:val="20"/>
          <w:color w:val="auto"/>
        </w:rPr>
      </w:pPr>
      <w:r>
        <w:rPr>
          <w:rFonts w:ascii="Arial" w:cs="Arial" w:eastAsia="Arial" w:hAnsi="Arial"/>
          <w:sz w:val="17"/>
          <w:szCs w:val="17"/>
          <w:color w:val="auto"/>
        </w:rPr>
        <w:t>The talent and compensation committee discharges many of the responsibilities of our board of directors relating to the compensation of our executives and non-employee directors. The talent and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14" w:lineRule="exact"/>
        <w:rPr>
          <w:sz w:val="20"/>
          <w:szCs w:val="20"/>
          <w:color w:val="auto"/>
        </w:rPr>
      </w:pPr>
    </w:p>
    <w:p>
      <w:pPr>
        <w:ind w:left="7" w:right="40"/>
        <w:spacing w:after="0" w:line="310" w:lineRule="auto"/>
        <w:rPr>
          <w:sz w:val="20"/>
          <w:szCs w:val="20"/>
          <w:color w:val="auto"/>
        </w:rPr>
      </w:pPr>
      <w:r>
        <w:rPr>
          <w:rFonts w:ascii="Arial" w:cs="Arial" w:eastAsia="Arial" w:hAnsi="Arial"/>
          <w:sz w:val="18"/>
          <w:szCs w:val="18"/>
          <w:color w:val="auto"/>
        </w:rPr>
        <w:t>The talent and compensation committee makes all final decisions regarding the compensation of our Chief Executive Officer and our other executive officers.</w:t>
      </w:r>
    </w:p>
    <w:p>
      <w:pPr>
        <w:spacing w:after="0" w:line="106" w:lineRule="exact"/>
        <w:rPr>
          <w:sz w:val="20"/>
          <w:szCs w:val="20"/>
          <w:color w:val="auto"/>
        </w:rPr>
      </w:pPr>
    </w:p>
    <w:p>
      <w:pPr>
        <w:ind w:left="7" w:right="260"/>
        <w:spacing w:after="0" w:line="282" w:lineRule="auto"/>
        <w:rPr>
          <w:sz w:val="20"/>
          <w:szCs w:val="20"/>
          <w:color w:val="auto"/>
        </w:rPr>
      </w:pPr>
      <w:r>
        <w:rPr>
          <w:rFonts w:ascii="Arial" w:cs="Arial" w:eastAsia="Arial" w:hAnsi="Arial"/>
          <w:sz w:val="18"/>
          <w:szCs w:val="18"/>
          <w:color w:val="auto"/>
        </w:rPr>
        <w:t>In carrying out its responsibilities, the talent and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w:t>
      </w:r>
    </w:p>
    <w:p>
      <w:pPr>
        <w:spacing w:after="0" w:line="132" w:lineRule="exact"/>
        <w:rPr>
          <w:sz w:val="20"/>
          <w:szCs w:val="20"/>
          <w:color w:val="auto"/>
        </w:rPr>
      </w:pPr>
    </w:p>
    <w:p>
      <w:pPr>
        <w:ind w:left="7" w:right="160"/>
        <w:spacing w:after="0" w:line="288" w:lineRule="auto"/>
        <w:rPr>
          <w:sz w:val="20"/>
          <w:szCs w:val="20"/>
          <w:color w:val="auto"/>
        </w:rPr>
      </w:pPr>
      <w:r>
        <w:rPr>
          <w:rFonts w:ascii="Arial" w:cs="Arial" w:eastAsia="Arial" w:hAnsi="Arial"/>
          <w:sz w:val="18"/>
          <w:szCs w:val="18"/>
          <w:color w:val="auto"/>
        </w:rPr>
        <w:t>The talent and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200" w:lineRule="exact"/>
        <w:rPr>
          <w:sz w:val="20"/>
          <w:szCs w:val="20"/>
          <w:color w:val="auto"/>
        </w:rPr>
      </w:pPr>
    </w:p>
    <w:p>
      <w:pPr>
        <w:spacing w:after="0" w:line="332" w:lineRule="exact"/>
        <w:rPr>
          <w:sz w:val="20"/>
          <w:szCs w:val="20"/>
          <w:color w:val="auto"/>
        </w:rPr>
      </w:pPr>
    </w:p>
    <w:p>
      <w:pPr>
        <w:ind w:left="7" w:right="40"/>
        <w:spacing w:after="0" w:line="282" w:lineRule="auto"/>
        <w:rPr>
          <w:sz w:val="20"/>
          <w:szCs w:val="20"/>
          <w:color w:val="auto"/>
        </w:rPr>
      </w:pPr>
      <w:r>
        <w:rPr>
          <w:rFonts w:ascii="Arial" w:cs="Arial" w:eastAsia="Arial" w:hAnsi="Arial"/>
          <w:sz w:val="18"/>
          <w:szCs w:val="18"/>
          <w:color w:val="auto"/>
        </w:rPr>
        <w:t>We also formed a stock committee, which is currently composed of our Chief Financial Officer, our Chief People Officer, and a non-employee director appointed by our talent and compensation committee. The stock committee has authority to grant equity awards to (a) employees who are not executive officers and (b) consultants subject to certain limitations established from time to time by the talent and compensation committee.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Role of Compensation Consultant</w:t>
      </w:r>
    </w:p>
    <w:p>
      <w:pPr>
        <w:spacing w:after="0" w:line="198" w:lineRule="exact"/>
        <w:rPr>
          <w:sz w:val="20"/>
          <w:szCs w:val="20"/>
          <w:color w:val="auto"/>
        </w:rPr>
      </w:pPr>
    </w:p>
    <w:p>
      <w:pPr>
        <w:ind w:left="7" w:right="20"/>
        <w:spacing w:after="0" w:line="315" w:lineRule="auto"/>
        <w:rPr>
          <w:sz w:val="20"/>
          <w:szCs w:val="20"/>
          <w:color w:val="auto"/>
        </w:rPr>
      </w:pPr>
      <w:r>
        <w:rPr>
          <w:rFonts w:ascii="Arial" w:cs="Arial" w:eastAsia="Arial" w:hAnsi="Arial"/>
          <w:sz w:val="17"/>
          <w:szCs w:val="17"/>
          <w:color w:val="auto"/>
        </w:rPr>
        <w:t>The talent and compensation committee engages an external compensation consultant to assist the committee in discharging its responsibilities by providing information, analysis, and other guidance relating to our executive compensation program and the decisions resulting from its annual executive compensation review. The compensation consultant reports</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74"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41</w:t>
      </w:r>
    </w:p>
    <w:p>
      <w:pPr>
        <w:sectPr>
          <w:pgSz w:w="11880" w:h="15480" w:orient="portrait"/>
          <w:cols w:equalWidth="0" w:num="1">
            <w:col w:w="9647"/>
          </w:cols>
          <w:pgMar w:left="1133" w:top="340" w:right="1100" w:bottom="0" w:gutter="0" w:footer="0" w:header="0"/>
          <w:type w:val="continuous"/>
        </w:sectPr>
      </w:pPr>
    </w:p>
    <w:bookmarkStart w:id="49" w:name="page50"/>
    <w:bookmarkEnd w:id="49"/>
    <w:p>
      <w:pPr>
        <w:ind w:left="7"/>
        <w:spacing w:after="0"/>
        <w:rPr>
          <w:sz w:val="20"/>
          <w:szCs w:val="20"/>
          <w:color w:val="auto"/>
        </w:rPr>
      </w:pPr>
      <w:r>
        <w:rPr>
          <w:rFonts w:ascii="Arial" w:cs="Arial" w:eastAsia="Arial" w:hAnsi="Arial"/>
          <w:sz w:val="33"/>
          <w:szCs w:val="33"/>
          <w:color w:val="0A248E"/>
        </w:rPr>
        <w:t>EXECUTIVE COMPENSATION (continued)</w:t>
      </w:r>
    </w:p>
    <w:p>
      <w:pPr>
        <w:spacing w:after="0" w:line="282" w:lineRule="exact"/>
        <w:rPr>
          <w:sz w:val="20"/>
          <w:szCs w:val="20"/>
          <w:color w:val="auto"/>
        </w:rPr>
      </w:pPr>
    </w:p>
    <w:p>
      <w:pPr>
        <w:ind w:left="7" w:right="120"/>
        <w:spacing w:after="0" w:line="305" w:lineRule="auto"/>
        <w:rPr>
          <w:sz w:val="20"/>
          <w:szCs w:val="20"/>
          <w:color w:val="auto"/>
        </w:rPr>
      </w:pPr>
      <w:r>
        <w:rPr>
          <w:rFonts w:ascii="Arial" w:cs="Arial" w:eastAsia="Arial" w:hAnsi="Arial"/>
          <w:sz w:val="18"/>
          <w:szCs w:val="18"/>
          <w:color w:val="auto"/>
        </w:rPr>
        <w:t>directly to the talent and compensation committee and its chair and serves at the discretion of the talent and compensation committee, which reviews the engagement annually.</w:t>
      </w:r>
    </w:p>
    <w:p>
      <w:pPr>
        <w:spacing w:after="0" w:line="110" w:lineRule="exact"/>
        <w:rPr>
          <w:sz w:val="20"/>
          <w:szCs w:val="20"/>
          <w:color w:val="auto"/>
        </w:rPr>
      </w:pPr>
    </w:p>
    <w:p>
      <w:pPr>
        <w:jc w:val="both"/>
        <w:ind w:left="7"/>
        <w:spacing w:after="0" w:line="315" w:lineRule="auto"/>
        <w:rPr>
          <w:sz w:val="20"/>
          <w:szCs w:val="20"/>
          <w:color w:val="auto"/>
        </w:rPr>
      </w:pPr>
      <w:r>
        <w:rPr>
          <w:rFonts w:ascii="Arial" w:cs="Arial" w:eastAsia="Arial" w:hAnsi="Arial"/>
          <w:sz w:val="17"/>
          <w:szCs w:val="17"/>
          <w:color w:val="auto"/>
        </w:rPr>
        <w:t>For 2025, the talent and compensation committee retained Compensia to serve as its compensation consultant to advise on executive and director compensation matters, including competitive market pay practices for our executive officers, and data selection of the compensation peer group used for purposes of Compensia's competitive market and other analyses.</w:t>
      </w:r>
    </w:p>
    <w:p>
      <w:pPr>
        <w:spacing w:after="0" w:line="101" w:lineRule="exact"/>
        <w:rPr>
          <w:sz w:val="20"/>
          <w:szCs w:val="20"/>
          <w:color w:val="auto"/>
        </w:rPr>
      </w:pPr>
    </w:p>
    <w:p>
      <w:pPr>
        <w:ind w:left="7"/>
        <w:spacing w:after="0"/>
        <w:rPr>
          <w:sz w:val="20"/>
          <w:szCs w:val="20"/>
          <w:color w:val="auto"/>
        </w:rPr>
      </w:pPr>
      <w:r>
        <w:rPr>
          <w:rFonts w:ascii="Arial" w:cs="Arial" w:eastAsia="Arial" w:hAnsi="Arial"/>
          <w:sz w:val="18"/>
          <w:szCs w:val="18"/>
          <w:color w:val="auto"/>
        </w:rPr>
        <w:t>During 2025, Compensia attended talent and compensation committee meetings and provided the following services:</w:t>
      </w:r>
    </w:p>
    <w:p>
      <w:pPr>
        <w:spacing w:after="0" w:line="200" w:lineRule="exact"/>
        <w:rPr>
          <w:sz w:val="20"/>
          <w:szCs w:val="20"/>
          <w:color w:val="auto"/>
        </w:rPr>
      </w:pPr>
    </w:p>
    <w:p>
      <w:pPr>
        <w:ind w:left="347" w:right="340" w:hanging="347"/>
        <w:spacing w:after="0" w:line="310" w:lineRule="auto"/>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Consulted with the talent and compensation committee chair and other members between talent and compensation committee meetings;</w:t>
      </w:r>
    </w:p>
    <w:p>
      <w:pPr>
        <w:spacing w:after="0" w:line="106" w:lineRule="exact"/>
        <w:rPr>
          <w:rFonts w:ascii="Arial" w:cs="Arial" w:eastAsia="Arial" w:hAnsi="Arial"/>
          <w:sz w:val="18"/>
          <w:szCs w:val="18"/>
          <w:color w:val="0A248E"/>
        </w:rPr>
      </w:pPr>
    </w:p>
    <w:p>
      <w:pPr>
        <w:ind w:left="347" w:hanging="347"/>
        <w:spacing w:after="0"/>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Conducted a review, identification and updating of our compensation peer group;</w:t>
      </w:r>
    </w:p>
    <w:p>
      <w:pPr>
        <w:spacing w:after="0" w:line="200" w:lineRule="exact"/>
        <w:rPr>
          <w:rFonts w:ascii="Arial" w:cs="Arial" w:eastAsia="Arial" w:hAnsi="Arial"/>
          <w:sz w:val="18"/>
          <w:szCs w:val="18"/>
          <w:color w:val="0A248E"/>
        </w:rPr>
      </w:pPr>
    </w:p>
    <w:p>
      <w:pPr>
        <w:jc w:val="both"/>
        <w:ind w:left="347" w:right="460" w:hanging="347"/>
        <w:spacing w:after="0" w:line="282" w:lineRule="auto"/>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Provided a competitive market analysis based on data drawn from the compensation peer group for our executive officer positions, including new hire compensation, and evaluated how the compensation of our executive officers compared both to our performance and to how the companies in our compensation peer group compensate their executives in comparable positions;</w:t>
      </w:r>
    </w:p>
    <w:p>
      <w:pPr>
        <w:spacing w:after="0" w:line="131" w:lineRule="exact"/>
        <w:rPr>
          <w:rFonts w:ascii="Arial" w:cs="Arial" w:eastAsia="Arial" w:hAnsi="Arial"/>
          <w:sz w:val="18"/>
          <w:szCs w:val="18"/>
          <w:color w:val="0A248E"/>
        </w:rPr>
      </w:pPr>
    </w:p>
    <w:p>
      <w:pPr>
        <w:ind w:left="347" w:right="140" w:hanging="347"/>
        <w:spacing w:after="0" w:line="291" w:lineRule="auto"/>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Provided a competitive market analysis based on data drawn from the compensation peer group for non-employee directors, and evaluated how the compensation of our non-employee directors compared to how the companies in our compensation peer group compensate their non-employee directors;</w:t>
      </w:r>
    </w:p>
    <w:p>
      <w:pPr>
        <w:spacing w:after="0" w:line="117" w:lineRule="exact"/>
        <w:rPr>
          <w:rFonts w:ascii="Arial" w:cs="Arial" w:eastAsia="Arial" w:hAnsi="Arial"/>
          <w:sz w:val="18"/>
          <w:szCs w:val="18"/>
          <w:color w:val="0A248E"/>
        </w:rPr>
      </w:pPr>
    </w:p>
    <w:p>
      <w:pPr>
        <w:ind w:left="347" w:right="900" w:hanging="347"/>
        <w:spacing w:after="0" w:line="310" w:lineRule="auto"/>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Reviewed and analyzed base salary levels, annual cash bonus opportunities, and long-term equity incentive compensation opportunities of our executive officers;</w:t>
      </w:r>
    </w:p>
    <w:p>
      <w:pPr>
        <w:spacing w:after="0" w:line="106" w:lineRule="exact"/>
        <w:rPr>
          <w:rFonts w:ascii="Arial" w:cs="Arial" w:eastAsia="Arial" w:hAnsi="Arial"/>
          <w:sz w:val="18"/>
          <w:szCs w:val="18"/>
          <w:color w:val="0A248E"/>
        </w:rPr>
      </w:pPr>
    </w:p>
    <w:p>
      <w:pPr>
        <w:ind w:left="347" w:hanging="347"/>
        <w:spacing w:after="0"/>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Conducted a “burn rate” and “overhang” analysis;</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Conducted a review and analysis of short-term and long-term incentive compensation program designs;</w:t>
      </w:r>
    </w:p>
    <w:p>
      <w:pPr>
        <w:spacing w:after="0" w:line="200" w:lineRule="exact"/>
        <w:rPr>
          <w:rFonts w:ascii="Arial" w:cs="Arial" w:eastAsia="Arial" w:hAnsi="Arial"/>
          <w:sz w:val="18"/>
          <w:szCs w:val="18"/>
          <w:color w:val="0A248E"/>
        </w:rPr>
      </w:pPr>
    </w:p>
    <w:p>
      <w:pPr>
        <w:ind w:left="347" w:right="400" w:hanging="347"/>
        <w:spacing w:after="0" w:line="310" w:lineRule="auto"/>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Conducted a review and analysis of the competitive market with respect to the compensation arrangements for the Chief Financial Officer position;</w:t>
      </w:r>
    </w:p>
    <w:p>
      <w:pPr>
        <w:spacing w:after="0" w:line="106" w:lineRule="exact"/>
        <w:rPr>
          <w:rFonts w:ascii="Arial" w:cs="Arial" w:eastAsia="Arial" w:hAnsi="Arial"/>
          <w:sz w:val="18"/>
          <w:szCs w:val="18"/>
          <w:color w:val="0A248E"/>
        </w:rPr>
      </w:pPr>
    </w:p>
    <w:p>
      <w:pPr>
        <w:ind w:left="347" w:right="460" w:hanging="347"/>
        <w:spacing w:after="0" w:line="310" w:lineRule="auto"/>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Assessed executive compensation trends within our industry, and provided updates on corporate governance and regulatory issues and developments;</w:t>
      </w:r>
    </w:p>
    <w:p>
      <w:pPr>
        <w:spacing w:after="0" w:line="101" w:lineRule="exact"/>
        <w:rPr>
          <w:rFonts w:ascii="Arial" w:cs="Arial" w:eastAsia="Arial" w:hAnsi="Arial"/>
          <w:sz w:val="18"/>
          <w:szCs w:val="18"/>
          <w:color w:val="0A248E"/>
        </w:rPr>
      </w:pPr>
    </w:p>
    <w:p>
      <w:pPr>
        <w:ind w:left="347" w:hanging="347"/>
        <w:spacing w:after="0"/>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Reviewed our executive compensation disclosure;</w:t>
      </w:r>
    </w:p>
    <w:p>
      <w:pPr>
        <w:spacing w:after="0" w:line="204" w:lineRule="exact"/>
        <w:rPr>
          <w:rFonts w:ascii="Arial" w:cs="Arial" w:eastAsia="Arial" w:hAnsi="Arial"/>
          <w:sz w:val="18"/>
          <w:szCs w:val="18"/>
          <w:color w:val="0A248E"/>
        </w:rPr>
      </w:pPr>
    </w:p>
    <w:p>
      <w:pPr>
        <w:ind w:left="347" w:right="340" w:hanging="347"/>
        <w:spacing w:after="0" w:line="310" w:lineRule="auto"/>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Assessed compensation risk to determine whether our compensation policies and practices are reasonably likely to have a material adverse impact on the company; and</w:t>
      </w:r>
    </w:p>
    <w:p>
      <w:pPr>
        <w:spacing w:after="0" w:line="101" w:lineRule="exact"/>
        <w:rPr>
          <w:rFonts w:ascii="Arial" w:cs="Arial" w:eastAsia="Arial" w:hAnsi="Arial"/>
          <w:sz w:val="18"/>
          <w:szCs w:val="18"/>
          <w:color w:val="0A248E"/>
        </w:rPr>
      </w:pPr>
    </w:p>
    <w:p>
      <w:pPr>
        <w:ind w:left="347" w:hanging="347"/>
        <w:spacing w:after="0"/>
        <w:tabs>
          <w:tab w:leader="none" w:pos="347" w:val="left"/>
        </w:tabs>
        <w:numPr>
          <w:ilvl w:val="0"/>
          <w:numId w:val="54"/>
        </w:numPr>
        <w:rPr>
          <w:rFonts w:ascii="Arial" w:cs="Arial" w:eastAsia="Arial" w:hAnsi="Arial"/>
          <w:sz w:val="18"/>
          <w:szCs w:val="18"/>
          <w:color w:val="0A248E"/>
        </w:rPr>
      </w:pPr>
      <w:r>
        <w:rPr>
          <w:rFonts w:ascii="Arial" w:cs="Arial" w:eastAsia="Arial" w:hAnsi="Arial"/>
          <w:sz w:val="18"/>
          <w:szCs w:val="18"/>
          <w:color w:val="auto"/>
        </w:rPr>
        <w:t xml:space="preserve">Supported on other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matters throughout the year.</w:t>
      </w:r>
    </w:p>
    <w:p>
      <w:pPr>
        <w:spacing w:after="0" w:line="200" w:lineRule="exact"/>
        <w:rPr>
          <w:sz w:val="20"/>
          <w:szCs w:val="20"/>
          <w:color w:val="auto"/>
        </w:rPr>
      </w:pPr>
    </w:p>
    <w:p>
      <w:pPr>
        <w:ind w:left="7" w:right="60"/>
        <w:spacing w:after="0" w:line="293" w:lineRule="auto"/>
        <w:rPr>
          <w:sz w:val="20"/>
          <w:szCs w:val="20"/>
          <w:color w:val="auto"/>
        </w:rPr>
      </w:pPr>
      <w:r>
        <w:rPr>
          <w:rFonts w:ascii="Arial" w:cs="Arial" w:eastAsia="Arial" w:hAnsi="Arial"/>
          <w:sz w:val="17"/>
          <w:szCs w:val="17"/>
          <w:color w:val="auto"/>
        </w:rPr>
        <w:t>Compensia did not provide any services to us other than the consulting services to the talent and compensation committee. The talent and compensation committee regularly reviews the objectivity and independence of the advice provided by its compensation consultant on executive and director compensation matters. The talent and compensation committee has evaluated Compensia’s engagement, and based on the six factors for assessing independence and identifying potential conflicts of interest that are set forth in Rule 10C-1(b)(4) of the Exchange Act, Rule 5605(d)(3)(D) of the Nasdaq Marketplace Rules, and such other factors as were deemed relevant under the circumstances, has determined that its relationship with Compensia and the work of Compensia on behalf of the talent and compensation committee did not raise any conflict of interest, and that Compensia is independent as defined in Rule 5605(a)(2) of the Nasdaq Marketplace Rules.</w:t>
      </w:r>
    </w:p>
    <w:p>
      <w:pPr>
        <w:sectPr>
          <w:pgSz w:w="11880" w:h="15480" w:orient="portrait"/>
          <w:cols w:equalWidth="0" w:num="1">
            <w:col w:w="9627"/>
          </w:cols>
          <w:pgMar w:left="1133" w:top="3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7" w:hanging="475"/>
        <w:spacing w:after="0"/>
        <w:tabs>
          <w:tab w:leader="none" w:pos="527"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27"/>
          </w:cols>
          <w:pgMar w:left="1133" w:top="340" w:right="1120" w:bottom="0" w:gutter="0" w:footer="0" w:header="0"/>
          <w:type w:val="continuous"/>
        </w:sectPr>
      </w:pPr>
    </w:p>
    <w:bookmarkStart w:id="50" w:name="page51"/>
    <w:bookmarkEnd w:id="50"/>
    <w:p>
      <w:pPr>
        <w:ind w:left="7"/>
        <w:spacing w:after="0"/>
        <w:rPr>
          <w:sz w:val="20"/>
          <w:szCs w:val="20"/>
          <w:color w:val="auto"/>
        </w:rPr>
      </w:pPr>
      <w:r>
        <w:rPr>
          <w:rFonts w:ascii="Arial" w:cs="Arial" w:eastAsia="Arial" w:hAnsi="Arial"/>
          <w:sz w:val="33"/>
          <w:szCs w:val="33"/>
          <w:color w:val="0A248E"/>
        </w:rPr>
        <w:t>EXECUTIVE COMPENSATION (continued)</w:t>
      </w:r>
    </w:p>
    <w:p>
      <w:pPr>
        <w:spacing w:after="0" w:line="27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Role of Management</w:t>
      </w:r>
    </w:p>
    <w:p>
      <w:pPr>
        <w:spacing w:after="0" w:line="198" w:lineRule="exact"/>
        <w:rPr>
          <w:sz w:val="20"/>
          <w:szCs w:val="20"/>
          <w:color w:val="auto"/>
        </w:rPr>
      </w:pPr>
    </w:p>
    <w:p>
      <w:pPr>
        <w:ind w:left="7" w:right="320"/>
        <w:spacing w:after="0" w:line="284" w:lineRule="auto"/>
        <w:rPr>
          <w:sz w:val="20"/>
          <w:szCs w:val="20"/>
          <w:color w:val="auto"/>
        </w:rPr>
      </w:pPr>
      <w:r>
        <w:rPr>
          <w:rFonts w:ascii="Arial" w:cs="Arial" w:eastAsia="Arial" w:hAnsi="Arial"/>
          <w:sz w:val="18"/>
          <w:szCs w:val="18"/>
          <w:color w:val="auto"/>
        </w:rPr>
        <w:t>In discharging its responsibilities, the talent and compensation committee also works with members of our management, including our Chief Executive Officer. Our management assists the talent and compensation committee by providing information on corporate and individual performance, competitive market data, and management’s perspective and recommendations on compensation matters.</w:t>
      </w:r>
    </w:p>
    <w:p>
      <w:pPr>
        <w:spacing w:after="0" w:line="125" w:lineRule="exact"/>
        <w:rPr>
          <w:sz w:val="20"/>
          <w:szCs w:val="20"/>
          <w:color w:val="auto"/>
        </w:rPr>
      </w:pPr>
    </w:p>
    <w:p>
      <w:pPr>
        <w:ind w:left="7" w:right="280"/>
        <w:spacing w:after="0" w:line="275" w:lineRule="auto"/>
        <w:rPr>
          <w:sz w:val="20"/>
          <w:szCs w:val="20"/>
          <w:color w:val="auto"/>
        </w:rPr>
      </w:pPr>
      <w:r>
        <w:rPr>
          <w:rFonts w:ascii="Arial" w:cs="Arial" w:eastAsia="Arial" w:hAnsi="Arial"/>
          <w:sz w:val="18"/>
          <w:szCs w:val="18"/>
          <w:color w:val="auto"/>
        </w:rPr>
        <w:t>Typically, our Chief Executive Officer makes recommendations to the talent and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talent and compensation committee for each element of compensation as described above.</w:t>
      </w:r>
    </w:p>
    <w:p>
      <w:pPr>
        <w:spacing w:after="0" w:line="134" w:lineRule="exact"/>
        <w:rPr>
          <w:sz w:val="20"/>
          <w:szCs w:val="20"/>
          <w:color w:val="auto"/>
        </w:rPr>
      </w:pPr>
    </w:p>
    <w:p>
      <w:pPr>
        <w:ind w:left="7" w:right="300"/>
        <w:spacing w:after="0" w:line="348" w:lineRule="auto"/>
        <w:rPr>
          <w:sz w:val="20"/>
          <w:szCs w:val="20"/>
          <w:color w:val="auto"/>
        </w:rPr>
      </w:pPr>
      <w:r>
        <w:rPr>
          <w:rFonts w:ascii="Arial" w:cs="Arial" w:eastAsia="Arial" w:hAnsi="Arial"/>
          <w:sz w:val="17"/>
          <w:szCs w:val="17"/>
          <w:color w:val="auto"/>
        </w:rPr>
        <w:t>The talent and compensation committee reviews and discusses these recommendations and proposals with our Chief Executive Officer and uses them as one factor in determining and approving the compensation for our executive officers.</w:t>
      </w:r>
    </w:p>
    <w:p>
      <w:pPr>
        <w:spacing w:after="0" w:line="74" w:lineRule="exact"/>
        <w:rPr>
          <w:sz w:val="20"/>
          <w:szCs w:val="20"/>
          <w:color w:val="auto"/>
        </w:rPr>
      </w:pPr>
    </w:p>
    <w:p>
      <w:pPr>
        <w:ind w:left="7" w:right="180"/>
        <w:spacing w:after="0" w:line="282" w:lineRule="auto"/>
        <w:rPr>
          <w:sz w:val="20"/>
          <w:szCs w:val="20"/>
          <w:color w:val="auto"/>
        </w:rPr>
      </w:pPr>
      <w:r>
        <w:rPr>
          <w:rFonts w:ascii="Arial" w:cs="Arial" w:eastAsia="Arial" w:hAnsi="Arial"/>
          <w:sz w:val="18"/>
          <w:szCs w:val="18"/>
          <w:color w:val="auto"/>
        </w:rPr>
        <w:t>Our Chief Executive Officer also attends meetings of our board of directors and the talent and compensation committee at which executive compensation matters are discussed, except with respect to discussions involving his own compensation. Decisions with respect to our Chief Executive Officer’s compensation are made solely by our talent and compensation committee, which is comprised entirely of independent members of our board of directors.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Competitive Positioning</w:t>
      </w:r>
    </w:p>
    <w:p>
      <w:pPr>
        <w:spacing w:after="0" w:line="203" w:lineRule="exact"/>
        <w:rPr>
          <w:sz w:val="20"/>
          <w:szCs w:val="20"/>
          <w:color w:val="auto"/>
        </w:rPr>
      </w:pPr>
    </w:p>
    <w:p>
      <w:pPr>
        <w:ind w:left="7" w:right="60"/>
        <w:spacing w:after="0" w:line="282" w:lineRule="auto"/>
        <w:rPr>
          <w:sz w:val="20"/>
          <w:szCs w:val="20"/>
          <w:color w:val="auto"/>
        </w:rPr>
      </w:pPr>
      <w:r>
        <w:rPr>
          <w:rFonts w:ascii="Arial" w:cs="Arial" w:eastAsia="Arial" w:hAnsi="Arial"/>
          <w:sz w:val="18"/>
          <w:szCs w:val="18"/>
          <w:color w:val="auto"/>
        </w:rPr>
        <w:t>For purposes of assessing our executive compensation against the competitive market, the talent and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27" w:lineRule="exact"/>
        <w:rPr>
          <w:sz w:val="20"/>
          <w:szCs w:val="20"/>
          <w:color w:val="auto"/>
        </w:rPr>
      </w:pPr>
    </w:p>
    <w:p>
      <w:pPr>
        <w:ind w:left="7" w:right="20"/>
        <w:spacing w:after="0" w:line="316" w:lineRule="auto"/>
        <w:rPr>
          <w:sz w:val="20"/>
          <w:szCs w:val="20"/>
          <w:color w:val="auto"/>
        </w:rPr>
      </w:pPr>
      <w:r>
        <w:rPr>
          <w:rFonts w:ascii="Arial" w:cs="Arial" w:eastAsia="Arial" w:hAnsi="Arial"/>
          <w:sz w:val="18"/>
          <w:szCs w:val="18"/>
          <w:color w:val="auto"/>
        </w:rPr>
        <w:t>The companies in the compensation peer group for 2025 were approved in August 2024 on the basis of their similarity to us, as determined using the following criteria, each as of July 2024:</w:t>
      </w:r>
    </w:p>
    <w:p>
      <w:pPr>
        <w:spacing w:after="0" w:line="93" w:lineRule="exact"/>
        <w:rPr>
          <w:sz w:val="20"/>
          <w:szCs w:val="20"/>
          <w:color w:val="auto"/>
        </w:rPr>
      </w:pPr>
    </w:p>
    <w:p>
      <w:pPr>
        <w:ind w:left="347" w:right="300" w:hanging="347"/>
        <w:spacing w:after="0" w:line="314" w:lineRule="auto"/>
        <w:tabs>
          <w:tab w:leader="none" w:pos="347" w:val="left"/>
        </w:tabs>
        <w:numPr>
          <w:ilvl w:val="0"/>
          <w:numId w:val="56"/>
        </w:numPr>
        <w:rPr>
          <w:rFonts w:ascii="Arial" w:cs="Arial" w:eastAsia="Arial" w:hAnsi="Arial"/>
          <w:sz w:val="18"/>
          <w:szCs w:val="18"/>
          <w:color w:val="0A248E"/>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approximately 0.4x to approximately 2.5x our last four fiscal quarter revenue of approximately $2.5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$1.0 billion to $6.3 billion);</w:t>
      </w:r>
    </w:p>
    <w:p>
      <w:pPr>
        <w:spacing w:after="0" w:line="99" w:lineRule="exact"/>
        <w:rPr>
          <w:rFonts w:ascii="Arial" w:cs="Arial" w:eastAsia="Arial" w:hAnsi="Arial"/>
          <w:sz w:val="18"/>
          <w:szCs w:val="18"/>
          <w:color w:val="0A248E"/>
        </w:rPr>
      </w:pPr>
    </w:p>
    <w:p>
      <w:pPr>
        <w:ind w:left="347" w:hanging="347"/>
        <w:spacing w:after="0" w:line="314" w:lineRule="auto"/>
        <w:tabs>
          <w:tab w:leader="none" w:pos="347" w:val="left"/>
        </w:tabs>
        <w:numPr>
          <w:ilvl w:val="0"/>
          <w:numId w:val="56"/>
        </w:numPr>
        <w:rPr>
          <w:rFonts w:ascii="Arial" w:cs="Arial" w:eastAsia="Arial" w:hAnsi="Arial"/>
          <w:sz w:val="18"/>
          <w:szCs w:val="18"/>
          <w:color w:val="0A248E"/>
        </w:rPr>
      </w:pPr>
      <w:r>
        <w:rPr>
          <w:rFonts w:ascii="Arial" w:cs="Arial" w:eastAsia="Arial" w:hAnsi="Arial"/>
          <w:sz w:val="18"/>
          <w:szCs w:val="18"/>
          <w:b w:val="1"/>
          <w:bCs w:val="1"/>
          <w:color w:val="auto"/>
        </w:rPr>
        <w:t xml:space="preserve">market capitalization </w:t>
      </w:r>
      <w:r>
        <w:rPr>
          <w:rFonts w:ascii="Arial" w:cs="Arial" w:eastAsia="Arial" w:hAnsi="Arial"/>
          <w:sz w:val="18"/>
          <w:szCs w:val="18"/>
          <w:color w:val="auto"/>
        </w:rPr>
        <w:t>– approximately 0.2x to approximately 5.0x our market capitalization of approximately $7.5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$1.5 billion to $37.5 billion);</w:t>
      </w:r>
    </w:p>
    <w:p>
      <w:pPr>
        <w:spacing w:after="0" w:line="94" w:lineRule="exact"/>
        <w:rPr>
          <w:rFonts w:ascii="Arial" w:cs="Arial" w:eastAsia="Arial" w:hAnsi="Arial"/>
          <w:sz w:val="18"/>
          <w:szCs w:val="18"/>
          <w:color w:val="0A248E"/>
        </w:rPr>
      </w:pPr>
    </w:p>
    <w:p>
      <w:pPr>
        <w:ind w:left="347" w:right="440" w:hanging="347"/>
        <w:spacing w:after="0" w:line="292" w:lineRule="auto"/>
        <w:tabs>
          <w:tab w:leader="none" w:pos="347" w:val="left"/>
        </w:tabs>
        <w:numPr>
          <w:ilvl w:val="0"/>
          <w:numId w:val="56"/>
        </w:numPr>
        <w:rPr>
          <w:rFonts w:ascii="Arial" w:cs="Arial" w:eastAsia="Arial" w:hAnsi="Arial"/>
          <w:sz w:val="18"/>
          <w:szCs w:val="18"/>
          <w:color w:val="0A248E"/>
        </w:rPr>
      </w:pPr>
      <w:r>
        <w:rPr>
          <w:rFonts w:ascii="Arial" w:cs="Arial" w:eastAsia="Arial" w:hAnsi="Arial"/>
          <w:sz w:val="18"/>
          <w:szCs w:val="18"/>
          <w:b w:val="1"/>
          <w:bCs w:val="1"/>
          <w:color w:val="auto"/>
        </w:rPr>
        <w:t xml:space="preserve">industry sector </w:t>
      </w:r>
      <w:r>
        <w:rPr>
          <w:rFonts w:ascii="Arial" w:cs="Arial" w:eastAsia="Arial" w:hAnsi="Arial"/>
          <w:sz w:val="18"/>
          <w:szCs w:val="18"/>
          <w:color w:val="auto"/>
        </w:rPr>
        <w:t>– software and SaaS, internet services and infrastructure, interactive media services,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hardware and storage, transaction and payment processing services, and certain SaaS companies not classified as such; and</w:t>
      </w:r>
    </w:p>
    <w:p>
      <w:pPr>
        <w:spacing w:after="0" w:line="119" w:lineRule="exact"/>
        <w:rPr>
          <w:rFonts w:ascii="Arial" w:cs="Arial" w:eastAsia="Arial" w:hAnsi="Arial"/>
          <w:sz w:val="18"/>
          <w:szCs w:val="18"/>
          <w:color w:val="0A248E"/>
        </w:rPr>
      </w:pPr>
    </w:p>
    <w:p>
      <w:pPr>
        <w:ind w:left="347" w:hanging="347"/>
        <w:spacing w:after="0"/>
        <w:tabs>
          <w:tab w:leader="none" w:pos="347" w:val="left"/>
        </w:tabs>
        <w:numPr>
          <w:ilvl w:val="0"/>
          <w:numId w:val="56"/>
        </w:numPr>
        <w:rPr>
          <w:rFonts w:ascii="Arial" w:cs="Arial" w:eastAsia="Arial" w:hAnsi="Arial"/>
          <w:sz w:val="18"/>
          <w:szCs w:val="18"/>
          <w:color w:val="0A248E"/>
        </w:rPr>
      </w:pPr>
      <w:r>
        <w:rPr>
          <w:rFonts w:ascii="Arial" w:cs="Arial" w:eastAsia="Arial" w:hAnsi="Arial"/>
          <w:sz w:val="18"/>
          <w:szCs w:val="18"/>
          <w:b w:val="1"/>
          <w:bCs w:val="1"/>
          <w:color w:val="auto"/>
        </w:rPr>
        <w:t xml:space="preserve">relevance </w:t>
      </w:r>
      <w:r>
        <w:rPr>
          <w:rFonts w:ascii="Arial" w:cs="Arial" w:eastAsia="Arial" w:hAnsi="Arial"/>
          <w:sz w:val="18"/>
          <w:szCs w:val="18"/>
          <w:color w:val="auto"/>
        </w:rPr>
        <w:t>– software-as-a-service model or product similarity.</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43</w:t>
      </w:r>
    </w:p>
    <w:p>
      <w:pPr>
        <w:sectPr>
          <w:pgSz w:w="11880" w:h="15480" w:orient="portrait"/>
          <w:cols w:equalWidth="0" w:num="1">
            <w:col w:w="9647"/>
          </w:cols>
          <w:pgMar w:left="1133" w:top="340" w:right="1100" w:bottom="0" w:gutter="0" w:footer="0" w:header="0"/>
          <w:type w:val="continuous"/>
        </w:sectPr>
      </w:pPr>
    </w:p>
    <w:bookmarkStart w:id="51" w:name="page52"/>
    <w:bookmarkEnd w:id="51"/>
    <w:p>
      <w:pPr>
        <w:spacing w:after="0"/>
        <w:rPr>
          <w:sz w:val="20"/>
          <w:szCs w:val="20"/>
          <w:color w:val="auto"/>
        </w:rPr>
      </w:pPr>
      <w:r>
        <w:rPr>
          <w:rFonts w:ascii="Arial" w:cs="Arial" w:eastAsia="Arial" w:hAnsi="Arial"/>
          <w:sz w:val="33"/>
          <w:szCs w:val="33"/>
          <w:color w:val="0A248E"/>
        </w:rPr>
        <w:t>EXECUTIVE COMPENSATION (continued)</w:t>
      </w:r>
    </w:p>
    <w:p>
      <w:pPr>
        <w:spacing w:after="0" w:line="277" w:lineRule="exact"/>
        <w:rPr>
          <w:sz w:val="20"/>
          <w:szCs w:val="20"/>
          <w:color w:val="auto"/>
        </w:rPr>
      </w:pPr>
    </w:p>
    <w:p>
      <w:pPr>
        <w:ind w:right="220"/>
        <w:spacing w:after="0" w:line="305" w:lineRule="auto"/>
        <w:rPr>
          <w:sz w:val="20"/>
          <w:szCs w:val="20"/>
          <w:color w:val="auto"/>
        </w:rPr>
      </w:pPr>
      <w:r>
        <w:rPr>
          <w:rFonts w:ascii="Arial" w:cs="Arial" w:eastAsia="Arial" w:hAnsi="Arial"/>
          <w:sz w:val="18"/>
          <w:szCs w:val="18"/>
          <w:color w:val="auto"/>
        </w:rPr>
        <w:t>In selecting the 2025 compensation peer group, the talent and compensation committee chose companies that resulted in us being near the median of the group as of July 2024, in terms of both revenue and market capitalization.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61"/>
        </w:trPr>
        <w:tc>
          <w:tcPr>
            <w:tcW w:w="40" w:type="dxa"/>
            <w:vAlign w:val="bottom"/>
            <w:shd w:val="clear" w:color="auto" w:fill="0A248E"/>
          </w:tcPr>
          <w:p>
            <w:pPr>
              <w:spacing w:after="0"/>
              <w:rPr>
                <w:sz w:val="5"/>
                <w:szCs w:val="5"/>
                <w:color w:val="auto"/>
              </w:rPr>
            </w:pPr>
          </w:p>
        </w:tc>
        <w:tc>
          <w:tcPr>
            <w:tcW w:w="316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2024 Compensation Peer Group</w:t>
            </w:r>
          </w:p>
        </w:tc>
        <w:tc>
          <w:tcPr>
            <w:tcW w:w="60" w:type="dxa"/>
            <w:vAlign w:val="bottom"/>
            <w:tcBorders>
              <w:right w:val="single" w:sz="8" w:color="0A248E"/>
            </w:tcBorders>
          </w:tcPr>
          <w:p>
            <w:pPr>
              <w:spacing w:after="0"/>
              <w:rPr>
                <w:sz w:val="5"/>
                <w:szCs w:val="5"/>
                <w:color w:val="auto"/>
              </w:rPr>
            </w:pPr>
          </w:p>
        </w:tc>
        <w:tc>
          <w:tcPr>
            <w:tcW w:w="316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Changes to Peer Group</w:t>
            </w:r>
          </w:p>
        </w:tc>
        <w:tc>
          <w:tcPr>
            <w:tcW w:w="60" w:type="dxa"/>
            <w:vAlign w:val="bottom"/>
            <w:tcBorders>
              <w:right w:val="single" w:sz="8" w:color="0A248E"/>
            </w:tcBorders>
            <w:vMerge w:val="restart"/>
          </w:tcPr>
          <w:p>
            <w:pPr>
              <w:spacing w:after="0"/>
              <w:rPr>
                <w:sz w:val="5"/>
                <w:szCs w:val="5"/>
                <w:color w:val="auto"/>
              </w:rPr>
            </w:pPr>
          </w:p>
        </w:tc>
        <w:tc>
          <w:tcPr>
            <w:tcW w:w="3160" w:type="dxa"/>
            <w:vAlign w:val="bottom"/>
            <w:gridSpan w:val="2"/>
            <w:vMerge w:val="restart"/>
            <w:shd w:val="clear" w:color="auto" w:fill="0A248E"/>
          </w:tcPr>
          <w:p>
            <w:pPr>
              <w:jc w:val="center"/>
              <w:ind w:right="40"/>
              <w:spacing w:after="0"/>
              <w:rPr>
                <w:sz w:val="20"/>
                <w:szCs w:val="20"/>
                <w:color w:val="auto"/>
              </w:rPr>
            </w:pPr>
            <w:r>
              <w:rPr>
                <w:rFonts w:ascii="Arial" w:cs="Arial" w:eastAsia="Arial" w:hAnsi="Arial"/>
                <w:sz w:val="15"/>
                <w:szCs w:val="15"/>
                <w:b w:val="1"/>
                <w:bCs w:val="1"/>
                <w:color w:val="FFFFFF"/>
              </w:rPr>
              <w:t>2025 Compensation Peer Group</w:t>
            </w:r>
          </w:p>
        </w:tc>
        <w:tc>
          <w:tcPr>
            <w:tcW w:w="0" w:type="dxa"/>
            <w:vAlign w:val="bottom"/>
          </w:tcPr>
          <w:p>
            <w:pPr>
              <w:spacing w:after="0"/>
              <w:rPr>
                <w:sz w:val="1"/>
                <w:szCs w:val="1"/>
                <w:color w:val="auto"/>
              </w:rPr>
            </w:pPr>
          </w:p>
        </w:tc>
      </w:tr>
      <w:tr>
        <w:trPr>
          <w:trHeight w:val="270"/>
        </w:trPr>
        <w:tc>
          <w:tcPr>
            <w:tcW w:w="40" w:type="dxa"/>
            <w:vAlign w:val="bottom"/>
            <w:tcBorders>
              <w:bottom w:val="single" w:sz="8" w:color="0A248E"/>
            </w:tcBorders>
            <w:shd w:val="clear" w:color="auto" w:fill="0A248E"/>
          </w:tcPr>
          <w:p>
            <w:pPr>
              <w:spacing w:after="0"/>
              <w:rPr>
                <w:sz w:val="23"/>
                <w:szCs w:val="23"/>
                <w:color w:val="auto"/>
              </w:rPr>
            </w:pPr>
          </w:p>
        </w:tc>
        <w:tc>
          <w:tcPr>
            <w:tcW w:w="3160" w:type="dxa"/>
            <w:vAlign w:val="bottom"/>
            <w:tcBorders>
              <w:bottom w:val="single" w:sz="8" w:color="0A248E"/>
            </w:tcBorders>
            <w:vMerge w:val="continue"/>
            <w:shd w:val="clear" w:color="auto" w:fill="0A248E"/>
          </w:tcPr>
          <w:p>
            <w:pPr>
              <w:spacing w:after="0"/>
              <w:rPr>
                <w:sz w:val="23"/>
                <w:szCs w:val="23"/>
                <w:color w:val="auto"/>
              </w:rPr>
            </w:pPr>
          </w:p>
        </w:tc>
        <w:tc>
          <w:tcPr>
            <w:tcW w:w="60" w:type="dxa"/>
            <w:vAlign w:val="bottom"/>
            <w:tcBorders>
              <w:right w:val="single" w:sz="8" w:color="0A248E"/>
            </w:tcBorders>
            <w:shd w:val="clear" w:color="auto" w:fill="0A248E"/>
          </w:tcPr>
          <w:p>
            <w:pPr>
              <w:spacing w:after="0"/>
              <w:rPr>
                <w:sz w:val="23"/>
                <w:szCs w:val="23"/>
                <w:color w:val="auto"/>
              </w:rPr>
            </w:pPr>
          </w:p>
        </w:tc>
        <w:tc>
          <w:tcPr>
            <w:tcW w:w="3160" w:type="dxa"/>
            <w:vAlign w:val="bottom"/>
            <w:tcBorders>
              <w:bottom w:val="single" w:sz="8" w:color="0A248E"/>
            </w:tcBorders>
            <w:vMerge w:val="continue"/>
            <w:shd w:val="clear" w:color="auto" w:fill="0A248E"/>
          </w:tcPr>
          <w:p>
            <w:pPr>
              <w:spacing w:after="0"/>
              <w:rPr>
                <w:sz w:val="23"/>
                <w:szCs w:val="23"/>
                <w:color w:val="auto"/>
              </w:rPr>
            </w:pPr>
          </w:p>
        </w:tc>
        <w:tc>
          <w:tcPr>
            <w:tcW w:w="60" w:type="dxa"/>
            <w:vAlign w:val="bottom"/>
            <w:tcBorders>
              <w:right w:val="single" w:sz="8" w:color="0A248E"/>
            </w:tcBorders>
            <w:vMerge w:val="continue"/>
          </w:tcPr>
          <w:p>
            <w:pPr>
              <w:spacing w:after="0"/>
              <w:rPr>
                <w:sz w:val="23"/>
                <w:szCs w:val="23"/>
                <w:color w:val="auto"/>
              </w:rPr>
            </w:pPr>
          </w:p>
        </w:tc>
        <w:tc>
          <w:tcPr>
            <w:tcW w:w="3160" w:type="dxa"/>
            <w:vAlign w:val="bottom"/>
            <w:tcBorders>
              <w:bottom w:val="single" w:sz="8" w:color="0A248E"/>
            </w:tcBorders>
            <w:gridSpan w:val="2"/>
            <w:vMerge w:val="continue"/>
            <w:shd w:val="clear" w:color="auto" w:fill="0A248E"/>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E6E6E6"/>
          </w:tcPr>
          <w:p>
            <w:pPr>
              <w:spacing w:after="0"/>
              <w:rPr>
                <w:sz w:val="20"/>
                <w:szCs w:val="20"/>
                <w:color w:val="auto"/>
              </w:rPr>
            </w:pPr>
          </w:p>
        </w:tc>
        <w:tc>
          <w:tcPr>
            <w:tcW w:w="31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Affirm Holdings</w:t>
            </w:r>
          </w:p>
        </w:tc>
        <w:tc>
          <w:tcPr>
            <w:tcW w:w="60" w:type="dxa"/>
            <w:vAlign w:val="bottom"/>
            <w:tcBorders>
              <w:right w:val="single" w:sz="8" w:color="E6E6E6"/>
            </w:tcBorders>
            <w:shd w:val="clear" w:color="auto" w:fill="E6E6E6"/>
          </w:tcPr>
          <w:p>
            <w:pPr>
              <w:spacing w:after="0"/>
              <w:rPr>
                <w:sz w:val="20"/>
                <w:szCs w:val="20"/>
                <w:color w:val="auto"/>
              </w:rPr>
            </w:pPr>
          </w:p>
        </w:tc>
        <w:tc>
          <w:tcPr>
            <w:tcW w:w="3160" w:type="dxa"/>
            <w:vAlign w:val="bottom"/>
            <w:tcBorders>
              <w:top w:val="single" w:sz="8" w:color="E6E6E6"/>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7"/>
              </w:rPr>
              <w:t>Removed</w:t>
            </w:r>
            <w:r>
              <w:rPr>
                <w:rFonts w:ascii="Arial" w:cs="Arial" w:eastAsia="Arial" w:hAnsi="Arial"/>
                <w:sz w:val="18"/>
                <w:szCs w:val="18"/>
                <w:color w:val="auto"/>
                <w:w w:val="97"/>
              </w:rPr>
              <w:t>:</w:t>
            </w:r>
          </w:p>
        </w:tc>
        <w:tc>
          <w:tcPr>
            <w:tcW w:w="60" w:type="dxa"/>
            <w:vAlign w:val="bottom"/>
            <w:tcBorders>
              <w:right w:val="single" w:sz="8" w:color="E6E6E6"/>
            </w:tcBorders>
          </w:tcPr>
          <w:p>
            <w:pPr>
              <w:spacing w:after="0"/>
              <w:rPr>
                <w:sz w:val="20"/>
                <w:szCs w:val="20"/>
                <w:color w:val="auto"/>
              </w:rPr>
            </w:pPr>
          </w:p>
        </w:tc>
        <w:tc>
          <w:tcPr>
            <w:tcW w:w="3160" w:type="dxa"/>
            <w:vAlign w:val="bottom"/>
            <w:gridSpan w:val="2"/>
            <w:shd w:val="clear" w:color="auto" w:fill="E6E6E6"/>
          </w:tcPr>
          <w:p>
            <w:pPr>
              <w:jc w:val="center"/>
              <w:ind w:right="40"/>
              <w:spacing w:after="0"/>
              <w:rPr>
                <w:sz w:val="20"/>
                <w:szCs w:val="20"/>
                <w:color w:val="auto"/>
              </w:rPr>
            </w:pPr>
            <w:r>
              <w:rPr>
                <w:rFonts w:ascii="Arial" w:cs="Arial" w:eastAsia="Arial" w:hAnsi="Arial"/>
                <w:sz w:val="18"/>
                <w:szCs w:val="18"/>
                <w:color w:val="auto"/>
                <w:w w:val="98"/>
              </w:rPr>
              <w:t>Affirm Holdings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5"/>
              </w:rPr>
              <w:t>AppLovin</w:t>
            </w:r>
          </w:p>
        </w:tc>
        <w:tc>
          <w:tcPr>
            <w:tcW w:w="6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7"/>
              </w:rPr>
              <w:t>Splunk (acquired)</w:t>
            </w:r>
          </w:p>
        </w:tc>
        <w:tc>
          <w:tcPr>
            <w:tcW w:w="60" w:type="dxa"/>
            <w:vAlign w:val="bottom"/>
          </w:tcPr>
          <w:p>
            <w:pPr>
              <w:spacing w:after="0"/>
              <w:rPr>
                <w:sz w:val="19"/>
                <w:szCs w:val="19"/>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AppLovin</w:t>
            </w:r>
          </w:p>
        </w:tc>
        <w:tc>
          <w:tcPr>
            <w:tcW w:w="0" w:type="dxa"/>
            <w:vAlign w:val="bottom"/>
          </w:tcPr>
          <w:p>
            <w:pPr>
              <w:spacing w:after="0"/>
              <w:rPr>
                <w:sz w:val="1"/>
                <w:szCs w:val="1"/>
                <w:color w:val="auto"/>
              </w:rPr>
            </w:pPr>
          </w:p>
        </w:tc>
      </w:tr>
      <w:tr>
        <w:trPr>
          <w:trHeight w:val="289"/>
        </w:trPr>
        <w:tc>
          <w:tcPr>
            <w:tcW w:w="40" w:type="dxa"/>
            <w:vAlign w:val="bottom"/>
            <w:tcBorders>
              <w:bottom w:val="single" w:sz="8" w:color="E6E6E6"/>
            </w:tcBorders>
            <w:shd w:val="clear" w:color="auto" w:fill="E6E6E6"/>
          </w:tcPr>
          <w:p>
            <w:pPr>
              <w:spacing w:after="0"/>
              <w:rPr>
                <w:sz w:val="24"/>
                <w:szCs w:val="24"/>
                <w:color w:val="auto"/>
              </w:rPr>
            </w:pPr>
          </w:p>
        </w:tc>
        <w:tc>
          <w:tcPr>
            <w:tcW w:w="3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Box</w:t>
            </w:r>
          </w:p>
        </w:tc>
        <w:tc>
          <w:tcPr>
            <w:tcW w:w="60" w:type="dxa"/>
            <w:vAlign w:val="bottom"/>
            <w:tcBorders>
              <w:bottom w:val="single" w:sz="8" w:color="E6E6E6"/>
              <w:right w:val="single" w:sz="8" w:color="E6E6E6"/>
            </w:tcBorders>
            <w:shd w:val="clear" w:color="auto" w:fill="E6E6E6"/>
          </w:tcPr>
          <w:p>
            <w:pPr>
              <w:spacing w:after="0"/>
              <w:rPr>
                <w:sz w:val="24"/>
                <w:szCs w:val="24"/>
                <w:color w:val="auto"/>
              </w:rPr>
            </w:pPr>
          </w:p>
        </w:tc>
        <w:tc>
          <w:tcPr>
            <w:tcW w:w="316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3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Box</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7"/>
              </w:rPr>
              <w:t>DocuSign</w:t>
            </w:r>
          </w:p>
        </w:tc>
        <w:tc>
          <w:tcPr>
            <w:tcW w:w="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DocuSign</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0" w:type="dxa"/>
            <w:vAlign w:val="bottom"/>
            <w:tcBorders>
              <w:bottom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Dolby Laboratories</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right w:val="single" w:sz="8" w:color="E6E6E6"/>
            </w:tcBorders>
          </w:tcPr>
          <w:p>
            <w:pPr>
              <w:spacing w:after="0"/>
              <w:rPr>
                <w:sz w:val="21"/>
                <w:szCs w:val="21"/>
                <w:color w:val="auto"/>
              </w:rPr>
            </w:pPr>
          </w:p>
        </w:tc>
        <w:tc>
          <w:tcPr>
            <w:tcW w:w="3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Dolby Laboratories</w:t>
            </w: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Elastic</w:t>
            </w:r>
          </w:p>
        </w:tc>
        <w:tc>
          <w:tcPr>
            <w:tcW w:w="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Elastic</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Borders>
              <w:bottom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Etsy</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right w:val="single" w:sz="8" w:color="E6E6E6"/>
            </w:tcBorders>
          </w:tcPr>
          <w:p>
            <w:pPr>
              <w:spacing w:after="0"/>
              <w:rPr>
                <w:sz w:val="21"/>
                <w:szCs w:val="21"/>
                <w:color w:val="auto"/>
              </w:rPr>
            </w:pPr>
          </w:p>
        </w:tc>
        <w:tc>
          <w:tcPr>
            <w:tcW w:w="3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Etsy</w:t>
            </w: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4"/>
              </w:rPr>
              <w:t>F5</w:t>
            </w:r>
          </w:p>
        </w:tc>
        <w:tc>
          <w:tcPr>
            <w:tcW w:w="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F5</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Borders>
              <w:bottom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GoDaddy</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right w:val="single" w:sz="8" w:color="E6E6E6"/>
            </w:tcBorders>
          </w:tcPr>
          <w:p>
            <w:pPr>
              <w:spacing w:after="0"/>
              <w:rPr>
                <w:sz w:val="21"/>
                <w:szCs w:val="21"/>
                <w:color w:val="auto"/>
              </w:rPr>
            </w:pPr>
          </w:p>
        </w:tc>
        <w:tc>
          <w:tcPr>
            <w:tcW w:w="3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GoDaddy</w:t>
            </w: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7"/>
              </w:rPr>
              <w:t>HubSpot</w:t>
            </w:r>
          </w:p>
        </w:tc>
        <w:tc>
          <w:tcPr>
            <w:tcW w:w="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HubSpot</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6E6E6"/>
          </w:tcPr>
          <w:p>
            <w:pPr>
              <w:spacing w:after="0"/>
              <w:rPr>
                <w:sz w:val="19"/>
                <w:szCs w:val="19"/>
                <w:color w:val="auto"/>
              </w:rPr>
            </w:pPr>
          </w:p>
        </w:tc>
        <w:tc>
          <w:tcPr>
            <w:tcW w:w="31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Informatica</w:t>
            </w:r>
          </w:p>
        </w:tc>
        <w:tc>
          <w:tcPr>
            <w:tcW w:w="60" w:type="dxa"/>
            <w:vAlign w:val="bottom"/>
            <w:tcBorders>
              <w:right w:val="single" w:sz="8" w:color="E6E6E6"/>
            </w:tcBorders>
            <w:shd w:val="clear" w:color="auto" w:fill="E6E6E6"/>
          </w:tcPr>
          <w:p>
            <w:pPr>
              <w:spacing w:after="0"/>
              <w:rPr>
                <w:sz w:val="19"/>
                <w:szCs w:val="19"/>
                <w:color w:val="auto"/>
              </w:rPr>
            </w:pPr>
          </w:p>
        </w:tc>
        <w:tc>
          <w:tcPr>
            <w:tcW w:w="3160" w:type="dxa"/>
            <w:vAlign w:val="bottom"/>
            <w:shd w:val="clear" w:color="auto" w:fill="E6E6E6"/>
          </w:tcPr>
          <w:p>
            <w:pPr>
              <w:jc w:val="center"/>
              <w:spacing w:after="0"/>
              <w:rPr>
                <w:sz w:val="20"/>
                <w:szCs w:val="20"/>
                <w:color w:val="auto"/>
              </w:rPr>
            </w:pPr>
            <w:r>
              <w:rPr>
                <w:rFonts w:ascii="Arial" w:cs="Arial" w:eastAsia="Arial" w:hAnsi="Arial"/>
                <w:sz w:val="18"/>
                <w:szCs w:val="18"/>
                <w:b w:val="1"/>
                <w:bCs w:val="1"/>
                <w:color w:val="auto"/>
                <w:w w:val="98"/>
              </w:rPr>
              <w:t xml:space="preserve">Added: </w:t>
            </w:r>
            <w:r>
              <w:rPr>
                <w:rFonts w:ascii="Arial" w:cs="Arial" w:eastAsia="Arial" w:hAnsi="Arial"/>
                <w:sz w:val="18"/>
                <w:szCs w:val="18"/>
                <w:color w:val="auto"/>
                <w:w w:val="98"/>
              </w:rPr>
              <w:t>None</w:t>
            </w:r>
          </w:p>
        </w:tc>
        <w:tc>
          <w:tcPr>
            <w:tcW w:w="60" w:type="dxa"/>
            <w:vAlign w:val="bottom"/>
            <w:tcBorders>
              <w:right w:val="single" w:sz="8" w:color="E6E6E6"/>
            </w:tcBorders>
            <w:shd w:val="clear" w:color="auto" w:fill="E6E6E6"/>
          </w:tcPr>
          <w:p>
            <w:pPr>
              <w:spacing w:after="0"/>
              <w:rPr>
                <w:sz w:val="19"/>
                <w:szCs w:val="19"/>
                <w:color w:val="auto"/>
              </w:rPr>
            </w:pPr>
          </w:p>
        </w:tc>
        <w:tc>
          <w:tcPr>
            <w:tcW w:w="31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Informatica</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Nutanix</w:t>
            </w:r>
          </w:p>
        </w:tc>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Nutanix</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1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0" w:type="dxa"/>
            <w:vAlign w:val="bottom"/>
            <w:shd w:val="clear" w:color="auto" w:fill="E6E6E6"/>
          </w:tcPr>
          <w:p>
            <w:pPr>
              <w:spacing w:after="0"/>
              <w:rPr>
                <w:sz w:val="24"/>
                <w:szCs w:val="24"/>
                <w:color w:val="auto"/>
              </w:rPr>
            </w:pPr>
          </w:p>
        </w:tc>
        <w:tc>
          <w:tcPr>
            <w:tcW w:w="31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4"/>
              </w:rPr>
              <w:t>Okta</w:t>
            </w:r>
          </w:p>
        </w:tc>
        <w:tc>
          <w:tcPr>
            <w:tcW w:w="60" w:type="dxa"/>
            <w:vAlign w:val="bottom"/>
            <w:tcBorders>
              <w:right w:val="single" w:sz="8" w:color="E6E6E6"/>
            </w:tcBorders>
            <w:shd w:val="clear" w:color="auto" w:fill="E6E6E6"/>
          </w:tcPr>
          <w:p>
            <w:pPr>
              <w:spacing w:after="0"/>
              <w:rPr>
                <w:sz w:val="24"/>
                <w:szCs w:val="24"/>
                <w:color w:val="auto"/>
              </w:rPr>
            </w:pPr>
          </w:p>
        </w:tc>
        <w:tc>
          <w:tcPr>
            <w:tcW w:w="3160" w:type="dxa"/>
            <w:vAlign w:val="bottom"/>
            <w:shd w:val="clear" w:color="auto" w:fill="E6E6E6"/>
          </w:tcPr>
          <w:p>
            <w:pPr>
              <w:spacing w:after="0"/>
              <w:rPr>
                <w:sz w:val="24"/>
                <w:szCs w:val="24"/>
                <w:color w:val="auto"/>
              </w:rPr>
            </w:pPr>
          </w:p>
        </w:tc>
        <w:tc>
          <w:tcPr>
            <w:tcW w:w="60" w:type="dxa"/>
            <w:vAlign w:val="bottom"/>
            <w:tcBorders>
              <w:right w:val="single" w:sz="8" w:color="E6E6E6"/>
            </w:tcBorders>
            <w:shd w:val="clear" w:color="auto" w:fill="E6E6E6"/>
          </w:tcPr>
          <w:p>
            <w:pPr>
              <w:spacing w:after="0"/>
              <w:rPr>
                <w:sz w:val="24"/>
                <w:szCs w:val="24"/>
                <w:color w:val="auto"/>
              </w:rPr>
            </w:pPr>
          </w:p>
        </w:tc>
        <w:tc>
          <w:tcPr>
            <w:tcW w:w="31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4"/>
              </w:rPr>
              <w:t>Okta</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0" w:type="dxa"/>
            <w:vAlign w:val="bottom"/>
            <w:shd w:val="clear" w:color="auto" w:fill="E6E6E6"/>
          </w:tcPr>
          <w:p>
            <w:pPr>
              <w:spacing w:after="0"/>
              <w:rPr>
                <w:sz w:val="6"/>
                <w:szCs w:val="6"/>
                <w:color w:val="auto"/>
              </w:rPr>
            </w:pPr>
          </w:p>
        </w:tc>
        <w:tc>
          <w:tcPr>
            <w:tcW w:w="3160" w:type="dxa"/>
            <w:vAlign w:val="bottom"/>
            <w:shd w:val="clear" w:color="auto" w:fill="E6E6E6"/>
          </w:tcPr>
          <w:p>
            <w:pPr>
              <w:spacing w:after="0"/>
              <w:rPr>
                <w:sz w:val="6"/>
                <w:szCs w:val="6"/>
                <w:color w:val="auto"/>
              </w:rPr>
            </w:pPr>
          </w:p>
        </w:tc>
        <w:tc>
          <w:tcPr>
            <w:tcW w:w="60" w:type="dxa"/>
            <w:vAlign w:val="bottom"/>
            <w:tcBorders>
              <w:right w:val="single" w:sz="8" w:color="E6E6E6"/>
            </w:tcBorders>
            <w:shd w:val="clear" w:color="auto" w:fill="E6E6E6"/>
          </w:tcPr>
          <w:p>
            <w:pPr>
              <w:spacing w:after="0"/>
              <w:rPr>
                <w:sz w:val="6"/>
                <w:szCs w:val="6"/>
                <w:color w:val="auto"/>
              </w:rPr>
            </w:pPr>
          </w:p>
        </w:tc>
        <w:tc>
          <w:tcPr>
            <w:tcW w:w="3160" w:type="dxa"/>
            <w:vAlign w:val="bottom"/>
            <w:shd w:val="clear" w:color="auto" w:fill="E6E6E6"/>
          </w:tcPr>
          <w:p>
            <w:pPr>
              <w:spacing w:after="0"/>
              <w:rPr>
                <w:sz w:val="6"/>
                <w:szCs w:val="6"/>
                <w:color w:val="auto"/>
              </w:rPr>
            </w:pPr>
          </w:p>
        </w:tc>
        <w:tc>
          <w:tcPr>
            <w:tcW w:w="60" w:type="dxa"/>
            <w:vAlign w:val="bottom"/>
            <w:tcBorders>
              <w:right w:val="single" w:sz="8" w:color="E6E6E6"/>
            </w:tcBorders>
            <w:shd w:val="clear" w:color="auto" w:fill="E6E6E6"/>
          </w:tcPr>
          <w:p>
            <w:pPr>
              <w:spacing w:after="0"/>
              <w:rPr>
                <w:sz w:val="6"/>
                <w:szCs w:val="6"/>
                <w:color w:val="auto"/>
              </w:rPr>
            </w:pPr>
          </w:p>
        </w:tc>
        <w:tc>
          <w:tcPr>
            <w:tcW w:w="3160" w:type="dxa"/>
            <w:vAlign w:val="bottom"/>
            <w:gridSpan w:val="2"/>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7"/>
              </w:rPr>
              <w:t>Paycom Software</w:t>
            </w:r>
          </w:p>
        </w:tc>
        <w:tc>
          <w:tcPr>
            <w:tcW w:w="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Paycom Software</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Borders>
              <w:bottom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Pinterest</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right w:val="single" w:sz="8" w:color="E6E6E6"/>
            </w:tcBorders>
          </w:tcPr>
          <w:p>
            <w:pPr>
              <w:spacing w:after="0"/>
              <w:rPr>
                <w:sz w:val="21"/>
                <w:szCs w:val="21"/>
                <w:color w:val="auto"/>
              </w:rPr>
            </w:pPr>
          </w:p>
        </w:tc>
        <w:tc>
          <w:tcPr>
            <w:tcW w:w="3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Pinterest</w:t>
            </w: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Pure Storage</w:t>
            </w:r>
          </w:p>
        </w:tc>
        <w:tc>
          <w:tcPr>
            <w:tcW w:w="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Pure Storage</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Borders>
              <w:bottom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RingCentral</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3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RingCentral</w:t>
            </w: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5"/>
              </w:rPr>
              <w:t>Roku</w:t>
            </w:r>
          </w:p>
        </w:tc>
        <w:tc>
          <w:tcPr>
            <w:tcW w:w="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Roku</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Borders>
              <w:bottom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Splunk</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316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3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Teradata</w:t>
            </w: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4"/>
              </w:rPr>
              <w:t>Teradata</w:t>
            </w:r>
          </w:p>
        </w:tc>
        <w:tc>
          <w:tcPr>
            <w:tcW w:w="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Zoom Communications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shd w:val="clear" w:color="auto" w:fill="E6E6E6"/>
          </w:tcPr>
          <w:p>
            <w:pPr>
              <w:spacing w:after="0"/>
              <w:rPr>
                <w:sz w:val="22"/>
                <w:szCs w:val="22"/>
                <w:color w:val="auto"/>
              </w:rPr>
            </w:pPr>
          </w:p>
        </w:tc>
        <w:tc>
          <w:tcPr>
            <w:tcW w:w="31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Zoom Communications</w:t>
            </w:r>
          </w:p>
        </w:tc>
        <w:tc>
          <w:tcPr>
            <w:tcW w:w="60" w:type="dxa"/>
            <w:vAlign w:val="bottom"/>
            <w:tcBorders>
              <w:right w:val="single" w:sz="8" w:color="E6E6E6"/>
            </w:tcBorders>
            <w:shd w:val="clear" w:color="auto" w:fill="E6E6E6"/>
          </w:tcPr>
          <w:p>
            <w:pPr>
              <w:spacing w:after="0"/>
              <w:rPr>
                <w:sz w:val="22"/>
                <w:szCs w:val="22"/>
                <w:color w:val="auto"/>
              </w:rPr>
            </w:pPr>
          </w:p>
        </w:tc>
        <w:tc>
          <w:tcPr>
            <w:tcW w:w="3160" w:type="dxa"/>
            <w:vAlign w:val="bottom"/>
            <w:shd w:val="clear" w:color="auto" w:fill="E6E6E6"/>
          </w:tcPr>
          <w:p>
            <w:pPr>
              <w:spacing w:after="0"/>
              <w:rPr>
                <w:sz w:val="22"/>
                <w:szCs w:val="22"/>
                <w:color w:val="auto"/>
              </w:rPr>
            </w:pPr>
          </w:p>
        </w:tc>
        <w:tc>
          <w:tcPr>
            <w:tcW w:w="60" w:type="dxa"/>
            <w:vAlign w:val="bottom"/>
            <w:tcBorders>
              <w:right w:val="single" w:sz="8" w:color="E6E6E6"/>
            </w:tcBorders>
            <w:shd w:val="clear" w:color="auto" w:fill="E6E6E6"/>
          </w:tcPr>
          <w:p>
            <w:pPr>
              <w:spacing w:after="0"/>
              <w:rPr>
                <w:sz w:val="22"/>
                <w:szCs w:val="22"/>
                <w:color w:val="auto"/>
              </w:rPr>
            </w:pPr>
          </w:p>
        </w:tc>
        <w:tc>
          <w:tcPr>
            <w:tcW w:w="31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52"/>
        </w:trPr>
        <w:tc>
          <w:tcPr>
            <w:tcW w:w="40" w:type="dxa"/>
            <w:vAlign w:val="bottom"/>
            <w:shd w:val="clear" w:color="auto" w:fill="E6E6E6"/>
          </w:tcPr>
          <w:p>
            <w:pPr>
              <w:spacing w:after="0"/>
              <w:rPr>
                <w:sz w:val="4"/>
                <w:szCs w:val="4"/>
                <w:color w:val="auto"/>
              </w:rPr>
            </w:pPr>
          </w:p>
        </w:tc>
        <w:tc>
          <w:tcPr>
            <w:tcW w:w="3160" w:type="dxa"/>
            <w:vAlign w:val="bottom"/>
            <w:shd w:val="clear" w:color="auto" w:fill="E6E6E6"/>
          </w:tcPr>
          <w:p>
            <w:pPr>
              <w:spacing w:after="0"/>
              <w:rPr>
                <w:sz w:val="4"/>
                <w:szCs w:val="4"/>
                <w:color w:val="auto"/>
              </w:rPr>
            </w:pPr>
          </w:p>
        </w:tc>
        <w:tc>
          <w:tcPr>
            <w:tcW w:w="60" w:type="dxa"/>
            <w:vAlign w:val="bottom"/>
            <w:tcBorders>
              <w:right w:val="single" w:sz="8" w:color="E6E6E6"/>
            </w:tcBorders>
            <w:shd w:val="clear" w:color="auto" w:fill="E6E6E6"/>
          </w:tcPr>
          <w:p>
            <w:pPr>
              <w:spacing w:after="0"/>
              <w:rPr>
                <w:sz w:val="4"/>
                <w:szCs w:val="4"/>
                <w:color w:val="auto"/>
              </w:rPr>
            </w:pPr>
          </w:p>
        </w:tc>
        <w:tc>
          <w:tcPr>
            <w:tcW w:w="3160" w:type="dxa"/>
            <w:vAlign w:val="bottom"/>
            <w:shd w:val="clear" w:color="auto" w:fill="E6E6E6"/>
          </w:tcPr>
          <w:p>
            <w:pPr>
              <w:spacing w:after="0"/>
              <w:rPr>
                <w:sz w:val="4"/>
                <w:szCs w:val="4"/>
                <w:color w:val="auto"/>
              </w:rPr>
            </w:pPr>
          </w:p>
        </w:tc>
        <w:tc>
          <w:tcPr>
            <w:tcW w:w="60" w:type="dxa"/>
            <w:vAlign w:val="bottom"/>
            <w:tcBorders>
              <w:right w:val="single" w:sz="8" w:color="E6E6E6"/>
            </w:tcBorders>
            <w:shd w:val="clear" w:color="auto" w:fill="E6E6E6"/>
          </w:tcPr>
          <w:p>
            <w:pPr>
              <w:spacing w:after="0"/>
              <w:rPr>
                <w:sz w:val="4"/>
                <w:szCs w:val="4"/>
                <w:color w:val="auto"/>
              </w:rPr>
            </w:pPr>
          </w:p>
        </w:tc>
        <w:tc>
          <w:tcPr>
            <w:tcW w:w="3140" w:type="dxa"/>
            <w:vAlign w:val="bottom"/>
            <w:shd w:val="clear" w:color="auto" w:fill="E6E6E6"/>
          </w:tcPr>
          <w:p>
            <w:pPr>
              <w:spacing w:after="0"/>
              <w:rPr>
                <w:sz w:val="4"/>
                <w:szCs w:val="4"/>
                <w:color w:val="auto"/>
              </w:rPr>
            </w:pPr>
          </w:p>
        </w:tc>
        <w:tc>
          <w:tcPr>
            <w:tcW w:w="2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2040255</wp:posOffset>
                </wp:positionH>
                <wp:positionV relativeFrom="paragraph">
                  <wp:posOffset>-3877945</wp:posOffset>
                </wp:positionV>
                <wp:extent cx="0" cy="13081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81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65pt,-305.3499pt" to="160.65pt,-295.0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4081780</wp:posOffset>
                </wp:positionH>
                <wp:positionV relativeFrom="paragraph">
                  <wp:posOffset>-3877945</wp:posOffset>
                </wp:positionV>
                <wp:extent cx="0" cy="67437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7437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4pt,-305.3499pt" to="321.4pt,-252.2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2040255</wp:posOffset>
                </wp:positionH>
                <wp:positionV relativeFrom="paragraph">
                  <wp:posOffset>-1985010</wp:posOffset>
                </wp:positionV>
                <wp:extent cx="0" cy="14605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65pt,-156.2999pt" to="160.65pt,-144.7999pt" o:allowincell="f" strokecolor="#FFFFFF" strokeweight="1.4039pt"/>
            </w:pict>
          </mc:Fallback>
        </mc:AlternateContent>
      </w:r>
    </w:p>
    <w:p>
      <w:pPr>
        <w:spacing w:after="0" w:line="13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The compensation practices of the compensation peer group were the primary guide used by the talent and compensation committee in 2025 to compare the competitiveness of each compensation element and our annual target total direct compensation (base salary, target annual cash bonus opportunities, and target long-term equity incentive compensation opportunities) for our executive officers.</w:t>
      </w:r>
    </w:p>
    <w:p>
      <w:pPr>
        <w:spacing w:after="0" w:line="132"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To analyze the compensation practices of our compensation peer group, Compensia gathered data from public filings of the peer group companies, as well as from the Radford Global Technology Survey. This market data was then used as a reference point for the talent and compensation committee to assess our current compensation levels in the course of its deliberations on compensation forms and amounts. The talent and compensation committee does not engage in formal benchmarking against other companies’ compensation programs or practices to establish our compensation levels or make specific compensation recommendations with respect to our executive officers, including our named executive officers.</w:t>
      </w:r>
    </w:p>
    <w:p>
      <w:pPr>
        <w:spacing w:after="0" w:line="121" w:lineRule="exact"/>
        <w:rPr>
          <w:sz w:val="20"/>
          <w:szCs w:val="20"/>
          <w:color w:val="auto"/>
        </w:rPr>
      </w:pPr>
    </w:p>
    <w:p>
      <w:pPr>
        <w:ind w:right="420"/>
        <w:spacing w:after="0" w:line="343" w:lineRule="auto"/>
        <w:rPr>
          <w:sz w:val="20"/>
          <w:szCs w:val="20"/>
          <w:color w:val="auto"/>
        </w:rPr>
      </w:pPr>
      <w:r>
        <w:rPr>
          <w:rFonts w:ascii="Arial" w:cs="Arial" w:eastAsia="Arial" w:hAnsi="Arial"/>
          <w:sz w:val="17"/>
          <w:szCs w:val="17"/>
          <w:color w:val="auto"/>
        </w:rPr>
        <w:t>The talent and compensation committee reviews our compensation peer group each year and adjusts its composition if warranted, taking into account changes in both our business and the businesses of the companies in the peer group.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Compensation Setting</w:t>
      </w:r>
    </w:p>
    <w:p>
      <w:pPr>
        <w:spacing w:after="0" w:line="203"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The talent and compensation committee reviews the base salary levels, target annual cash bonus opportunities, and target long-term equity incentive compensation opportunities of our executive officers and all related performance criteria at the beginning of each year, or more frequently as warranted.</w:t>
      </w:r>
    </w:p>
    <w:p>
      <w:pPr>
        <w:spacing w:after="0" w:line="118" w:lineRule="exact"/>
        <w:rPr>
          <w:sz w:val="20"/>
          <w:szCs w:val="20"/>
          <w:color w:val="auto"/>
        </w:rPr>
      </w:pPr>
    </w:p>
    <w:p>
      <w:pPr>
        <w:ind w:right="740"/>
        <w:spacing w:after="0" w:line="310" w:lineRule="auto"/>
        <w:rPr>
          <w:sz w:val="20"/>
          <w:szCs w:val="20"/>
          <w:color w:val="auto"/>
        </w:rPr>
      </w:pPr>
      <w:r>
        <w:rPr>
          <w:rFonts w:ascii="Arial" w:cs="Arial" w:eastAsia="Arial" w:hAnsi="Arial"/>
          <w:sz w:val="18"/>
          <w:szCs w:val="18"/>
          <w:color w:val="auto"/>
        </w:rPr>
        <w:t>We do not establish a specific target for formulating the annual target total direct compensation opportunities of our executive officers, including our named executive officers.</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hanging="475"/>
        <w:spacing w:after="0"/>
        <w:tabs>
          <w:tab w:leader="none" w:pos="52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52" w:name="page53"/>
    <w:bookmarkEnd w:id="52"/>
    <w:p>
      <w:pPr>
        <w:spacing w:after="0"/>
        <w:rPr>
          <w:sz w:val="20"/>
          <w:szCs w:val="20"/>
          <w:color w:val="auto"/>
        </w:rPr>
      </w:pPr>
      <w:r>
        <w:rPr>
          <w:rFonts w:ascii="Arial" w:cs="Arial" w:eastAsia="Arial" w:hAnsi="Arial"/>
          <w:sz w:val="33"/>
          <w:szCs w:val="33"/>
          <w:color w:val="0A248E"/>
        </w:rPr>
        <w:t>EXECUTIVE COMPENSATION (continued)</w:t>
      </w:r>
    </w:p>
    <w:p>
      <w:pPr>
        <w:spacing w:after="0" w:line="277" w:lineRule="exact"/>
        <w:rPr>
          <w:sz w:val="20"/>
          <w:szCs w:val="20"/>
          <w:color w:val="auto"/>
        </w:rPr>
      </w:pPr>
    </w:p>
    <w:p>
      <w:pPr>
        <w:ind w:right="660"/>
        <w:spacing w:after="0" w:line="305" w:lineRule="auto"/>
        <w:rPr>
          <w:sz w:val="20"/>
          <w:szCs w:val="20"/>
          <w:color w:val="auto"/>
        </w:rPr>
      </w:pPr>
      <w:r>
        <w:rPr>
          <w:rFonts w:ascii="Arial" w:cs="Arial" w:eastAsia="Arial" w:hAnsi="Arial"/>
          <w:sz w:val="18"/>
          <w:szCs w:val="18"/>
          <w:color w:val="auto"/>
        </w:rPr>
        <w:t>In making decisions about the compensation of our executive officers, the talent and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41910</wp:posOffset>
                </wp:positionV>
                <wp:extent cx="612711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7115" cy="4763"/>
                        </a:xfrm>
                        <a:prstGeom prst="line">
                          <a:avLst/>
                        </a:prstGeom>
                        <a:solidFill>
                          <a:srgbClr val="FFFFFF"/>
                        </a:solidFill>
                        <a:ln w="35661">
                          <a:solidFill>
                            <a:srgbClr val="E6E6E6"/>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3pt" to="482.15pt,3.3pt" o:allowincell="f" strokecolor="#E6E6E6" strokeweight="2.808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59690</wp:posOffset>
                </wp:positionV>
                <wp:extent cx="3063875" cy="318897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3875" cy="3188970"/>
                        </a:xfrm>
                        <a:prstGeom prst="rect">
                          <a:avLst/>
                        </a:prstGeom>
                        <a:solidFill>
                          <a:srgbClr val="E6E6E6"/>
                        </a:solidFill>
                      </wps:spPr>
                      <wps:bodyPr/>
                    </wps:wsp>
                  </a:graphicData>
                </a:graphic>
              </wp:anchor>
            </w:drawing>
          </mc:Choice>
          <mc:Fallback>
            <w:pict>
              <v:rect id="Shape 97" o:spid="_x0000_s1122" style="position:absolute;margin-left:-0.2999pt;margin-top:4.7pt;width:241.25pt;height:25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3068955</wp:posOffset>
                </wp:positionH>
                <wp:positionV relativeFrom="paragraph">
                  <wp:posOffset>59690</wp:posOffset>
                </wp:positionV>
                <wp:extent cx="3054985" cy="315023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4985" cy="3150235"/>
                        </a:xfrm>
                        <a:prstGeom prst="rect">
                          <a:avLst/>
                        </a:prstGeom>
                        <a:solidFill>
                          <a:srgbClr val="E6E6E6"/>
                        </a:solidFill>
                      </wps:spPr>
                      <wps:bodyPr/>
                    </wps:wsp>
                  </a:graphicData>
                </a:graphic>
              </wp:anchor>
            </w:drawing>
          </mc:Choice>
          <mc:Fallback>
            <w:pict>
              <v:rect id="Shape 98" o:spid="_x0000_s1123" style="position:absolute;margin-left:241.65pt;margin-top:4.7pt;width:240.55pt;height:248.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3092450</wp:posOffset>
                </wp:positionH>
                <wp:positionV relativeFrom="paragraph">
                  <wp:posOffset>59690</wp:posOffset>
                </wp:positionV>
                <wp:extent cx="2998470" cy="270764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8470" cy="2707640"/>
                        </a:xfrm>
                        <a:prstGeom prst="rect">
                          <a:avLst/>
                        </a:prstGeom>
                        <a:solidFill>
                          <a:srgbClr val="E6E6E6"/>
                        </a:solidFill>
                      </wps:spPr>
                      <wps:bodyPr/>
                    </wps:wsp>
                  </a:graphicData>
                </a:graphic>
              </wp:anchor>
            </w:drawing>
          </mc:Choice>
          <mc:Fallback>
            <w:pict>
              <v:rect id="Shape 99" o:spid="_x0000_s1124" style="position:absolute;margin-left:243.5pt;margin-top:4.7pt;width:236.1pt;height:21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3059430</wp:posOffset>
                </wp:positionH>
                <wp:positionV relativeFrom="paragraph">
                  <wp:posOffset>59690</wp:posOffset>
                </wp:positionV>
                <wp:extent cx="0" cy="314960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960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9pt,4.7pt" to="240.9pt,252.7pt" o:allowincell="f" strokecolor="#FFFFFF" strokeweight="1.4039pt"/>
            </w:pict>
          </mc:Fallback>
        </mc:AlternateContent>
      </w:r>
    </w:p>
    <w:p>
      <w:pPr>
        <w:sectPr>
          <w:pgSz w:w="11880" w:h="15480" w:orient="portrait"/>
          <w:cols w:equalWidth="0" w:num="1">
            <w:col w:w="9640"/>
          </w:cols>
          <w:pgMar w:left="1140" w:top="340" w:right="1100" w:bottom="0" w:gutter="0" w:footer="0" w:header="0"/>
        </w:sectPr>
      </w:pPr>
    </w:p>
    <w:p>
      <w:pPr>
        <w:spacing w:after="0" w:line="138" w:lineRule="exact"/>
        <w:rPr>
          <w:sz w:val="20"/>
          <w:szCs w:val="20"/>
          <w:color w:val="auto"/>
        </w:rPr>
      </w:pPr>
    </w:p>
    <w:p>
      <w:pPr>
        <w:ind w:left="240" w:hanging="178"/>
        <w:spacing w:after="0"/>
        <w:tabs>
          <w:tab w:leader="none" w:pos="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executive compensation program objectives;</w:t>
      </w:r>
    </w:p>
    <w:p>
      <w:pPr>
        <w:spacing w:after="0" w:line="144" w:lineRule="exact"/>
        <w:rPr>
          <w:rFonts w:ascii="Arial" w:cs="Arial" w:eastAsia="Arial" w:hAnsi="Arial"/>
          <w:sz w:val="18"/>
          <w:szCs w:val="18"/>
          <w:color w:val="auto"/>
        </w:rPr>
      </w:pPr>
    </w:p>
    <w:p>
      <w:pPr>
        <w:ind w:left="240" w:right="220" w:hanging="178"/>
        <w:spacing w:after="0" w:line="288" w:lineRule="auto"/>
        <w:tabs>
          <w:tab w:leader="none" w:pos="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performance against the financial, operational, and strategic objectives established by the talent and compensation committee and our board of directors;</w:t>
      </w:r>
    </w:p>
    <w:p>
      <w:pPr>
        <w:spacing w:after="0" w:line="69" w:lineRule="exact"/>
        <w:rPr>
          <w:rFonts w:ascii="Arial" w:cs="Arial" w:eastAsia="Arial" w:hAnsi="Arial"/>
          <w:sz w:val="18"/>
          <w:szCs w:val="18"/>
          <w:color w:val="auto"/>
        </w:rPr>
      </w:pPr>
    </w:p>
    <w:p>
      <w:pPr>
        <w:ind w:left="240" w:right="220" w:hanging="178"/>
        <w:spacing w:after="0" w:line="278" w:lineRule="auto"/>
        <w:tabs>
          <w:tab w:leader="none" w:pos="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individual executive officer’s knowledge, skills, experience, qualifications, and tenure relative to other similarly-situated executives at the companies in our compensation peer group and/or selected broad-based compensation surveys;</w:t>
      </w:r>
    </w:p>
    <w:p>
      <w:pPr>
        <w:spacing w:after="0" w:line="78" w:lineRule="exact"/>
        <w:rPr>
          <w:rFonts w:ascii="Arial" w:cs="Arial" w:eastAsia="Arial" w:hAnsi="Arial"/>
          <w:sz w:val="18"/>
          <w:szCs w:val="18"/>
          <w:color w:val="auto"/>
        </w:rPr>
      </w:pPr>
    </w:p>
    <w:p>
      <w:pPr>
        <w:ind w:left="240" w:right="260" w:hanging="178"/>
        <w:spacing w:after="0" w:line="278" w:lineRule="auto"/>
        <w:tabs>
          <w:tab w:leader="none" w:pos="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of each executive officer’s role and responsibilities compared to other similarly-situated executives at the companies in our compensation peer group and/or selected broad-based compensation surveys;</w:t>
      </w:r>
    </w:p>
    <w:p>
      <w:pPr>
        <w:spacing w:after="0" w:line="78" w:lineRule="exact"/>
        <w:rPr>
          <w:rFonts w:ascii="Arial" w:cs="Arial" w:eastAsia="Arial" w:hAnsi="Arial"/>
          <w:sz w:val="18"/>
          <w:szCs w:val="18"/>
          <w:color w:val="auto"/>
        </w:rPr>
      </w:pPr>
    </w:p>
    <w:p>
      <w:pPr>
        <w:ind w:left="240" w:hanging="178"/>
        <w:spacing w:after="0" w:line="277" w:lineRule="auto"/>
        <w:tabs>
          <w:tab w:leader="none" w:pos="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72" w:right="460" w:hanging="172"/>
        <w:spacing w:after="0" w:line="291" w:lineRule="auto"/>
        <w:tabs>
          <w:tab w:leader="none" w:pos="1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potential of each individual executive officer to contribute to our long-term financial, operational, and strategic objectives;</w:t>
      </w:r>
    </w:p>
    <w:p>
      <w:pPr>
        <w:spacing w:after="0" w:line="61" w:lineRule="exact"/>
        <w:rPr>
          <w:rFonts w:ascii="Arial" w:cs="Arial" w:eastAsia="Arial" w:hAnsi="Arial"/>
          <w:sz w:val="18"/>
          <w:szCs w:val="18"/>
          <w:color w:val="auto"/>
        </w:rPr>
      </w:pPr>
    </w:p>
    <w:p>
      <w:pPr>
        <w:jc w:val="both"/>
        <w:ind w:left="172" w:right="360" w:hanging="172"/>
        <w:spacing w:after="0" w:line="291" w:lineRule="auto"/>
        <w:tabs>
          <w:tab w:leader="none" w:pos="1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Chief Executive Officer’s compensation relative to that of our executive officers, and compensation parity among our executive officers;</w:t>
      </w:r>
    </w:p>
    <w:p>
      <w:pPr>
        <w:spacing w:after="0" w:line="61" w:lineRule="exact"/>
        <w:rPr>
          <w:rFonts w:ascii="Arial" w:cs="Arial" w:eastAsia="Arial" w:hAnsi="Arial"/>
          <w:sz w:val="18"/>
          <w:szCs w:val="18"/>
          <w:color w:val="auto"/>
        </w:rPr>
      </w:pPr>
    </w:p>
    <w:p>
      <w:pPr>
        <w:ind w:left="172" w:right="580" w:hanging="172"/>
        <w:spacing w:after="0" w:line="310" w:lineRule="auto"/>
        <w:tabs>
          <w:tab w:leader="none" w:pos="1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financial performance and profile relative to our compensation peers;</w:t>
      </w:r>
    </w:p>
    <w:p>
      <w:pPr>
        <w:spacing w:after="0" w:line="45" w:lineRule="exact"/>
        <w:rPr>
          <w:rFonts w:ascii="Arial" w:cs="Arial" w:eastAsia="Arial" w:hAnsi="Arial"/>
          <w:sz w:val="18"/>
          <w:szCs w:val="18"/>
          <w:color w:val="auto"/>
        </w:rPr>
      </w:pPr>
    </w:p>
    <w:p>
      <w:pPr>
        <w:ind w:left="172" w:right="160" w:hanging="172"/>
        <w:spacing w:after="0" w:line="279" w:lineRule="auto"/>
        <w:tabs>
          <w:tab w:leader="none" w:pos="1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the positioning of each executive officer’s compensation in a ranking of peer company compensation levels based on an analysis of competitive market data; and</w:t>
      </w:r>
    </w:p>
    <w:p>
      <w:pPr>
        <w:spacing w:after="0" w:line="74" w:lineRule="exact"/>
        <w:rPr>
          <w:rFonts w:ascii="Arial" w:cs="Arial" w:eastAsia="Arial" w:hAnsi="Arial"/>
          <w:sz w:val="18"/>
          <w:szCs w:val="18"/>
          <w:color w:val="auto"/>
        </w:rPr>
      </w:pPr>
    </w:p>
    <w:p>
      <w:pPr>
        <w:ind w:left="172" w:right="140" w:hanging="172"/>
        <w:spacing w:after="0" w:line="285" w:lineRule="auto"/>
        <w:tabs>
          <w:tab w:leader="none" w:pos="1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recommendations of our Chief Executive Officer with respect to the compensation of our other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-43815</wp:posOffset>
                </wp:positionH>
                <wp:positionV relativeFrom="paragraph">
                  <wp:posOffset>458470</wp:posOffset>
                </wp:positionV>
                <wp:extent cx="306387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3875" cy="4763"/>
                        </a:xfrm>
                        <a:prstGeom prst="line">
                          <a:avLst/>
                        </a:prstGeom>
                        <a:solidFill>
                          <a:srgbClr val="FFFFFF"/>
                        </a:solidFill>
                        <a:ln w="38633">
                          <a:solidFill>
                            <a:srgbClr val="E6E6E6"/>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99pt,36.1pt" to="237.8pt,36.1pt" o:allowincell="f" strokecolor="#E6E6E6" strokeweight="3.042pt"/>
            </w:pict>
          </mc:Fallback>
        </mc:AlternateContent>
      </w:r>
    </w:p>
    <w:p>
      <w:pPr>
        <w:spacing w:after="0" w:line="891" w:lineRule="exact"/>
        <w:rPr>
          <w:sz w:val="20"/>
          <w:szCs w:val="20"/>
          <w:color w:val="auto"/>
        </w:rPr>
      </w:pPr>
    </w:p>
    <w:p>
      <w:pPr>
        <w:sectPr>
          <w:pgSz w:w="11880" w:h="15480" w:orient="portrait"/>
          <w:cols w:equalWidth="0" w:num="2">
            <w:col w:w="4740" w:space="148"/>
            <w:col w:w="4752"/>
          </w:cols>
          <w:pgMar w:left="1140" w:top="340" w:right="1100" w:bottom="0" w:gutter="0" w:footer="0" w:header="0"/>
          <w:type w:val="continuous"/>
        </w:sectPr>
      </w:pPr>
    </w:p>
    <w:p>
      <w:pPr>
        <w:spacing w:after="0" w:line="19" w:lineRule="exact"/>
        <w:rPr>
          <w:sz w:val="20"/>
          <w:szCs w:val="20"/>
          <w:color w:val="auto"/>
        </w:rPr>
      </w:pPr>
    </w:p>
    <w:p>
      <w:pPr>
        <w:ind w:right="340"/>
        <w:spacing w:after="0" w:line="288" w:lineRule="auto"/>
        <w:rPr>
          <w:sz w:val="20"/>
          <w:szCs w:val="20"/>
          <w:color w:val="auto"/>
        </w:rPr>
      </w:pPr>
      <w:r>
        <w:rPr>
          <w:rFonts w:ascii="Arial" w:cs="Arial" w:eastAsia="Arial" w:hAnsi="Arial"/>
          <w:sz w:val="18"/>
          <w:szCs w:val="18"/>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1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We do not weight these factors in any predetermined manner, nor do we apply any formulas in developing our compensation recommendations or decisions. The members of the talent and compensation committee consider all of this information in light of their individual experience, knowledge of management, knowledge of the competitive market, knowledge of each executive officer, and business judgment in making their decisions.</w:t>
      </w:r>
    </w:p>
    <w:p>
      <w:pPr>
        <w:spacing w:after="0" w:line="13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In addition, the talent and compensation committee considered feedback from our stockholders and the result of our most recent Say-on-Pay vote. Our fiscal 2025 Say-on-Pay vote reflected 98.8% support from our stockholders, based on the percentage of the stockholder votes present and entitled to vote on the proposal. The talent and compensation committee believes this indicates that our stockholders support the philosophy, strategy, objectives, and administration of our executive compensation programs.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talent and compensation committee also considers the potential risks in our business when designing and administering our executive compensation program and believes our balanced approach to performance measurement and pay delivery serves to avoid misaligned incentives for individuals to undertake excessive or inappropriate risk.</w:t>
      </w:r>
    </w:p>
    <w:p>
      <w:pPr>
        <w:sectPr>
          <w:pgSz w:w="11880" w:h="15480" w:orient="portrait"/>
          <w:cols w:equalWidth="0" w:num="1">
            <w:col w:w="9640"/>
          </w:cols>
          <w:pgMar w:left="1140" w:top="340"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45</w:t>
      </w:r>
    </w:p>
    <w:p>
      <w:pPr>
        <w:sectPr>
          <w:pgSz w:w="11880" w:h="15480" w:orient="portrait"/>
          <w:cols w:equalWidth="0" w:num="1">
            <w:col w:w="9640"/>
          </w:cols>
          <w:pgMar w:left="1140" w:top="340" w:right="1100" w:bottom="0" w:gutter="0" w:footer="0" w:header="0"/>
          <w:type w:val="continuous"/>
        </w:sectPr>
      </w:pPr>
    </w:p>
    <w:bookmarkStart w:id="53" w:name="page54"/>
    <w:bookmarkEnd w:id="53"/>
    <w:p>
      <w:pPr>
        <w:spacing w:after="0"/>
        <w:rPr>
          <w:sz w:val="20"/>
          <w:szCs w:val="20"/>
          <w:color w:val="auto"/>
        </w:rPr>
      </w:pPr>
      <w:r>
        <w:rPr>
          <w:rFonts w:ascii="Arial" w:cs="Arial" w:eastAsia="Arial" w:hAnsi="Arial"/>
          <w:sz w:val="33"/>
          <w:szCs w:val="33"/>
          <w:color w:val="0A248E"/>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color w:val="0A248E"/>
        </w:rPr>
        <w:t>Compensation Elements</w:t>
      </w:r>
    </w:p>
    <w:p>
      <w:pPr>
        <w:spacing w:after="0" w:line="291" w:lineRule="exact"/>
        <w:rPr>
          <w:sz w:val="20"/>
          <w:szCs w:val="20"/>
          <w:color w:val="auto"/>
        </w:rPr>
      </w:pPr>
    </w:p>
    <w:p>
      <w:pPr>
        <w:ind w:right="600"/>
        <w:spacing w:after="0" w:line="305" w:lineRule="auto"/>
        <w:rPr>
          <w:sz w:val="20"/>
          <w:szCs w:val="20"/>
          <w:color w:val="auto"/>
        </w:rPr>
      </w:pPr>
      <w:r>
        <w:rPr>
          <w:rFonts w:ascii="Arial" w:cs="Arial" w:eastAsia="Arial" w:hAnsi="Arial"/>
          <w:sz w:val="18"/>
          <w:szCs w:val="18"/>
          <w:color w:val="auto"/>
        </w:rPr>
        <w:t>In 2025, the principal elements of our executive compensation program, and the purposes for each element,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2254250</wp:posOffset>
                </wp:positionH>
                <wp:positionV relativeFrom="paragraph">
                  <wp:posOffset>83185</wp:posOffset>
                </wp:positionV>
                <wp:extent cx="17780" cy="3556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5560"/>
                        </a:xfrm>
                        <a:prstGeom prst="rect">
                          <a:avLst/>
                        </a:prstGeom>
                        <a:solidFill>
                          <a:srgbClr val="FFFFFF"/>
                        </a:solidFill>
                      </wps:spPr>
                      <wps:bodyPr/>
                    </wps:wsp>
                  </a:graphicData>
                </a:graphic>
              </wp:anchor>
            </w:drawing>
          </mc:Choice>
          <mc:Fallback>
            <w:pict>
              <v:rect id="Shape 102" o:spid="_x0000_s1127" style="position:absolute;margin-left:177.5pt;margin-top:6.55pt;width:1.4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56"/>
        </w:trPr>
        <w:tc>
          <w:tcPr>
            <w:tcW w:w="40" w:type="dxa"/>
            <w:vAlign w:val="bottom"/>
            <w:shd w:val="clear" w:color="auto" w:fill="0A248E"/>
          </w:tcPr>
          <w:p>
            <w:pPr>
              <w:spacing w:after="0"/>
              <w:rPr>
                <w:sz w:val="4"/>
                <w:szCs w:val="4"/>
                <w:color w:val="auto"/>
              </w:rPr>
            </w:pPr>
          </w:p>
        </w:tc>
        <w:tc>
          <w:tcPr>
            <w:tcW w:w="1940" w:type="dxa"/>
            <w:vAlign w:val="bottom"/>
            <w:tcBorders>
              <w:right w:val="single" w:sz="8" w:color="0A248E"/>
            </w:tcBorders>
            <w:vMerge w:val="restart"/>
            <w:shd w:val="clear" w:color="auto" w:fill="0A248E"/>
          </w:tcPr>
          <w:p>
            <w:pPr>
              <w:ind w:left="60"/>
              <w:spacing w:after="0"/>
              <w:rPr>
                <w:sz w:val="20"/>
                <w:szCs w:val="20"/>
                <w:color w:val="auto"/>
              </w:rPr>
            </w:pPr>
            <w:r>
              <w:rPr>
                <w:rFonts w:ascii="Arial" w:cs="Arial" w:eastAsia="Arial" w:hAnsi="Arial"/>
                <w:sz w:val="15"/>
                <w:szCs w:val="15"/>
                <w:b w:val="1"/>
                <w:bCs w:val="1"/>
                <w:color w:val="FFFFFF"/>
              </w:rPr>
              <w:t>Element</w:t>
            </w: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520" w:type="dxa"/>
            <w:vAlign w:val="bottom"/>
            <w:tcBorders>
              <w:right w:val="single" w:sz="8" w:color="0A248E"/>
            </w:tcBorders>
            <w:vMerge w:val="restart"/>
            <w:shd w:val="clear" w:color="auto" w:fill="0A248E"/>
          </w:tcPr>
          <w:p>
            <w:pPr>
              <w:ind w:left="80"/>
              <w:spacing w:after="0"/>
              <w:rPr>
                <w:sz w:val="20"/>
                <w:szCs w:val="20"/>
                <w:color w:val="auto"/>
              </w:rPr>
            </w:pPr>
            <w:r>
              <w:rPr>
                <w:rFonts w:ascii="Arial" w:cs="Arial" w:eastAsia="Arial" w:hAnsi="Arial"/>
                <w:sz w:val="15"/>
                <w:szCs w:val="15"/>
                <w:b w:val="1"/>
                <w:bCs w:val="1"/>
                <w:color w:val="FFFFFF"/>
              </w:rPr>
              <w:t>Type of Element</w:t>
            </w:r>
          </w:p>
        </w:tc>
        <w:tc>
          <w:tcPr>
            <w:tcW w:w="20" w:type="dxa"/>
            <w:vAlign w:val="bottom"/>
          </w:tcPr>
          <w:p>
            <w:pPr>
              <w:spacing w:after="0"/>
              <w:rPr>
                <w:sz w:val="4"/>
                <w:szCs w:val="4"/>
                <w:color w:val="auto"/>
              </w:rPr>
            </w:pPr>
          </w:p>
        </w:tc>
        <w:tc>
          <w:tcPr>
            <w:tcW w:w="60" w:type="dxa"/>
            <w:vAlign w:val="bottom"/>
            <w:tcBorders>
              <w:right w:val="single" w:sz="8" w:color="0A248E"/>
            </w:tcBorders>
            <w:vMerge w:val="restart"/>
          </w:tcPr>
          <w:p>
            <w:pPr>
              <w:spacing w:after="0"/>
              <w:rPr>
                <w:sz w:val="4"/>
                <w:szCs w:val="4"/>
                <w:color w:val="auto"/>
              </w:rPr>
            </w:pPr>
          </w:p>
        </w:tc>
        <w:tc>
          <w:tcPr>
            <w:tcW w:w="1880" w:type="dxa"/>
            <w:vAlign w:val="bottom"/>
            <w:tcBorders>
              <w:right w:val="single" w:sz="8" w:color="0A248E"/>
            </w:tcBorders>
            <w:vMerge w:val="restart"/>
            <w:shd w:val="clear" w:color="auto" w:fill="0A248E"/>
          </w:tcPr>
          <w:p>
            <w:pPr>
              <w:ind w:left="40"/>
              <w:spacing w:after="0"/>
              <w:rPr>
                <w:sz w:val="20"/>
                <w:szCs w:val="20"/>
                <w:color w:val="auto"/>
              </w:rPr>
            </w:pPr>
            <w:r>
              <w:rPr>
                <w:rFonts w:ascii="Arial" w:cs="Arial" w:eastAsia="Arial" w:hAnsi="Arial"/>
                <w:sz w:val="15"/>
                <w:szCs w:val="15"/>
                <w:b w:val="1"/>
                <w:bCs w:val="1"/>
                <w:color w:val="FFFFFF"/>
              </w:rPr>
              <w:t>Compensation Element</w:t>
            </w:r>
          </w:p>
        </w:tc>
        <w:tc>
          <w:tcPr>
            <w:tcW w:w="60" w:type="dxa"/>
            <w:vAlign w:val="bottom"/>
            <w:tcBorders>
              <w:right w:val="single" w:sz="8" w:color="0A248E"/>
            </w:tcBorders>
            <w:vMerge w:val="restart"/>
          </w:tcPr>
          <w:p>
            <w:pPr>
              <w:spacing w:after="0"/>
              <w:rPr>
                <w:sz w:val="4"/>
                <w:szCs w:val="4"/>
                <w:color w:val="auto"/>
              </w:rPr>
            </w:pPr>
          </w:p>
        </w:tc>
        <w:tc>
          <w:tcPr>
            <w:tcW w:w="4080" w:type="dxa"/>
            <w:vAlign w:val="bottom"/>
            <w:gridSpan w:val="2"/>
            <w:vMerge w:val="restart"/>
            <w:shd w:val="clear" w:color="auto" w:fill="0A248E"/>
          </w:tcPr>
          <w:p>
            <w:pPr>
              <w:ind w:left="40"/>
              <w:spacing w:after="0"/>
              <w:rPr>
                <w:sz w:val="20"/>
                <w:szCs w:val="20"/>
                <w:color w:val="auto"/>
              </w:rPr>
            </w:pPr>
            <w:r>
              <w:rPr>
                <w:rFonts w:ascii="Arial" w:cs="Arial" w:eastAsia="Arial" w:hAnsi="Arial"/>
                <w:sz w:val="15"/>
                <w:szCs w:val="15"/>
                <w:b w:val="1"/>
                <w:bCs w:val="1"/>
                <w:color w:val="FFFFFF"/>
              </w:rPr>
              <w:t>Objective</w:t>
            </w:r>
          </w:p>
        </w:tc>
        <w:tc>
          <w:tcPr>
            <w:tcW w:w="0" w:type="dxa"/>
            <w:vAlign w:val="bottom"/>
          </w:tcPr>
          <w:p>
            <w:pPr>
              <w:spacing w:after="0"/>
              <w:rPr>
                <w:sz w:val="1"/>
                <w:szCs w:val="1"/>
                <w:color w:val="auto"/>
              </w:rPr>
            </w:pPr>
          </w:p>
        </w:tc>
      </w:tr>
      <w:tr>
        <w:trPr>
          <w:trHeight w:val="206"/>
        </w:trPr>
        <w:tc>
          <w:tcPr>
            <w:tcW w:w="40" w:type="dxa"/>
            <w:vAlign w:val="bottom"/>
            <w:shd w:val="clear" w:color="auto" w:fill="0A248E"/>
          </w:tcPr>
          <w:p>
            <w:pPr>
              <w:spacing w:after="0"/>
              <w:rPr>
                <w:sz w:val="17"/>
                <w:szCs w:val="17"/>
                <w:color w:val="auto"/>
              </w:rPr>
            </w:pPr>
          </w:p>
        </w:tc>
        <w:tc>
          <w:tcPr>
            <w:tcW w:w="1940" w:type="dxa"/>
            <w:vAlign w:val="bottom"/>
            <w:tcBorders>
              <w:right w:val="single" w:sz="8" w:color="0A248E"/>
            </w:tcBorders>
            <w:vMerge w:val="continue"/>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20" w:type="dxa"/>
            <w:vAlign w:val="bottom"/>
            <w:vMerge w:val="continue"/>
          </w:tcPr>
          <w:p>
            <w:pPr>
              <w:spacing w:after="0"/>
              <w:rPr>
                <w:sz w:val="17"/>
                <w:szCs w:val="17"/>
                <w:color w:val="auto"/>
              </w:rPr>
            </w:pPr>
          </w:p>
        </w:tc>
        <w:tc>
          <w:tcPr>
            <w:tcW w:w="1520" w:type="dxa"/>
            <w:vAlign w:val="bottom"/>
            <w:tcBorders>
              <w:right w:val="single" w:sz="8" w:color="0A248E"/>
            </w:tcBorders>
            <w:vMerge w:val="continue"/>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60" w:type="dxa"/>
            <w:vAlign w:val="bottom"/>
            <w:tcBorders>
              <w:right w:val="single" w:sz="8" w:color="0A248E"/>
            </w:tcBorders>
            <w:vMerge w:val="continue"/>
          </w:tcPr>
          <w:p>
            <w:pPr>
              <w:spacing w:after="0"/>
              <w:rPr>
                <w:sz w:val="17"/>
                <w:szCs w:val="17"/>
                <w:color w:val="auto"/>
              </w:rPr>
            </w:pPr>
          </w:p>
        </w:tc>
        <w:tc>
          <w:tcPr>
            <w:tcW w:w="1880" w:type="dxa"/>
            <w:vAlign w:val="bottom"/>
            <w:tcBorders>
              <w:right w:val="single" w:sz="8" w:color="0A248E"/>
            </w:tcBorders>
            <w:vMerge w:val="continue"/>
            <w:shd w:val="clear" w:color="auto" w:fill="0A248E"/>
          </w:tcPr>
          <w:p>
            <w:pPr>
              <w:spacing w:after="0"/>
              <w:rPr>
                <w:sz w:val="17"/>
                <w:szCs w:val="17"/>
                <w:color w:val="auto"/>
              </w:rPr>
            </w:pPr>
          </w:p>
        </w:tc>
        <w:tc>
          <w:tcPr>
            <w:tcW w:w="60" w:type="dxa"/>
            <w:vAlign w:val="bottom"/>
            <w:tcBorders>
              <w:right w:val="single" w:sz="8" w:color="0A248E"/>
            </w:tcBorders>
            <w:vMerge w:val="continue"/>
          </w:tcPr>
          <w:p>
            <w:pPr>
              <w:spacing w:after="0"/>
              <w:rPr>
                <w:sz w:val="17"/>
                <w:szCs w:val="17"/>
                <w:color w:val="auto"/>
              </w:rPr>
            </w:pPr>
          </w:p>
        </w:tc>
        <w:tc>
          <w:tcPr>
            <w:tcW w:w="4080" w:type="dxa"/>
            <w:vAlign w:val="bottom"/>
            <w:gridSpan w:val="2"/>
            <w:vMerge w:val="continue"/>
            <w:shd w:val="clear" w:color="auto" w:fill="0A248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shd w:val="clear" w:color="auto" w:fill="0A248E"/>
          </w:tcPr>
          <w:p>
            <w:pPr>
              <w:spacing w:after="0"/>
              <w:rPr>
                <w:sz w:val="5"/>
                <w:szCs w:val="5"/>
                <w:color w:val="auto"/>
              </w:rPr>
            </w:pPr>
          </w:p>
        </w:tc>
        <w:tc>
          <w:tcPr>
            <w:tcW w:w="194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1880" w:type="dxa"/>
            <w:vAlign w:val="bottom"/>
            <w:tcBorders>
              <w:right w:val="single" w:sz="8" w:color="0A248E"/>
            </w:tcBorders>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4040" w:type="dxa"/>
            <w:vAlign w:val="bottom"/>
            <w:shd w:val="clear" w:color="auto" w:fill="0A248E"/>
          </w:tcPr>
          <w:p>
            <w:pPr>
              <w:spacing w:after="0"/>
              <w:rPr>
                <w:sz w:val="5"/>
                <w:szCs w:val="5"/>
                <w:color w:val="auto"/>
              </w:rPr>
            </w:pPr>
          </w:p>
        </w:tc>
        <w:tc>
          <w:tcPr>
            <w:tcW w:w="4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40" w:type="dxa"/>
            <w:vAlign w:val="bottom"/>
            <w:tcBorders>
              <w:bottom w:val="single" w:sz="8" w:color="E6E6E6"/>
            </w:tcBorders>
          </w:tcPr>
          <w:p>
            <w:pPr>
              <w:spacing w:after="0"/>
              <w:rPr>
                <w:sz w:val="3"/>
                <w:szCs w:val="3"/>
                <w:color w:val="auto"/>
              </w:rPr>
            </w:pPr>
          </w:p>
        </w:tc>
        <w:tc>
          <w:tcPr>
            <w:tcW w:w="1940" w:type="dxa"/>
            <w:vAlign w:val="bottom"/>
            <w:tcBorders>
              <w:bottom w:val="single" w:sz="8" w:color="E6E6E6"/>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20" w:type="dxa"/>
            <w:vAlign w:val="bottom"/>
            <w:tcBorders>
              <w:bottom w:val="single" w:sz="8" w:color="E6E6E6"/>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80" w:type="dxa"/>
            <w:vAlign w:val="bottom"/>
            <w:tcBorders>
              <w:bottom w:val="single" w:sz="8" w:color="E6E6E6"/>
            </w:tcBorders>
          </w:tcPr>
          <w:p>
            <w:pPr>
              <w:spacing w:after="0"/>
              <w:rPr>
                <w:sz w:val="3"/>
                <w:szCs w:val="3"/>
                <w:color w:val="auto"/>
              </w:rPr>
            </w:pPr>
          </w:p>
        </w:tc>
        <w:tc>
          <w:tcPr>
            <w:tcW w:w="60" w:type="dxa"/>
            <w:vAlign w:val="bottom"/>
          </w:tcPr>
          <w:p>
            <w:pPr>
              <w:spacing w:after="0"/>
              <w:rPr>
                <w:sz w:val="3"/>
                <w:szCs w:val="3"/>
                <w:color w:val="auto"/>
              </w:rPr>
            </w:pPr>
          </w:p>
        </w:tc>
        <w:tc>
          <w:tcPr>
            <w:tcW w:w="4040" w:type="dxa"/>
            <w:vAlign w:val="bottom"/>
            <w:tcBorders>
              <w:bottom w:val="single" w:sz="8" w:color="E6E6E6"/>
            </w:tcBorders>
          </w:tcPr>
          <w:p>
            <w:pPr>
              <w:spacing w:after="0"/>
              <w:rPr>
                <w:sz w:val="3"/>
                <w:szCs w:val="3"/>
                <w:color w:val="auto"/>
              </w:rPr>
            </w:pPr>
          </w:p>
        </w:tc>
        <w:tc>
          <w:tcPr>
            <w:tcW w:w="40" w:type="dxa"/>
            <w:vAlign w:val="bottom"/>
            <w:tcBorders>
              <w:bottom w:val="single" w:sz="8" w:color="E6E6E6"/>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E6E6E6"/>
          </w:tcPr>
          <w:p>
            <w:pPr>
              <w:spacing w:after="0"/>
              <w:rPr>
                <w:sz w:val="23"/>
                <w:szCs w:val="23"/>
                <w:color w:val="auto"/>
              </w:rPr>
            </w:pPr>
          </w:p>
        </w:tc>
        <w:tc>
          <w:tcPr>
            <w:tcW w:w="1940" w:type="dxa"/>
            <w:vAlign w:val="bottom"/>
            <w:tcBorders>
              <w:right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Base Salary</w:t>
            </w:r>
          </w:p>
        </w:tc>
        <w:tc>
          <w:tcPr>
            <w:tcW w:w="20" w:type="dxa"/>
            <w:vAlign w:val="bottom"/>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Borders>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E6E6E6"/>
          </w:tcPr>
          <w:p>
            <w:pPr>
              <w:spacing w:after="0"/>
              <w:rPr>
                <w:sz w:val="23"/>
                <w:szCs w:val="23"/>
                <w:color w:val="auto"/>
              </w:rPr>
            </w:pPr>
          </w:p>
        </w:tc>
        <w:tc>
          <w:tcPr>
            <w:tcW w:w="60" w:type="dxa"/>
            <w:vAlign w:val="bottom"/>
            <w:tcBorders>
              <w:right w:val="single" w:sz="8" w:color="E6E6E6"/>
            </w:tcBorders>
          </w:tcPr>
          <w:p>
            <w:pPr>
              <w:spacing w:after="0"/>
              <w:rPr>
                <w:sz w:val="23"/>
                <w:szCs w:val="23"/>
                <w:color w:val="auto"/>
              </w:rPr>
            </w:pPr>
          </w:p>
        </w:tc>
        <w:tc>
          <w:tcPr>
            <w:tcW w:w="188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Cash</w:t>
            </w:r>
          </w:p>
        </w:tc>
        <w:tc>
          <w:tcPr>
            <w:tcW w:w="60" w:type="dxa"/>
            <w:vAlign w:val="bottom"/>
            <w:tcBorders>
              <w:right w:val="single" w:sz="8" w:color="E6E6E6"/>
            </w:tcBorders>
          </w:tcPr>
          <w:p>
            <w:pPr>
              <w:spacing w:after="0"/>
              <w:rPr>
                <w:sz w:val="23"/>
                <w:szCs w:val="23"/>
                <w:color w:val="auto"/>
              </w:rPr>
            </w:pPr>
          </w:p>
        </w:tc>
        <w:tc>
          <w:tcPr>
            <w:tcW w:w="4040" w:type="dxa"/>
            <w:vAlign w:val="bottom"/>
            <w:shd w:val="clear" w:color="auto" w:fill="E6E6E6"/>
          </w:tcPr>
          <w:p>
            <w:pPr>
              <w:ind w:left="40"/>
              <w:spacing w:after="0"/>
              <w:rPr>
                <w:sz w:val="20"/>
                <w:szCs w:val="20"/>
                <w:color w:val="auto"/>
              </w:rPr>
            </w:pPr>
            <w:r>
              <w:rPr>
                <w:rFonts w:ascii="Arial" w:cs="Arial" w:eastAsia="Arial" w:hAnsi="Arial"/>
                <w:sz w:val="18"/>
                <w:szCs w:val="18"/>
                <w:color w:val="auto"/>
              </w:rPr>
              <w:t>Attract and retain highly talented executives by</w:t>
            </w:r>
          </w:p>
        </w:tc>
        <w:tc>
          <w:tcPr>
            <w:tcW w:w="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E6E6E6"/>
          </w:tcPr>
          <w:p>
            <w:pPr>
              <w:spacing w:after="0"/>
              <w:rPr>
                <w:sz w:val="19"/>
                <w:szCs w:val="19"/>
                <w:color w:val="auto"/>
              </w:rPr>
            </w:pPr>
          </w:p>
        </w:tc>
        <w:tc>
          <w:tcPr>
            <w:tcW w:w="1940" w:type="dxa"/>
            <w:vAlign w:val="bottom"/>
            <w:tcBorders>
              <w:right w:val="single" w:sz="8" w:color="E6E6E6"/>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Borders>
              <w:right w:val="single" w:sz="8" w:color="E6E6E6"/>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tcBorders>
              <w:right w:val="single" w:sz="8" w:color="E6E6E6"/>
            </w:tcBorders>
          </w:tcPr>
          <w:p>
            <w:pPr>
              <w:spacing w:after="0"/>
              <w:rPr>
                <w:sz w:val="19"/>
                <w:szCs w:val="19"/>
                <w:color w:val="auto"/>
              </w:rPr>
            </w:pPr>
          </w:p>
        </w:tc>
        <w:tc>
          <w:tcPr>
            <w:tcW w:w="1880" w:type="dxa"/>
            <w:vAlign w:val="bottom"/>
            <w:tcBorders>
              <w:right w:val="single" w:sz="8" w:color="E6E6E6"/>
            </w:tcBorders>
            <w:shd w:val="clear" w:color="auto" w:fill="E6E6E6"/>
          </w:tcPr>
          <w:p>
            <w:pPr>
              <w:spacing w:after="0"/>
              <w:rPr>
                <w:sz w:val="19"/>
                <w:szCs w:val="19"/>
                <w:color w:val="auto"/>
              </w:rPr>
            </w:pPr>
          </w:p>
        </w:tc>
        <w:tc>
          <w:tcPr>
            <w:tcW w:w="60" w:type="dxa"/>
            <w:vAlign w:val="bottom"/>
            <w:tcBorders>
              <w:right w:val="single" w:sz="8" w:color="E6E6E6"/>
            </w:tcBorders>
          </w:tcPr>
          <w:p>
            <w:pPr>
              <w:spacing w:after="0"/>
              <w:rPr>
                <w:sz w:val="19"/>
                <w:szCs w:val="19"/>
                <w:color w:val="auto"/>
              </w:rPr>
            </w:pPr>
          </w:p>
        </w:tc>
        <w:tc>
          <w:tcPr>
            <w:tcW w:w="4040" w:type="dxa"/>
            <w:vAlign w:val="bottom"/>
            <w:shd w:val="clear" w:color="auto" w:fill="E6E6E6"/>
          </w:tcPr>
          <w:p>
            <w:pPr>
              <w:ind w:left="40"/>
              <w:spacing w:after="0"/>
              <w:rPr>
                <w:sz w:val="20"/>
                <w:szCs w:val="20"/>
                <w:color w:val="auto"/>
              </w:rPr>
            </w:pPr>
            <w:r>
              <w:rPr>
                <w:rFonts w:ascii="Arial" w:cs="Arial" w:eastAsia="Arial" w:hAnsi="Arial"/>
                <w:sz w:val="18"/>
                <w:szCs w:val="18"/>
                <w:color w:val="auto"/>
              </w:rPr>
              <w:t>providing fixed compensation amounts that are</w:t>
            </w:r>
          </w:p>
        </w:tc>
        <w:tc>
          <w:tcPr>
            <w:tcW w:w="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bottom w:val="single" w:sz="8" w:color="E6E6E6"/>
            </w:tcBorders>
            <w:shd w:val="clear" w:color="auto" w:fill="E6E6E6"/>
          </w:tcPr>
          <w:p>
            <w:pPr>
              <w:spacing w:after="0"/>
              <w:rPr>
                <w:sz w:val="24"/>
                <w:szCs w:val="24"/>
                <w:color w:val="auto"/>
              </w:rPr>
            </w:pP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Borders>
              <w:bottom w:val="single" w:sz="8" w:color="E6E6E6"/>
              <w:right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1880" w:type="dxa"/>
            <w:vAlign w:val="bottom"/>
            <w:tcBorders>
              <w:bottom w:val="single" w:sz="8" w:color="E6E6E6"/>
              <w:right w:val="single" w:sz="8" w:color="E6E6E6"/>
            </w:tcBorders>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4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w w:val="97"/>
              </w:rPr>
              <w:t>competitive in the market and reward performance.</w:t>
            </w:r>
          </w:p>
        </w:tc>
        <w:tc>
          <w:tcPr>
            <w:tcW w:w="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18"/>
                <w:szCs w:val="18"/>
                <w:color w:val="auto"/>
              </w:rPr>
              <w:t>Annual Cash Bonus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8"/>
                <w:szCs w:val="18"/>
                <w:color w:val="auto"/>
              </w:rPr>
              <w:t>Variable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24"/>
                <w:szCs w:val="24"/>
                <w:color w:val="auto"/>
              </w:rPr>
            </w:pP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Motivate our executives to achieve annual</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business objectives set forth in our annual</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operating plan and provide financial incentives</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when we meet or exceed these annual objectives.</w:t>
            </w:r>
          </w:p>
        </w:tc>
        <w:tc>
          <w:tcPr>
            <w:tcW w:w="0" w:type="dxa"/>
            <w:vAlign w:val="bottom"/>
          </w:tcPr>
          <w:p>
            <w:pPr>
              <w:spacing w:after="0"/>
              <w:rPr>
                <w:sz w:val="1"/>
                <w:szCs w:val="1"/>
                <w:color w:val="auto"/>
              </w:rPr>
            </w:pPr>
          </w:p>
        </w:tc>
      </w:tr>
      <w:tr>
        <w:trPr>
          <w:trHeight w:val="125"/>
        </w:trPr>
        <w:tc>
          <w:tcPr>
            <w:tcW w:w="40" w:type="dxa"/>
            <w:vAlign w:val="bottom"/>
            <w:tcBorders>
              <w:bottom w:val="single" w:sz="8" w:color="E6E6E6"/>
            </w:tcBorders>
          </w:tcPr>
          <w:p>
            <w:pPr>
              <w:spacing w:after="0"/>
              <w:rPr>
                <w:sz w:val="10"/>
                <w:szCs w:val="10"/>
                <w:color w:val="auto"/>
              </w:rPr>
            </w:pPr>
          </w:p>
        </w:tc>
        <w:tc>
          <w:tcPr>
            <w:tcW w:w="1940" w:type="dxa"/>
            <w:vAlign w:val="bottom"/>
            <w:tcBorders>
              <w:bottom w:val="single" w:sz="8" w:color="E6E6E6"/>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Borders>
              <w:bottom w:val="single" w:sz="8" w:color="E6E6E6"/>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tcBorders>
              <w:bottom w:val="single" w:sz="8" w:color="E6E6E6"/>
            </w:tcBorders>
          </w:tcPr>
          <w:p>
            <w:pPr>
              <w:spacing w:after="0"/>
              <w:rPr>
                <w:sz w:val="10"/>
                <w:szCs w:val="10"/>
                <w:color w:val="auto"/>
              </w:rPr>
            </w:pPr>
          </w:p>
        </w:tc>
        <w:tc>
          <w:tcPr>
            <w:tcW w:w="60" w:type="dxa"/>
            <w:vAlign w:val="bottom"/>
          </w:tcPr>
          <w:p>
            <w:pPr>
              <w:spacing w:after="0"/>
              <w:rPr>
                <w:sz w:val="10"/>
                <w:szCs w:val="10"/>
                <w:color w:val="auto"/>
              </w:rPr>
            </w:pPr>
          </w:p>
        </w:tc>
        <w:tc>
          <w:tcPr>
            <w:tcW w:w="4080" w:type="dxa"/>
            <w:vAlign w:val="bottom"/>
            <w:tcBorders>
              <w:bottom w:val="single" w:sz="8" w:color="E6E6E6"/>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E6E6E6"/>
          </w:tcPr>
          <w:p>
            <w:pPr>
              <w:spacing w:after="0"/>
              <w:rPr>
                <w:sz w:val="23"/>
                <w:szCs w:val="23"/>
                <w:color w:val="auto"/>
              </w:rPr>
            </w:pPr>
          </w:p>
        </w:tc>
        <w:tc>
          <w:tcPr>
            <w:tcW w:w="1940" w:type="dxa"/>
            <w:vAlign w:val="bottom"/>
            <w:tcBorders>
              <w:right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Long-Term Equity</w:t>
            </w:r>
          </w:p>
        </w:tc>
        <w:tc>
          <w:tcPr>
            <w:tcW w:w="20" w:type="dxa"/>
            <w:vAlign w:val="bottom"/>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Borders>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Variable</w:t>
            </w:r>
          </w:p>
        </w:tc>
        <w:tc>
          <w:tcPr>
            <w:tcW w:w="20" w:type="dxa"/>
            <w:vAlign w:val="bottom"/>
            <w:shd w:val="clear" w:color="auto" w:fill="E6E6E6"/>
          </w:tcPr>
          <w:p>
            <w:pPr>
              <w:spacing w:after="0"/>
              <w:rPr>
                <w:sz w:val="23"/>
                <w:szCs w:val="23"/>
                <w:color w:val="auto"/>
              </w:rPr>
            </w:pPr>
          </w:p>
        </w:tc>
        <w:tc>
          <w:tcPr>
            <w:tcW w:w="60" w:type="dxa"/>
            <w:vAlign w:val="bottom"/>
            <w:tcBorders>
              <w:right w:val="single" w:sz="8" w:color="E6E6E6"/>
            </w:tcBorders>
          </w:tcPr>
          <w:p>
            <w:pPr>
              <w:spacing w:after="0"/>
              <w:rPr>
                <w:sz w:val="23"/>
                <w:szCs w:val="23"/>
                <w:color w:val="auto"/>
              </w:rPr>
            </w:pPr>
          </w:p>
        </w:tc>
        <w:tc>
          <w:tcPr>
            <w:tcW w:w="188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Equity</w:t>
            </w:r>
          </w:p>
        </w:tc>
        <w:tc>
          <w:tcPr>
            <w:tcW w:w="60" w:type="dxa"/>
            <w:vAlign w:val="bottom"/>
            <w:tcBorders>
              <w:right w:val="single" w:sz="8" w:color="E6E6E6"/>
            </w:tcBorders>
          </w:tcPr>
          <w:p>
            <w:pPr>
              <w:spacing w:after="0"/>
              <w:rPr>
                <w:sz w:val="23"/>
                <w:szCs w:val="23"/>
                <w:color w:val="auto"/>
              </w:rPr>
            </w:pPr>
          </w:p>
        </w:tc>
        <w:tc>
          <w:tcPr>
            <w:tcW w:w="4040" w:type="dxa"/>
            <w:vAlign w:val="bottom"/>
            <w:shd w:val="clear" w:color="auto" w:fill="E6E6E6"/>
          </w:tcPr>
          <w:p>
            <w:pPr>
              <w:ind w:left="40"/>
              <w:spacing w:after="0"/>
              <w:rPr>
                <w:sz w:val="20"/>
                <w:szCs w:val="20"/>
                <w:color w:val="auto"/>
              </w:rPr>
            </w:pPr>
            <w:r>
              <w:rPr>
                <w:rFonts w:ascii="Arial" w:cs="Arial" w:eastAsia="Arial" w:hAnsi="Arial"/>
                <w:sz w:val="18"/>
                <w:szCs w:val="18"/>
                <w:color w:val="auto"/>
              </w:rPr>
              <w:t>Align the interests of our executives and our</w:t>
            </w:r>
          </w:p>
        </w:tc>
        <w:tc>
          <w:tcPr>
            <w:tcW w:w="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E6E6E6"/>
          </w:tcPr>
          <w:p>
            <w:pPr>
              <w:spacing w:after="0"/>
              <w:rPr>
                <w:sz w:val="19"/>
                <w:szCs w:val="19"/>
                <w:color w:val="auto"/>
              </w:rPr>
            </w:pPr>
          </w:p>
        </w:tc>
        <w:tc>
          <w:tcPr>
            <w:tcW w:w="1940" w:type="dxa"/>
            <w:vAlign w:val="bottom"/>
            <w:tcBorders>
              <w:right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Incentive</w:t>
            </w:r>
          </w:p>
        </w:tc>
        <w:tc>
          <w:tcPr>
            <w:tcW w:w="2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Borders>
              <w:right w:val="single" w:sz="8" w:color="E6E6E6"/>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tcBorders>
              <w:right w:val="single" w:sz="8" w:color="E6E6E6"/>
            </w:tcBorders>
          </w:tcPr>
          <w:p>
            <w:pPr>
              <w:spacing w:after="0"/>
              <w:rPr>
                <w:sz w:val="19"/>
                <w:szCs w:val="19"/>
                <w:color w:val="auto"/>
              </w:rPr>
            </w:pPr>
          </w:p>
        </w:tc>
        <w:tc>
          <w:tcPr>
            <w:tcW w:w="1880" w:type="dxa"/>
            <w:vAlign w:val="bottom"/>
            <w:tcBorders>
              <w:right w:val="single" w:sz="8" w:color="E6E6E6"/>
            </w:tcBorders>
            <w:shd w:val="clear" w:color="auto" w:fill="E6E6E6"/>
          </w:tcPr>
          <w:p>
            <w:pPr>
              <w:spacing w:after="0"/>
              <w:rPr>
                <w:sz w:val="19"/>
                <w:szCs w:val="19"/>
                <w:color w:val="auto"/>
              </w:rPr>
            </w:pPr>
          </w:p>
        </w:tc>
        <w:tc>
          <w:tcPr>
            <w:tcW w:w="60" w:type="dxa"/>
            <w:vAlign w:val="bottom"/>
            <w:tcBorders>
              <w:right w:val="single" w:sz="8" w:color="E6E6E6"/>
            </w:tcBorders>
          </w:tcPr>
          <w:p>
            <w:pPr>
              <w:spacing w:after="0"/>
              <w:rPr>
                <w:sz w:val="19"/>
                <w:szCs w:val="19"/>
                <w:color w:val="auto"/>
              </w:rPr>
            </w:pPr>
          </w:p>
        </w:tc>
        <w:tc>
          <w:tcPr>
            <w:tcW w:w="40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stockholders by motivating them to create</w:t>
            </w:r>
          </w:p>
        </w:tc>
        <w:tc>
          <w:tcPr>
            <w:tcW w:w="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 w:type="dxa"/>
            <w:vAlign w:val="bottom"/>
            <w:tcBorders>
              <w:bottom w:val="single" w:sz="8" w:color="E6E6E6"/>
            </w:tcBorders>
            <w:shd w:val="clear" w:color="auto" w:fill="E6E6E6"/>
          </w:tcPr>
          <w:p>
            <w:pPr>
              <w:spacing w:after="0"/>
              <w:rPr>
                <w:sz w:val="22"/>
                <w:szCs w:val="22"/>
                <w:color w:val="auto"/>
              </w:rPr>
            </w:pPr>
          </w:p>
        </w:tc>
        <w:tc>
          <w:tcPr>
            <w:tcW w:w="1940" w:type="dxa"/>
            <w:vAlign w:val="bottom"/>
            <w:tcBorders>
              <w:bottom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Compensation</w:t>
            </w: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Borders>
              <w:bottom w:val="single" w:sz="8" w:color="E6E6E6"/>
              <w:right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right w:val="single" w:sz="8" w:color="E6E6E6"/>
            </w:tcBorders>
          </w:tcPr>
          <w:p>
            <w:pPr>
              <w:spacing w:after="0"/>
              <w:rPr>
                <w:sz w:val="22"/>
                <w:szCs w:val="22"/>
                <w:color w:val="auto"/>
              </w:rPr>
            </w:pPr>
          </w:p>
        </w:tc>
        <w:tc>
          <w:tcPr>
            <w:tcW w:w="1880" w:type="dxa"/>
            <w:vAlign w:val="bottom"/>
            <w:tcBorders>
              <w:bottom w:val="single" w:sz="8" w:color="E6E6E6"/>
              <w:right w:val="single" w:sz="8" w:color="E6E6E6"/>
            </w:tcBorders>
            <w:shd w:val="clear" w:color="auto" w:fill="E6E6E6"/>
          </w:tcPr>
          <w:p>
            <w:pPr>
              <w:spacing w:after="0"/>
              <w:rPr>
                <w:sz w:val="22"/>
                <w:szCs w:val="22"/>
                <w:color w:val="auto"/>
              </w:rPr>
            </w:pPr>
          </w:p>
        </w:tc>
        <w:tc>
          <w:tcPr>
            <w:tcW w:w="60" w:type="dxa"/>
            <w:vAlign w:val="bottom"/>
            <w:tcBorders>
              <w:right w:val="single" w:sz="8" w:color="E6E6E6"/>
            </w:tcBorders>
          </w:tcPr>
          <w:p>
            <w:pPr>
              <w:spacing w:after="0"/>
              <w:rPr>
                <w:sz w:val="22"/>
                <w:szCs w:val="22"/>
                <w:color w:val="auto"/>
              </w:rPr>
            </w:pPr>
          </w:p>
        </w:tc>
        <w:tc>
          <w:tcPr>
            <w:tcW w:w="4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sustainable long-term stockholder value.</w:t>
            </w:r>
          </w:p>
        </w:tc>
        <w:tc>
          <w:tcPr>
            <w:tcW w:w="4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40" w:type="dxa"/>
            <w:vAlign w:val="bottom"/>
            <w:shd w:val="clear" w:color="auto" w:fill="E6E6E6"/>
          </w:tcPr>
          <w:p>
            <w:pPr>
              <w:spacing w:after="0"/>
              <w:rPr>
                <w:sz w:val="4"/>
                <w:szCs w:val="4"/>
                <w:color w:val="auto"/>
              </w:rPr>
            </w:pPr>
          </w:p>
        </w:tc>
        <w:tc>
          <w:tcPr>
            <w:tcW w:w="1940" w:type="dxa"/>
            <w:vAlign w:val="bottom"/>
            <w:tcBorders>
              <w:right w:val="single" w:sz="8" w:color="E6E6E6"/>
            </w:tcBorders>
            <w:shd w:val="clear" w:color="auto" w:fill="E6E6E6"/>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Borders>
              <w:right w:val="single" w:sz="8" w:color="E6E6E6"/>
            </w:tcBorders>
            <w:shd w:val="clear" w:color="auto" w:fill="E6E6E6"/>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right w:val="single" w:sz="8" w:color="E6E6E6"/>
            </w:tcBorders>
          </w:tcPr>
          <w:p>
            <w:pPr>
              <w:spacing w:after="0"/>
              <w:rPr>
                <w:sz w:val="4"/>
                <w:szCs w:val="4"/>
                <w:color w:val="auto"/>
              </w:rPr>
            </w:pPr>
          </w:p>
        </w:tc>
        <w:tc>
          <w:tcPr>
            <w:tcW w:w="1880" w:type="dxa"/>
            <w:vAlign w:val="bottom"/>
            <w:tcBorders>
              <w:right w:val="single" w:sz="8" w:color="E6E6E6"/>
            </w:tcBorders>
            <w:shd w:val="clear" w:color="auto" w:fill="E6E6E6"/>
          </w:tcPr>
          <w:p>
            <w:pPr>
              <w:spacing w:after="0"/>
              <w:rPr>
                <w:sz w:val="4"/>
                <w:szCs w:val="4"/>
                <w:color w:val="auto"/>
              </w:rPr>
            </w:pPr>
          </w:p>
        </w:tc>
        <w:tc>
          <w:tcPr>
            <w:tcW w:w="60" w:type="dxa"/>
            <w:vAlign w:val="bottom"/>
            <w:tcBorders>
              <w:right w:val="single" w:sz="8" w:color="E6E6E6"/>
            </w:tcBorders>
          </w:tcPr>
          <w:p>
            <w:pPr>
              <w:spacing w:after="0"/>
              <w:rPr>
                <w:sz w:val="4"/>
                <w:szCs w:val="4"/>
                <w:color w:val="auto"/>
              </w:rPr>
            </w:pPr>
          </w:p>
        </w:tc>
        <w:tc>
          <w:tcPr>
            <w:tcW w:w="4040" w:type="dxa"/>
            <w:vAlign w:val="bottom"/>
            <w:shd w:val="clear" w:color="auto" w:fill="E6E6E6"/>
          </w:tcPr>
          <w:p>
            <w:pPr>
              <w:spacing w:after="0"/>
              <w:rPr>
                <w:sz w:val="4"/>
                <w:szCs w:val="4"/>
                <w:color w:val="auto"/>
              </w:rPr>
            </w:pPr>
          </w:p>
        </w:tc>
        <w:tc>
          <w:tcPr>
            <w:tcW w:w="4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1267460</wp:posOffset>
                </wp:positionH>
                <wp:positionV relativeFrom="paragraph">
                  <wp:posOffset>-2011680</wp:posOffset>
                </wp:positionV>
                <wp:extent cx="0" cy="201168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116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8pt,-158.3999pt" to="99.8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2263140</wp:posOffset>
                </wp:positionH>
                <wp:positionV relativeFrom="paragraph">
                  <wp:posOffset>-2011680</wp:posOffset>
                </wp:positionV>
                <wp:extent cx="0" cy="201168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116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pt,-158.3999pt" to="178.2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3496310</wp:posOffset>
                </wp:positionH>
                <wp:positionV relativeFrom="paragraph">
                  <wp:posOffset>-2011680</wp:posOffset>
                </wp:positionV>
                <wp:extent cx="0" cy="201168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1168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3pt,-158.3999pt" to="275.3pt,0pt" o:allowincell="f" strokecolor="#FFFFFF" strokeweight="1.404pt"/>
            </w:pict>
          </mc:Fallback>
        </mc:AlternateConten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Mix of Pay</w:t>
      </w:r>
    </w:p>
    <w:p>
      <w:pPr>
        <w:spacing w:after="0" w:line="20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primary focus in compensating our executive officers is on the longer-term and performance-based elements of their annual target total direct compensation opportunities. Under our 2025 executive compensation program, approximately 96% of the annual target total direct compensation opportunities of our named executive officers (excluding our CEO), as of December 31, 2025, was variable in the form of annual cash bonus and long-term equity incentive compensation. Our CEO’s mix of pay was weighted equally between base salary and annual bonus. Mr. Houston does not receive annual equity awards due to his significant holdings as a co-founder and the “Co-Founder Grant” (in the form of a restricted stock award) he received in December 2017 prior to our IPO. Details of Mr. Houston’s Co-Founder Grant are further described in “</w:t>
      </w:r>
      <w:r>
        <w:rPr>
          <w:rFonts w:ascii="Arial" w:cs="Arial" w:eastAsia="Arial" w:hAnsi="Arial"/>
          <w:sz w:val="18"/>
          <w:szCs w:val="18"/>
          <w:i w:val="1"/>
          <w:iCs w:val="1"/>
          <w:color w:val="auto"/>
        </w:rPr>
        <w:t>Co-Founder Grant</w:t>
      </w:r>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431800</wp:posOffset>
            </wp:positionV>
            <wp:extent cx="5739130" cy="2228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6">
                      <a:extLst>
                        <a:ext uri="{28A0092B-C50C-407E-A947-70E740481C1C}"/>
                      </a:extLst>
                    </a:blip>
                    <a:srcRect/>
                    <a:stretch>
                      <a:fillRect/>
                    </a:stretch>
                  </pic:blipFill>
                  <pic:spPr bwMode="auto">
                    <a:xfrm>
                      <a:off x="0" y="0"/>
                      <a:ext cx="573913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*The pay mix calculations for "Other Named Executive Officers" include all</w:t>
      </w:r>
    </w:p>
    <w:p>
      <w:pPr>
        <w:spacing w:after="0" w:line="22"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other NEOs with the exception of Mr. Tennenbaum given his December 2025</w:t>
      </w:r>
    </w:p>
    <w:p>
      <w:pPr>
        <w:spacing w:after="0" w:line="17"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start date.</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 w:hanging="475"/>
        <w:spacing w:after="0"/>
        <w:tabs>
          <w:tab w:leader="none" w:pos="52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54" w:name="page55"/>
    <w:bookmarkEnd w:id="54"/>
    <w:p>
      <w:pPr>
        <w:ind w:left="7"/>
        <w:spacing w:after="0"/>
        <w:rPr>
          <w:sz w:val="20"/>
          <w:szCs w:val="20"/>
          <w:color w:val="auto"/>
        </w:rPr>
      </w:pPr>
      <w:r>
        <w:rPr>
          <w:rFonts w:ascii="Arial" w:cs="Arial" w:eastAsia="Arial" w:hAnsi="Arial"/>
          <w:sz w:val="33"/>
          <w:szCs w:val="33"/>
          <w:color w:val="0A248E"/>
        </w:rPr>
        <w:t>EXECUTIVE COMPENSATION (continued)</w:t>
      </w:r>
    </w:p>
    <w:p>
      <w:pPr>
        <w:spacing w:after="0" w:line="27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Base Salary</w:t>
      </w:r>
    </w:p>
    <w:p>
      <w:pPr>
        <w:spacing w:after="0" w:line="198" w:lineRule="exact"/>
        <w:rPr>
          <w:sz w:val="20"/>
          <w:szCs w:val="20"/>
          <w:color w:val="auto"/>
        </w:rPr>
      </w:pPr>
    </w:p>
    <w:p>
      <w:pPr>
        <w:ind w:left="7" w:right="300"/>
        <w:spacing w:after="0" w:line="310" w:lineRule="auto"/>
        <w:rPr>
          <w:sz w:val="20"/>
          <w:szCs w:val="20"/>
          <w:color w:val="auto"/>
        </w:rPr>
      </w:pPr>
      <w:r>
        <w:rPr>
          <w:rFonts w:ascii="Arial" w:cs="Arial" w:eastAsia="Arial" w:hAnsi="Arial"/>
          <w:sz w:val="18"/>
          <w:szCs w:val="18"/>
          <w:color w:val="auto"/>
        </w:rPr>
        <w:t>We use base salary to provide our executive officers with a specified level of cash compensation during the year with the expectation that they will perform their responsibilities to the best of their ability and in our best interests.</w:t>
      </w:r>
    </w:p>
    <w:p>
      <w:pPr>
        <w:spacing w:after="0" w:line="106" w:lineRule="exact"/>
        <w:rPr>
          <w:sz w:val="20"/>
          <w:szCs w:val="20"/>
          <w:color w:val="auto"/>
        </w:rPr>
      </w:pPr>
    </w:p>
    <w:p>
      <w:pPr>
        <w:ind w:left="7" w:right="20"/>
        <w:spacing w:after="0" w:line="296" w:lineRule="auto"/>
        <w:rPr>
          <w:sz w:val="20"/>
          <w:szCs w:val="20"/>
          <w:color w:val="auto"/>
        </w:rPr>
      </w:pPr>
      <w:r>
        <w:rPr>
          <w:rFonts w:ascii="Arial" w:cs="Arial" w:eastAsia="Arial" w:hAnsi="Arial"/>
          <w:sz w:val="17"/>
          <w:szCs w:val="17"/>
          <w:color w:val="auto"/>
        </w:rPr>
        <w:t>Generally, we establish the initial base salaries of our executive officers through arm’s-length negotiations at the time of hire, taking into account their position, qualifications, experience, and the base salaries of our other executive officers. Thereafter, the talent and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competitive market conditions.</w:t>
      </w:r>
    </w:p>
    <w:p>
      <w:pPr>
        <w:spacing w:after="0" w:line="121" w:lineRule="exact"/>
        <w:rPr>
          <w:sz w:val="20"/>
          <w:szCs w:val="20"/>
          <w:color w:val="auto"/>
        </w:rPr>
      </w:pPr>
    </w:p>
    <w:p>
      <w:pPr>
        <w:ind w:left="7" w:right="200"/>
        <w:spacing w:after="0" w:line="275" w:lineRule="auto"/>
        <w:rPr>
          <w:sz w:val="20"/>
          <w:szCs w:val="20"/>
          <w:color w:val="auto"/>
        </w:rPr>
      </w:pPr>
      <w:r>
        <w:rPr>
          <w:rFonts w:ascii="Arial" w:cs="Arial" w:eastAsia="Arial" w:hAnsi="Arial"/>
          <w:sz w:val="18"/>
          <w:szCs w:val="18"/>
          <w:color w:val="auto"/>
        </w:rPr>
        <w:t>In March 2025, the talent and compensation committee reviewed the base salaries of our incumbent executive officers, including our incumbent named executive officers at that time, taking into consideration a competitive market analysis prepared by our compensation consultant and the recommendations of our Chief Executive Officer (except with respect to his own base salary), as well as the other factors described in “</w:t>
      </w:r>
      <w:r>
        <w:rPr>
          <w:rFonts w:ascii="Arial" w:cs="Arial" w:eastAsia="Arial" w:hAnsi="Arial"/>
          <w:sz w:val="18"/>
          <w:szCs w:val="18"/>
          <w:i w:val="1"/>
          <w:iCs w:val="1"/>
          <w:color w:val="auto"/>
        </w:rPr>
        <w:t>Compensation-Setting Process—Compensation Setting</w:t>
      </w:r>
      <w:r>
        <w:rPr>
          <w:rFonts w:ascii="Arial" w:cs="Arial" w:eastAsia="Arial" w:hAnsi="Arial"/>
          <w:sz w:val="18"/>
          <w:szCs w:val="18"/>
          <w:color w:val="auto"/>
        </w:rPr>
        <w:t>” above. The base salaries of Messrs. Houston, Regan and Alkarmi were maintained at their 2024 levels because the talent and compensation committee determined their current base salaries continued to reflect the competitive market for their positions. Mr. Yoon's base salary was increased in connection with his appointment as Chief Legal Officer to reflect his increased responsibilities in his new role.</w:t>
      </w:r>
    </w:p>
    <w:p>
      <w:pPr>
        <w:spacing w:after="0" w:line="134" w:lineRule="exact"/>
        <w:rPr>
          <w:sz w:val="20"/>
          <w:szCs w:val="20"/>
          <w:color w:val="auto"/>
        </w:rPr>
      </w:pPr>
    </w:p>
    <w:p>
      <w:pPr>
        <w:ind w:left="7"/>
        <w:spacing w:after="0" w:line="268" w:lineRule="auto"/>
        <w:rPr>
          <w:sz w:val="20"/>
          <w:szCs w:val="20"/>
          <w:color w:val="auto"/>
        </w:rPr>
      </w:pPr>
      <w:r>
        <w:rPr>
          <w:rFonts w:ascii="Arial" w:cs="Arial" w:eastAsia="Arial" w:hAnsi="Arial"/>
          <w:sz w:val="18"/>
          <w:szCs w:val="18"/>
          <w:color w:val="auto"/>
        </w:rPr>
        <w:t>Base salaries for Messrs. Dasdan and Tennenbaum were determined by the talent and compensation committee in connection with their hiring, prior to commencement of employment. Mr. Dasdan’s initial base salary was set in December 2024 in advance of his March 2025 start date, and Mr. Tennenbaum’s initial base salary was set in advance of his December 2025 start date. In each case, these initial base salary determinations were made taking into account a competitive market analysis prepared by the talent and compensation committee's compensation consultant and the recommendations of our Chief Executive Officer, as well as the other factors described in the section 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Compensation-Setting Process—Compensation Setting</w:t>
      </w:r>
      <w:r>
        <w:rPr>
          <w:rFonts w:ascii="Arial" w:cs="Arial" w:eastAsia="Arial" w:hAnsi="Arial"/>
          <w:sz w:val="18"/>
          <w:szCs w:val="18"/>
          <w:color w:val="auto"/>
        </w:rPr>
        <w:t>” above.</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base salaries of our named executive officers for 2025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2778125</wp:posOffset>
                </wp:positionH>
                <wp:positionV relativeFrom="paragraph">
                  <wp:posOffset>78105</wp:posOffset>
                </wp:positionV>
                <wp:extent cx="17780" cy="3556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5560"/>
                        </a:xfrm>
                        <a:prstGeom prst="rect">
                          <a:avLst/>
                        </a:prstGeom>
                        <a:solidFill>
                          <a:srgbClr val="FFFFFF"/>
                        </a:solidFill>
                      </wps:spPr>
                      <wps:bodyPr/>
                    </wps:wsp>
                  </a:graphicData>
                </a:graphic>
              </wp:anchor>
            </w:drawing>
          </mc:Choice>
          <mc:Fallback>
            <w:pict>
              <v:rect id="Shape 107" o:spid="_x0000_s1132" style="position:absolute;margin-left:218.75pt;margin-top:6.15pt;width:1.4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5006975</wp:posOffset>
                </wp:positionH>
                <wp:positionV relativeFrom="paragraph">
                  <wp:posOffset>78105</wp:posOffset>
                </wp:positionV>
                <wp:extent cx="17780" cy="3556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5560"/>
                        </a:xfrm>
                        <a:prstGeom prst="rect">
                          <a:avLst/>
                        </a:prstGeom>
                        <a:solidFill>
                          <a:srgbClr val="FFFFFF"/>
                        </a:solidFill>
                      </wps:spPr>
                      <wps:bodyPr/>
                    </wps:wsp>
                  </a:graphicData>
                </a:graphic>
              </wp:anchor>
            </w:drawing>
          </mc:Choice>
          <mc:Fallback>
            <w:pict>
              <v:rect id="Shape 108" o:spid="_x0000_s1133" style="position:absolute;margin-left:394.25pt;margin-top:6.15pt;width:1.4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78105</wp:posOffset>
                </wp:positionV>
                <wp:extent cx="0" cy="111696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1696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6.15pt" to="307.2pt,94.1pt" o:allowincell="f" strokecolor="#FFFFFF" strokeweight="1.4039pt"/>
            </w:pict>
          </mc:Fallback>
        </mc:AlternateContent>
      </w:r>
    </w:p>
    <w:p>
      <w:pPr>
        <w:spacing w:after="0" w:line="103" w:lineRule="exact"/>
        <w:rPr>
          <w:sz w:val="20"/>
          <w:szCs w:val="20"/>
          <w:color w:val="auto"/>
        </w:rPr>
      </w:pPr>
    </w:p>
    <w:tbl>
      <w:tblPr>
        <w:tblLayout w:type="fixed"/>
        <w:tblInd w:w="7" w:type="dxa"/>
        <w:tblCellMar>
          <w:top w:w="0" w:type="dxa"/>
          <w:left w:w="0" w:type="dxa"/>
          <w:bottom w:w="0" w:type="dxa"/>
          <w:right w:w="0" w:type="dxa"/>
        </w:tblCellMar>
      </w:tblPr>
      <w:tr>
        <w:trPr>
          <w:trHeight w:val="56"/>
        </w:trPr>
        <w:tc>
          <w:tcPr>
            <w:tcW w:w="436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shd w:val="clear" w:color="auto" w:fill="0A248E"/>
          </w:tcPr>
          <w:p>
            <w:pPr>
              <w:spacing w:after="0"/>
              <w:rPr>
                <w:sz w:val="4"/>
                <w:szCs w:val="4"/>
                <w:color w:val="auto"/>
              </w:rPr>
            </w:pPr>
          </w:p>
        </w:tc>
        <w:tc>
          <w:tcPr>
            <w:tcW w:w="60" w:type="dxa"/>
            <w:vAlign w:val="bottom"/>
            <w:tcBorders>
              <w:right w:val="single" w:sz="8" w:color="0A248E"/>
            </w:tcBorders>
          </w:tcPr>
          <w:p>
            <w:pPr>
              <w:spacing w:after="0"/>
              <w:rPr>
                <w:sz w:val="4"/>
                <w:szCs w:val="4"/>
                <w:color w:val="auto"/>
              </w:rPr>
            </w:pPr>
          </w:p>
        </w:tc>
        <w:tc>
          <w:tcPr>
            <w:tcW w:w="166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Percentage</w:t>
            </w:r>
          </w:p>
        </w:tc>
        <w:tc>
          <w:tcPr>
            <w:tcW w:w="40" w:type="dxa"/>
            <w:vAlign w:val="bottom"/>
            <w:shd w:val="clear" w:color="auto" w:fill="0A248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4360" w:type="dxa"/>
            <w:vAlign w:val="bottom"/>
            <w:shd w:val="clear" w:color="auto" w:fill="0A248E"/>
          </w:tcPr>
          <w:p>
            <w:pPr>
              <w:spacing w:after="0"/>
              <w:rPr>
                <w:sz w:val="22"/>
                <w:szCs w:val="22"/>
                <w:color w:val="auto"/>
              </w:rPr>
            </w:pPr>
          </w:p>
        </w:tc>
        <w:tc>
          <w:tcPr>
            <w:tcW w:w="40" w:type="dxa"/>
            <w:vAlign w:val="bottom"/>
            <w:tcBorders>
              <w:left w:val="single" w:sz="8" w:color="0A248E"/>
            </w:tcBorders>
          </w:tcPr>
          <w:p>
            <w:pPr>
              <w:spacing w:after="0"/>
              <w:rPr>
                <w:sz w:val="22"/>
                <w:szCs w:val="22"/>
                <w:color w:val="auto"/>
              </w:rPr>
            </w:pPr>
          </w:p>
        </w:tc>
        <w:tc>
          <w:tcPr>
            <w:tcW w:w="1720" w:type="dxa"/>
            <w:vAlign w:val="bottom"/>
            <w:shd w:val="clear" w:color="auto" w:fill="0A248E"/>
          </w:tcPr>
          <w:p>
            <w:pPr>
              <w:spacing w:after="0"/>
              <w:rPr>
                <w:sz w:val="22"/>
                <w:szCs w:val="22"/>
                <w:color w:val="auto"/>
              </w:rPr>
            </w:pPr>
          </w:p>
        </w:tc>
        <w:tc>
          <w:tcPr>
            <w:tcW w:w="20" w:type="dxa"/>
            <w:vAlign w:val="bottom"/>
            <w:shd w:val="clear" w:color="auto" w:fill="0A248E"/>
          </w:tcPr>
          <w:p>
            <w:pPr>
              <w:spacing w:after="0"/>
              <w:rPr>
                <w:sz w:val="22"/>
                <w:szCs w:val="22"/>
                <w:color w:val="auto"/>
              </w:rPr>
            </w:pPr>
          </w:p>
        </w:tc>
        <w:tc>
          <w:tcPr>
            <w:tcW w:w="1740" w:type="dxa"/>
            <w:vAlign w:val="bottom"/>
            <w:shd w:val="clear" w:color="auto" w:fill="0A248E"/>
          </w:tcPr>
          <w:p>
            <w:pPr>
              <w:spacing w:after="0"/>
              <w:rPr>
                <w:sz w:val="22"/>
                <w:szCs w:val="22"/>
                <w:color w:val="auto"/>
              </w:rPr>
            </w:pPr>
          </w:p>
        </w:tc>
        <w:tc>
          <w:tcPr>
            <w:tcW w:w="60" w:type="dxa"/>
            <w:vAlign w:val="bottom"/>
            <w:tcBorders>
              <w:right w:val="single" w:sz="8" w:color="0A248E"/>
            </w:tcBorders>
          </w:tcPr>
          <w:p>
            <w:pPr>
              <w:spacing w:after="0"/>
              <w:rPr>
                <w:sz w:val="22"/>
                <w:szCs w:val="22"/>
                <w:color w:val="auto"/>
              </w:rPr>
            </w:pPr>
          </w:p>
        </w:tc>
        <w:tc>
          <w:tcPr>
            <w:tcW w:w="1660" w:type="dxa"/>
            <w:vAlign w:val="bottom"/>
            <w:vMerge w:val="continue"/>
            <w:shd w:val="clear" w:color="auto" w:fill="0A248E"/>
          </w:tcPr>
          <w:p>
            <w:pPr>
              <w:spacing w:after="0"/>
              <w:rPr>
                <w:sz w:val="22"/>
                <w:szCs w:val="22"/>
                <w:color w:val="auto"/>
              </w:rPr>
            </w:pPr>
          </w:p>
        </w:tc>
        <w:tc>
          <w:tcPr>
            <w:tcW w:w="40" w:type="dxa"/>
            <w:vAlign w:val="bottom"/>
            <w:shd w:val="clear" w:color="auto" w:fill="0A248E"/>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360" w:type="dxa"/>
            <w:vAlign w:val="bottom"/>
            <w:shd w:val="clear" w:color="auto" w:fill="0A248E"/>
          </w:tcPr>
          <w:p>
            <w:pPr>
              <w:spacing w:after="0"/>
              <w:rPr>
                <w:sz w:val="14"/>
                <w:szCs w:val="14"/>
                <w:color w:val="auto"/>
              </w:rPr>
            </w:pPr>
          </w:p>
        </w:tc>
        <w:tc>
          <w:tcPr>
            <w:tcW w:w="40" w:type="dxa"/>
            <w:vAlign w:val="bottom"/>
            <w:tcBorders>
              <w:left w:val="single" w:sz="8" w:color="0A248E"/>
            </w:tcBorders>
          </w:tcPr>
          <w:p>
            <w:pPr>
              <w:spacing w:after="0"/>
              <w:rPr>
                <w:sz w:val="14"/>
                <w:szCs w:val="14"/>
                <w:color w:val="auto"/>
              </w:rPr>
            </w:pPr>
          </w:p>
        </w:tc>
        <w:tc>
          <w:tcPr>
            <w:tcW w:w="172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Base Salary</w:t>
            </w:r>
          </w:p>
        </w:tc>
        <w:tc>
          <w:tcPr>
            <w:tcW w:w="20" w:type="dxa"/>
            <w:vAlign w:val="bottom"/>
            <w:shd w:val="clear" w:color="auto" w:fill="0A248E"/>
          </w:tcPr>
          <w:p>
            <w:pPr>
              <w:spacing w:after="0"/>
              <w:rPr>
                <w:sz w:val="14"/>
                <w:szCs w:val="14"/>
                <w:color w:val="auto"/>
              </w:rPr>
            </w:pPr>
          </w:p>
        </w:tc>
        <w:tc>
          <w:tcPr>
            <w:tcW w:w="17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Base Salary</w:t>
            </w:r>
          </w:p>
        </w:tc>
        <w:tc>
          <w:tcPr>
            <w:tcW w:w="60" w:type="dxa"/>
            <w:vAlign w:val="bottom"/>
            <w:tcBorders>
              <w:right w:val="single" w:sz="8" w:color="0A248E"/>
            </w:tcBorders>
          </w:tcPr>
          <w:p>
            <w:pPr>
              <w:spacing w:after="0"/>
              <w:rPr>
                <w:sz w:val="14"/>
                <w:szCs w:val="14"/>
                <w:color w:val="auto"/>
              </w:rPr>
            </w:pPr>
          </w:p>
        </w:tc>
        <w:tc>
          <w:tcPr>
            <w:tcW w:w="166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(Decrease) /</w:t>
            </w:r>
          </w:p>
        </w:tc>
        <w:tc>
          <w:tcPr>
            <w:tcW w:w="40" w:type="dxa"/>
            <w:vAlign w:val="bottom"/>
            <w:shd w:val="clear" w:color="auto" w:fill="0A248E"/>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4360" w:type="dxa"/>
            <w:vAlign w:val="bottom"/>
            <w:shd w:val="clear" w:color="auto" w:fill="0A248E"/>
          </w:tcPr>
          <w:p>
            <w:pPr>
              <w:ind w:left="100"/>
              <w:spacing w:after="0"/>
              <w:rPr>
                <w:sz w:val="20"/>
                <w:szCs w:val="20"/>
                <w:color w:val="auto"/>
              </w:rPr>
            </w:pPr>
            <w:r>
              <w:rPr>
                <w:rFonts w:ascii="Arial" w:cs="Arial" w:eastAsia="Arial" w:hAnsi="Arial"/>
                <w:sz w:val="15"/>
                <w:szCs w:val="15"/>
                <w:b w:val="1"/>
                <w:bCs w:val="1"/>
                <w:color w:val="FFFFFF"/>
              </w:rPr>
              <w:t>Named Executive Officer</w:t>
            </w:r>
          </w:p>
        </w:tc>
        <w:tc>
          <w:tcPr>
            <w:tcW w:w="40" w:type="dxa"/>
            <w:vAlign w:val="bottom"/>
            <w:tcBorders>
              <w:left w:val="single" w:sz="8" w:color="0A248E"/>
            </w:tcBorders>
          </w:tcPr>
          <w:p>
            <w:pPr>
              <w:spacing w:after="0"/>
              <w:rPr>
                <w:sz w:val="24"/>
                <w:szCs w:val="24"/>
                <w:color w:val="auto"/>
              </w:rPr>
            </w:pPr>
          </w:p>
        </w:tc>
        <w:tc>
          <w:tcPr>
            <w:tcW w:w="17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as of End of 2024 ($)</w:t>
            </w:r>
          </w:p>
        </w:tc>
        <w:tc>
          <w:tcPr>
            <w:tcW w:w="20" w:type="dxa"/>
            <w:vAlign w:val="bottom"/>
            <w:shd w:val="clear" w:color="auto" w:fill="0A248E"/>
          </w:tcPr>
          <w:p>
            <w:pPr>
              <w:spacing w:after="0"/>
              <w:rPr>
                <w:sz w:val="24"/>
                <w:szCs w:val="24"/>
                <w:color w:val="auto"/>
              </w:rPr>
            </w:pPr>
          </w:p>
        </w:tc>
        <w:tc>
          <w:tcPr>
            <w:tcW w:w="17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as of End of 2025 ($)</w:t>
            </w:r>
          </w:p>
        </w:tc>
        <w:tc>
          <w:tcPr>
            <w:tcW w:w="60" w:type="dxa"/>
            <w:vAlign w:val="bottom"/>
            <w:tcBorders>
              <w:right w:val="single" w:sz="8" w:color="0A248E"/>
            </w:tcBorders>
          </w:tcPr>
          <w:p>
            <w:pPr>
              <w:spacing w:after="0"/>
              <w:rPr>
                <w:sz w:val="24"/>
                <w:szCs w:val="24"/>
                <w:color w:val="auto"/>
              </w:rPr>
            </w:pPr>
          </w:p>
        </w:tc>
        <w:tc>
          <w:tcPr>
            <w:tcW w:w="16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Increase</w:t>
            </w:r>
          </w:p>
        </w:tc>
        <w:tc>
          <w:tcPr>
            <w:tcW w:w="4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36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1740" w:type="dxa"/>
            <w:vAlign w:val="bottom"/>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1660" w:type="dxa"/>
            <w:vAlign w:val="bottom"/>
            <w:tcBorders>
              <w:bottom w:val="single" w:sz="8" w:color="E6E6E6"/>
            </w:tcBorders>
            <w:shd w:val="clear" w:color="auto" w:fill="0A248E"/>
          </w:tcPr>
          <w:p>
            <w:pPr>
              <w:spacing w:after="0"/>
              <w:rPr>
                <w:sz w:val="5"/>
                <w:szCs w:val="5"/>
                <w:color w:val="auto"/>
              </w:rPr>
            </w:pPr>
          </w:p>
        </w:tc>
        <w:tc>
          <w:tcPr>
            <w:tcW w:w="40" w:type="dxa"/>
            <w:vAlign w:val="bottom"/>
            <w:tcBorders>
              <w:bottom w:val="single" w:sz="8" w:color="E6E6E6"/>
            </w:tcBorders>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436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Andrew W. Houston</w:t>
            </w:r>
          </w:p>
        </w:tc>
        <w:tc>
          <w:tcPr>
            <w:tcW w:w="40" w:type="dxa"/>
            <w:vAlign w:val="bottom"/>
            <w:tcBorders>
              <w:left w:val="single" w:sz="8" w:color="E6E6E6"/>
            </w:tcBorders>
          </w:tcPr>
          <w:p>
            <w:pPr>
              <w:spacing w:after="0"/>
              <w:rPr>
                <w:sz w:val="23"/>
                <w:szCs w:val="23"/>
                <w:color w:val="auto"/>
              </w:rPr>
            </w:pPr>
          </w:p>
        </w:tc>
        <w:tc>
          <w:tcPr>
            <w:tcW w:w="17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800,000</w:t>
            </w:r>
          </w:p>
        </w:tc>
        <w:tc>
          <w:tcPr>
            <w:tcW w:w="20" w:type="dxa"/>
            <w:vAlign w:val="bottom"/>
            <w:tcBorders>
              <w:bottom w:val="single" w:sz="8" w:color="E6E6E6"/>
            </w:tcBorders>
            <w:shd w:val="clear" w:color="auto" w:fill="E6E6E6"/>
          </w:tcPr>
          <w:p>
            <w:pPr>
              <w:spacing w:after="0"/>
              <w:rPr>
                <w:sz w:val="23"/>
                <w:szCs w:val="23"/>
                <w:color w:val="auto"/>
              </w:rPr>
            </w:pPr>
          </w:p>
        </w:tc>
        <w:tc>
          <w:tcPr>
            <w:tcW w:w="17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800,000</w:t>
            </w:r>
          </w:p>
        </w:tc>
        <w:tc>
          <w:tcPr>
            <w:tcW w:w="60" w:type="dxa"/>
            <w:vAlign w:val="bottom"/>
            <w:tcBorders>
              <w:right w:val="single" w:sz="8" w:color="E6E6E6"/>
            </w:tcBorders>
          </w:tcPr>
          <w:p>
            <w:pPr>
              <w:spacing w:after="0"/>
              <w:rPr>
                <w:sz w:val="23"/>
                <w:szCs w:val="23"/>
                <w:color w:val="auto"/>
              </w:rPr>
            </w:pPr>
          </w:p>
        </w:tc>
        <w:tc>
          <w:tcPr>
            <w:tcW w:w="16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4360" w:type="dxa"/>
            <w:vAlign w:val="bottom"/>
          </w:tcPr>
          <w:p>
            <w:pPr>
              <w:ind w:left="100"/>
              <w:spacing w:after="0"/>
              <w:rPr>
                <w:sz w:val="20"/>
                <w:szCs w:val="20"/>
                <w:color w:val="auto"/>
              </w:rPr>
            </w:pPr>
            <w:r>
              <w:rPr>
                <w:rFonts w:ascii="Arial" w:cs="Arial" w:eastAsia="Arial" w:hAnsi="Arial"/>
                <w:sz w:val="18"/>
                <w:szCs w:val="18"/>
                <w:color w:val="auto"/>
              </w:rPr>
              <w:t>Ross Tennenbaum</w:t>
            </w:r>
            <w:r>
              <w:rPr>
                <w:rFonts w:ascii="Arial" w:cs="Arial" w:eastAsia="Arial" w:hAnsi="Arial"/>
                <w:sz w:val="23"/>
                <w:szCs w:val="23"/>
                <w:color w:val="auto"/>
                <w:vertAlign w:val="superscript"/>
              </w:rPr>
              <w:t>(1)</w:t>
            </w:r>
          </w:p>
        </w:tc>
        <w:tc>
          <w:tcPr>
            <w:tcW w:w="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550,000</w:t>
            </w:r>
          </w:p>
        </w:tc>
        <w:tc>
          <w:tcPr>
            <w:tcW w:w="6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4"/>
        </w:trPr>
        <w:tc>
          <w:tcPr>
            <w:tcW w:w="4360" w:type="dxa"/>
            <w:vAlign w:val="bottom"/>
            <w:shd w:val="clear" w:color="auto" w:fill="E6E6E6"/>
          </w:tcPr>
          <w:p>
            <w:pPr>
              <w:ind w:left="100"/>
              <w:spacing w:after="0"/>
              <w:rPr>
                <w:sz w:val="20"/>
                <w:szCs w:val="20"/>
                <w:color w:val="auto"/>
              </w:rPr>
            </w:pPr>
            <w:r>
              <w:rPr>
                <w:rFonts w:ascii="Arial" w:cs="Arial" w:eastAsia="Arial" w:hAnsi="Arial"/>
                <w:sz w:val="18"/>
                <w:szCs w:val="18"/>
                <w:color w:val="auto"/>
              </w:rPr>
              <w:t>Timothy Regan</w:t>
            </w:r>
            <w:r>
              <w:rPr>
                <w:rFonts w:ascii="Arial" w:cs="Arial" w:eastAsia="Arial" w:hAnsi="Arial"/>
                <w:sz w:val="23"/>
                <w:szCs w:val="23"/>
                <w:color w:val="auto"/>
                <w:vertAlign w:val="superscript"/>
              </w:rPr>
              <w:t>(2)</w:t>
            </w:r>
          </w:p>
        </w:tc>
        <w:tc>
          <w:tcPr>
            <w:tcW w:w="40" w:type="dxa"/>
            <w:vAlign w:val="bottom"/>
            <w:tcBorders>
              <w:left w:val="single" w:sz="8" w:color="E6E6E6"/>
            </w:tcBorders>
          </w:tcPr>
          <w:p>
            <w:pPr>
              <w:spacing w:after="0"/>
              <w:rPr>
                <w:sz w:val="24"/>
                <w:szCs w:val="24"/>
                <w:color w:val="auto"/>
              </w:rPr>
            </w:pPr>
          </w:p>
        </w:tc>
        <w:tc>
          <w:tcPr>
            <w:tcW w:w="17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560,000</w:t>
            </w:r>
          </w:p>
        </w:tc>
        <w:tc>
          <w:tcPr>
            <w:tcW w:w="20" w:type="dxa"/>
            <w:vAlign w:val="bottom"/>
            <w:shd w:val="clear" w:color="auto" w:fill="E6E6E6"/>
          </w:tcPr>
          <w:p>
            <w:pPr>
              <w:spacing w:after="0"/>
              <w:rPr>
                <w:sz w:val="24"/>
                <w:szCs w:val="24"/>
                <w:color w:val="auto"/>
              </w:rPr>
            </w:pPr>
          </w:p>
        </w:tc>
        <w:tc>
          <w:tcPr>
            <w:tcW w:w="17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5"/>
              </w:rPr>
              <w:t>560,000</w:t>
            </w:r>
          </w:p>
        </w:tc>
        <w:tc>
          <w:tcPr>
            <w:tcW w:w="60" w:type="dxa"/>
            <w:vAlign w:val="bottom"/>
            <w:tcBorders>
              <w:right w:val="single" w:sz="8" w:color="E6E6E6"/>
            </w:tcBorders>
          </w:tcPr>
          <w:p>
            <w:pPr>
              <w:spacing w:after="0"/>
              <w:rPr>
                <w:sz w:val="24"/>
                <w:szCs w:val="24"/>
                <w:color w:val="auto"/>
              </w:rPr>
            </w:pPr>
          </w:p>
        </w:tc>
        <w:tc>
          <w:tcPr>
            <w:tcW w:w="16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360" w:type="dxa"/>
            <w:vAlign w:val="bottom"/>
          </w:tcPr>
          <w:p>
            <w:pPr>
              <w:ind w:left="100"/>
              <w:spacing w:after="0"/>
              <w:rPr>
                <w:sz w:val="20"/>
                <w:szCs w:val="20"/>
                <w:color w:val="auto"/>
              </w:rPr>
            </w:pPr>
            <w:r>
              <w:rPr>
                <w:rFonts w:ascii="Arial" w:cs="Arial" w:eastAsia="Arial" w:hAnsi="Arial"/>
                <w:sz w:val="18"/>
                <w:szCs w:val="18"/>
                <w:color w:val="auto"/>
              </w:rPr>
              <w:t>William Yoon</w:t>
            </w:r>
            <w:r>
              <w:rPr>
                <w:rFonts w:ascii="Arial" w:cs="Arial" w:eastAsia="Arial" w:hAnsi="Arial"/>
                <w:sz w:val="23"/>
                <w:szCs w:val="23"/>
                <w:color w:val="auto"/>
                <w:vertAlign w:val="superscript"/>
              </w:rPr>
              <w:t>(3)</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8"/>
              </w:rPr>
              <w:t>420,000</w:t>
            </w:r>
          </w:p>
        </w:tc>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475,000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9"/>
              </w:rPr>
              <w:t>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360" w:type="dxa"/>
            <w:vAlign w:val="bottom"/>
            <w:shd w:val="clear" w:color="auto" w:fill="E6E6E6"/>
          </w:tcPr>
          <w:p>
            <w:pPr>
              <w:ind w:left="100"/>
              <w:spacing w:after="0"/>
              <w:rPr>
                <w:sz w:val="20"/>
                <w:szCs w:val="20"/>
                <w:color w:val="auto"/>
              </w:rPr>
            </w:pPr>
            <w:r>
              <w:rPr>
                <w:rFonts w:ascii="Arial" w:cs="Arial" w:eastAsia="Arial" w:hAnsi="Arial"/>
                <w:sz w:val="18"/>
                <w:szCs w:val="18"/>
                <w:color w:val="auto"/>
              </w:rPr>
              <w:t>Ali Dasdan</w:t>
            </w:r>
            <w:r>
              <w:rPr>
                <w:rFonts w:ascii="Arial" w:cs="Arial" w:eastAsia="Arial" w:hAnsi="Arial"/>
                <w:sz w:val="23"/>
                <w:szCs w:val="23"/>
                <w:color w:val="auto"/>
                <w:vertAlign w:val="superscript"/>
              </w:rPr>
              <w:t>(4)</w:t>
            </w:r>
          </w:p>
        </w:tc>
        <w:tc>
          <w:tcPr>
            <w:tcW w:w="40" w:type="dxa"/>
            <w:vAlign w:val="bottom"/>
            <w:tcBorders>
              <w:left w:val="single" w:sz="8" w:color="E6E6E6"/>
            </w:tcBorders>
          </w:tcPr>
          <w:p>
            <w:pPr>
              <w:spacing w:after="0"/>
              <w:rPr>
                <w:sz w:val="24"/>
                <w:szCs w:val="24"/>
                <w:color w:val="auto"/>
              </w:rPr>
            </w:pPr>
          </w:p>
        </w:tc>
        <w:tc>
          <w:tcPr>
            <w:tcW w:w="1740" w:type="dxa"/>
            <w:vAlign w:val="bottom"/>
            <w:gridSpan w:val="2"/>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5"/>
              </w:rPr>
              <w:t>500,000</w:t>
            </w:r>
          </w:p>
        </w:tc>
        <w:tc>
          <w:tcPr>
            <w:tcW w:w="60" w:type="dxa"/>
            <w:vAlign w:val="bottom"/>
            <w:tcBorders>
              <w:right w:val="single" w:sz="8" w:color="E6E6E6"/>
            </w:tcBorders>
          </w:tcPr>
          <w:p>
            <w:pPr>
              <w:spacing w:after="0"/>
              <w:rPr>
                <w:sz w:val="24"/>
                <w:szCs w:val="24"/>
                <w:color w:val="auto"/>
              </w:rPr>
            </w:pPr>
          </w:p>
        </w:tc>
        <w:tc>
          <w:tcPr>
            <w:tcW w:w="1700" w:type="dxa"/>
            <w:vAlign w:val="bottom"/>
            <w:gridSpan w:val="2"/>
            <w:shd w:val="clear" w:color="auto" w:fill="E6E6E6"/>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96"/>
        </w:trPr>
        <w:tc>
          <w:tcPr>
            <w:tcW w:w="4360" w:type="dxa"/>
            <w:vAlign w:val="bottom"/>
          </w:tcPr>
          <w:p>
            <w:pPr>
              <w:ind w:left="100"/>
              <w:spacing w:after="0"/>
              <w:rPr>
                <w:sz w:val="20"/>
                <w:szCs w:val="20"/>
                <w:color w:val="auto"/>
              </w:rPr>
            </w:pPr>
            <w:r>
              <w:rPr>
                <w:rFonts w:ascii="Arial" w:cs="Arial" w:eastAsia="Arial" w:hAnsi="Arial"/>
                <w:sz w:val="18"/>
                <w:szCs w:val="18"/>
                <w:color w:val="auto"/>
              </w:rPr>
              <w:t>Ashraf Alkarmi</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8"/>
              </w:rPr>
              <w:t>500,000</w:t>
            </w:r>
          </w:p>
        </w:tc>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500,000</w:t>
            </w:r>
          </w:p>
        </w:tc>
        <w:tc>
          <w:tcPr>
            <w:tcW w:w="172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5015865</wp:posOffset>
                </wp:positionH>
                <wp:positionV relativeFrom="paragraph">
                  <wp:posOffset>-1664335</wp:posOffset>
                </wp:positionV>
                <wp:extent cx="0" cy="68326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32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5pt,-131.0499pt" to="394.95pt,-77.2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2787015</wp:posOffset>
                </wp:positionH>
                <wp:positionV relativeFrom="paragraph">
                  <wp:posOffset>-1664335</wp:posOffset>
                </wp:positionV>
                <wp:extent cx="0" cy="108140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814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45pt,-131.0499pt" to="219.45pt,-45.8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5015865</wp:posOffset>
                </wp:positionH>
                <wp:positionV relativeFrom="paragraph">
                  <wp:posOffset>-781685</wp:posOffset>
                </wp:positionV>
                <wp:extent cx="0" cy="198755"/>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75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5pt,-61.5499pt" to="394.95pt,-45.8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2787015</wp:posOffset>
                </wp:positionH>
                <wp:positionV relativeFrom="paragraph">
                  <wp:posOffset>-383540</wp:posOffset>
                </wp:positionV>
                <wp:extent cx="0" cy="196215"/>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2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45pt,-30.1999pt" to="219.45pt,-14.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-383540</wp:posOffset>
                </wp:positionV>
                <wp:extent cx="0" cy="196215"/>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2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30.1999pt" to="307.2pt,-14.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5015865</wp:posOffset>
                </wp:positionH>
                <wp:positionV relativeFrom="paragraph">
                  <wp:posOffset>-383540</wp:posOffset>
                </wp:positionV>
                <wp:extent cx="0" cy="19621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2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5pt,-30.1999pt" to="394.95pt,-14.7499pt" o:allowincell="f" strokecolor="#FFFFFF" strokeweight="1.4039pt"/>
            </w:pict>
          </mc:Fallback>
        </mc:AlternateContent>
      </w:r>
    </w:p>
    <w:p>
      <w:pPr>
        <w:ind w:left="347" w:hanging="347"/>
        <w:spacing w:after="0" w:line="222" w:lineRule="auto"/>
        <w:tabs>
          <w:tab w:leader="none" w:pos="347" w:val="left"/>
        </w:tabs>
        <w:numPr>
          <w:ilvl w:val="0"/>
          <w:numId w:val="61"/>
        </w:numPr>
        <w:rPr>
          <w:rFonts w:ascii="Arial" w:cs="Arial" w:eastAsia="Arial" w:hAnsi="Arial"/>
          <w:sz w:val="20"/>
          <w:szCs w:val="20"/>
          <w:color w:val="auto"/>
          <w:vertAlign w:val="superscript"/>
        </w:rPr>
      </w:pPr>
      <w:r>
        <w:rPr>
          <w:rFonts w:ascii="Arial" w:cs="Arial" w:eastAsia="Arial" w:hAnsi="Arial"/>
          <w:sz w:val="15"/>
          <w:szCs w:val="15"/>
          <w:color w:val="auto"/>
        </w:rPr>
        <w:t>Mr. Tennenbaum was appointed as Chief Financial Officer in December 2025.</w:t>
      </w:r>
    </w:p>
    <w:p>
      <w:pPr>
        <w:ind w:left="347" w:right="420" w:hanging="347"/>
        <w:spacing w:after="0" w:line="245" w:lineRule="auto"/>
        <w:tabs>
          <w:tab w:leader="none" w:pos="347" w:val="left"/>
        </w:tabs>
        <w:numPr>
          <w:ilvl w:val="0"/>
          <w:numId w:val="61"/>
        </w:numPr>
        <w:rPr>
          <w:rFonts w:ascii="Arial" w:cs="Arial" w:eastAsia="Arial" w:hAnsi="Arial"/>
          <w:sz w:val="20"/>
          <w:szCs w:val="20"/>
          <w:color w:val="auto"/>
          <w:vertAlign w:val="superscript"/>
        </w:rPr>
      </w:pPr>
      <w:r>
        <w:rPr>
          <w:rFonts w:ascii="Arial" w:cs="Arial" w:eastAsia="Arial" w:hAnsi="Arial"/>
          <w:sz w:val="15"/>
          <w:szCs w:val="15"/>
          <w:color w:val="auto"/>
        </w:rPr>
        <w:t>Mr. Regan's role as Chief Financial Officer ended on December 16, 2025, and his employment with the company ended in March 2026.</w:t>
      </w:r>
    </w:p>
    <w:p>
      <w:pPr>
        <w:ind w:left="347" w:right="780" w:hanging="347"/>
        <w:spacing w:after="0" w:line="245" w:lineRule="auto"/>
        <w:tabs>
          <w:tab w:leader="none" w:pos="347" w:val="left"/>
        </w:tabs>
        <w:numPr>
          <w:ilvl w:val="0"/>
          <w:numId w:val="61"/>
        </w:numPr>
        <w:rPr>
          <w:rFonts w:ascii="Arial" w:cs="Arial" w:eastAsia="Arial" w:hAnsi="Arial"/>
          <w:sz w:val="20"/>
          <w:szCs w:val="20"/>
          <w:color w:val="auto"/>
          <w:vertAlign w:val="superscript"/>
        </w:rPr>
      </w:pPr>
      <w:r>
        <w:rPr>
          <w:rFonts w:ascii="Arial" w:cs="Arial" w:eastAsia="Arial" w:hAnsi="Arial"/>
          <w:sz w:val="15"/>
          <w:szCs w:val="15"/>
          <w:color w:val="auto"/>
        </w:rPr>
        <w:t>Mr. Yoon was appointed as Chief Legal Officer in March 2025, and his 2025 base salary increase was in connection with his appointment.</w:t>
      </w:r>
    </w:p>
    <w:p>
      <w:pPr>
        <w:ind w:left="347" w:hanging="347"/>
        <w:spacing w:after="0" w:line="219" w:lineRule="auto"/>
        <w:tabs>
          <w:tab w:leader="none" w:pos="347" w:val="left"/>
        </w:tabs>
        <w:numPr>
          <w:ilvl w:val="0"/>
          <w:numId w:val="61"/>
        </w:numPr>
        <w:rPr>
          <w:rFonts w:ascii="Arial" w:cs="Arial" w:eastAsia="Arial" w:hAnsi="Arial"/>
          <w:sz w:val="20"/>
          <w:szCs w:val="20"/>
          <w:color w:val="auto"/>
          <w:vertAlign w:val="superscript"/>
        </w:rPr>
      </w:pPr>
      <w:r>
        <w:rPr>
          <w:rFonts w:ascii="Arial" w:cs="Arial" w:eastAsia="Arial" w:hAnsi="Arial"/>
          <w:sz w:val="15"/>
          <w:szCs w:val="15"/>
          <w:color w:val="auto"/>
        </w:rPr>
        <w:t>Mr. Dasdan was appointed as Chief Technology Officer in March 2025.</w:t>
      </w:r>
    </w:p>
    <w:p>
      <w:pPr>
        <w:spacing w:after="0" w:line="168" w:lineRule="exact"/>
        <w:rPr>
          <w:sz w:val="20"/>
          <w:szCs w:val="20"/>
          <w:color w:val="auto"/>
        </w:rPr>
      </w:pPr>
    </w:p>
    <w:p>
      <w:pPr>
        <w:ind w:left="7" w:right="200"/>
        <w:spacing w:after="0" w:line="310" w:lineRule="auto"/>
        <w:rPr>
          <w:sz w:val="20"/>
          <w:szCs w:val="20"/>
          <w:color w:val="auto"/>
        </w:rPr>
      </w:pPr>
      <w:r>
        <w:rPr>
          <w:rFonts w:ascii="Arial" w:cs="Arial" w:eastAsia="Arial" w:hAnsi="Arial"/>
          <w:sz w:val="18"/>
          <w:szCs w:val="18"/>
          <w:color w:val="auto"/>
        </w:rPr>
        <w:t>The base salaries paid to our named executive officers during 2025 are set forth in the “</w:t>
      </w:r>
      <w:r>
        <w:rPr>
          <w:rFonts w:ascii="Arial" w:cs="Arial" w:eastAsia="Arial" w:hAnsi="Arial"/>
          <w:sz w:val="18"/>
          <w:szCs w:val="18"/>
          <w:i w:val="1"/>
          <w:iCs w:val="1"/>
          <w:color w:val="auto"/>
        </w:rPr>
        <w:t>Summary Compensation Table for</w:t>
      </w:r>
      <w:r>
        <w:rPr>
          <w:rFonts w:ascii="Arial" w:cs="Arial" w:eastAsia="Arial" w:hAnsi="Arial"/>
          <w:sz w:val="18"/>
          <w:szCs w:val="18"/>
          <w:color w:val="auto"/>
        </w:rPr>
        <w:t xml:space="preserve"> </w:t>
      </w:r>
      <w:r>
        <w:rPr>
          <w:rFonts w:ascii="Arial" w:cs="Arial" w:eastAsia="Arial" w:hAnsi="Arial"/>
          <w:sz w:val="18"/>
          <w:szCs w:val="18"/>
          <w:i w:val="1"/>
          <w:iCs w:val="1"/>
          <w:color w:val="auto"/>
        </w:rPr>
        <w:t>Fiscal Year 2025</w:t>
      </w:r>
      <w:r>
        <w:rPr>
          <w:rFonts w:ascii="Arial" w:cs="Arial" w:eastAsia="Arial" w:hAnsi="Arial"/>
          <w:sz w:val="18"/>
          <w:szCs w:val="18"/>
          <w:color w:val="auto"/>
        </w:rPr>
        <w:t>” below.</w:t>
      </w:r>
    </w:p>
    <w:p>
      <w:pPr>
        <w:spacing w:after="0" w:line="106" w:lineRule="exact"/>
        <w:rPr>
          <w:sz w:val="20"/>
          <w:szCs w:val="20"/>
          <w:color w:val="auto"/>
        </w:rPr>
      </w:pPr>
    </w:p>
    <w:p>
      <w:pPr>
        <w:ind w:left="7" w:right="40"/>
        <w:spacing w:after="0" w:line="282" w:lineRule="auto"/>
        <w:rPr>
          <w:sz w:val="20"/>
          <w:szCs w:val="20"/>
          <w:color w:val="auto"/>
        </w:rPr>
      </w:pPr>
      <w:r>
        <w:rPr>
          <w:rFonts w:ascii="Arial" w:cs="Arial" w:eastAsia="Arial" w:hAnsi="Arial"/>
          <w:sz w:val="18"/>
          <w:szCs w:val="18"/>
          <w:color w:val="auto"/>
        </w:rPr>
        <w:t>As noted above. Mr. Regan’s role as Chief Financial Officer ended on December 16, 2025, and his employment with the company ended in March 2026. Following his resignation as Chief Financial Officer, Mr. Regan continued to serve as a non-executive employee of the company to ensure a smooth transition. Mr. Regan received a one-time advisory fee cash payment of $250,000 in December 2025 in connection with his continued service.</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47</w:t>
      </w:r>
    </w:p>
    <w:p>
      <w:pPr>
        <w:sectPr>
          <w:pgSz w:w="11880" w:h="15480" w:orient="portrait"/>
          <w:cols w:equalWidth="0" w:num="1">
            <w:col w:w="9647"/>
          </w:cols>
          <w:pgMar w:left="1133" w:top="340" w:right="1100" w:bottom="0" w:gutter="0" w:footer="0" w:header="0"/>
          <w:type w:val="continuous"/>
        </w:sectPr>
      </w:pPr>
    </w:p>
    <w:bookmarkStart w:id="55" w:name="page56"/>
    <w:bookmarkEnd w:id="55"/>
    <w:p>
      <w:pPr>
        <w:spacing w:after="0"/>
        <w:rPr>
          <w:sz w:val="20"/>
          <w:szCs w:val="20"/>
          <w:color w:val="auto"/>
        </w:rPr>
      </w:pPr>
      <w:r>
        <w:rPr>
          <w:rFonts w:ascii="Arial" w:cs="Arial" w:eastAsia="Arial" w:hAnsi="Arial"/>
          <w:sz w:val="33"/>
          <w:szCs w:val="33"/>
          <w:color w:val="0A248E"/>
        </w:rPr>
        <w:t>EXECUTIVE COMPENSATION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Annual Cash Bonuses</w:t>
      </w:r>
    </w:p>
    <w:p>
      <w:pPr>
        <w:spacing w:after="0" w:line="198"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In January 2025, the talent and compensation committee, with input from management, adopted our 2025 annual cash bonus plan (the “</w:t>
      </w:r>
      <w:r>
        <w:rPr>
          <w:rFonts w:ascii="Arial" w:cs="Arial" w:eastAsia="Arial" w:hAnsi="Arial"/>
          <w:sz w:val="18"/>
          <w:szCs w:val="18"/>
          <w:b w:val="1"/>
          <w:bCs w:val="1"/>
          <w:i w:val="1"/>
          <w:iCs w:val="1"/>
          <w:color w:val="auto"/>
        </w:rPr>
        <w:t>2025 Cash Bonus Plan</w:t>
      </w:r>
      <w:r>
        <w:rPr>
          <w:rFonts w:ascii="Arial" w:cs="Arial" w:eastAsia="Arial" w:hAnsi="Arial"/>
          <w:sz w:val="18"/>
          <w:szCs w:val="18"/>
          <w:color w:val="auto"/>
        </w:rPr>
        <w:t>”), which was designed to provide financial incentives for our executive officers if we met or exceeded the pre-established threshold levels for annual revenue and non-GAAP operating margin established under our 2025 annual operating plan. The 2025 Cash Bonus Plan is funded based on our actual achievement against the pre-established target levels for the applicable corporate performance measure.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Target Annual Cash Bonus Opportunities</w:t>
      </w:r>
    </w:p>
    <w:p>
      <w:pPr>
        <w:spacing w:after="0" w:line="20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Under the 2025 Cash Bonus Plan, annual cash bonus opportunities and payments were based upon an eligible percentage of each participant’s base salary. In March 2025, the talent and compensation committee reviewed and approved the target annual cash bonus opportunities of our then-current executive officers, taking into consideration a competitive market analysis prepared by our compensation consultant and the recommendations of our Chief Executive Officer (except with respect to his own target annual cash bonus opportunity) as well as the other factors described in “</w:t>
      </w:r>
      <w:r>
        <w:rPr>
          <w:rFonts w:ascii="Arial" w:cs="Arial" w:eastAsia="Arial" w:hAnsi="Arial"/>
          <w:sz w:val="18"/>
          <w:szCs w:val="18"/>
          <w:i w:val="1"/>
          <w:iCs w:val="1"/>
          <w:color w:val="auto"/>
        </w:rPr>
        <w:t>Compensation-Setting</w:t>
      </w:r>
      <w:r>
        <w:rPr>
          <w:rFonts w:ascii="Arial" w:cs="Arial" w:eastAsia="Arial" w:hAnsi="Arial"/>
          <w:sz w:val="18"/>
          <w:szCs w:val="18"/>
          <w:color w:val="auto"/>
        </w:rPr>
        <w:t xml:space="preserve"> </w:t>
      </w:r>
      <w:r>
        <w:rPr>
          <w:rFonts w:ascii="Arial" w:cs="Arial" w:eastAsia="Arial" w:hAnsi="Arial"/>
          <w:sz w:val="18"/>
          <w:szCs w:val="18"/>
          <w:i w:val="1"/>
          <w:iCs w:val="1"/>
          <w:color w:val="auto"/>
        </w:rPr>
        <w:t>Process—Compensation Setting</w:t>
      </w:r>
      <w:r>
        <w:rPr>
          <w:rFonts w:ascii="Arial" w:cs="Arial" w:eastAsia="Arial" w:hAnsi="Arial"/>
          <w:sz w:val="18"/>
          <w:szCs w:val="18"/>
          <w:color w:val="auto"/>
        </w:rPr>
        <w:t>” above. Based on this review, the talent and compensation committee decided to make no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to the 2024 target annual cash bonus opportunity (as a percentage of base salary) of each of our then-current named executive officers.</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Mr. Yoon's target annual cash bonus opportunity was increased from 50% to 75% of his base salary in connection with his appointment as Chief Legal Officer to reflect his increased responsibilities in his new role and taking into consideration a competitive market analysis prepared by the talent and compensation committee's compensation consultant and the recommendations of our Chief Executive Officer, as well as the other factors described in “</w:t>
      </w:r>
      <w:r>
        <w:rPr>
          <w:rFonts w:ascii="Arial" w:cs="Arial" w:eastAsia="Arial" w:hAnsi="Arial"/>
          <w:sz w:val="18"/>
          <w:szCs w:val="18"/>
          <w:i w:val="1"/>
          <w:iCs w:val="1"/>
          <w:color w:val="auto"/>
        </w:rPr>
        <w:t>Compensation-Setting Process—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Setting</w:t>
      </w:r>
      <w:r>
        <w:rPr>
          <w:rFonts w:ascii="Arial" w:cs="Arial" w:eastAsia="Arial" w:hAnsi="Arial"/>
          <w:sz w:val="18"/>
          <w:szCs w:val="18"/>
          <w:color w:val="auto"/>
        </w:rPr>
        <w:t>” above.</w:t>
      </w:r>
    </w:p>
    <w:p>
      <w:pPr>
        <w:spacing w:after="0" w:line="135"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Target annual cash bonus opportunities for Messrs. Dasdan, and Tennenbaum were determined by the talent and compensation committee in connection with their hiring, prior to commencement of employment. Mr. Dasdan’s initial target annual cash bonus opportunity was set in December 2024 in advance of his March 2025 start date; and Mr. Tennenbaum’s 2026 target annual cash bonus opportunity was set in advance of his December 2025 start date. In each case, target annual cash bonus opportunity determinations were made taking into account a competitive market analysis prepared by the talent and compensation committee's compensation consultant and the recommendations of our Chief Executive Officer, as well as the other factors described in “</w:t>
      </w:r>
      <w:r>
        <w:rPr>
          <w:rFonts w:ascii="Arial" w:cs="Arial" w:eastAsia="Arial" w:hAnsi="Arial"/>
          <w:sz w:val="17"/>
          <w:szCs w:val="17"/>
          <w:i w:val="1"/>
          <w:iCs w:val="1"/>
          <w:color w:val="auto"/>
        </w:rPr>
        <w:t>Compensation-Setting Process—Compensation Setting</w:t>
      </w:r>
      <w:r>
        <w:rPr>
          <w:rFonts w:ascii="Arial" w:cs="Arial" w:eastAsia="Arial" w:hAnsi="Arial"/>
          <w:sz w:val="17"/>
          <w:szCs w:val="17"/>
          <w:color w:val="auto"/>
        </w:rPr>
        <w:t>”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2025 target annual cash bonus opportunities for our named executive officers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4387850</wp:posOffset>
                </wp:positionH>
                <wp:positionV relativeFrom="paragraph">
                  <wp:posOffset>78105</wp:posOffset>
                </wp:positionV>
                <wp:extent cx="0" cy="52006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06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5pt,6.15pt" to="345.5pt,47.1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2783205</wp:posOffset>
                </wp:positionH>
                <wp:positionV relativeFrom="paragraph">
                  <wp:posOffset>78105</wp:posOffset>
                </wp:positionV>
                <wp:extent cx="0" cy="775335"/>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53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15pt,6.15pt" to="219.15pt,67.2pt" o:allowincell="f" strokecolor="#FFFFFF" strokeweight="1.4039pt"/>
            </w:pict>
          </mc:Fallback>
        </mc:AlternateConten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380" w:type="dxa"/>
            <w:vAlign w:val="bottom"/>
            <w:tcBorders>
              <w:bottom w:val="single" w:sz="8" w:color="0A248E"/>
              <w:right w:val="single" w:sz="8" w:color="0A248E"/>
            </w:tcBorders>
            <w:shd w:val="clear" w:color="auto" w:fill="0A248E"/>
          </w:tcPr>
          <w:p>
            <w:pPr>
              <w:spacing w:after="0"/>
              <w:rPr>
                <w:sz w:val="10"/>
                <w:szCs w:val="10"/>
                <w:color w:val="auto"/>
              </w:rPr>
            </w:pPr>
          </w:p>
        </w:tc>
        <w:tc>
          <w:tcPr>
            <w:tcW w:w="60" w:type="dxa"/>
            <w:vAlign w:val="bottom"/>
            <w:tcBorders>
              <w:bottom w:val="single" w:sz="8" w:color="0A248E"/>
              <w:right w:val="single" w:sz="8" w:color="0A248E"/>
            </w:tcBorders>
          </w:tcPr>
          <w:p>
            <w:pPr>
              <w:spacing w:after="0"/>
              <w:rPr>
                <w:sz w:val="10"/>
                <w:szCs w:val="10"/>
                <w:color w:val="auto"/>
              </w:rPr>
            </w:pPr>
          </w:p>
        </w:tc>
        <w:tc>
          <w:tcPr>
            <w:tcW w:w="2460" w:type="dxa"/>
            <w:vAlign w:val="bottom"/>
            <w:tcBorders>
              <w:bottom w:val="single" w:sz="8" w:color="0A248E"/>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Target Annual</w:t>
            </w:r>
          </w:p>
        </w:tc>
        <w:tc>
          <w:tcPr>
            <w:tcW w:w="20" w:type="dxa"/>
            <w:vAlign w:val="bottom"/>
          </w:tcPr>
          <w:p>
            <w:pPr>
              <w:spacing w:after="0"/>
              <w:rPr>
                <w:sz w:val="10"/>
                <w:szCs w:val="10"/>
                <w:color w:val="auto"/>
              </w:rPr>
            </w:pPr>
          </w:p>
        </w:tc>
        <w:tc>
          <w:tcPr>
            <w:tcW w:w="2720" w:type="dxa"/>
            <w:vAlign w:val="bottom"/>
            <w:tcBorders>
              <w:bottom w:val="single" w:sz="8" w:color="0A248E"/>
            </w:tcBorders>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380" w:type="dxa"/>
            <w:vAlign w:val="bottom"/>
            <w:tcBorders>
              <w:right w:val="single" w:sz="8" w:color="0A248E"/>
            </w:tcBorders>
            <w:shd w:val="clear" w:color="auto" w:fill="0A248E"/>
          </w:tcPr>
          <w:p>
            <w:pPr>
              <w:spacing w:after="0"/>
              <w:rPr>
                <w:sz w:val="17"/>
                <w:szCs w:val="17"/>
                <w:color w:val="auto"/>
              </w:rPr>
            </w:pPr>
          </w:p>
        </w:tc>
        <w:tc>
          <w:tcPr>
            <w:tcW w:w="60" w:type="dxa"/>
            <w:vAlign w:val="bottom"/>
            <w:tcBorders>
              <w:right w:val="single" w:sz="8" w:color="0A248E"/>
            </w:tcBorders>
          </w:tcPr>
          <w:p>
            <w:pPr>
              <w:spacing w:after="0"/>
              <w:rPr>
                <w:sz w:val="17"/>
                <w:szCs w:val="17"/>
                <w:color w:val="auto"/>
              </w:rPr>
            </w:pPr>
          </w:p>
        </w:tc>
        <w:tc>
          <w:tcPr>
            <w:tcW w:w="2460" w:type="dxa"/>
            <w:vAlign w:val="bottom"/>
            <w:tcBorders>
              <w:right w:val="single" w:sz="8" w:color="0A248E"/>
            </w:tcBorders>
            <w:vMerge w:val="continue"/>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2720" w:type="dxa"/>
            <w:vAlign w:val="bottom"/>
            <w:shd w:val="clear" w:color="auto" w:fill="0A248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tcBorders>
              <w:right w:val="single" w:sz="8" w:color="0A248E"/>
            </w:tcBorders>
            <w:shd w:val="clear" w:color="auto" w:fill="0A248E"/>
          </w:tcPr>
          <w:p>
            <w:pPr>
              <w:spacing w:after="0"/>
              <w:rPr>
                <w:sz w:val="18"/>
                <w:szCs w:val="18"/>
                <w:color w:val="auto"/>
              </w:rPr>
            </w:pPr>
          </w:p>
        </w:tc>
        <w:tc>
          <w:tcPr>
            <w:tcW w:w="60" w:type="dxa"/>
            <w:vAlign w:val="bottom"/>
            <w:tcBorders>
              <w:right w:val="single" w:sz="8" w:color="0A248E"/>
            </w:tcBorders>
          </w:tcPr>
          <w:p>
            <w:pPr>
              <w:spacing w:after="0"/>
              <w:rPr>
                <w:sz w:val="18"/>
                <w:szCs w:val="18"/>
                <w:color w:val="auto"/>
              </w:rPr>
            </w:pPr>
          </w:p>
        </w:tc>
        <w:tc>
          <w:tcPr>
            <w:tcW w:w="246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Cash Bonus Opportunity</w:t>
            </w:r>
          </w:p>
        </w:tc>
        <w:tc>
          <w:tcPr>
            <w:tcW w:w="20" w:type="dxa"/>
            <w:vAlign w:val="bottom"/>
            <w:shd w:val="clear" w:color="auto" w:fill="0A248E"/>
          </w:tcPr>
          <w:p>
            <w:pPr>
              <w:spacing w:after="0"/>
              <w:rPr>
                <w:sz w:val="18"/>
                <w:szCs w:val="18"/>
                <w:color w:val="auto"/>
              </w:rPr>
            </w:pPr>
          </w:p>
        </w:tc>
        <w:tc>
          <w:tcPr>
            <w:tcW w:w="2720" w:type="dxa"/>
            <w:vAlign w:val="bottom"/>
            <w:shd w:val="clear" w:color="auto" w:fill="0A248E"/>
          </w:tcPr>
          <w:p>
            <w:pPr>
              <w:jc w:val="center"/>
              <w:ind w:right="314"/>
              <w:spacing w:after="0"/>
              <w:rPr>
                <w:sz w:val="20"/>
                <w:szCs w:val="20"/>
                <w:color w:val="auto"/>
              </w:rPr>
            </w:pPr>
            <w:r>
              <w:rPr>
                <w:rFonts w:ascii="Arial" w:cs="Arial" w:eastAsia="Arial" w:hAnsi="Arial"/>
                <w:sz w:val="15"/>
                <w:szCs w:val="15"/>
                <w:b w:val="1"/>
                <w:bCs w:val="1"/>
                <w:color w:val="FFFFFF"/>
              </w:rPr>
              <w:t>2025 Target Annual Cash</w:t>
            </w:r>
          </w:p>
        </w:tc>
        <w:tc>
          <w:tcPr>
            <w:tcW w:w="0" w:type="dxa"/>
            <w:vAlign w:val="bottom"/>
          </w:tcPr>
          <w:p>
            <w:pPr>
              <w:spacing w:after="0"/>
              <w:rPr>
                <w:sz w:val="1"/>
                <w:szCs w:val="1"/>
                <w:color w:val="auto"/>
              </w:rPr>
            </w:pPr>
          </w:p>
        </w:tc>
      </w:tr>
      <w:tr>
        <w:trPr>
          <w:trHeight w:val="257"/>
        </w:trPr>
        <w:tc>
          <w:tcPr>
            <w:tcW w:w="4380" w:type="dxa"/>
            <w:vAlign w:val="bottom"/>
            <w:tcBorders>
              <w:right w:val="single" w:sz="8" w:color="0A248E"/>
            </w:tcBorders>
            <w:shd w:val="clear" w:color="auto" w:fill="0A248E"/>
          </w:tcPr>
          <w:p>
            <w:pPr>
              <w:ind w:left="100"/>
              <w:spacing w:after="0"/>
              <w:rPr>
                <w:sz w:val="20"/>
                <w:szCs w:val="20"/>
                <w:color w:val="auto"/>
              </w:rPr>
            </w:pPr>
            <w:r>
              <w:rPr>
                <w:rFonts w:ascii="Arial" w:cs="Arial" w:eastAsia="Arial" w:hAnsi="Arial"/>
                <w:sz w:val="15"/>
                <w:szCs w:val="15"/>
                <w:b w:val="1"/>
                <w:bCs w:val="1"/>
                <w:color w:val="FFFFFF"/>
              </w:rPr>
              <w:t>Named Executive Officer</w:t>
            </w:r>
          </w:p>
        </w:tc>
        <w:tc>
          <w:tcPr>
            <w:tcW w:w="60" w:type="dxa"/>
            <w:vAlign w:val="bottom"/>
            <w:tcBorders>
              <w:right w:val="single" w:sz="8" w:color="0A248E"/>
            </w:tcBorders>
          </w:tcPr>
          <w:p>
            <w:pPr>
              <w:spacing w:after="0"/>
              <w:rPr>
                <w:sz w:val="22"/>
                <w:szCs w:val="22"/>
                <w:color w:val="auto"/>
              </w:rPr>
            </w:pPr>
          </w:p>
        </w:tc>
        <w:tc>
          <w:tcPr>
            <w:tcW w:w="246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(as a Percentage of Base Salary)</w:t>
            </w:r>
          </w:p>
        </w:tc>
        <w:tc>
          <w:tcPr>
            <w:tcW w:w="20" w:type="dxa"/>
            <w:vAlign w:val="bottom"/>
            <w:shd w:val="clear" w:color="auto" w:fill="0A248E"/>
          </w:tcPr>
          <w:p>
            <w:pPr>
              <w:spacing w:after="0"/>
              <w:rPr>
                <w:sz w:val="22"/>
                <w:szCs w:val="22"/>
                <w:color w:val="auto"/>
              </w:rPr>
            </w:pPr>
          </w:p>
        </w:tc>
        <w:tc>
          <w:tcPr>
            <w:tcW w:w="2720" w:type="dxa"/>
            <w:vAlign w:val="bottom"/>
            <w:shd w:val="clear" w:color="auto" w:fill="0A248E"/>
          </w:tcPr>
          <w:p>
            <w:pPr>
              <w:jc w:val="center"/>
              <w:ind w:right="314"/>
              <w:spacing w:after="0"/>
              <w:rPr>
                <w:sz w:val="20"/>
                <w:szCs w:val="20"/>
                <w:color w:val="auto"/>
              </w:rPr>
            </w:pPr>
            <w:r>
              <w:rPr>
                <w:rFonts w:ascii="Arial" w:cs="Arial" w:eastAsia="Arial" w:hAnsi="Arial"/>
                <w:sz w:val="15"/>
                <w:szCs w:val="15"/>
                <w:b w:val="1"/>
                <w:bCs w:val="1"/>
                <w:color w:val="FFFFFF"/>
              </w:rPr>
              <w:t>Bonus Opportunity ($)</w:t>
            </w:r>
            <w:r>
              <w:rPr>
                <w:rFonts w:ascii="Arial" w:cs="Arial" w:eastAsia="Arial" w:hAnsi="Arial"/>
                <w:sz w:val="19"/>
                <w:szCs w:val="19"/>
                <w:b w:val="1"/>
                <w:bCs w:val="1"/>
                <w:color w:val="FFFFFF"/>
                <w:vertAlign w:val="superscript"/>
              </w:rPr>
              <w:t>(1)</w:t>
            </w:r>
          </w:p>
        </w:tc>
        <w:tc>
          <w:tcPr>
            <w:tcW w:w="0" w:type="dxa"/>
            <w:vAlign w:val="bottom"/>
          </w:tcPr>
          <w:p>
            <w:pPr>
              <w:spacing w:after="0"/>
              <w:rPr>
                <w:sz w:val="1"/>
                <w:szCs w:val="1"/>
                <w:color w:val="auto"/>
              </w:rPr>
            </w:pPr>
          </w:p>
        </w:tc>
      </w:tr>
      <w:tr>
        <w:trPr>
          <w:trHeight w:val="117"/>
        </w:trPr>
        <w:tc>
          <w:tcPr>
            <w:tcW w:w="4380" w:type="dxa"/>
            <w:vAlign w:val="bottom"/>
            <w:shd w:val="clear" w:color="auto" w:fill="0A248E"/>
          </w:tcPr>
          <w:p>
            <w:pPr>
              <w:spacing w:after="0"/>
              <w:rPr>
                <w:sz w:val="10"/>
                <w:szCs w:val="10"/>
                <w:color w:val="auto"/>
              </w:rPr>
            </w:pPr>
          </w:p>
        </w:tc>
        <w:tc>
          <w:tcPr>
            <w:tcW w:w="60" w:type="dxa"/>
            <w:vAlign w:val="bottom"/>
            <w:tcBorders>
              <w:right w:val="single" w:sz="8" w:color="0A248E"/>
            </w:tcBorders>
          </w:tcPr>
          <w:p>
            <w:pPr>
              <w:spacing w:after="0"/>
              <w:rPr>
                <w:sz w:val="10"/>
                <w:szCs w:val="10"/>
                <w:color w:val="auto"/>
              </w:rPr>
            </w:pPr>
          </w:p>
        </w:tc>
        <w:tc>
          <w:tcPr>
            <w:tcW w:w="2460" w:type="dxa"/>
            <w:vAlign w:val="bottom"/>
            <w:tcBorders>
              <w:right w:val="single" w:sz="8" w:color="0A248E"/>
            </w:tcBorders>
            <w:shd w:val="clear" w:color="auto" w:fill="0A248E"/>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4380" w:type="dxa"/>
            <w:vAlign w:val="bottom"/>
            <w:tcBorders>
              <w:bottom w:val="single" w:sz="8" w:color="E6E6E6"/>
              <w:right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Andrew W. Houston</w:t>
            </w:r>
          </w:p>
        </w:tc>
        <w:tc>
          <w:tcPr>
            <w:tcW w:w="60" w:type="dxa"/>
            <w:vAlign w:val="bottom"/>
            <w:tcBorders>
              <w:right w:val="single" w:sz="8" w:color="E6E6E6"/>
            </w:tcBorders>
          </w:tcPr>
          <w:p>
            <w:pPr>
              <w:spacing w:after="0"/>
              <w:rPr>
                <w:sz w:val="23"/>
                <w:szCs w:val="23"/>
                <w:color w:val="auto"/>
              </w:rPr>
            </w:pPr>
          </w:p>
        </w:tc>
        <w:tc>
          <w:tcPr>
            <w:tcW w:w="24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100%</w:t>
            </w:r>
          </w:p>
        </w:tc>
        <w:tc>
          <w:tcPr>
            <w:tcW w:w="20" w:type="dxa"/>
            <w:vAlign w:val="bottom"/>
            <w:tcBorders>
              <w:bottom w:val="single" w:sz="8" w:color="E6E6E6"/>
            </w:tcBorders>
            <w:shd w:val="clear" w:color="auto" w:fill="E6E6E6"/>
          </w:tcPr>
          <w:p>
            <w:pPr>
              <w:spacing w:after="0"/>
              <w:rPr>
                <w:sz w:val="23"/>
                <w:szCs w:val="23"/>
                <w:color w:val="auto"/>
              </w:rPr>
            </w:pPr>
          </w:p>
        </w:tc>
        <w:tc>
          <w:tcPr>
            <w:tcW w:w="2720" w:type="dxa"/>
            <w:vAlign w:val="bottom"/>
            <w:tcBorders>
              <w:bottom w:val="single" w:sz="8" w:color="E6E6E6"/>
            </w:tcBorders>
            <w:shd w:val="clear" w:color="auto" w:fill="E6E6E6"/>
          </w:tcPr>
          <w:p>
            <w:pPr>
              <w:jc w:val="center"/>
              <w:ind w:right="274"/>
              <w:spacing w:after="0"/>
              <w:rPr>
                <w:sz w:val="20"/>
                <w:szCs w:val="20"/>
                <w:color w:val="auto"/>
              </w:rPr>
            </w:pPr>
            <w:r>
              <w:rPr>
                <w:rFonts w:ascii="Arial" w:cs="Arial" w:eastAsia="Arial" w:hAnsi="Arial"/>
                <w:sz w:val="18"/>
                <w:szCs w:val="18"/>
                <w:color w:val="auto"/>
                <w:w w:val="98"/>
              </w:rPr>
              <w:t>800,000</w:t>
            </w:r>
          </w:p>
        </w:tc>
        <w:tc>
          <w:tcPr>
            <w:tcW w:w="0" w:type="dxa"/>
            <w:vAlign w:val="bottom"/>
          </w:tcPr>
          <w:p>
            <w:pPr>
              <w:spacing w:after="0"/>
              <w:rPr>
                <w:sz w:val="1"/>
                <w:szCs w:val="1"/>
                <w:color w:val="auto"/>
              </w:rPr>
            </w:pPr>
          </w:p>
        </w:tc>
      </w:tr>
      <w:tr>
        <w:trPr>
          <w:trHeight w:val="253"/>
        </w:trPr>
        <w:tc>
          <w:tcPr>
            <w:tcW w:w="4380" w:type="dxa"/>
            <w:vAlign w:val="bottom"/>
          </w:tcPr>
          <w:p>
            <w:pPr>
              <w:ind w:left="100"/>
              <w:spacing w:after="0" w:line="253" w:lineRule="exact"/>
              <w:rPr>
                <w:sz w:val="20"/>
                <w:szCs w:val="20"/>
                <w:color w:val="auto"/>
              </w:rPr>
            </w:pPr>
            <w:r>
              <w:rPr>
                <w:rFonts w:ascii="Arial" w:cs="Arial" w:eastAsia="Arial" w:hAnsi="Arial"/>
                <w:sz w:val="18"/>
                <w:szCs w:val="18"/>
                <w:color w:val="auto"/>
              </w:rPr>
              <w:t>Ross Tennenbaum</w:t>
            </w:r>
            <w:r>
              <w:rPr>
                <w:rFonts w:ascii="Arial" w:cs="Arial" w:eastAsia="Arial" w:hAnsi="Arial"/>
                <w:sz w:val="23"/>
                <w:szCs w:val="23"/>
                <w:color w:val="auto"/>
                <w:vertAlign w:val="superscript"/>
              </w:rPr>
              <w:t>(2)</w:t>
            </w:r>
          </w:p>
        </w:tc>
        <w:tc>
          <w:tcPr>
            <w:tcW w:w="60" w:type="dxa"/>
            <w:vAlign w:val="bottom"/>
          </w:tcPr>
          <w:p>
            <w:pPr>
              <w:spacing w:after="0"/>
              <w:rPr>
                <w:sz w:val="21"/>
                <w:szCs w:val="21"/>
                <w:color w:val="auto"/>
              </w:rPr>
            </w:pPr>
          </w:p>
        </w:tc>
        <w:tc>
          <w:tcPr>
            <w:tcW w:w="2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2720" w:type="dxa"/>
            <w:vAlign w:val="bottom"/>
          </w:tcPr>
          <w:p>
            <w:pPr>
              <w:jc w:val="center"/>
              <w:ind w:right="274"/>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380" w:type="dxa"/>
            <w:vAlign w:val="bottom"/>
            <w:tcBorders>
              <w:bottom w:val="single" w:sz="8" w:color="E6E6E6"/>
              <w:right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Timothy Regan</w:t>
            </w:r>
          </w:p>
        </w:tc>
        <w:tc>
          <w:tcPr>
            <w:tcW w:w="60" w:type="dxa"/>
            <w:vAlign w:val="bottom"/>
            <w:tcBorders>
              <w:right w:val="single" w:sz="8" w:color="E6E6E6"/>
            </w:tcBorders>
          </w:tcPr>
          <w:p>
            <w:pPr>
              <w:spacing w:after="0"/>
              <w:rPr>
                <w:sz w:val="22"/>
                <w:szCs w:val="22"/>
                <w:color w:val="auto"/>
              </w:rPr>
            </w:pPr>
          </w:p>
        </w:tc>
        <w:tc>
          <w:tcPr>
            <w:tcW w:w="24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85%</w:t>
            </w:r>
          </w:p>
        </w:tc>
        <w:tc>
          <w:tcPr>
            <w:tcW w:w="20" w:type="dxa"/>
            <w:vAlign w:val="bottom"/>
            <w:tcBorders>
              <w:bottom w:val="single" w:sz="8" w:color="E6E6E6"/>
            </w:tcBorders>
            <w:shd w:val="clear" w:color="auto" w:fill="E6E6E6"/>
          </w:tcPr>
          <w:p>
            <w:pPr>
              <w:spacing w:after="0"/>
              <w:rPr>
                <w:sz w:val="22"/>
                <w:szCs w:val="22"/>
                <w:color w:val="auto"/>
              </w:rPr>
            </w:pPr>
          </w:p>
        </w:tc>
        <w:tc>
          <w:tcPr>
            <w:tcW w:w="2720" w:type="dxa"/>
            <w:vAlign w:val="bottom"/>
            <w:tcBorders>
              <w:bottom w:val="single" w:sz="8" w:color="E6E6E6"/>
            </w:tcBorders>
            <w:shd w:val="clear" w:color="auto" w:fill="E6E6E6"/>
          </w:tcPr>
          <w:p>
            <w:pPr>
              <w:jc w:val="center"/>
              <w:ind w:right="274"/>
              <w:spacing w:after="0"/>
              <w:rPr>
                <w:sz w:val="20"/>
                <w:szCs w:val="20"/>
                <w:color w:val="auto"/>
              </w:rPr>
            </w:pPr>
            <w:r>
              <w:rPr>
                <w:rFonts w:ascii="Arial" w:cs="Arial" w:eastAsia="Arial" w:hAnsi="Arial"/>
                <w:sz w:val="18"/>
                <w:szCs w:val="18"/>
                <w:color w:val="auto"/>
                <w:w w:val="98"/>
              </w:rPr>
              <w:t>476,000</w:t>
            </w:r>
          </w:p>
        </w:tc>
        <w:tc>
          <w:tcPr>
            <w:tcW w:w="0" w:type="dxa"/>
            <w:vAlign w:val="bottom"/>
          </w:tcPr>
          <w:p>
            <w:pPr>
              <w:spacing w:after="0"/>
              <w:rPr>
                <w:sz w:val="1"/>
                <w:szCs w:val="1"/>
                <w:color w:val="auto"/>
              </w:rPr>
            </w:pPr>
          </w:p>
        </w:tc>
      </w:tr>
      <w:tr>
        <w:trPr>
          <w:trHeight w:val="314"/>
        </w:trPr>
        <w:tc>
          <w:tcPr>
            <w:tcW w:w="4380" w:type="dxa"/>
            <w:vAlign w:val="bottom"/>
          </w:tcPr>
          <w:p>
            <w:pPr>
              <w:ind w:left="100"/>
              <w:spacing w:after="0"/>
              <w:rPr>
                <w:sz w:val="20"/>
                <w:szCs w:val="20"/>
                <w:color w:val="auto"/>
              </w:rPr>
            </w:pPr>
            <w:r>
              <w:rPr>
                <w:rFonts w:ascii="Arial" w:cs="Arial" w:eastAsia="Arial" w:hAnsi="Arial"/>
                <w:sz w:val="18"/>
                <w:szCs w:val="18"/>
                <w:color w:val="auto"/>
              </w:rPr>
              <w:t>William Yoon</w:t>
            </w:r>
            <w:r>
              <w:rPr>
                <w:rFonts w:ascii="Arial" w:cs="Arial" w:eastAsia="Arial" w:hAnsi="Arial"/>
                <w:sz w:val="23"/>
                <w:szCs w:val="23"/>
                <w:color w:val="auto"/>
                <w:vertAlign w:val="superscript"/>
              </w:rPr>
              <w:t>(3)</w:t>
            </w: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w w:val="99"/>
              </w:rPr>
              <w:t>75%</w:t>
            </w:r>
          </w:p>
        </w:tc>
        <w:tc>
          <w:tcPr>
            <w:tcW w:w="20" w:type="dxa"/>
            <w:vAlign w:val="bottom"/>
          </w:tcPr>
          <w:p>
            <w:pPr>
              <w:spacing w:after="0"/>
              <w:rPr>
                <w:sz w:val="24"/>
                <w:szCs w:val="24"/>
                <w:color w:val="auto"/>
              </w:rPr>
            </w:pPr>
          </w:p>
        </w:tc>
        <w:tc>
          <w:tcPr>
            <w:tcW w:w="2720" w:type="dxa"/>
            <w:vAlign w:val="bottom"/>
          </w:tcPr>
          <w:p>
            <w:pPr>
              <w:jc w:val="center"/>
              <w:ind w:right="274"/>
              <w:spacing w:after="0"/>
              <w:rPr>
                <w:sz w:val="20"/>
                <w:szCs w:val="20"/>
                <w:color w:val="auto"/>
              </w:rPr>
            </w:pPr>
            <w:r>
              <w:rPr>
                <w:rFonts w:ascii="Arial" w:cs="Arial" w:eastAsia="Arial" w:hAnsi="Arial"/>
                <w:sz w:val="18"/>
                <w:szCs w:val="18"/>
                <w:color w:val="auto"/>
                <w:w w:val="98"/>
              </w:rPr>
              <w:t>320,188</w:t>
            </w:r>
          </w:p>
        </w:tc>
        <w:tc>
          <w:tcPr>
            <w:tcW w:w="0" w:type="dxa"/>
            <w:vAlign w:val="bottom"/>
          </w:tcPr>
          <w:p>
            <w:pPr>
              <w:spacing w:after="0"/>
              <w:rPr>
                <w:sz w:val="1"/>
                <w:szCs w:val="1"/>
                <w:color w:val="auto"/>
              </w:rPr>
            </w:pPr>
          </w:p>
        </w:tc>
      </w:tr>
      <w:tr>
        <w:trPr>
          <w:trHeight w:val="294"/>
        </w:trPr>
        <w:tc>
          <w:tcPr>
            <w:tcW w:w="4380" w:type="dxa"/>
            <w:vAlign w:val="bottom"/>
            <w:tcBorders>
              <w:bottom w:val="single" w:sz="8" w:color="E6E6E6"/>
              <w:right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Ali Dasdan</w:t>
            </w:r>
            <w:r>
              <w:rPr>
                <w:rFonts w:ascii="Arial" w:cs="Arial" w:eastAsia="Arial" w:hAnsi="Arial"/>
                <w:sz w:val="23"/>
                <w:szCs w:val="23"/>
                <w:color w:val="auto"/>
                <w:vertAlign w:val="superscript"/>
              </w:rPr>
              <w:t>(4)</w:t>
            </w:r>
          </w:p>
        </w:tc>
        <w:tc>
          <w:tcPr>
            <w:tcW w:w="2520" w:type="dxa"/>
            <w:vAlign w:val="bottom"/>
            <w:tcBorders>
              <w:bottom w:val="single" w:sz="8" w:color="E6E6E6"/>
              <w:righ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5"/>
              </w:rPr>
              <w:t>100%</w:t>
            </w:r>
          </w:p>
        </w:tc>
        <w:tc>
          <w:tcPr>
            <w:tcW w:w="20" w:type="dxa"/>
            <w:vAlign w:val="bottom"/>
            <w:tcBorders>
              <w:bottom w:val="single" w:sz="8" w:color="E6E6E6"/>
            </w:tcBorders>
            <w:shd w:val="clear" w:color="auto" w:fill="E6E6E6"/>
          </w:tcPr>
          <w:p>
            <w:pPr>
              <w:spacing w:after="0"/>
              <w:rPr>
                <w:sz w:val="24"/>
                <w:szCs w:val="24"/>
                <w:color w:val="auto"/>
              </w:rPr>
            </w:pPr>
          </w:p>
        </w:tc>
        <w:tc>
          <w:tcPr>
            <w:tcW w:w="2720" w:type="dxa"/>
            <w:vAlign w:val="bottom"/>
            <w:tcBorders>
              <w:bottom w:val="single" w:sz="8" w:color="E6E6E6"/>
            </w:tcBorders>
            <w:shd w:val="clear" w:color="auto" w:fill="E6E6E6"/>
          </w:tcPr>
          <w:p>
            <w:pPr>
              <w:jc w:val="center"/>
              <w:ind w:right="274"/>
              <w:spacing w:after="0"/>
              <w:rPr>
                <w:sz w:val="20"/>
                <w:szCs w:val="20"/>
                <w:color w:val="auto"/>
              </w:rPr>
            </w:pPr>
            <w:r>
              <w:rPr>
                <w:rFonts w:ascii="Arial" w:cs="Arial" w:eastAsia="Arial" w:hAnsi="Arial"/>
                <w:sz w:val="18"/>
                <w:szCs w:val="18"/>
                <w:color w:val="auto"/>
                <w:w w:val="98"/>
              </w:rPr>
              <w:t>416,438</w:t>
            </w:r>
          </w:p>
        </w:tc>
        <w:tc>
          <w:tcPr>
            <w:tcW w:w="0" w:type="dxa"/>
            <w:vAlign w:val="bottom"/>
          </w:tcPr>
          <w:p>
            <w:pPr>
              <w:spacing w:after="0"/>
              <w:rPr>
                <w:sz w:val="1"/>
                <w:szCs w:val="1"/>
                <w:color w:val="auto"/>
              </w:rPr>
            </w:pPr>
          </w:p>
        </w:tc>
      </w:tr>
      <w:tr>
        <w:trPr>
          <w:trHeight w:val="313"/>
        </w:trPr>
        <w:tc>
          <w:tcPr>
            <w:tcW w:w="4380" w:type="dxa"/>
            <w:vAlign w:val="bottom"/>
          </w:tcPr>
          <w:p>
            <w:pPr>
              <w:ind w:left="100"/>
              <w:spacing w:after="0"/>
              <w:rPr>
                <w:sz w:val="20"/>
                <w:szCs w:val="20"/>
                <w:color w:val="auto"/>
              </w:rPr>
            </w:pPr>
            <w:r>
              <w:rPr>
                <w:rFonts w:ascii="Arial" w:cs="Arial" w:eastAsia="Arial" w:hAnsi="Arial"/>
                <w:sz w:val="18"/>
                <w:szCs w:val="18"/>
                <w:color w:val="auto"/>
              </w:rPr>
              <w:t>Ashraf Alkarmi</w:t>
            </w: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w w:val="95"/>
              </w:rPr>
              <w:t>100%</w:t>
            </w:r>
          </w:p>
        </w:tc>
        <w:tc>
          <w:tcPr>
            <w:tcW w:w="20" w:type="dxa"/>
            <w:vAlign w:val="bottom"/>
          </w:tcPr>
          <w:p>
            <w:pPr>
              <w:spacing w:after="0"/>
              <w:rPr>
                <w:sz w:val="24"/>
                <w:szCs w:val="24"/>
                <w:color w:val="auto"/>
              </w:rPr>
            </w:pPr>
          </w:p>
        </w:tc>
        <w:tc>
          <w:tcPr>
            <w:tcW w:w="2720" w:type="dxa"/>
            <w:vAlign w:val="bottom"/>
          </w:tcPr>
          <w:p>
            <w:pPr>
              <w:jc w:val="center"/>
              <w:ind w:right="274"/>
              <w:spacing w:after="0"/>
              <w:rPr>
                <w:sz w:val="20"/>
                <w:szCs w:val="20"/>
                <w:color w:val="auto"/>
              </w:rPr>
            </w:pPr>
            <w:r>
              <w:rPr>
                <w:rFonts w:ascii="Arial" w:cs="Arial" w:eastAsia="Arial" w:hAnsi="Arial"/>
                <w:sz w:val="18"/>
                <w:szCs w:val="18"/>
                <w:color w:val="auto"/>
                <w:w w:val="98"/>
              </w:rPr>
              <w:t>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4387850</wp:posOffset>
                </wp:positionH>
                <wp:positionV relativeFrom="paragraph">
                  <wp:posOffset>-1137920</wp:posOffset>
                </wp:positionV>
                <wp:extent cx="0" cy="18161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61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5pt,-89.5999pt" to="345.5pt,-75.2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2783205</wp:posOffset>
                </wp:positionH>
                <wp:positionV relativeFrom="paragraph">
                  <wp:posOffset>-775335</wp:posOffset>
                </wp:positionV>
                <wp:extent cx="0" cy="17843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4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15pt,-61.0499pt" to="219.15pt,-47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4387850</wp:posOffset>
                </wp:positionH>
                <wp:positionV relativeFrom="paragraph">
                  <wp:posOffset>-775335</wp:posOffset>
                </wp:positionV>
                <wp:extent cx="0" cy="17843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4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5pt,-61.0499pt" to="345.5pt,-47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4387850</wp:posOffset>
                </wp:positionH>
                <wp:positionV relativeFrom="paragraph">
                  <wp:posOffset>-397510</wp:posOffset>
                </wp:positionV>
                <wp:extent cx="0" cy="19875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75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5pt,-31.2999pt" to="345.5pt,-15.6499pt" o:allowincell="f" strokecolor="#FFFFFF" strokeweight="1.4039pt"/>
            </w:pict>
          </mc:Fallback>
        </mc:AlternateConten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hanging="475"/>
        <w:spacing w:after="0"/>
        <w:tabs>
          <w:tab w:leader="none" w:pos="52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56" w:name="page57"/>
    <w:bookmarkEnd w:id="56"/>
    <w:p>
      <w:pPr>
        <w:ind w:left="7"/>
        <w:spacing w:after="0"/>
        <w:rPr>
          <w:sz w:val="20"/>
          <w:szCs w:val="20"/>
          <w:color w:val="auto"/>
        </w:rPr>
      </w:pPr>
      <w:r>
        <w:rPr>
          <w:rFonts w:ascii="Arial" w:cs="Arial" w:eastAsia="Arial" w:hAnsi="Arial"/>
          <w:sz w:val="33"/>
          <w:szCs w:val="33"/>
          <w:color w:val="0A248E"/>
        </w:rPr>
        <w:t>EXECUTIVE COMPENSATION (continued)</w:t>
      </w:r>
    </w:p>
    <w:p>
      <w:pPr>
        <w:spacing w:after="0" w:line="283" w:lineRule="exact"/>
        <w:rPr>
          <w:sz w:val="20"/>
          <w:szCs w:val="20"/>
          <w:color w:val="auto"/>
        </w:rPr>
      </w:pPr>
    </w:p>
    <w:p>
      <w:pPr>
        <w:ind w:left="347" w:right="60" w:hanging="347"/>
        <w:spacing w:after="0"/>
        <w:tabs>
          <w:tab w:leader="none" w:pos="347" w:val="left"/>
        </w:tabs>
        <w:numPr>
          <w:ilvl w:val="0"/>
          <w:numId w:val="63"/>
        </w:numPr>
        <w:rPr>
          <w:rFonts w:ascii="Arial" w:cs="Arial" w:eastAsia="Arial" w:hAnsi="Arial"/>
          <w:sz w:val="20"/>
          <w:szCs w:val="20"/>
          <w:color w:val="auto"/>
          <w:vertAlign w:val="superscript"/>
        </w:rPr>
      </w:pPr>
      <w:r>
        <w:rPr>
          <w:rFonts w:ascii="Arial" w:cs="Arial" w:eastAsia="Arial" w:hAnsi="Arial"/>
          <w:sz w:val="15"/>
          <w:szCs w:val="15"/>
          <w:color w:val="auto"/>
        </w:rPr>
        <w:t>Target annual cash bonus opportunities are shown as of December 31, 2025. Target annual cash bonus opportunities are prorated as applicable to reflect any salary and/or target bonus changes as well as employment start dates in 2025.</w:t>
      </w:r>
    </w:p>
    <w:p>
      <w:pPr>
        <w:ind w:left="347" w:hanging="347"/>
        <w:spacing w:after="0" w:line="210" w:lineRule="auto"/>
        <w:tabs>
          <w:tab w:leader="none" w:pos="347" w:val="left"/>
        </w:tabs>
        <w:numPr>
          <w:ilvl w:val="0"/>
          <w:numId w:val="63"/>
        </w:numPr>
        <w:rPr>
          <w:rFonts w:ascii="Arial" w:cs="Arial" w:eastAsia="Arial" w:hAnsi="Arial"/>
          <w:sz w:val="20"/>
          <w:szCs w:val="20"/>
          <w:color w:val="auto"/>
          <w:vertAlign w:val="superscript"/>
        </w:rPr>
      </w:pPr>
      <w:r>
        <w:rPr>
          <w:rFonts w:ascii="Arial" w:cs="Arial" w:eastAsia="Arial" w:hAnsi="Arial"/>
          <w:sz w:val="15"/>
          <w:szCs w:val="15"/>
          <w:color w:val="auto"/>
        </w:rPr>
        <w:t>Mr. Tennenbaum joined the company in December 2025 and therefore was not eligible to receive an annual cash bonus for 2025.</w:t>
      </w:r>
    </w:p>
    <w:p>
      <w:pPr>
        <w:ind w:left="347" w:right="60" w:hanging="347"/>
        <w:spacing w:after="0"/>
        <w:tabs>
          <w:tab w:leader="none" w:pos="347" w:val="left"/>
        </w:tabs>
        <w:numPr>
          <w:ilvl w:val="0"/>
          <w:numId w:val="63"/>
        </w:numPr>
        <w:rPr>
          <w:rFonts w:ascii="Arial" w:cs="Arial" w:eastAsia="Arial" w:hAnsi="Arial"/>
          <w:sz w:val="20"/>
          <w:szCs w:val="20"/>
          <w:color w:val="auto"/>
          <w:vertAlign w:val="superscript"/>
        </w:rPr>
      </w:pPr>
      <w:r>
        <w:rPr>
          <w:rFonts w:ascii="Arial" w:cs="Arial" w:eastAsia="Arial" w:hAnsi="Arial"/>
          <w:sz w:val="15"/>
          <w:szCs w:val="15"/>
          <w:color w:val="auto"/>
        </w:rPr>
        <w:t>Mr. Yoon's target annual cash bonus opportunity reflects the adjustments to his base salary and target annual cash bonus opportunity during 2025 in connection with his appointment to Chief Legal Officer.</w:t>
      </w:r>
    </w:p>
    <w:p>
      <w:pPr>
        <w:ind w:left="347" w:hanging="347"/>
        <w:spacing w:after="0" w:line="219" w:lineRule="auto"/>
        <w:tabs>
          <w:tab w:leader="none" w:pos="347" w:val="left"/>
        </w:tabs>
        <w:numPr>
          <w:ilvl w:val="0"/>
          <w:numId w:val="63"/>
        </w:numPr>
        <w:rPr>
          <w:rFonts w:ascii="Arial" w:cs="Arial" w:eastAsia="Arial" w:hAnsi="Arial"/>
          <w:sz w:val="20"/>
          <w:szCs w:val="20"/>
          <w:color w:val="auto"/>
          <w:vertAlign w:val="superscript"/>
        </w:rPr>
      </w:pPr>
      <w:r>
        <w:rPr>
          <w:rFonts w:ascii="Arial" w:cs="Arial" w:eastAsia="Arial" w:hAnsi="Arial"/>
          <w:sz w:val="15"/>
          <w:szCs w:val="15"/>
          <w:color w:val="auto"/>
        </w:rPr>
        <w:t>Mr. Dasdan's target annual cash bonus amount is prorated based on his start date.</w:t>
      </w:r>
    </w:p>
    <w:p>
      <w:pPr>
        <w:spacing w:after="0" w:line="164" w:lineRule="exact"/>
        <w:rPr>
          <w:sz w:val="20"/>
          <w:szCs w:val="20"/>
          <w:color w:val="auto"/>
        </w:rPr>
      </w:pPr>
    </w:p>
    <w:p>
      <w:pPr>
        <w:ind w:left="7" w:right="420"/>
        <w:spacing w:after="0" w:line="305" w:lineRule="auto"/>
        <w:rPr>
          <w:sz w:val="20"/>
          <w:szCs w:val="20"/>
          <w:color w:val="auto"/>
        </w:rPr>
      </w:pPr>
      <w:r>
        <w:rPr>
          <w:rFonts w:ascii="Arial" w:cs="Arial" w:eastAsia="Arial" w:hAnsi="Arial"/>
          <w:sz w:val="18"/>
          <w:szCs w:val="18"/>
          <w:color w:val="auto"/>
        </w:rPr>
        <w:t>Potential annual cash bonus payments for our executive officers under the 2025 Cash Bonus Plan ranged from zero to 187.5% of their target annual cash bonus opportunity.</w:t>
      </w:r>
    </w:p>
    <w:p>
      <w:pPr>
        <w:spacing w:after="0" w:line="314" w:lineRule="exact"/>
        <w:rPr>
          <w:sz w:val="20"/>
          <w:szCs w:val="20"/>
          <w:color w:val="auto"/>
        </w:rPr>
      </w:pPr>
    </w:p>
    <w:tbl>
      <w:tblPr>
        <w:tblLayout w:type="fixed"/>
        <w:tblInd w:w="467" w:type="dxa"/>
        <w:tblCellMar>
          <w:top w:w="0" w:type="dxa"/>
          <w:left w:w="0" w:type="dxa"/>
          <w:bottom w:w="0" w:type="dxa"/>
          <w:right w:w="0" w:type="dxa"/>
        </w:tblCellMar>
      </w:tblPr>
      <w:tr>
        <w:trPr>
          <w:trHeight w:val="281"/>
        </w:trPr>
        <w:tc>
          <w:tcPr>
            <w:tcW w:w="60" w:type="dxa"/>
            <w:vAlign w:val="bottom"/>
            <w:shd w:val="clear" w:color="auto" w:fill="0A248E"/>
          </w:tcPr>
          <w:p>
            <w:pPr>
              <w:spacing w:after="0"/>
              <w:rPr>
                <w:sz w:val="24"/>
                <w:szCs w:val="24"/>
                <w:color w:val="auto"/>
              </w:rPr>
            </w:pPr>
          </w:p>
        </w:tc>
        <w:tc>
          <w:tcPr>
            <w:tcW w:w="166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8"/>
                <w:szCs w:val="18"/>
                <w:color w:val="FFFFFF"/>
                <w:w w:val="96"/>
              </w:rPr>
              <w:t>Individual Bonus</w:t>
            </w:r>
          </w:p>
        </w:tc>
        <w:tc>
          <w:tcPr>
            <w:tcW w:w="620" w:type="dxa"/>
            <w:vAlign w:val="bottom"/>
            <w:tcBorders>
              <w:right w:val="single" w:sz="8" w:color="0A248E"/>
            </w:tcBorders>
          </w:tcPr>
          <w:p>
            <w:pPr>
              <w:spacing w:after="0"/>
              <w:rPr>
                <w:sz w:val="24"/>
                <w:szCs w:val="24"/>
                <w:color w:val="auto"/>
              </w:rPr>
            </w:pPr>
          </w:p>
        </w:tc>
        <w:tc>
          <w:tcPr>
            <w:tcW w:w="17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8"/>
                <w:szCs w:val="18"/>
                <w:color w:val="FFFFFF"/>
                <w:w w:val="97"/>
              </w:rPr>
              <w:t>Corporate</w:t>
            </w:r>
          </w:p>
        </w:tc>
        <w:tc>
          <w:tcPr>
            <w:tcW w:w="640" w:type="dxa"/>
            <w:vAlign w:val="bottom"/>
            <w:tcBorders>
              <w:right w:val="single" w:sz="8" w:color="0A248E"/>
            </w:tcBorders>
          </w:tcPr>
          <w:p>
            <w:pPr>
              <w:spacing w:after="0"/>
              <w:rPr>
                <w:sz w:val="24"/>
                <w:szCs w:val="24"/>
                <w:color w:val="auto"/>
              </w:rPr>
            </w:pPr>
          </w:p>
        </w:tc>
        <w:tc>
          <w:tcPr>
            <w:tcW w:w="17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8"/>
                <w:szCs w:val="18"/>
                <w:color w:val="FFFFFF"/>
                <w:w w:val="97"/>
              </w:rPr>
              <w:t>Individual</w:t>
            </w:r>
          </w:p>
        </w:tc>
        <w:tc>
          <w:tcPr>
            <w:tcW w:w="640" w:type="dxa"/>
            <w:vAlign w:val="bottom"/>
            <w:tcBorders>
              <w:right w:val="single" w:sz="8" w:color="0A248E"/>
            </w:tcBorders>
          </w:tcPr>
          <w:p>
            <w:pPr>
              <w:spacing w:after="0"/>
              <w:rPr>
                <w:sz w:val="24"/>
                <w:szCs w:val="24"/>
                <w:color w:val="auto"/>
              </w:rPr>
            </w:pPr>
          </w:p>
        </w:tc>
        <w:tc>
          <w:tcPr>
            <w:tcW w:w="1640" w:type="dxa"/>
            <w:vAlign w:val="bottom"/>
            <w:vMerge w:val="restart"/>
            <w:shd w:val="clear" w:color="auto" w:fill="0A248E"/>
          </w:tcPr>
          <w:p>
            <w:pPr>
              <w:jc w:val="center"/>
              <w:spacing w:after="0"/>
              <w:rPr>
                <w:sz w:val="20"/>
                <w:szCs w:val="20"/>
                <w:color w:val="auto"/>
              </w:rPr>
            </w:pPr>
            <w:r>
              <w:rPr>
                <w:rFonts w:ascii="Arial" w:cs="Arial" w:eastAsia="Arial" w:hAnsi="Arial"/>
                <w:sz w:val="18"/>
                <w:szCs w:val="18"/>
                <w:color w:val="FFFFFF"/>
                <w:w w:val="96"/>
              </w:rPr>
              <w:t>Bonus Payout</w:t>
            </w:r>
          </w:p>
        </w:tc>
        <w:tc>
          <w:tcPr>
            <w:tcW w:w="6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0A248E"/>
          </w:tcPr>
          <w:p>
            <w:pPr>
              <w:spacing w:after="0"/>
              <w:rPr>
                <w:sz w:val="10"/>
                <w:szCs w:val="10"/>
                <w:color w:val="auto"/>
              </w:rPr>
            </w:pPr>
          </w:p>
        </w:tc>
        <w:tc>
          <w:tcPr>
            <w:tcW w:w="166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8"/>
                <w:szCs w:val="18"/>
                <w:color w:val="FFFFFF"/>
                <w:w w:val="92"/>
              </w:rPr>
              <w:t>Target</w:t>
            </w:r>
          </w:p>
        </w:tc>
        <w:tc>
          <w:tcPr>
            <w:tcW w:w="620" w:type="dxa"/>
            <w:vAlign w:val="bottom"/>
            <w:tcBorders>
              <w:right w:val="single" w:sz="8" w:color="0A248E"/>
            </w:tcBorders>
          </w:tcPr>
          <w:p>
            <w:pPr>
              <w:spacing w:after="0"/>
              <w:rPr>
                <w:sz w:val="10"/>
                <w:szCs w:val="10"/>
                <w:color w:val="auto"/>
              </w:rPr>
            </w:pPr>
          </w:p>
        </w:tc>
        <w:tc>
          <w:tcPr>
            <w:tcW w:w="170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8"/>
                <w:szCs w:val="18"/>
                <w:color w:val="FFFFFF"/>
                <w:w w:val="97"/>
              </w:rPr>
              <w:t>Performance</w:t>
            </w:r>
          </w:p>
        </w:tc>
        <w:tc>
          <w:tcPr>
            <w:tcW w:w="640" w:type="dxa"/>
            <w:vAlign w:val="bottom"/>
            <w:tcBorders>
              <w:right w:val="single" w:sz="8" w:color="0A248E"/>
            </w:tcBorders>
          </w:tcPr>
          <w:p>
            <w:pPr>
              <w:spacing w:after="0"/>
              <w:rPr>
                <w:sz w:val="10"/>
                <w:szCs w:val="10"/>
                <w:color w:val="auto"/>
              </w:rPr>
            </w:pPr>
          </w:p>
        </w:tc>
        <w:tc>
          <w:tcPr>
            <w:tcW w:w="170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8"/>
                <w:szCs w:val="18"/>
                <w:color w:val="FFFFFF"/>
                <w:w w:val="97"/>
              </w:rPr>
              <w:t>Performance</w:t>
            </w:r>
          </w:p>
        </w:tc>
        <w:tc>
          <w:tcPr>
            <w:tcW w:w="640" w:type="dxa"/>
            <w:vAlign w:val="bottom"/>
            <w:tcBorders>
              <w:right w:val="single" w:sz="8" w:color="0A248E"/>
            </w:tcBorders>
          </w:tcPr>
          <w:p>
            <w:pPr>
              <w:spacing w:after="0"/>
              <w:rPr>
                <w:sz w:val="10"/>
                <w:szCs w:val="10"/>
                <w:color w:val="auto"/>
              </w:rPr>
            </w:pPr>
          </w:p>
        </w:tc>
        <w:tc>
          <w:tcPr>
            <w:tcW w:w="1640" w:type="dxa"/>
            <w:vAlign w:val="bottom"/>
            <w:vMerge w:val="continue"/>
            <w:shd w:val="clear" w:color="auto" w:fill="0A248E"/>
          </w:tcPr>
          <w:p>
            <w:pPr>
              <w:spacing w:after="0"/>
              <w:rPr>
                <w:sz w:val="10"/>
                <w:szCs w:val="10"/>
                <w:color w:val="auto"/>
              </w:rPr>
            </w:pPr>
          </w:p>
        </w:tc>
        <w:tc>
          <w:tcPr>
            <w:tcW w:w="60" w:type="dxa"/>
            <w:vAlign w:val="bottom"/>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0A248E"/>
          </w:tcPr>
          <w:p>
            <w:pPr>
              <w:spacing w:after="0"/>
              <w:rPr>
                <w:sz w:val="10"/>
                <w:szCs w:val="10"/>
                <w:color w:val="auto"/>
              </w:rPr>
            </w:pPr>
          </w:p>
        </w:tc>
        <w:tc>
          <w:tcPr>
            <w:tcW w:w="1660" w:type="dxa"/>
            <w:vAlign w:val="bottom"/>
            <w:tcBorders>
              <w:right w:val="single" w:sz="8" w:color="0A248E"/>
            </w:tcBorders>
            <w:vMerge w:val="continue"/>
            <w:shd w:val="clear" w:color="auto" w:fill="0A248E"/>
          </w:tcPr>
          <w:p>
            <w:pPr>
              <w:spacing w:after="0"/>
              <w:rPr>
                <w:sz w:val="10"/>
                <w:szCs w:val="10"/>
                <w:color w:val="auto"/>
              </w:rPr>
            </w:pPr>
          </w:p>
        </w:tc>
        <w:tc>
          <w:tcPr>
            <w:tcW w:w="620" w:type="dxa"/>
            <w:vAlign w:val="bottom"/>
            <w:tcBorders>
              <w:right w:val="single" w:sz="8" w:color="0A248E"/>
            </w:tcBorders>
          </w:tcPr>
          <w:p>
            <w:pPr>
              <w:spacing w:after="0"/>
              <w:rPr>
                <w:sz w:val="10"/>
                <w:szCs w:val="10"/>
                <w:color w:val="auto"/>
              </w:rPr>
            </w:pPr>
          </w:p>
        </w:tc>
        <w:tc>
          <w:tcPr>
            <w:tcW w:w="1700" w:type="dxa"/>
            <w:vAlign w:val="bottom"/>
            <w:tcBorders>
              <w:right w:val="single" w:sz="8" w:color="0A248E"/>
            </w:tcBorders>
            <w:vMerge w:val="continue"/>
            <w:shd w:val="clear" w:color="auto" w:fill="0A248E"/>
          </w:tcPr>
          <w:p>
            <w:pPr>
              <w:spacing w:after="0"/>
              <w:rPr>
                <w:sz w:val="10"/>
                <w:szCs w:val="10"/>
                <w:color w:val="auto"/>
              </w:rPr>
            </w:pPr>
          </w:p>
        </w:tc>
        <w:tc>
          <w:tcPr>
            <w:tcW w:w="640" w:type="dxa"/>
            <w:vAlign w:val="bottom"/>
            <w:tcBorders>
              <w:right w:val="single" w:sz="8" w:color="0A248E"/>
            </w:tcBorders>
          </w:tcPr>
          <w:p>
            <w:pPr>
              <w:spacing w:after="0"/>
              <w:rPr>
                <w:sz w:val="10"/>
                <w:szCs w:val="10"/>
                <w:color w:val="auto"/>
              </w:rPr>
            </w:pPr>
          </w:p>
        </w:tc>
        <w:tc>
          <w:tcPr>
            <w:tcW w:w="1700" w:type="dxa"/>
            <w:vAlign w:val="bottom"/>
            <w:tcBorders>
              <w:right w:val="single" w:sz="8" w:color="0A248E"/>
            </w:tcBorders>
            <w:vMerge w:val="continue"/>
            <w:shd w:val="clear" w:color="auto" w:fill="0A248E"/>
          </w:tcPr>
          <w:p>
            <w:pPr>
              <w:spacing w:after="0"/>
              <w:rPr>
                <w:sz w:val="10"/>
                <w:szCs w:val="10"/>
                <w:color w:val="auto"/>
              </w:rPr>
            </w:pPr>
          </w:p>
        </w:tc>
        <w:tc>
          <w:tcPr>
            <w:tcW w:w="640" w:type="dxa"/>
            <w:vAlign w:val="bottom"/>
            <w:tcBorders>
              <w:right w:val="single" w:sz="8" w:color="0A248E"/>
            </w:tcBorders>
          </w:tcPr>
          <w:p>
            <w:pPr>
              <w:spacing w:after="0"/>
              <w:rPr>
                <w:sz w:val="10"/>
                <w:szCs w:val="10"/>
                <w:color w:val="auto"/>
              </w:rPr>
            </w:pPr>
          </w:p>
        </w:tc>
        <w:tc>
          <w:tcPr>
            <w:tcW w:w="1640" w:type="dxa"/>
            <w:vAlign w:val="bottom"/>
            <w:vMerge w:val="restart"/>
            <w:shd w:val="clear" w:color="auto" w:fill="0A248E"/>
          </w:tcPr>
          <w:p>
            <w:pPr>
              <w:jc w:val="center"/>
              <w:spacing w:after="0"/>
              <w:rPr>
                <w:sz w:val="20"/>
                <w:szCs w:val="20"/>
                <w:color w:val="auto"/>
              </w:rPr>
            </w:pPr>
            <w:r>
              <w:rPr>
                <w:rFonts w:ascii="Arial" w:cs="Arial" w:eastAsia="Arial" w:hAnsi="Arial"/>
                <w:sz w:val="14"/>
                <w:szCs w:val="14"/>
                <w:color w:val="FFFFFF"/>
                <w:w w:val="97"/>
              </w:rPr>
              <w:t>0% - 187.5% of Target</w:t>
            </w:r>
          </w:p>
        </w:tc>
        <w:tc>
          <w:tcPr>
            <w:tcW w:w="60" w:type="dxa"/>
            <w:vAlign w:val="bottom"/>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0A248E"/>
          </w:tcPr>
          <w:p>
            <w:pPr>
              <w:spacing w:after="0"/>
              <w:rPr>
                <w:sz w:val="5"/>
                <w:szCs w:val="5"/>
                <w:color w:val="auto"/>
              </w:rPr>
            </w:pPr>
          </w:p>
        </w:tc>
        <w:tc>
          <w:tcPr>
            <w:tcW w:w="166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4"/>
                <w:szCs w:val="14"/>
                <w:color w:val="FFFFFF"/>
                <w:w w:val="97"/>
              </w:rPr>
              <w:t>% of Salary</w:t>
            </w:r>
          </w:p>
        </w:tc>
        <w:tc>
          <w:tcPr>
            <w:tcW w:w="620" w:type="dxa"/>
            <w:vAlign w:val="bottom"/>
            <w:tcBorders>
              <w:right w:val="single" w:sz="8" w:color="0A248E"/>
            </w:tcBorders>
          </w:tcPr>
          <w:p>
            <w:pPr>
              <w:spacing w:after="0"/>
              <w:rPr>
                <w:sz w:val="5"/>
                <w:szCs w:val="5"/>
                <w:color w:val="auto"/>
              </w:rPr>
            </w:pPr>
          </w:p>
        </w:tc>
        <w:tc>
          <w:tcPr>
            <w:tcW w:w="170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4"/>
                <w:szCs w:val="14"/>
                <w:color w:val="FFFFFF"/>
                <w:w w:val="96"/>
              </w:rPr>
              <w:t>0% - 125%</w:t>
            </w:r>
          </w:p>
        </w:tc>
        <w:tc>
          <w:tcPr>
            <w:tcW w:w="640" w:type="dxa"/>
            <w:vAlign w:val="bottom"/>
            <w:tcBorders>
              <w:right w:val="single" w:sz="8" w:color="0A248E"/>
            </w:tcBorders>
          </w:tcPr>
          <w:p>
            <w:pPr>
              <w:spacing w:after="0"/>
              <w:rPr>
                <w:sz w:val="5"/>
                <w:szCs w:val="5"/>
                <w:color w:val="auto"/>
              </w:rPr>
            </w:pPr>
          </w:p>
        </w:tc>
        <w:tc>
          <w:tcPr>
            <w:tcW w:w="170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4"/>
                <w:szCs w:val="14"/>
                <w:color w:val="FFFFFF"/>
                <w:w w:val="99"/>
              </w:rPr>
              <w:t>0% -150%</w:t>
            </w:r>
          </w:p>
        </w:tc>
        <w:tc>
          <w:tcPr>
            <w:tcW w:w="640" w:type="dxa"/>
            <w:vAlign w:val="bottom"/>
            <w:tcBorders>
              <w:right w:val="single" w:sz="8" w:color="0A248E"/>
            </w:tcBorders>
          </w:tcPr>
          <w:p>
            <w:pPr>
              <w:spacing w:after="0"/>
              <w:rPr>
                <w:sz w:val="5"/>
                <w:szCs w:val="5"/>
                <w:color w:val="auto"/>
              </w:rPr>
            </w:pPr>
          </w:p>
        </w:tc>
        <w:tc>
          <w:tcPr>
            <w:tcW w:w="1640" w:type="dxa"/>
            <w:vAlign w:val="bottom"/>
            <w:vMerge w:val="continue"/>
            <w:shd w:val="clear" w:color="auto" w:fill="0A248E"/>
          </w:tcPr>
          <w:p>
            <w:pPr>
              <w:spacing w:after="0"/>
              <w:rPr>
                <w:sz w:val="5"/>
                <w:szCs w:val="5"/>
                <w:color w:val="auto"/>
              </w:rPr>
            </w:pPr>
          </w:p>
        </w:tc>
        <w:tc>
          <w:tcPr>
            <w:tcW w:w="6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0A248E"/>
          </w:tcPr>
          <w:p>
            <w:pPr>
              <w:spacing w:after="0"/>
              <w:rPr>
                <w:sz w:val="10"/>
                <w:szCs w:val="10"/>
                <w:color w:val="auto"/>
              </w:rPr>
            </w:pPr>
          </w:p>
        </w:tc>
        <w:tc>
          <w:tcPr>
            <w:tcW w:w="1660" w:type="dxa"/>
            <w:vAlign w:val="bottom"/>
            <w:tcBorders>
              <w:right w:val="single" w:sz="8" w:color="0A248E"/>
            </w:tcBorders>
            <w:vMerge w:val="continue"/>
            <w:shd w:val="clear" w:color="auto" w:fill="0A248E"/>
          </w:tcPr>
          <w:p>
            <w:pPr>
              <w:spacing w:after="0"/>
              <w:rPr>
                <w:sz w:val="10"/>
                <w:szCs w:val="10"/>
                <w:color w:val="auto"/>
              </w:rPr>
            </w:pPr>
          </w:p>
        </w:tc>
        <w:tc>
          <w:tcPr>
            <w:tcW w:w="620" w:type="dxa"/>
            <w:vAlign w:val="bottom"/>
            <w:tcBorders>
              <w:right w:val="single" w:sz="8" w:color="0A248E"/>
            </w:tcBorders>
          </w:tcPr>
          <w:p>
            <w:pPr>
              <w:spacing w:after="0"/>
              <w:rPr>
                <w:sz w:val="10"/>
                <w:szCs w:val="10"/>
                <w:color w:val="auto"/>
              </w:rPr>
            </w:pPr>
          </w:p>
        </w:tc>
        <w:tc>
          <w:tcPr>
            <w:tcW w:w="1700" w:type="dxa"/>
            <w:vAlign w:val="bottom"/>
            <w:tcBorders>
              <w:right w:val="single" w:sz="8" w:color="0A248E"/>
            </w:tcBorders>
            <w:vMerge w:val="continue"/>
            <w:shd w:val="clear" w:color="auto" w:fill="0A248E"/>
          </w:tcPr>
          <w:p>
            <w:pPr>
              <w:spacing w:after="0"/>
              <w:rPr>
                <w:sz w:val="10"/>
                <w:szCs w:val="10"/>
                <w:color w:val="auto"/>
              </w:rPr>
            </w:pPr>
          </w:p>
        </w:tc>
        <w:tc>
          <w:tcPr>
            <w:tcW w:w="640" w:type="dxa"/>
            <w:vAlign w:val="bottom"/>
            <w:tcBorders>
              <w:right w:val="single" w:sz="8" w:color="0A248E"/>
            </w:tcBorders>
          </w:tcPr>
          <w:p>
            <w:pPr>
              <w:spacing w:after="0"/>
              <w:rPr>
                <w:sz w:val="10"/>
                <w:szCs w:val="10"/>
                <w:color w:val="auto"/>
              </w:rPr>
            </w:pPr>
          </w:p>
        </w:tc>
        <w:tc>
          <w:tcPr>
            <w:tcW w:w="1700" w:type="dxa"/>
            <w:vAlign w:val="bottom"/>
            <w:tcBorders>
              <w:right w:val="single" w:sz="8" w:color="0A248E"/>
            </w:tcBorders>
            <w:vMerge w:val="continue"/>
            <w:shd w:val="clear" w:color="auto" w:fill="0A248E"/>
          </w:tcPr>
          <w:p>
            <w:pPr>
              <w:spacing w:after="0"/>
              <w:rPr>
                <w:sz w:val="10"/>
                <w:szCs w:val="10"/>
                <w:color w:val="auto"/>
              </w:rPr>
            </w:pPr>
          </w:p>
        </w:tc>
        <w:tc>
          <w:tcPr>
            <w:tcW w:w="640" w:type="dxa"/>
            <w:vAlign w:val="bottom"/>
            <w:tcBorders>
              <w:right w:val="single" w:sz="8" w:color="0A248E"/>
            </w:tcBorders>
          </w:tcPr>
          <w:p>
            <w:pPr>
              <w:spacing w:after="0"/>
              <w:rPr>
                <w:sz w:val="10"/>
                <w:szCs w:val="10"/>
                <w:color w:val="auto"/>
              </w:rPr>
            </w:pPr>
          </w:p>
        </w:tc>
        <w:tc>
          <w:tcPr>
            <w:tcW w:w="1640" w:type="dxa"/>
            <w:vAlign w:val="bottom"/>
            <w:shd w:val="clear" w:color="auto" w:fill="0A248E"/>
          </w:tcPr>
          <w:p>
            <w:pPr>
              <w:spacing w:after="0"/>
              <w:rPr>
                <w:sz w:val="10"/>
                <w:szCs w:val="10"/>
                <w:color w:val="auto"/>
              </w:rPr>
            </w:pPr>
          </w:p>
        </w:tc>
        <w:tc>
          <w:tcPr>
            <w:tcW w:w="60" w:type="dxa"/>
            <w:vAlign w:val="bottom"/>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60" w:type="dxa"/>
            <w:vAlign w:val="bottom"/>
            <w:shd w:val="clear" w:color="auto" w:fill="0A248E"/>
          </w:tcPr>
          <w:p>
            <w:pPr>
              <w:spacing w:after="0"/>
              <w:rPr>
                <w:sz w:val="6"/>
                <w:szCs w:val="6"/>
                <w:color w:val="auto"/>
              </w:rPr>
            </w:pPr>
          </w:p>
        </w:tc>
        <w:tc>
          <w:tcPr>
            <w:tcW w:w="1660" w:type="dxa"/>
            <w:vAlign w:val="bottom"/>
            <w:tcBorders>
              <w:right w:val="single" w:sz="8" w:color="0A248E"/>
            </w:tcBorders>
            <w:shd w:val="clear" w:color="auto" w:fill="0A248E"/>
          </w:tcPr>
          <w:p>
            <w:pPr>
              <w:spacing w:after="0"/>
              <w:rPr>
                <w:sz w:val="6"/>
                <w:szCs w:val="6"/>
                <w:color w:val="auto"/>
              </w:rPr>
            </w:pPr>
          </w:p>
        </w:tc>
        <w:tc>
          <w:tcPr>
            <w:tcW w:w="620" w:type="dxa"/>
            <w:vAlign w:val="bottom"/>
            <w:tcBorders>
              <w:right w:val="single" w:sz="8" w:color="0A248E"/>
            </w:tcBorders>
          </w:tcPr>
          <w:p>
            <w:pPr>
              <w:spacing w:after="0"/>
              <w:rPr>
                <w:sz w:val="6"/>
                <w:szCs w:val="6"/>
                <w:color w:val="auto"/>
              </w:rPr>
            </w:pPr>
          </w:p>
        </w:tc>
        <w:tc>
          <w:tcPr>
            <w:tcW w:w="1700" w:type="dxa"/>
            <w:vAlign w:val="bottom"/>
            <w:tcBorders>
              <w:right w:val="single" w:sz="8" w:color="0A248E"/>
            </w:tcBorders>
            <w:shd w:val="clear" w:color="auto" w:fill="0A248E"/>
          </w:tcPr>
          <w:p>
            <w:pPr>
              <w:spacing w:after="0"/>
              <w:rPr>
                <w:sz w:val="6"/>
                <w:szCs w:val="6"/>
                <w:color w:val="auto"/>
              </w:rPr>
            </w:pPr>
          </w:p>
        </w:tc>
        <w:tc>
          <w:tcPr>
            <w:tcW w:w="640" w:type="dxa"/>
            <w:vAlign w:val="bottom"/>
            <w:tcBorders>
              <w:right w:val="single" w:sz="8" w:color="0A248E"/>
            </w:tcBorders>
          </w:tcPr>
          <w:p>
            <w:pPr>
              <w:spacing w:after="0"/>
              <w:rPr>
                <w:sz w:val="6"/>
                <w:szCs w:val="6"/>
                <w:color w:val="auto"/>
              </w:rPr>
            </w:pPr>
          </w:p>
        </w:tc>
        <w:tc>
          <w:tcPr>
            <w:tcW w:w="1700" w:type="dxa"/>
            <w:vAlign w:val="bottom"/>
            <w:tcBorders>
              <w:right w:val="single" w:sz="8" w:color="0A248E"/>
            </w:tcBorders>
            <w:shd w:val="clear" w:color="auto" w:fill="0A248E"/>
          </w:tcPr>
          <w:p>
            <w:pPr>
              <w:spacing w:after="0"/>
              <w:rPr>
                <w:sz w:val="6"/>
                <w:szCs w:val="6"/>
                <w:color w:val="auto"/>
              </w:rPr>
            </w:pPr>
          </w:p>
        </w:tc>
        <w:tc>
          <w:tcPr>
            <w:tcW w:w="640" w:type="dxa"/>
            <w:vAlign w:val="bottom"/>
            <w:tcBorders>
              <w:right w:val="single" w:sz="8" w:color="0A248E"/>
            </w:tcBorders>
          </w:tcPr>
          <w:p>
            <w:pPr>
              <w:spacing w:after="0"/>
              <w:rPr>
                <w:sz w:val="6"/>
                <w:szCs w:val="6"/>
                <w:color w:val="auto"/>
              </w:rPr>
            </w:pPr>
          </w:p>
        </w:tc>
        <w:tc>
          <w:tcPr>
            <w:tcW w:w="1640" w:type="dxa"/>
            <w:vAlign w:val="bottom"/>
            <w:shd w:val="clear" w:color="auto" w:fill="0A248E"/>
          </w:tcPr>
          <w:p>
            <w:pPr>
              <w:spacing w:after="0"/>
              <w:rPr>
                <w:sz w:val="6"/>
                <w:szCs w:val="6"/>
                <w:color w:val="auto"/>
              </w:rPr>
            </w:pPr>
          </w:p>
        </w:tc>
        <w:tc>
          <w:tcPr>
            <w:tcW w:w="60" w:type="dxa"/>
            <w:vAlign w:val="bottom"/>
            <w:shd w:val="clear" w:color="auto" w:fill="0A248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-300355</wp:posOffset>
            </wp:positionV>
            <wp:extent cx="135890" cy="136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7">
                      <a:extLst>
                        <a:ext uri="{28A0092B-C50C-407E-A947-70E740481C1C}"/>
                      </a:extLst>
                    </a:blip>
                    <a:srcRect/>
                    <a:stretch>
                      <a:fillRect/>
                    </a:stretch>
                  </pic:blipFill>
                  <pic:spPr bwMode="auto">
                    <a:xfrm>
                      <a:off x="0" y="0"/>
                      <a:ext cx="135890" cy="13652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-300355</wp:posOffset>
            </wp:positionV>
            <wp:extent cx="135890" cy="135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8">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-287655</wp:posOffset>
            </wp:positionV>
            <wp:extent cx="135890" cy="1238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9">
                      <a:extLst>
                        <a:ext uri="{28A0092B-C50C-407E-A947-70E740481C1C}"/>
                      </a:extLst>
                    </a:blip>
                    <a:srcRect/>
                    <a:stretch>
                      <a:fillRect/>
                    </a:stretch>
                  </pic:blipFill>
                  <pic:spPr bwMode="auto">
                    <a:xfrm>
                      <a:off x="0" y="0"/>
                      <a:ext cx="135890" cy="12382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114935</wp:posOffset>
            </wp:positionV>
            <wp:extent cx="2439035" cy="259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0">
                      <a:extLst>
                        <a:ext uri="{28A0092B-C50C-407E-A947-70E740481C1C}"/>
                      </a:extLst>
                    </a:blip>
                    <a:srcRect/>
                    <a:stretch>
                      <a:fillRect/>
                    </a:stretch>
                  </pic:blipFill>
                  <pic:spPr bwMode="auto">
                    <a:xfrm>
                      <a:off x="0" y="0"/>
                      <a:ext cx="2439035" cy="25971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1807" w:type="dxa"/>
        <w:tblCellMar>
          <w:top w:w="0" w:type="dxa"/>
          <w:left w:w="0" w:type="dxa"/>
          <w:bottom w:w="0" w:type="dxa"/>
          <w:right w:w="0" w:type="dxa"/>
        </w:tblCellMar>
      </w:tblPr>
      <w:tr>
        <w:trPr>
          <w:trHeight w:val="278"/>
        </w:trPr>
        <w:tc>
          <w:tcPr>
            <w:tcW w:w="40" w:type="dxa"/>
            <w:vAlign w:val="bottom"/>
            <w:shd w:val="clear" w:color="auto" w:fill="0A248E"/>
          </w:tcPr>
          <w:p>
            <w:pPr>
              <w:spacing w:after="0"/>
              <w:rPr>
                <w:sz w:val="24"/>
                <w:szCs w:val="24"/>
                <w:color w:val="auto"/>
              </w:rPr>
            </w:pPr>
          </w:p>
        </w:tc>
        <w:tc>
          <w:tcPr>
            <w:tcW w:w="170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8"/>
                <w:szCs w:val="18"/>
                <w:color w:val="FFFFFF"/>
                <w:w w:val="99"/>
              </w:rPr>
              <w:t>Revenue</w:t>
            </w:r>
          </w:p>
        </w:tc>
        <w:tc>
          <w:tcPr>
            <w:tcW w:w="240" w:type="dxa"/>
            <w:vAlign w:val="bottom"/>
            <w:tcBorders>
              <w:right w:val="single" w:sz="8" w:color="0A248E"/>
            </w:tcBorders>
          </w:tcPr>
          <w:p>
            <w:pPr>
              <w:spacing w:after="0"/>
              <w:rPr>
                <w:sz w:val="24"/>
                <w:szCs w:val="24"/>
                <w:color w:val="auto"/>
              </w:rPr>
            </w:pPr>
          </w:p>
        </w:tc>
        <w:tc>
          <w:tcPr>
            <w:tcW w:w="1640" w:type="dxa"/>
            <w:vAlign w:val="bottom"/>
            <w:shd w:val="clear" w:color="auto" w:fill="0A248E"/>
          </w:tcPr>
          <w:p>
            <w:pPr>
              <w:jc w:val="center"/>
              <w:spacing w:after="0"/>
              <w:rPr>
                <w:sz w:val="20"/>
                <w:szCs w:val="20"/>
                <w:color w:val="auto"/>
              </w:rPr>
            </w:pPr>
            <w:r>
              <w:rPr>
                <w:rFonts w:ascii="Arial" w:cs="Arial" w:eastAsia="Arial" w:hAnsi="Arial"/>
                <w:sz w:val="18"/>
                <w:szCs w:val="18"/>
                <w:color w:val="FFFFFF"/>
                <w:w w:val="98"/>
              </w:rPr>
              <w:t>Non-GAAP</w:t>
            </w:r>
          </w:p>
        </w:tc>
        <w:tc>
          <w:tcPr>
            <w:tcW w:w="6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0" w:type="dxa"/>
            <w:vAlign w:val="bottom"/>
            <w:shd w:val="clear" w:color="auto" w:fill="0A248E"/>
          </w:tcPr>
          <w:p>
            <w:pPr>
              <w:spacing w:after="0"/>
              <w:rPr>
                <w:sz w:val="10"/>
                <w:szCs w:val="10"/>
                <w:color w:val="auto"/>
              </w:rPr>
            </w:pPr>
          </w:p>
        </w:tc>
        <w:tc>
          <w:tcPr>
            <w:tcW w:w="1700" w:type="dxa"/>
            <w:vAlign w:val="bottom"/>
            <w:tcBorders>
              <w:right w:val="single" w:sz="8" w:color="0A248E"/>
            </w:tcBorders>
            <w:vMerge w:val="continue"/>
            <w:shd w:val="clear" w:color="auto" w:fill="0A248E"/>
          </w:tcPr>
          <w:p>
            <w:pPr>
              <w:spacing w:after="0"/>
              <w:rPr>
                <w:sz w:val="10"/>
                <w:szCs w:val="10"/>
                <w:color w:val="auto"/>
              </w:rPr>
            </w:pPr>
          </w:p>
        </w:tc>
        <w:tc>
          <w:tcPr>
            <w:tcW w:w="240" w:type="dxa"/>
            <w:vAlign w:val="bottom"/>
            <w:tcBorders>
              <w:right w:val="single" w:sz="8" w:color="0A248E"/>
            </w:tcBorders>
          </w:tcPr>
          <w:p>
            <w:pPr>
              <w:spacing w:after="0"/>
              <w:rPr>
                <w:sz w:val="10"/>
                <w:szCs w:val="10"/>
                <w:color w:val="auto"/>
              </w:rPr>
            </w:pPr>
          </w:p>
        </w:tc>
        <w:tc>
          <w:tcPr>
            <w:tcW w:w="1640" w:type="dxa"/>
            <w:vAlign w:val="bottom"/>
            <w:vMerge w:val="restart"/>
            <w:shd w:val="clear" w:color="auto" w:fill="0A248E"/>
          </w:tcPr>
          <w:p>
            <w:pPr>
              <w:jc w:val="center"/>
              <w:spacing w:after="0"/>
              <w:rPr>
                <w:sz w:val="20"/>
                <w:szCs w:val="20"/>
                <w:color w:val="auto"/>
              </w:rPr>
            </w:pPr>
            <w:r>
              <w:rPr>
                <w:rFonts w:ascii="Arial" w:cs="Arial" w:eastAsia="Arial" w:hAnsi="Arial"/>
                <w:sz w:val="18"/>
                <w:szCs w:val="18"/>
                <w:color w:val="FFFFFF"/>
                <w:w w:val="97"/>
              </w:rPr>
              <w:t>Operating Margin</w:t>
            </w:r>
          </w:p>
        </w:tc>
        <w:tc>
          <w:tcPr>
            <w:tcW w:w="60" w:type="dxa"/>
            <w:vAlign w:val="bottom"/>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shd w:val="clear" w:color="auto" w:fill="0A248E"/>
          </w:tcPr>
          <w:p>
            <w:pPr>
              <w:spacing w:after="0"/>
              <w:rPr>
                <w:sz w:val="10"/>
                <w:szCs w:val="10"/>
                <w:color w:val="auto"/>
              </w:rPr>
            </w:pPr>
          </w:p>
        </w:tc>
        <w:tc>
          <w:tcPr>
            <w:tcW w:w="170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4"/>
                <w:szCs w:val="14"/>
                <w:color w:val="FFFFFF"/>
                <w:w w:val="97"/>
              </w:rPr>
              <w:t>(67% weight)</w:t>
            </w:r>
          </w:p>
        </w:tc>
        <w:tc>
          <w:tcPr>
            <w:tcW w:w="240" w:type="dxa"/>
            <w:vAlign w:val="bottom"/>
            <w:tcBorders>
              <w:right w:val="single" w:sz="8" w:color="0A248E"/>
            </w:tcBorders>
          </w:tcPr>
          <w:p>
            <w:pPr>
              <w:spacing w:after="0"/>
              <w:rPr>
                <w:sz w:val="10"/>
                <w:szCs w:val="10"/>
                <w:color w:val="auto"/>
              </w:rPr>
            </w:pPr>
          </w:p>
        </w:tc>
        <w:tc>
          <w:tcPr>
            <w:tcW w:w="1640" w:type="dxa"/>
            <w:vAlign w:val="bottom"/>
            <w:vMerge w:val="continue"/>
            <w:shd w:val="clear" w:color="auto" w:fill="0A248E"/>
          </w:tcPr>
          <w:p>
            <w:pPr>
              <w:spacing w:after="0"/>
              <w:rPr>
                <w:sz w:val="10"/>
                <w:szCs w:val="10"/>
                <w:color w:val="auto"/>
              </w:rPr>
            </w:pPr>
          </w:p>
        </w:tc>
        <w:tc>
          <w:tcPr>
            <w:tcW w:w="60" w:type="dxa"/>
            <w:vAlign w:val="bottom"/>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0" w:type="dxa"/>
            <w:vAlign w:val="bottom"/>
            <w:shd w:val="clear" w:color="auto" w:fill="0A248E"/>
          </w:tcPr>
          <w:p>
            <w:pPr>
              <w:spacing w:after="0"/>
              <w:rPr>
                <w:sz w:val="6"/>
                <w:szCs w:val="6"/>
                <w:color w:val="auto"/>
              </w:rPr>
            </w:pPr>
          </w:p>
        </w:tc>
        <w:tc>
          <w:tcPr>
            <w:tcW w:w="1700" w:type="dxa"/>
            <w:vAlign w:val="bottom"/>
            <w:tcBorders>
              <w:right w:val="single" w:sz="8" w:color="0A248E"/>
            </w:tcBorders>
            <w:vMerge w:val="continue"/>
            <w:shd w:val="clear" w:color="auto" w:fill="0A248E"/>
          </w:tcPr>
          <w:p>
            <w:pPr>
              <w:spacing w:after="0"/>
              <w:rPr>
                <w:sz w:val="6"/>
                <w:szCs w:val="6"/>
                <w:color w:val="auto"/>
              </w:rPr>
            </w:pPr>
          </w:p>
        </w:tc>
        <w:tc>
          <w:tcPr>
            <w:tcW w:w="240" w:type="dxa"/>
            <w:vAlign w:val="bottom"/>
            <w:tcBorders>
              <w:right w:val="single" w:sz="8" w:color="0A248E"/>
            </w:tcBorders>
          </w:tcPr>
          <w:p>
            <w:pPr>
              <w:spacing w:after="0"/>
              <w:rPr>
                <w:sz w:val="6"/>
                <w:szCs w:val="6"/>
                <w:color w:val="auto"/>
              </w:rPr>
            </w:pPr>
          </w:p>
        </w:tc>
        <w:tc>
          <w:tcPr>
            <w:tcW w:w="1640" w:type="dxa"/>
            <w:vAlign w:val="bottom"/>
            <w:vMerge w:val="restart"/>
            <w:shd w:val="clear" w:color="auto" w:fill="0A248E"/>
          </w:tcPr>
          <w:p>
            <w:pPr>
              <w:jc w:val="center"/>
              <w:spacing w:after="0"/>
              <w:rPr>
                <w:sz w:val="20"/>
                <w:szCs w:val="20"/>
                <w:color w:val="auto"/>
              </w:rPr>
            </w:pPr>
            <w:r>
              <w:rPr>
                <w:rFonts w:ascii="Arial" w:cs="Arial" w:eastAsia="Arial" w:hAnsi="Arial"/>
                <w:sz w:val="14"/>
                <w:szCs w:val="14"/>
                <w:color w:val="FFFFFF"/>
                <w:w w:val="97"/>
              </w:rPr>
              <w:t>(33% weight)</w:t>
            </w:r>
          </w:p>
        </w:tc>
        <w:tc>
          <w:tcPr>
            <w:tcW w:w="60" w:type="dxa"/>
            <w:vAlign w:val="bottom"/>
            <w:shd w:val="clear" w:color="auto" w:fill="0A248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0A248E"/>
          </w:tcPr>
          <w:p>
            <w:pPr>
              <w:spacing w:after="0"/>
              <w:rPr>
                <w:sz w:val="10"/>
                <w:szCs w:val="10"/>
                <w:color w:val="auto"/>
              </w:rPr>
            </w:pPr>
          </w:p>
        </w:tc>
        <w:tc>
          <w:tcPr>
            <w:tcW w:w="1700" w:type="dxa"/>
            <w:vAlign w:val="bottom"/>
            <w:tcBorders>
              <w:right w:val="single" w:sz="8" w:color="0A248E"/>
            </w:tcBorders>
            <w:shd w:val="clear" w:color="auto" w:fill="0A248E"/>
          </w:tcPr>
          <w:p>
            <w:pPr>
              <w:spacing w:after="0"/>
              <w:rPr>
                <w:sz w:val="10"/>
                <w:szCs w:val="10"/>
                <w:color w:val="auto"/>
              </w:rPr>
            </w:pPr>
          </w:p>
        </w:tc>
        <w:tc>
          <w:tcPr>
            <w:tcW w:w="240" w:type="dxa"/>
            <w:vAlign w:val="bottom"/>
            <w:tcBorders>
              <w:right w:val="single" w:sz="8" w:color="0A248E"/>
            </w:tcBorders>
          </w:tcPr>
          <w:p>
            <w:pPr>
              <w:spacing w:after="0"/>
              <w:rPr>
                <w:sz w:val="10"/>
                <w:szCs w:val="10"/>
                <w:color w:val="auto"/>
              </w:rPr>
            </w:pPr>
          </w:p>
        </w:tc>
        <w:tc>
          <w:tcPr>
            <w:tcW w:w="1640" w:type="dxa"/>
            <w:vAlign w:val="bottom"/>
            <w:vMerge w:val="continue"/>
            <w:shd w:val="clear" w:color="auto" w:fill="0A248E"/>
          </w:tcPr>
          <w:p>
            <w:pPr>
              <w:spacing w:after="0"/>
              <w:rPr>
                <w:sz w:val="10"/>
                <w:szCs w:val="10"/>
                <w:color w:val="auto"/>
              </w:rPr>
            </w:pPr>
          </w:p>
        </w:tc>
        <w:tc>
          <w:tcPr>
            <w:tcW w:w="60" w:type="dxa"/>
            <w:vAlign w:val="bottom"/>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0A248E"/>
          </w:tcPr>
          <w:p>
            <w:pPr>
              <w:spacing w:after="0"/>
              <w:rPr>
                <w:sz w:val="6"/>
                <w:szCs w:val="6"/>
                <w:color w:val="auto"/>
              </w:rPr>
            </w:pPr>
          </w:p>
        </w:tc>
        <w:tc>
          <w:tcPr>
            <w:tcW w:w="1700" w:type="dxa"/>
            <w:vAlign w:val="bottom"/>
            <w:tcBorders>
              <w:right w:val="single" w:sz="8" w:color="0A248E"/>
            </w:tcBorders>
            <w:shd w:val="clear" w:color="auto" w:fill="0A248E"/>
          </w:tcPr>
          <w:p>
            <w:pPr>
              <w:spacing w:after="0"/>
              <w:rPr>
                <w:sz w:val="6"/>
                <w:szCs w:val="6"/>
                <w:color w:val="auto"/>
              </w:rPr>
            </w:pPr>
          </w:p>
        </w:tc>
        <w:tc>
          <w:tcPr>
            <w:tcW w:w="240" w:type="dxa"/>
            <w:vAlign w:val="bottom"/>
            <w:tcBorders>
              <w:right w:val="single" w:sz="8" w:color="0A248E"/>
            </w:tcBorders>
          </w:tcPr>
          <w:p>
            <w:pPr>
              <w:spacing w:after="0"/>
              <w:rPr>
                <w:sz w:val="6"/>
                <w:szCs w:val="6"/>
                <w:color w:val="auto"/>
              </w:rPr>
            </w:pPr>
          </w:p>
        </w:tc>
        <w:tc>
          <w:tcPr>
            <w:tcW w:w="1640" w:type="dxa"/>
            <w:vAlign w:val="bottom"/>
            <w:shd w:val="clear" w:color="auto" w:fill="0A248E"/>
          </w:tcPr>
          <w:p>
            <w:pPr>
              <w:spacing w:after="0"/>
              <w:rPr>
                <w:sz w:val="6"/>
                <w:szCs w:val="6"/>
                <w:color w:val="auto"/>
              </w:rPr>
            </w:pPr>
          </w:p>
        </w:tc>
        <w:tc>
          <w:tcPr>
            <w:tcW w:w="60" w:type="dxa"/>
            <w:vAlign w:val="bottom"/>
            <w:shd w:val="clear" w:color="auto" w:fill="0A248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07"/>
          </w:cols>
          <w:pgMar w:left="1133" w:top="3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49</w:t>
      </w:r>
    </w:p>
    <w:p>
      <w:pPr>
        <w:sectPr>
          <w:pgSz w:w="11880" w:h="15480" w:orient="portrait"/>
          <w:cols w:equalWidth="0" w:num="1">
            <w:col w:w="9607"/>
          </w:cols>
          <w:pgMar w:left="1133" w:top="340" w:right="1140" w:bottom="0" w:gutter="0" w:footer="0" w:header="0"/>
          <w:type w:val="continuous"/>
        </w:sectPr>
      </w:pPr>
    </w:p>
    <w:bookmarkStart w:id="57" w:name="page58"/>
    <w:bookmarkEnd w:id="57"/>
    <w:p>
      <w:pPr>
        <w:spacing w:after="0"/>
        <w:rPr>
          <w:sz w:val="20"/>
          <w:szCs w:val="20"/>
          <w:color w:val="auto"/>
        </w:rPr>
      </w:pPr>
      <w:r>
        <w:rPr>
          <w:rFonts w:ascii="Arial" w:cs="Arial" w:eastAsia="Arial" w:hAnsi="Arial"/>
          <w:sz w:val="33"/>
          <w:szCs w:val="33"/>
          <w:color w:val="0A248E"/>
        </w:rPr>
        <w:t>EXECUTIVE COMPENSATION (continued)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Corporate Performance Measure</w:t>
      </w:r>
    </w:p>
    <w:p>
      <w:pPr>
        <w:spacing w:after="0" w:line="198"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talent and compensation committee approved annual revenue (weighted 67%) and non-GAAP operating margin (weighted 33%) as components of the corporate performance measure under the 2025 Cash Bonus Plan because it believes incorporating both annual revenue and non-GAAP operating margin aligns with our emphasis on driving profitable growth. For purposes of the 2025 Cash Bonus Plan, “annual revenue” was calculated by excluding the impact of foreign exchange from our annual revenue reflected in our audited financial statements for the 2025 fiscal year. For purposes of the 2025 Cash Bonus plan, “non-GAAP operating margin” was calculated by excluding the impact of stock-based compensation expense, acquisition-related and other expenses, amortization of acquired intangible assets, workforce reduction expenses, and net gains and losses on real estate assets. These adjustments were made to provide a clearer view of our core operating performance for the year.</w:t>
      </w:r>
    </w:p>
    <w:p>
      <w:pPr>
        <w:spacing w:after="0" w:line="138" w:lineRule="exact"/>
        <w:rPr>
          <w:sz w:val="20"/>
          <w:szCs w:val="20"/>
          <w:color w:val="auto"/>
        </w:rPr>
      </w:pPr>
    </w:p>
    <w:p>
      <w:pPr>
        <w:ind w:right="320"/>
        <w:spacing w:after="0" w:line="315" w:lineRule="auto"/>
        <w:rPr>
          <w:sz w:val="20"/>
          <w:szCs w:val="20"/>
          <w:color w:val="auto"/>
        </w:rPr>
      </w:pPr>
      <w:r>
        <w:rPr>
          <w:rFonts w:ascii="Arial" w:cs="Arial" w:eastAsia="Arial" w:hAnsi="Arial"/>
          <w:sz w:val="17"/>
          <w:szCs w:val="17"/>
          <w:color w:val="auto"/>
        </w:rPr>
        <w:t>In January 2025, the talent and compensation committee set the target performance levels under the 2025 Cash Bonus Plan at (i) $2,502 million for annual revenue and (ii) 39.0% for non-GAAP operating margin. In addition, the talent and compensation committee approved the performance matrix for funding the 2025 Cash Bonus Plan (as described below).</w:t>
      </w:r>
    </w:p>
    <w:p>
      <w:pPr>
        <w:spacing w:after="0" w:line="101" w:lineRule="exact"/>
        <w:rPr>
          <w:sz w:val="20"/>
          <w:szCs w:val="20"/>
          <w:color w:val="auto"/>
        </w:rPr>
      </w:pPr>
    </w:p>
    <w:p>
      <w:pPr>
        <w:ind w:right="320"/>
        <w:spacing w:after="0" w:line="299" w:lineRule="auto"/>
        <w:rPr>
          <w:sz w:val="20"/>
          <w:szCs w:val="20"/>
          <w:color w:val="auto"/>
        </w:rPr>
      </w:pPr>
      <w:r>
        <w:rPr>
          <w:rFonts w:ascii="Arial" w:cs="Arial" w:eastAsia="Arial" w:hAnsi="Arial"/>
          <w:sz w:val="17"/>
          <w:szCs w:val="17"/>
          <w:color w:val="auto"/>
        </w:rPr>
        <w:t>With respect to the annual revenue performance measure, funding was 0% if revenue did not meet the threshold performance level of $2,426 million. At 97% of the target revenue performance level, funding was 50%. For performance between 97% and 100% of target, the funding percentage increased linearly up to 100% at target performance. For performance between 100% and 103% of target, the funding percentage increased linearly from 100% to a maximum of 125% at 103% of target revenue. The maximum annual revenue bonus funding percentage was 125%.</w:t>
      </w:r>
    </w:p>
    <w:p>
      <w:pPr>
        <w:spacing w:after="0" w:line="12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For the non-GAAP operating margin performance measure, bonus funding was 0% if performance fell below the 35.1% threshold level. At 35.1%, bonus funding was 50%. Funding then increased linearly from 50% at 35.1% to 100% at the target performance level of 39.0%. Above target, funding increased linearly from 100% at 39.0% to a maximum of 125% at 42.9%. The maximum bonus funding percentage for this component was 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2675890</wp:posOffset>
                </wp:positionH>
                <wp:positionV relativeFrom="paragraph">
                  <wp:posOffset>50800</wp:posOffset>
                </wp:positionV>
                <wp:extent cx="0" cy="38036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0365"/>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7pt,4pt" to="210.7pt,33.95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3540760</wp:posOffset>
                </wp:positionH>
                <wp:positionV relativeFrom="paragraph">
                  <wp:posOffset>50800</wp:posOffset>
                </wp:positionV>
                <wp:extent cx="0" cy="38036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0365"/>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8pt,4pt" to="278.8pt,33.95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4402455</wp:posOffset>
                </wp:positionH>
                <wp:positionV relativeFrom="paragraph">
                  <wp:posOffset>50800</wp:posOffset>
                </wp:positionV>
                <wp:extent cx="0" cy="38036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0365"/>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65pt,4pt" to="346.65pt,33.95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5267325</wp:posOffset>
                </wp:positionH>
                <wp:positionV relativeFrom="paragraph">
                  <wp:posOffset>50800</wp:posOffset>
                </wp:positionV>
                <wp:extent cx="0" cy="38036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0365"/>
                        </a:xfrm>
                        <a:prstGeom prst="line">
                          <a:avLst/>
                        </a:prstGeom>
                        <a:solidFill>
                          <a:srgbClr val="FFFFFF"/>
                        </a:solidFill>
                        <a:ln w="11886">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75pt,4pt" to="414.75pt,33.95pt" o:allowincell="f" strokecolor="#FFFFFF" strokeweight="0.9359pt"/>
            </w:pict>
          </mc:Fallback>
        </mc:AlternateConten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180" w:type="dxa"/>
            <w:vAlign w:val="bottom"/>
            <w:tcBorders>
              <w:bottom w:val="single" w:sz="8" w:color="0A248E"/>
            </w:tcBorders>
            <w:shd w:val="clear" w:color="auto" w:fill="0A248E"/>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Weight</w:t>
            </w:r>
          </w:p>
        </w:tc>
        <w:tc>
          <w:tcPr>
            <w:tcW w:w="1360" w:type="dxa"/>
            <w:vAlign w:val="bottom"/>
            <w:tcBorders>
              <w:bottom w:val="single" w:sz="8" w:color="0A248E"/>
            </w:tcBorders>
            <w:shd w:val="clear" w:color="auto" w:fill="0A248E"/>
          </w:tcPr>
          <w:p>
            <w:pPr>
              <w:ind w:left="300"/>
              <w:spacing w:after="0"/>
              <w:rPr>
                <w:sz w:val="20"/>
                <w:szCs w:val="20"/>
                <w:color w:val="auto"/>
              </w:rPr>
            </w:pPr>
            <w:r>
              <w:rPr>
                <w:rFonts w:ascii="Arial" w:cs="Arial" w:eastAsia="Arial" w:hAnsi="Arial"/>
                <w:sz w:val="15"/>
                <w:szCs w:val="15"/>
                <w:b w:val="1"/>
                <w:bCs w:val="1"/>
                <w:color w:val="FFFFFF"/>
              </w:rPr>
              <w:t>Threshold</w:t>
            </w:r>
          </w:p>
        </w:tc>
        <w:tc>
          <w:tcPr>
            <w:tcW w:w="1360" w:type="dxa"/>
            <w:vAlign w:val="bottom"/>
            <w:tcBorders>
              <w:bottom w:val="single" w:sz="8" w:color="0A248E"/>
            </w:tcBorders>
            <w:shd w:val="clear" w:color="auto" w:fill="0A248E"/>
          </w:tcPr>
          <w:p>
            <w:pPr>
              <w:ind w:left="440"/>
              <w:spacing w:after="0"/>
              <w:rPr>
                <w:sz w:val="20"/>
                <w:szCs w:val="20"/>
                <w:color w:val="auto"/>
              </w:rPr>
            </w:pPr>
            <w:r>
              <w:rPr>
                <w:rFonts w:ascii="Arial" w:cs="Arial" w:eastAsia="Arial" w:hAnsi="Arial"/>
                <w:sz w:val="15"/>
                <w:szCs w:val="15"/>
                <w:b w:val="1"/>
                <w:bCs w:val="1"/>
                <w:color w:val="FFFFFF"/>
              </w:rPr>
              <w:t>Target</w:t>
            </w:r>
          </w:p>
        </w:tc>
        <w:tc>
          <w:tcPr>
            <w:tcW w:w="1340" w:type="dxa"/>
            <w:vAlign w:val="bottom"/>
            <w:tcBorders>
              <w:bottom w:val="single" w:sz="8" w:color="0A248E"/>
            </w:tcBorders>
            <w:shd w:val="clear" w:color="auto" w:fill="0A248E"/>
          </w:tcPr>
          <w:p>
            <w:pPr>
              <w:ind w:left="320"/>
              <w:spacing w:after="0"/>
              <w:rPr>
                <w:sz w:val="20"/>
                <w:szCs w:val="20"/>
                <w:color w:val="auto"/>
              </w:rPr>
            </w:pPr>
            <w:r>
              <w:rPr>
                <w:rFonts w:ascii="Arial" w:cs="Arial" w:eastAsia="Arial" w:hAnsi="Arial"/>
                <w:sz w:val="15"/>
                <w:szCs w:val="15"/>
                <w:b w:val="1"/>
                <w:bCs w:val="1"/>
                <w:color w:val="FFFFFF"/>
              </w:rPr>
              <w:t>Maximum</w:t>
            </w:r>
          </w:p>
        </w:tc>
      </w:tr>
      <w:tr>
        <w:trPr>
          <w:trHeight w:val="284"/>
        </w:trPr>
        <w:tc>
          <w:tcPr>
            <w:tcW w:w="41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Revenue ($M)</w:t>
            </w:r>
          </w:p>
        </w:tc>
        <w:tc>
          <w:tcPr>
            <w:tcW w:w="2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67%</w:t>
            </w:r>
          </w:p>
        </w:tc>
        <w:tc>
          <w:tcPr>
            <w:tcW w:w="1360" w:type="dxa"/>
            <w:vAlign w:val="bottom"/>
            <w:tcBorders>
              <w:bottom w:val="single" w:sz="8" w:color="E6E6E6"/>
            </w:tcBorders>
            <w:shd w:val="clear" w:color="auto" w:fill="E6E6E6"/>
          </w:tcPr>
          <w:p>
            <w:pPr>
              <w:jc w:val="right"/>
              <w:ind w:right="315"/>
              <w:spacing w:after="0"/>
              <w:rPr>
                <w:sz w:val="20"/>
                <w:szCs w:val="20"/>
                <w:color w:val="auto"/>
              </w:rPr>
            </w:pPr>
            <w:r>
              <w:rPr>
                <w:rFonts w:ascii="Arial" w:cs="Arial" w:eastAsia="Arial" w:hAnsi="Arial"/>
                <w:sz w:val="18"/>
                <w:szCs w:val="18"/>
                <w:color w:val="auto"/>
              </w:rPr>
              <w:t>$2,426</w:t>
            </w:r>
          </w:p>
        </w:tc>
        <w:tc>
          <w:tcPr>
            <w:tcW w:w="1360" w:type="dxa"/>
            <w:vAlign w:val="bottom"/>
            <w:tcBorders>
              <w:bottom w:val="single" w:sz="8" w:color="E6E6E6"/>
            </w:tcBorders>
            <w:shd w:val="clear" w:color="auto" w:fill="E6E6E6"/>
          </w:tcPr>
          <w:p>
            <w:pPr>
              <w:jc w:val="right"/>
              <w:ind w:right="315"/>
              <w:spacing w:after="0"/>
              <w:rPr>
                <w:sz w:val="20"/>
                <w:szCs w:val="20"/>
                <w:color w:val="auto"/>
              </w:rPr>
            </w:pPr>
            <w:r>
              <w:rPr>
                <w:rFonts w:ascii="Arial" w:cs="Arial" w:eastAsia="Arial" w:hAnsi="Arial"/>
                <w:sz w:val="18"/>
                <w:szCs w:val="18"/>
                <w:color w:val="auto"/>
              </w:rPr>
              <w:t>$2,502</w:t>
            </w:r>
          </w:p>
        </w:tc>
        <w:tc>
          <w:tcPr>
            <w:tcW w:w="1340" w:type="dxa"/>
            <w:vAlign w:val="bottom"/>
            <w:tcBorders>
              <w:bottom w:val="single" w:sz="8" w:color="E6E6E6"/>
            </w:tcBorders>
            <w:shd w:val="clear" w:color="auto" w:fill="E6E6E6"/>
          </w:tcPr>
          <w:p>
            <w:pPr>
              <w:jc w:val="right"/>
              <w:ind w:right="295"/>
              <w:spacing w:after="0"/>
              <w:rPr>
                <w:sz w:val="20"/>
                <w:szCs w:val="20"/>
                <w:color w:val="auto"/>
              </w:rPr>
            </w:pPr>
            <w:r>
              <w:rPr>
                <w:rFonts w:ascii="Arial" w:cs="Arial" w:eastAsia="Arial" w:hAnsi="Arial"/>
                <w:sz w:val="18"/>
                <w:szCs w:val="18"/>
                <w:color w:val="auto"/>
              </w:rPr>
              <w:t>$2,577</w:t>
            </w:r>
          </w:p>
        </w:tc>
      </w:tr>
      <w:tr>
        <w:trPr>
          <w:trHeight w:val="285"/>
        </w:trPr>
        <w:tc>
          <w:tcPr>
            <w:tcW w:w="4180" w:type="dxa"/>
            <w:vAlign w:val="bottom"/>
          </w:tcPr>
          <w:p>
            <w:pPr>
              <w:ind w:left="40"/>
              <w:spacing w:after="0"/>
              <w:rPr>
                <w:sz w:val="20"/>
                <w:szCs w:val="20"/>
                <w:color w:val="auto"/>
              </w:rPr>
            </w:pPr>
            <w:r>
              <w:rPr>
                <w:rFonts w:ascii="Arial" w:cs="Arial" w:eastAsia="Arial" w:hAnsi="Arial"/>
                <w:sz w:val="18"/>
                <w:szCs w:val="18"/>
                <w:color w:val="auto"/>
              </w:rPr>
              <w:t>Non-GAAP Operating Margin</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9"/>
              </w:rPr>
              <w:t>33%</w:t>
            </w:r>
          </w:p>
        </w:tc>
        <w:tc>
          <w:tcPr>
            <w:tcW w:w="1360" w:type="dxa"/>
            <w:vAlign w:val="bottom"/>
          </w:tcPr>
          <w:p>
            <w:pPr>
              <w:jc w:val="right"/>
              <w:ind w:right="335"/>
              <w:spacing w:after="0"/>
              <w:rPr>
                <w:sz w:val="20"/>
                <w:szCs w:val="20"/>
                <w:color w:val="auto"/>
              </w:rPr>
            </w:pPr>
            <w:r>
              <w:rPr>
                <w:rFonts w:ascii="Arial" w:cs="Arial" w:eastAsia="Arial" w:hAnsi="Arial"/>
                <w:sz w:val="18"/>
                <w:szCs w:val="18"/>
                <w:color w:val="auto"/>
              </w:rPr>
              <w:t>35.1%</w:t>
            </w:r>
          </w:p>
        </w:tc>
        <w:tc>
          <w:tcPr>
            <w:tcW w:w="1360" w:type="dxa"/>
            <w:vAlign w:val="bottom"/>
          </w:tcPr>
          <w:p>
            <w:pPr>
              <w:jc w:val="right"/>
              <w:ind w:right="335"/>
              <w:spacing w:after="0"/>
              <w:rPr>
                <w:sz w:val="20"/>
                <w:szCs w:val="20"/>
                <w:color w:val="auto"/>
              </w:rPr>
            </w:pPr>
            <w:r>
              <w:rPr>
                <w:rFonts w:ascii="Arial" w:cs="Arial" w:eastAsia="Arial" w:hAnsi="Arial"/>
                <w:sz w:val="18"/>
                <w:szCs w:val="18"/>
                <w:color w:val="auto"/>
              </w:rPr>
              <w:t>39.0%</w:t>
            </w:r>
          </w:p>
        </w:tc>
        <w:tc>
          <w:tcPr>
            <w:tcW w:w="1340" w:type="dxa"/>
            <w:vAlign w:val="bottom"/>
          </w:tcPr>
          <w:p>
            <w:pPr>
              <w:jc w:val="right"/>
              <w:ind w:right="315"/>
              <w:spacing w:after="0"/>
              <w:rPr>
                <w:sz w:val="20"/>
                <w:szCs w:val="20"/>
                <w:color w:val="auto"/>
              </w:rPr>
            </w:pPr>
            <w:r>
              <w:rPr>
                <w:rFonts w:ascii="Arial" w:cs="Arial" w:eastAsia="Arial" w:hAnsi="Arial"/>
                <w:sz w:val="18"/>
                <w:szCs w:val="18"/>
                <w:color w:val="auto"/>
              </w:rPr>
              <w:t>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6142990" cy="22421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1">
                      <a:extLst>
                        <a:ext uri="{28A0092B-C50C-407E-A947-70E740481C1C}"/>
                      </a:extLst>
                    </a:blip>
                    <a:srcRect/>
                    <a:stretch>
                      <a:fillRect/>
                    </a:stretch>
                  </pic:blipFill>
                  <pic:spPr bwMode="auto">
                    <a:xfrm>
                      <a:off x="0" y="0"/>
                      <a:ext cx="6142990" cy="224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Individual Performance Factor</w:t>
      </w:r>
    </w:p>
    <w:p>
      <w:pPr>
        <w:spacing w:after="0" w:line="203"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In determining the amount of annual cash bonus payments under the 2025 Cash Bonus Plan, the talent and compensation committee considered an evaluation of each bonus eligible executive officer’s individual performance for the year. Generally, this evaluation involved, in the case of our Chief Executive Officer, an evaluation of his performance by the talent and compensation committee and, in the case of our other executive officers, an evaluation by our Chief Executive Officer. These evaluations were based on an overall subjective assessment of each bonus eligible executive officer's performance based on company priorities for the year, and no single factor was determinative in setting bonus payout levels, nor was the impact of any individual factor on the bonus quantifiable. Dropbox operates in a highly competitive industry and we set a high bar for performance expectations for each one of our named executive officers. Our named executive officers are evaluated based on their overall performance, impact, and results.</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 w:hanging="475"/>
        <w:spacing w:after="0"/>
        <w:tabs>
          <w:tab w:leader="none" w:pos="52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58" w:name="page59"/>
    <w:bookmarkEnd w:id="58"/>
    <w:p>
      <w:pPr>
        <w:ind w:left="7"/>
        <w:spacing w:after="0"/>
        <w:rPr>
          <w:sz w:val="20"/>
          <w:szCs w:val="20"/>
          <w:color w:val="auto"/>
        </w:rPr>
      </w:pPr>
      <w:r>
        <w:rPr>
          <w:rFonts w:ascii="Arial" w:cs="Arial" w:eastAsia="Arial" w:hAnsi="Arial"/>
          <w:sz w:val="33"/>
          <w:szCs w:val="33"/>
          <w:color w:val="0A248E"/>
        </w:rPr>
        <w:t>EXECUTIVE COMPENSATION (continued)</w:t>
      </w:r>
    </w:p>
    <w:p>
      <w:pPr>
        <w:spacing w:after="0" w:line="279" w:lineRule="exact"/>
        <w:rPr>
          <w:sz w:val="20"/>
          <w:szCs w:val="20"/>
          <w:color w:val="auto"/>
        </w:rPr>
      </w:pPr>
    </w:p>
    <w:p>
      <w:pPr>
        <w:ind w:left="7"/>
        <w:spacing w:after="0"/>
        <w:rPr>
          <w:sz w:val="20"/>
          <w:szCs w:val="20"/>
          <w:color w:val="auto"/>
        </w:rPr>
      </w:pPr>
      <w:r>
        <w:rPr>
          <w:rFonts w:ascii="Arial" w:cs="Arial" w:eastAsia="Arial" w:hAnsi="Arial"/>
          <w:sz w:val="18"/>
          <w:szCs w:val="18"/>
          <w:b w:val="1"/>
          <w:bCs w:val="1"/>
          <w:u w:val="single" w:color="auto"/>
          <w:color w:val="auto"/>
        </w:rPr>
        <w:t>2025 Annual Cash Bonus Decisions</w:t>
      </w:r>
    </w:p>
    <w:p>
      <w:pPr>
        <w:spacing w:after="0" w:line="198" w:lineRule="exact"/>
        <w:rPr>
          <w:sz w:val="20"/>
          <w:szCs w:val="20"/>
          <w:color w:val="auto"/>
        </w:rPr>
      </w:pPr>
    </w:p>
    <w:p>
      <w:pPr>
        <w:ind w:left="7" w:right="40"/>
        <w:spacing w:after="0" w:line="266" w:lineRule="auto"/>
        <w:rPr>
          <w:sz w:val="20"/>
          <w:szCs w:val="20"/>
          <w:color w:val="auto"/>
        </w:rPr>
      </w:pPr>
      <w:r>
        <w:rPr>
          <w:rFonts w:ascii="Arial" w:cs="Arial" w:eastAsia="Arial" w:hAnsi="Arial"/>
          <w:sz w:val="18"/>
          <w:szCs w:val="18"/>
          <w:color w:val="auto"/>
        </w:rPr>
        <w:t>In March 2026, the talent and compensation committee, based on its evaluation of our performance against our annual operating plan, determined the size of the bonus pool based on our performance during 2025 and determined the annual cash bonus payments for our bonus eligible executive officers, including our bonus eligible named executive officers, pursuant to the 2025 Cash Bonus Plan. The talent and compensation committee reviewed our actual annual revenue performance for 2025 and determined that, for purposes of the calculation used for the 2025 Cash Bonus Plan, we had achieved annual revenue of $2,518 million, which was 101% of our annual revenue target for the year. In addition, the talent and compensation committee determined that we had achieved non-GAAP operating margin of 40.7% (for purposes of the calculation used for the 2025 Cash Bonus Plan) compared to our target of 39.0% for the year. Our revenue and non-GAAP operating margin performances resulted in a corporate performance measure of 107.3%. Accordingly, the talent and compensation committee approved a bonus funding percentage of 107.3% with respect to the corporate performance measure.</w:t>
      </w:r>
    </w:p>
    <w:p>
      <w:pPr>
        <w:spacing w:after="0" w:line="139" w:lineRule="exact"/>
        <w:rPr>
          <w:sz w:val="20"/>
          <w:szCs w:val="20"/>
          <w:color w:val="auto"/>
        </w:rPr>
      </w:pPr>
    </w:p>
    <w:p>
      <w:pPr>
        <w:ind w:left="7" w:right="80"/>
        <w:spacing w:after="0" w:line="278" w:lineRule="auto"/>
        <w:rPr>
          <w:sz w:val="20"/>
          <w:szCs w:val="20"/>
          <w:color w:val="auto"/>
        </w:rPr>
      </w:pPr>
      <w:r>
        <w:rPr>
          <w:rFonts w:ascii="Arial" w:cs="Arial" w:eastAsia="Arial" w:hAnsi="Arial"/>
          <w:sz w:val="18"/>
          <w:szCs w:val="18"/>
          <w:color w:val="auto"/>
        </w:rPr>
        <w:t>Our Chief Executive Officer evaluated the achievement of each other bonus eligible executive officer and formulated a recommendation for each such executive officer’s annual cash bonus payment for consideration by the talent and compensation committee. These recommendations were based on our Chief Executive Officer’s subjective assessment of each individual’s contributions taking into account company priorities for the year. In the case of our Chief Executive Officer, the talent and compensation committee evaluated our financial and operational performance for 2025 and formulated an annual cash bonus payment for him based on the subjective assessment of his performance.</w:t>
      </w:r>
    </w:p>
    <w:p>
      <w:pPr>
        <w:spacing w:after="0" w:line="134" w:lineRule="exact"/>
        <w:rPr>
          <w:sz w:val="20"/>
          <w:szCs w:val="20"/>
          <w:color w:val="auto"/>
        </w:rPr>
      </w:pPr>
    </w:p>
    <w:p>
      <w:pPr>
        <w:ind w:left="7" w:right="360"/>
        <w:spacing w:after="0" w:line="285" w:lineRule="auto"/>
        <w:rPr>
          <w:sz w:val="20"/>
          <w:szCs w:val="20"/>
          <w:color w:val="auto"/>
        </w:rPr>
      </w:pPr>
      <w:r>
        <w:rPr>
          <w:rFonts w:ascii="Arial" w:cs="Arial" w:eastAsia="Arial" w:hAnsi="Arial"/>
          <w:sz w:val="18"/>
          <w:szCs w:val="18"/>
          <w:color w:val="auto"/>
        </w:rPr>
        <w:t>Based on these evaluations, the talent and compensation committee approved the annual cash bonus payments for our bonus eligible named executive officers for 2025 as set forth in the table below, including adjustments for the named executive officer's individual performance factor.</w:t>
      </w:r>
    </w:p>
    <w:p>
      <w:pPr>
        <w:spacing w:after="0" w:line="51" w:lineRule="exact"/>
        <w:rPr>
          <w:sz w:val="20"/>
          <w:szCs w:val="20"/>
          <w:color w:val="auto"/>
        </w:rPr>
      </w:pPr>
    </w:p>
    <w:tbl>
      <w:tblPr>
        <w:tblLayout w:type="fixed"/>
        <w:tblInd w:w="7" w:type="dxa"/>
        <w:tblCellMar>
          <w:top w:w="0" w:type="dxa"/>
          <w:left w:w="0" w:type="dxa"/>
          <w:bottom w:w="0" w:type="dxa"/>
          <w:right w:w="0" w:type="dxa"/>
        </w:tblCellMar>
      </w:tblPr>
      <w:tr>
        <w:trPr>
          <w:trHeight w:val="61"/>
        </w:trPr>
        <w:tc>
          <w:tcPr>
            <w:tcW w:w="3400" w:type="dxa"/>
            <w:vAlign w:val="bottom"/>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1880" w:type="dxa"/>
            <w:vAlign w:val="bottom"/>
            <w:tcBorders>
              <w:right w:val="single" w:sz="8" w:color="0A248E"/>
            </w:tcBorders>
            <w:vMerge w:val="restart"/>
            <w:shd w:val="clear" w:color="auto" w:fill="0A248E"/>
          </w:tcPr>
          <w:p>
            <w:pPr>
              <w:ind w:left="200"/>
              <w:spacing w:after="0"/>
              <w:rPr>
                <w:sz w:val="20"/>
                <w:szCs w:val="20"/>
                <w:color w:val="auto"/>
              </w:rPr>
            </w:pPr>
            <w:r>
              <w:rPr>
                <w:rFonts w:ascii="Arial" w:cs="Arial" w:eastAsia="Arial" w:hAnsi="Arial"/>
                <w:sz w:val="15"/>
                <w:szCs w:val="15"/>
                <w:b w:val="1"/>
                <w:bCs w:val="1"/>
                <w:color w:val="FFFFFF"/>
              </w:rPr>
              <w:t>Target Annual Cash</w:t>
            </w:r>
          </w:p>
        </w:tc>
        <w:tc>
          <w:tcPr>
            <w:tcW w:w="80" w:type="dxa"/>
            <w:vAlign w:val="bottom"/>
            <w:tcBorders>
              <w:right w:val="single" w:sz="8" w:color="0A248E"/>
            </w:tcBorders>
          </w:tcPr>
          <w:p>
            <w:pPr>
              <w:spacing w:after="0"/>
              <w:rPr>
                <w:sz w:val="5"/>
                <w:szCs w:val="5"/>
                <w:color w:val="auto"/>
              </w:rPr>
            </w:pPr>
          </w:p>
        </w:tc>
        <w:tc>
          <w:tcPr>
            <w:tcW w:w="186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Annual Cash Bonus</w:t>
            </w:r>
          </w:p>
        </w:tc>
        <w:tc>
          <w:tcPr>
            <w:tcW w:w="20" w:type="dxa"/>
            <w:vAlign w:val="bottom"/>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225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shd w:val="clear" w:color="auto" w:fill="0A248E"/>
              </w:rPr>
              <w:t>Percentage of Target Annual</w:t>
            </w:r>
          </w:p>
        </w:tc>
        <w:tc>
          <w:tcPr>
            <w:tcW w:w="3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400" w:type="dxa"/>
            <w:vAlign w:val="bottom"/>
            <w:shd w:val="clear" w:color="auto" w:fill="0A248E"/>
          </w:tcPr>
          <w:p>
            <w:pPr>
              <w:spacing w:after="0"/>
              <w:rPr>
                <w:sz w:val="19"/>
                <w:szCs w:val="19"/>
                <w:color w:val="auto"/>
              </w:rPr>
            </w:pPr>
          </w:p>
        </w:tc>
        <w:tc>
          <w:tcPr>
            <w:tcW w:w="60" w:type="dxa"/>
            <w:vAlign w:val="bottom"/>
            <w:tcBorders>
              <w:right w:val="single" w:sz="8" w:color="0A248E"/>
            </w:tcBorders>
            <w:shd w:val="clear" w:color="auto" w:fill="0A248E"/>
          </w:tcPr>
          <w:p>
            <w:pPr>
              <w:spacing w:after="0"/>
              <w:rPr>
                <w:sz w:val="19"/>
                <w:szCs w:val="19"/>
                <w:color w:val="auto"/>
              </w:rPr>
            </w:pPr>
          </w:p>
        </w:tc>
        <w:tc>
          <w:tcPr>
            <w:tcW w:w="1880" w:type="dxa"/>
            <w:vAlign w:val="bottom"/>
            <w:tcBorders>
              <w:right w:val="single" w:sz="8" w:color="0A248E"/>
            </w:tcBorders>
            <w:vMerge w:val="continue"/>
            <w:shd w:val="clear" w:color="auto" w:fill="0A248E"/>
          </w:tcPr>
          <w:p>
            <w:pPr>
              <w:spacing w:after="0"/>
              <w:rPr>
                <w:sz w:val="19"/>
                <w:szCs w:val="19"/>
                <w:color w:val="auto"/>
              </w:rPr>
            </w:pPr>
          </w:p>
        </w:tc>
        <w:tc>
          <w:tcPr>
            <w:tcW w:w="80" w:type="dxa"/>
            <w:vAlign w:val="bottom"/>
            <w:tcBorders>
              <w:left w:val="single" w:sz="8" w:color="0A248E"/>
              <w:right w:val="single" w:sz="8" w:color="0A248E"/>
            </w:tcBorders>
          </w:tcPr>
          <w:p>
            <w:pPr>
              <w:spacing w:after="0"/>
              <w:rPr>
                <w:sz w:val="19"/>
                <w:szCs w:val="19"/>
                <w:color w:val="auto"/>
              </w:rPr>
            </w:pPr>
          </w:p>
        </w:tc>
        <w:tc>
          <w:tcPr>
            <w:tcW w:w="1860" w:type="dxa"/>
            <w:vAlign w:val="bottom"/>
            <w:vMerge w:val="continue"/>
            <w:shd w:val="clear" w:color="auto" w:fill="0A248E"/>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60" w:type="dxa"/>
            <w:vAlign w:val="bottom"/>
            <w:tcBorders>
              <w:right w:val="single" w:sz="8" w:color="0A248E"/>
            </w:tcBorders>
            <w:shd w:val="clear" w:color="auto" w:fill="0A248E"/>
          </w:tcPr>
          <w:p>
            <w:pPr>
              <w:spacing w:after="0"/>
              <w:rPr>
                <w:sz w:val="19"/>
                <w:szCs w:val="19"/>
                <w:color w:val="auto"/>
              </w:rPr>
            </w:pPr>
          </w:p>
        </w:tc>
        <w:tc>
          <w:tcPr>
            <w:tcW w:w="2250" w:type="dxa"/>
            <w:vAlign w:val="bottom"/>
            <w:vMerge w:val="continue"/>
            <w:shd w:val="clear" w:color="auto" w:fill="0A248E"/>
          </w:tcPr>
          <w:p>
            <w:pPr>
              <w:spacing w:after="0"/>
              <w:rPr>
                <w:sz w:val="19"/>
                <w:szCs w:val="19"/>
                <w:color w:val="auto"/>
              </w:rPr>
            </w:pPr>
          </w:p>
        </w:tc>
        <w:tc>
          <w:tcPr>
            <w:tcW w:w="30" w:type="dxa"/>
            <w:vAlign w:val="bottom"/>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0" w:type="dxa"/>
            <w:vAlign w:val="bottom"/>
            <w:shd w:val="clear" w:color="auto" w:fill="0A248E"/>
          </w:tcPr>
          <w:p>
            <w:pPr>
              <w:ind w:left="100"/>
              <w:spacing w:after="0"/>
              <w:rPr>
                <w:sz w:val="20"/>
                <w:szCs w:val="20"/>
                <w:color w:val="auto"/>
              </w:rPr>
            </w:pPr>
            <w:r>
              <w:rPr>
                <w:rFonts w:ascii="Arial" w:cs="Arial" w:eastAsia="Arial" w:hAnsi="Arial"/>
                <w:sz w:val="15"/>
                <w:szCs w:val="15"/>
                <w:b w:val="1"/>
                <w:bCs w:val="1"/>
                <w:color w:val="FFFFFF"/>
              </w:rPr>
              <w:t>Named Executive Officer</w:t>
            </w:r>
          </w:p>
        </w:tc>
        <w:tc>
          <w:tcPr>
            <w:tcW w:w="60" w:type="dxa"/>
            <w:vAlign w:val="bottom"/>
            <w:tcBorders>
              <w:right w:val="single" w:sz="8" w:color="0A248E"/>
            </w:tcBorders>
            <w:shd w:val="clear" w:color="auto" w:fill="0A248E"/>
          </w:tcPr>
          <w:p>
            <w:pPr>
              <w:spacing w:after="0"/>
              <w:rPr>
                <w:sz w:val="18"/>
                <w:szCs w:val="18"/>
                <w:color w:val="auto"/>
              </w:rPr>
            </w:pPr>
          </w:p>
        </w:tc>
        <w:tc>
          <w:tcPr>
            <w:tcW w:w="1880" w:type="dxa"/>
            <w:vAlign w:val="bottom"/>
            <w:tcBorders>
              <w:right w:val="single" w:sz="8" w:color="0A248E"/>
            </w:tcBorders>
            <w:shd w:val="clear" w:color="auto" w:fill="0A248E"/>
          </w:tcPr>
          <w:p>
            <w:pPr>
              <w:ind w:left="220"/>
              <w:spacing w:after="0"/>
              <w:rPr>
                <w:sz w:val="20"/>
                <w:szCs w:val="20"/>
                <w:color w:val="auto"/>
              </w:rPr>
            </w:pPr>
            <w:r>
              <w:rPr>
                <w:rFonts w:ascii="Arial" w:cs="Arial" w:eastAsia="Arial" w:hAnsi="Arial"/>
                <w:sz w:val="15"/>
                <w:szCs w:val="15"/>
                <w:b w:val="1"/>
                <w:bCs w:val="1"/>
                <w:color w:val="FFFFFF"/>
              </w:rPr>
              <w:t>Bonus Payment ($)</w:t>
            </w:r>
          </w:p>
        </w:tc>
        <w:tc>
          <w:tcPr>
            <w:tcW w:w="80" w:type="dxa"/>
            <w:vAlign w:val="bottom"/>
            <w:tcBorders>
              <w:left w:val="single" w:sz="8" w:color="0A248E"/>
              <w:right w:val="single" w:sz="8" w:color="0A248E"/>
            </w:tcBorders>
          </w:tcPr>
          <w:p>
            <w:pPr>
              <w:spacing w:after="0"/>
              <w:rPr>
                <w:sz w:val="18"/>
                <w:szCs w:val="18"/>
                <w:color w:val="auto"/>
              </w:rPr>
            </w:pPr>
          </w:p>
        </w:tc>
        <w:tc>
          <w:tcPr>
            <w:tcW w:w="18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Payment ($)</w:t>
            </w:r>
          </w:p>
        </w:tc>
        <w:tc>
          <w:tcPr>
            <w:tcW w:w="20" w:type="dxa"/>
            <w:vAlign w:val="bottom"/>
            <w:shd w:val="clear" w:color="auto" w:fill="0A248E"/>
          </w:tcPr>
          <w:p>
            <w:pPr>
              <w:spacing w:after="0"/>
              <w:rPr>
                <w:sz w:val="18"/>
                <w:szCs w:val="18"/>
                <w:color w:val="auto"/>
              </w:rPr>
            </w:pPr>
          </w:p>
        </w:tc>
        <w:tc>
          <w:tcPr>
            <w:tcW w:w="60" w:type="dxa"/>
            <w:vAlign w:val="bottom"/>
            <w:tcBorders>
              <w:right w:val="single" w:sz="8" w:color="0A248E"/>
            </w:tcBorders>
            <w:shd w:val="clear" w:color="auto" w:fill="0A248E"/>
          </w:tcPr>
          <w:p>
            <w:pPr>
              <w:spacing w:after="0"/>
              <w:rPr>
                <w:sz w:val="18"/>
                <w:szCs w:val="18"/>
                <w:color w:val="auto"/>
              </w:rPr>
            </w:pPr>
          </w:p>
        </w:tc>
        <w:tc>
          <w:tcPr>
            <w:tcW w:w="225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Cash Bonus Actually Paid</w:t>
            </w:r>
          </w:p>
        </w:tc>
        <w:tc>
          <w:tcPr>
            <w:tcW w:w="30" w:type="dxa"/>
            <w:vAlign w:val="bottom"/>
            <w:shd w:val="clear" w:color="auto" w:fill="0A248E"/>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3400" w:type="dxa"/>
            <w:vAlign w:val="bottom"/>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1880" w:type="dxa"/>
            <w:vAlign w:val="bottom"/>
            <w:tcBorders>
              <w:bottom w:val="single" w:sz="8" w:color="E6E6E6"/>
              <w:right w:val="single" w:sz="8" w:color="0A248E"/>
            </w:tcBorders>
            <w:shd w:val="clear" w:color="auto" w:fill="0A248E"/>
          </w:tcPr>
          <w:p>
            <w:pPr>
              <w:spacing w:after="0"/>
              <w:rPr>
                <w:sz w:val="5"/>
                <w:szCs w:val="5"/>
                <w:color w:val="auto"/>
              </w:rPr>
            </w:pPr>
          </w:p>
        </w:tc>
        <w:tc>
          <w:tcPr>
            <w:tcW w:w="80" w:type="dxa"/>
            <w:vAlign w:val="bottom"/>
            <w:tcBorders>
              <w:right w:val="single" w:sz="8" w:color="0A248E"/>
            </w:tcBorders>
          </w:tcPr>
          <w:p>
            <w:pPr>
              <w:spacing w:after="0"/>
              <w:rPr>
                <w:sz w:val="5"/>
                <w:szCs w:val="5"/>
                <w:color w:val="auto"/>
              </w:rPr>
            </w:pPr>
          </w:p>
        </w:tc>
        <w:tc>
          <w:tcPr>
            <w:tcW w:w="186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2250" w:type="dxa"/>
            <w:vAlign w:val="bottom"/>
            <w:shd w:val="clear" w:color="auto" w:fill="0A248E"/>
          </w:tcPr>
          <w:p>
            <w:pPr>
              <w:spacing w:after="0"/>
              <w:rPr>
                <w:sz w:val="5"/>
                <w:szCs w:val="5"/>
                <w:color w:val="auto"/>
              </w:rPr>
            </w:pPr>
          </w:p>
        </w:tc>
        <w:tc>
          <w:tcPr>
            <w:tcW w:w="3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4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Andrew W. Houston</w:t>
            </w:r>
          </w:p>
        </w:tc>
        <w:tc>
          <w:tcPr>
            <w:tcW w:w="60" w:type="dxa"/>
            <w:vAlign w:val="bottom"/>
            <w:tcBorders>
              <w:bottom w:val="single" w:sz="8" w:color="E6E6E6"/>
              <w:right w:val="single" w:sz="8" w:color="E6E6E6"/>
            </w:tcBorders>
            <w:shd w:val="clear" w:color="auto" w:fill="E6E6E6"/>
          </w:tcPr>
          <w:p>
            <w:pPr>
              <w:spacing w:after="0"/>
              <w:rPr>
                <w:sz w:val="20"/>
                <w:szCs w:val="20"/>
                <w:color w:val="auto"/>
              </w:rPr>
            </w:pPr>
          </w:p>
        </w:tc>
        <w:tc>
          <w:tcPr>
            <w:tcW w:w="188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800,000</w:t>
            </w:r>
          </w:p>
        </w:tc>
        <w:tc>
          <w:tcPr>
            <w:tcW w:w="80" w:type="dxa"/>
            <w:vAlign w:val="bottom"/>
            <w:tcBorders>
              <w:left w:val="single" w:sz="8" w:color="E6E6E6"/>
              <w:bottom w:val="single" w:sz="8" w:color="E6E6E6"/>
              <w:right w:val="single" w:sz="8" w:color="E6E6E6"/>
            </w:tcBorders>
            <w:shd w:val="clear" w:color="auto" w:fill="E6E6E6"/>
          </w:tcPr>
          <w:p>
            <w:pPr>
              <w:spacing w:after="0"/>
              <w:rPr>
                <w:sz w:val="20"/>
                <w:szCs w:val="20"/>
                <w:color w:val="auto"/>
              </w:rPr>
            </w:pPr>
          </w:p>
        </w:tc>
        <w:tc>
          <w:tcPr>
            <w:tcW w:w="18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750,400</w:t>
            </w:r>
          </w:p>
        </w:tc>
        <w:tc>
          <w:tcPr>
            <w:tcW w:w="2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right w:val="single" w:sz="8" w:color="E6E6E6"/>
            </w:tcBorders>
            <w:shd w:val="clear" w:color="auto" w:fill="E6E6E6"/>
          </w:tcPr>
          <w:p>
            <w:pPr>
              <w:spacing w:after="0"/>
              <w:rPr>
                <w:sz w:val="20"/>
                <w:szCs w:val="20"/>
                <w:color w:val="auto"/>
              </w:rPr>
            </w:pPr>
          </w:p>
        </w:tc>
        <w:tc>
          <w:tcPr>
            <w:tcW w:w="225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94%</w:t>
            </w:r>
          </w:p>
        </w:tc>
        <w:tc>
          <w:tcPr>
            <w:tcW w:w="3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3460" w:type="dxa"/>
            <w:vAlign w:val="bottom"/>
            <w:gridSpan w:val="2"/>
          </w:tcPr>
          <w:p>
            <w:pPr>
              <w:ind w:left="100"/>
              <w:spacing w:after="0"/>
              <w:rPr>
                <w:sz w:val="20"/>
                <w:szCs w:val="20"/>
                <w:color w:val="auto"/>
              </w:rPr>
            </w:pPr>
            <w:r>
              <w:rPr>
                <w:rFonts w:ascii="Arial" w:cs="Arial" w:eastAsia="Arial" w:hAnsi="Arial"/>
                <w:sz w:val="18"/>
                <w:szCs w:val="18"/>
                <w:color w:val="auto"/>
              </w:rPr>
              <w:t>Ross Tennenbaum</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2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5"/>
        </w:trPr>
        <w:tc>
          <w:tcPr>
            <w:tcW w:w="3400" w:type="dxa"/>
            <w:vAlign w:val="bottom"/>
            <w:tcBorders>
              <w:bottom w:val="single" w:sz="8" w:color="E6E6E6"/>
            </w:tcBorders>
            <w:shd w:val="clear" w:color="auto" w:fill="E6E6E6"/>
          </w:tcPr>
          <w:p>
            <w:pPr>
              <w:ind w:left="100"/>
              <w:spacing w:after="0" w:line="243" w:lineRule="exact"/>
              <w:rPr>
                <w:sz w:val="20"/>
                <w:szCs w:val="20"/>
                <w:color w:val="auto"/>
              </w:rPr>
            </w:pPr>
            <w:r>
              <w:rPr>
                <w:rFonts w:ascii="Arial" w:cs="Arial" w:eastAsia="Arial" w:hAnsi="Arial"/>
                <w:sz w:val="18"/>
                <w:szCs w:val="18"/>
                <w:color w:val="auto"/>
              </w:rPr>
              <w:t>Timothy Regan</w:t>
            </w:r>
            <w:r>
              <w:rPr>
                <w:rFonts w:ascii="Arial" w:cs="Arial" w:eastAsia="Arial" w:hAnsi="Arial"/>
                <w:sz w:val="23"/>
                <w:szCs w:val="23"/>
                <w:color w:val="auto"/>
                <w:vertAlign w:val="superscript"/>
              </w:rPr>
              <w:t>(1)</w:t>
            </w:r>
          </w:p>
        </w:tc>
        <w:tc>
          <w:tcPr>
            <w:tcW w:w="60" w:type="dxa"/>
            <w:vAlign w:val="bottom"/>
            <w:tcBorders>
              <w:bottom w:val="single" w:sz="8" w:color="E6E6E6"/>
              <w:right w:val="single" w:sz="8" w:color="E6E6E6"/>
            </w:tcBorders>
            <w:shd w:val="clear" w:color="auto" w:fill="E6E6E6"/>
          </w:tcPr>
          <w:p>
            <w:pPr>
              <w:spacing w:after="0"/>
              <w:rPr>
                <w:sz w:val="23"/>
                <w:szCs w:val="23"/>
                <w:color w:val="auto"/>
              </w:rPr>
            </w:pPr>
          </w:p>
        </w:tc>
        <w:tc>
          <w:tcPr>
            <w:tcW w:w="188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476,000</w:t>
            </w:r>
          </w:p>
        </w:tc>
        <w:tc>
          <w:tcPr>
            <w:tcW w:w="80" w:type="dxa"/>
            <w:vAlign w:val="bottom"/>
            <w:tcBorders>
              <w:left w:val="single" w:sz="8" w:color="E6E6E6"/>
              <w:bottom w:val="single" w:sz="8" w:color="E6E6E6"/>
              <w:right w:val="single" w:sz="8" w:color="E6E6E6"/>
            </w:tcBorders>
            <w:shd w:val="clear" w:color="auto" w:fill="E6E6E6"/>
          </w:tcPr>
          <w:p>
            <w:pPr>
              <w:spacing w:after="0"/>
              <w:rPr>
                <w:sz w:val="23"/>
                <w:szCs w:val="23"/>
                <w:color w:val="auto"/>
              </w:rPr>
            </w:pPr>
          </w:p>
        </w:tc>
        <w:tc>
          <w:tcPr>
            <w:tcW w:w="18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558,000</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right w:val="single" w:sz="8" w:color="E6E6E6"/>
            </w:tcBorders>
            <w:shd w:val="clear" w:color="auto" w:fill="E6E6E6"/>
          </w:tcPr>
          <w:p>
            <w:pPr>
              <w:spacing w:after="0"/>
              <w:rPr>
                <w:sz w:val="23"/>
                <w:szCs w:val="23"/>
                <w:color w:val="auto"/>
              </w:rPr>
            </w:pPr>
          </w:p>
        </w:tc>
        <w:tc>
          <w:tcPr>
            <w:tcW w:w="225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117%</w:t>
            </w:r>
          </w:p>
        </w:tc>
        <w:tc>
          <w:tcPr>
            <w:tcW w:w="3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3460" w:type="dxa"/>
            <w:vAlign w:val="bottom"/>
            <w:gridSpan w:val="2"/>
          </w:tcPr>
          <w:p>
            <w:pPr>
              <w:ind w:left="100"/>
              <w:spacing w:after="0"/>
              <w:rPr>
                <w:sz w:val="20"/>
                <w:szCs w:val="20"/>
                <w:color w:val="auto"/>
              </w:rPr>
            </w:pPr>
            <w:r>
              <w:rPr>
                <w:rFonts w:ascii="Arial" w:cs="Arial" w:eastAsia="Arial" w:hAnsi="Arial"/>
                <w:sz w:val="18"/>
                <w:szCs w:val="18"/>
                <w:color w:val="auto"/>
              </w:rPr>
              <w:t>William Yoon</w:t>
            </w: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320,188</w:t>
            </w:r>
          </w:p>
        </w:tc>
        <w:tc>
          <w:tcPr>
            <w:tcW w:w="1940" w:type="dxa"/>
            <w:vAlign w:val="bottom"/>
            <w:gridSpan w:val="2"/>
          </w:tcPr>
          <w:p>
            <w:pPr>
              <w:jc w:val="center"/>
              <w:ind w:left="11"/>
              <w:spacing w:after="0"/>
              <w:rPr>
                <w:sz w:val="20"/>
                <w:szCs w:val="20"/>
                <w:color w:val="auto"/>
              </w:rPr>
            </w:pPr>
            <w:r>
              <w:rPr>
                <w:rFonts w:ascii="Arial" w:cs="Arial" w:eastAsia="Arial" w:hAnsi="Arial"/>
                <w:sz w:val="18"/>
                <w:szCs w:val="18"/>
                <w:color w:val="auto"/>
                <w:w w:val="98"/>
              </w:rPr>
              <w:t>375,000</w:t>
            </w:r>
          </w:p>
        </w:tc>
        <w:tc>
          <w:tcPr>
            <w:tcW w:w="20" w:type="dxa"/>
            <w:vAlign w:val="bottom"/>
          </w:tcPr>
          <w:p>
            <w:pPr>
              <w:spacing w:after="0"/>
              <w:rPr>
                <w:sz w:val="24"/>
                <w:szCs w:val="24"/>
                <w:color w:val="auto"/>
              </w:rPr>
            </w:pPr>
          </w:p>
        </w:tc>
        <w:tc>
          <w:tcPr>
            <w:tcW w:w="2310" w:type="dxa"/>
            <w:vAlign w:val="bottom"/>
            <w:gridSpan w:val="2"/>
          </w:tcPr>
          <w:p>
            <w:pPr>
              <w:jc w:val="center"/>
              <w:ind w:left="1"/>
              <w:spacing w:after="0"/>
              <w:rPr>
                <w:sz w:val="20"/>
                <w:szCs w:val="20"/>
                <w:color w:val="auto"/>
              </w:rPr>
            </w:pPr>
            <w:r>
              <w:rPr>
                <w:rFonts w:ascii="Arial" w:cs="Arial" w:eastAsia="Arial" w:hAnsi="Arial"/>
                <w:sz w:val="18"/>
                <w:szCs w:val="18"/>
                <w:color w:val="auto"/>
                <w:w w:val="95"/>
              </w:rPr>
              <w:t>117%</w:t>
            </w:r>
          </w:p>
        </w:tc>
        <w:tc>
          <w:tcPr>
            <w:tcW w:w="3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60" w:type="dxa"/>
            <w:vAlign w:val="bottom"/>
            <w:tcBorders>
              <w:bottom w:val="single" w:sz="8" w:color="E6E6E6"/>
              <w:right w:val="single" w:sz="8" w:color="E6E6E6"/>
            </w:tcBorders>
            <w:gridSpan w:val="2"/>
            <w:shd w:val="clear" w:color="auto" w:fill="E6E6E6"/>
          </w:tcPr>
          <w:p>
            <w:pPr>
              <w:ind w:left="100"/>
              <w:spacing w:after="0"/>
              <w:rPr>
                <w:sz w:val="20"/>
                <w:szCs w:val="20"/>
                <w:color w:val="auto"/>
              </w:rPr>
            </w:pPr>
            <w:r>
              <w:rPr>
                <w:rFonts w:ascii="Arial" w:cs="Arial" w:eastAsia="Arial" w:hAnsi="Arial"/>
                <w:sz w:val="18"/>
                <w:szCs w:val="18"/>
                <w:color w:val="auto"/>
              </w:rPr>
              <w:t>Ali Dasdan</w:t>
            </w:r>
          </w:p>
        </w:tc>
        <w:tc>
          <w:tcPr>
            <w:tcW w:w="188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416,438</w:t>
            </w:r>
          </w:p>
        </w:tc>
        <w:tc>
          <w:tcPr>
            <w:tcW w:w="80" w:type="dxa"/>
            <w:vAlign w:val="bottom"/>
            <w:tcBorders>
              <w:left w:val="single" w:sz="8" w:color="E6E6E6"/>
              <w:bottom w:val="single" w:sz="8" w:color="E6E6E6"/>
              <w:right w:val="single" w:sz="8" w:color="E6E6E6"/>
            </w:tcBorders>
            <w:shd w:val="clear" w:color="auto" w:fill="E6E6E6"/>
          </w:tcPr>
          <w:p>
            <w:pPr>
              <w:spacing w:after="0"/>
              <w:rPr>
                <w:sz w:val="23"/>
                <w:szCs w:val="23"/>
                <w:color w:val="auto"/>
              </w:rPr>
            </w:pPr>
          </w:p>
        </w:tc>
        <w:tc>
          <w:tcPr>
            <w:tcW w:w="18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391,000</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right w:val="single" w:sz="8" w:color="E6E6E6"/>
            </w:tcBorders>
            <w:shd w:val="clear" w:color="auto" w:fill="E6E6E6"/>
          </w:tcPr>
          <w:p>
            <w:pPr>
              <w:spacing w:after="0"/>
              <w:rPr>
                <w:sz w:val="23"/>
                <w:szCs w:val="23"/>
                <w:color w:val="auto"/>
              </w:rPr>
            </w:pPr>
          </w:p>
        </w:tc>
        <w:tc>
          <w:tcPr>
            <w:tcW w:w="225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94%</w:t>
            </w:r>
          </w:p>
        </w:tc>
        <w:tc>
          <w:tcPr>
            <w:tcW w:w="3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3460" w:type="dxa"/>
            <w:vAlign w:val="bottom"/>
            <w:gridSpan w:val="2"/>
          </w:tcPr>
          <w:p>
            <w:pPr>
              <w:ind w:left="100"/>
              <w:spacing w:after="0"/>
              <w:rPr>
                <w:sz w:val="20"/>
                <w:szCs w:val="20"/>
                <w:color w:val="auto"/>
              </w:rPr>
            </w:pPr>
            <w:r>
              <w:rPr>
                <w:rFonts w:ascii="Arial" w:cs="Arial" w:eastAsia="Arial" w:hAnsi="Arial"/>
                <w:sz w:val="18"/>
                <w:szCs w:val="18"/>
                <w:color w:val="auto"/>
              </w:rPr>
              <w:t>Ashraf Alkarmi</w:t>
            </w: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500,000</w:t>
            </w:r>
          </w:p>
        </w:tc>
        <w:tc>
          <w:tcPr>
            <w:tcW w:w="1940" w:type="dxa"/>
            <w:vAlign w:val="bottom"/>
            <w:gridSpan w:val="2"/>
          </w:tcPr>
          <w:p>
            <w:pPr>
              <w:jc w:val="center"/>
              <w:ind w:left="11"/>
              <w:spacing w:after="0"/>
              <w:rPr>
                <w:sz w:val="20"/>
                <w:szCs w:val="20"/>
                <w:color w:val="auto"/>
              </w:rPr>
            </w:pPr>
            <w:r>
              <w:rPr>
                <w:rFonts w:ascii="Arial" w:cs="Arial" w:eastAsia="Arial" w:hAnsi="Arial"/>
                <w:sz w:val="18"/>
                <w:szCs w:val="18"/>
                <w:color w:val="auto"/>
                <w:w w:val="98"/>
              </w:rPr>
              <w:t>586,000</w:t>
            </w:r>
          </w:p>
        </w:tc>
        <w:tc>
          <w:tcPr>
            <w:tcW w:w="20" w:type="dxa"/>
            <w:vAlign w:val="bottom"/>
          </w:tcPr>
          <w:p>
            <w:pPr>
              <w:spacing w:after="0"/>
              <w:rPr>
                <w:sz w:val="24"/>
                <w:szCs w:val="24"/>
                <w:color w:val="auto"/>
              </w:rPr>
            </w:pPr>
          </w:p>
        </w:tc>
        <w:tc>
          <w:tcPr>
            <w:tcW w:w="2310" w:type="dxa"/>
            <w:vAlign w:val="bottom"/>
            <w:gridSpan w:val="2"/>
          </w:tcPr>
          <w:p>
            <w:pPr>
              <w:jc w:val="center"/>
              <w:ind w:left="1"/>
              <w:spacing w:after="0"/>
              <w:rPr>
                <w:sz w:val="20"/>
                <w:szCs w:val="20"/>
                <w:color w:val="auto"/>
              </w:rPr>
            </w:pPr>
            <w:r>
              <w:rPr>
                <w:rFonts w:ascii="Arial" w:cs="Arial" w:eastAsia="Arial" w:hAnsi="Arial"/>
                <w:sz w:val="18"/>
                <w:szCs w:val="18"/>
                <w:color w:val="auto"/>
                <w:w w:val="95"/>
              </w:rPr>
              <w:t>117%</w:t>
            </w:r>
          </w:p>
        </w:tc>
        <w:tc>
          <w:tcPr>
            <w:tcW w:w="3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3408680</wp:posOffset>
                </wp:positionH>
                <wp:positionV relativeFrom="paragraph">
                  <wp:posOffset>-1402080</wp:posOffset>
                </wp:positionV>
                <wp:extent cx="0" cy="27940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4pt,-110.3999pt" to="268.4pt,-88.3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2172335</wp:posOffset>
                </wp:positionH>
                <wp:positionV relativeFrom="paragraph">
                  <wp:posOffset>-1402080</wp:posOffset>
                </wp:positionV>
                <wp:extent cx="0" cy="49911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911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05pt,-110.3999pt" to="171.05pt,-71.0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4644390</wp:posOffset>
                </wp:positionH>
                <wp:positionV relativeFrom="paragraph">
                  <wp:posOffset>-1402080</wp:posOffset>
                </wp:positionV>
                <wp:extent cx="0" cy="49911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911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7pt,-110.3999pt" to="365.7pt,-71.0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2172335</wp:posOffset>
                </wp:positionH>
                <wp:positionV relativeFrom="paragraph">
                  <wp:posOffset>-724535</wp:posOffset>
                </wp:positionV>
                <wp:extent cx="0" cy="56134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134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05pt,-57.0499pt" to="171.05pt,-12.8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4644390</wp:posOffset>
                </wp:positionH>
                <wp:positionV relativeFrom="paragraph">
                  <wp:posOffset>-724535</wp:posOffset>
                </wp:positionV>
                <wp:extent cx="0" cy="72453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45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7pt,-57.0499pt" to="365.7pt,0pt" o:allowincell="f" strokecolor="#FFFFFF" strokeweight="1.4039pt"/>
            </w:pict>
          </mc:Fallback>
        </mc:AlternateContent>
      </w:r>
    </w:p>
    <w:p>
      <w:pPr>
        <w:spacing w:after="0" w:line="161" w:lineRule="exact"/>
        <w:rPr>
          <w:sz w:val="20"/>
          <w:szCs w:val="20"/>
          <w:color w:val="auto"/>
        </w:rPr>
      </w:pPr>
    </w:p>
    <w:p>
      <w:pPr>
        <w:ind w:left="347" w:right="120" w:hanging="347"/>
        <w:spacing w:after="0" w:line="231" w:lineRule="auto"/>
        <w:tabs>
          <w:tab w:leader="none" w:pos="347" w:val="left"/>
        </w:tabs>
        <w:numPr>
          <w:ilvl w:val="0"/>
          <w:numId w:val="65"/>
        </w:numPr>
        <w:rPr>
          <w:rFonts w:ascii="Arial" w:cs="Arial" w:eastAsia="Arial" w:hAnsi="Arial"/>
          <w:sz w:val="23"/>
          <w:szCs w:val="23"/>
          <w:color w:val="auto"/>
          <w:vertAlign w:val="superscript"/>
        </w:rPr>
      </w:pPr>
      <w:r>
        <w:rPr>
          <w:rFonts w:ascii="Arial" w:cs="Arial" w:eastAsia="Arial" w:hAnsi="Arial"/>
          <w:sz w:val="15"/>
          <w:szCs w:val="15"/>
          <w:color w:val="auto"/>
        </w:rPr>
        <w:t>Due to his continued employment through March 2026, Mr. Regan remained eligible to receive an annual cash bonus payment based on his 2025 target annual cash bonus opportunity.</w:t>
      </w:r>
    </w:p>
    <w:p>
      <w:pPr>
        <w:spacing w:after="0" w:line="168" w:lineRule="exact"/>
        <w:rPr>
          <w:sz w:val="20"/>
          <w:szCs w:val="20"/>
          <w:color w:val="auto"/>
        </w:rPr>
      </w:pPr>
    </w:p>
    <w:p>
      <w:pPr>
        <w:ind w:left="7" w:right="1020"/>
        <w:spacing w:after="0" w:line="310" w:lineRule="auto"/>
        <w:rPr>
          <w:sz w:val="20"/>
          <w:szCs w:val="20"/>
          <w:color w:val="auto"/>
        </w:rPr>
      </w:pPr>
      <w:r>
        <w:rPr>
          <w:rFonts w:ascii="Arial" w:cs="Arial" w:eastAsia="Arial" w:hAnsi="Arial"/>
          <w:sz w:val="18"/>
          <w:szCs w:val="18"/>
          <w:color w:val="auto"/>
        </w:rPr>
        <w:t>The annual cash bonus payments made to our named executive officers for 2025 are set forth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 for Fiscal Year 2025</w:t>
      </w:r>
      <w:r>
        <w:rPr>
          <w:rFonts w:ascii="Arial" w:cs="Arial" w:eastAsia="Arial" w:hAnsi="Arial"/>
          <w:sz w:val="18"/>
          <w:szCs w:val="18"/>
          <w:color w:val="auto"/>
        </w:rPr>
        <w:t>” below.</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Long-Term Equity Incentive Compensation</w:t>
      </w:r>
    </w:p>
    <w:p>
      <w:pPr>
        <w:spacing w:after="0" w:line="198" w:lineRule="exact"/>
        <w:rPr>
          <w:sz w:val="20"/>
          <w:szCs w:val="20"/>
          <w:color w:val="auto"/>
        </w:rPr>
      </w:pPr>
    </w:p>
    <w:p>
      <w:pPr>
        <w:ind w:left="7"/>
        <w:spacing w:after="0" w:line="284" w:lineRule="auto"/>
        <w:rPr>
          <w:sz w:val="20"/>
          <w:szCs w:val="20"/>
          <w:color w:val="auto"/>
        </w:rPr>
      </w:pPr>
      <w:r>
        <w:rPr>
          <w:rFonts w:ascii="Arial" w:cs="Arial" w:eastAsia="Arial" w:hAnsi="Arial"/>
          <w:sz w:val="18"/>
          <w:szCs w:val="18"/>
          <w:color w:val="auto"/>
        </w:rPr>
        <w:t>We view long-term equity incentive compensation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 competitive market.</w:t>
      </w:r>
    </w:p>
    <w:p>
      <w:pPr>
        <w:spacing w:after="0" w:line="125" w:lineRule="exact"/>
        <w:rPr>
          <w:sz w:val="20"/>
          <w:szCs w:val="20"/>
          <w:color w:val="auto"/>
        </w:rPr>
      </w:pPr>
    </w:p>
    <w:p>
      <w:pPr>
        <w:ind w:left="7"/>
        <w:spacing w:after="0" w:line="276" w:lineRule="auto"/>
        <w:rPr>
          <w:sz w:val="20"/>
          <w:szCs w:val="20"/>
          <w:color w:val="auto"/>
        </w:rPr>
      </w:pPr>
      <w:r>
        <w:rPr>
          <w:rFonts w:ascii="Arial" w:cs="Arial" w:eastAsia="Arial" w:hAnsi="Arial"/>
          <w:sz w:val="18"/>
          <w:szCs w:val="18"/>
          <w:color w:val="auto"/>
        </w:rPr>
        <w:t>The amount and forms of the equity awards granted to our executive officers are determined by the talent and compensation committee after considering a competitive market analysis prepared by our compensation consultant, the recommendation of our Chief Executive Officer (other than for himself), and the factors described in the section 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Compensation—Compensation-Setting Process—Compensation Setting</w:t>
      </w:r>
      <w:r>
        <w:rPr>
          <w:rFonts w:ascii="Arial" w:cs="Arial" w:eastAsia="Arial" w:hAnsi="Arial"/>
          <w:sz w:val="18"/>
          <w:szCs w:val="18"/>
          <w:color w:val="auto"/>
        </w:rPr>
        <w:t>” above. The size of the equity awards is also</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be competitive and result in target total direct compensation opportunities that the talent and compensation committee believes are reasonable and appropriate taking into consideration the factors described in the preceding sentence.</w:t>
      </w:r>
    </w:p>
    <w:p>
      <w:pPr>
        <w:spacing w:after="0" w:line="136" w:lineRule="exact"/>
        <w:rPr>
          <w:sz w:val="20"/>
          <w:szCs w:val="20"/>
          <w:color w:val="auto"/>
        </w:rPr>
      </w:pPr>
    </w:p>
    <w:p>
      <w:pPr>
        <w:ind w:left="7" w:right="80"/>
        <w:spacing w:after="0" w:line="282" w:lineRule="auto"/>
        <w:rPr>
          <w:sz w:val="20"/>
          <w:szCs w:val="20"/>
          <w:color w:val="auto"/>
        </w:rPr>
      </w:pPr>
      <w:r>
        <w:rPr>
          <w:rFonts w:ascii="Arial" w:cs="Arial" w:eastAsia="Arial" w:hAnsi="Arial"/>
          <w:sz w:val="18"/>
          <w:szCs w:val="18"/>
          <w:color w:val="auto"/>
        </w:rPr>
        <w:t>In March 2025, the talent and compensation committee approved equity grants in the form of restricted stock unit awards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covering our Class A common stock to Messrs. Regan and Yoon, each of which were effective April 1, 2025. Separately, the talent and compensation committee approved a new hire award for Mr. Alkarmi, which was granted effective January 1, 2025 and a new hire award for Mr. Dasdan, which was granted effective April 1, 2025.</w:t>
      </w:r>
    </w:p>
    <w:p>
      <w:pPr>
        <w:sectPr>
          <w:pgSz w:w="11880" w:h="15480" w:orient="portrait"/>
          <w:cols w:equalWidth="0" w:num="1">
            <w:col w:w="9647"/>
          </w:cols>
          <w:pgMar w:left="1133" w:top="340" w:right="1100" w:bottom="0" w:gutter="0" w:footer="0" w:header="0"/>
        </w:sectPr>
      </w:pPr>
    </w:p>
    <w:p>
      <w:pPr>
        <w:spacing w:after="0" w:line="392"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51</w:t>
      </w:r>
    </w:p>
    <w:p>
      <w:pPr>
        <w:sectPr>
          <w:pgSz w:w="11880" w:h="15480" w:orient="portrait"/>
          <w:cols w:equalWidth="0" w:num="1">
            <w:col w:w="9647"/>
          </w:cols>
          <w:pgMar w:left="1133" w:top="340" w:right="1100" w:bottom="0" w:gutter="0" w:footer="0" w:header="0"/>
          <w:type w:val="continuous"/>
        </w:sectPr>
      </w:pPr>
    </w:p>
    <w:bookmarkStart w:id="59" w:name="page60"/>
    <w:bookmarkEnd w:id="59"/>
    <w:p>
      <w:pPr>
        <w:ind w:left="7"/>
        <w:spacing w:after="0"/>
        <w:rPr>
          <w:sz w:val="20"/>
          <w:szCs w:val="20"/>
          <w:color w:val="auto"/>
        </w:rPr>
      </w:pPr>
      <w:r>
        <w:rPr>
          <w:rFonts w:ascii="Arial" w:cs="Arial" w:eastAsia="Arial" w:hAnsi="Arial"/>
          <w:sz w:val="33"/>
          <w:szCs w:val="33"/>
          <w:color w:val="0A248E"/>
        </w:rPr>
        <w:t>EXECUTIVE COMPENSATION (continued)</w:t>
      </w:r>
    </w:p>
    <w:p>
      <w:pPr>
        <w:spacing w:after="0" w:line="282" w:lineRule="exact"/>
        <w:rPr>
          <w:sz w:val="20"/>
          <w:szCs w:val="20"/>
          <w:color w:val="auto"/>
        </w:rPr>
      </w:pPr>
    </w:p>
    <w:p>
      <w:pPr>
        <w:ind w:left="7" w:right="80"/>
        <w:spacing w:after="0" w:line="282" w:lineRule="auto"/>
        <w:rPr>
          <w:sz w:val="20"/>
          <w:szCs w:val="20"/>
          <w:color w:val="auto"/>
        </w:rPr>
      </w:pPr>
      <w:r>
        <w:rPr>
          <w:rFonts w:ascii="Arial" w:cs="Arial" w:eastAsia="Arial" w:hAnsi="Arial"/>
          <w:sz w:val="17"/>
          <w:szCs w:val="17"/>
          <w:color w:val="auto"/>
        </w:rPr>
        <w:t>Differentiation was made among our named executive officers based on the talent and compensation committee’s review of a competitive market analysis for their respective positions, internal equity, past performance, and expected future contributions. Mr. Houston did not receive an equity grant in 2025 in light of his significant ownership position in the company and the Co-Founder Grant he received in 2017. The equity awards granted to our named executive officers in</w:t>
      </w:r>
    </w:p>
    <w:p>
      <w:pPr>
        <w:spacing w:after="0" w:line="3" w:lineRule="exact"/>
        <w:rPr>
          <w:sz w:val="20"/>
          <w:szCs w:val="20"/>
          <w:color w:val="auto"/>
        </w:rPr>
      </w:pPr>
    </w:p>
    <w:p>
      <w:pPr>
        <w:ind w:left="7"/>
        <w:spacing w:after="0"/>
        <w:rPr>
          <w:sz w:val="20"/>
          <w:szCs w:val="20"/>
          <w:color w:val="auto"/>
        </w:rPr>
      </w:pPr>
      <w:r>
        <w:rPr>
          <w:rFonts w:ascii="Arial" w:cs="Arial" w:eastAsia="Arial" w:hAnsi="Arial"/>
          <w:sz w:val="18"/>
          <w:szCs w:val="18"/>
          <w:color w:val="auto"/>
        </w:rPr>
        <w:t>2025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3658235</wp:posOffset>
                </wp:positionH>
                <wp:positionV relativeFrom="paragraph">
                  <wp:posOffset>78105</wp:posOffset>
                </wp:positionV>
                <wp:extent cx="0" cy="98615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615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05pt,6.15pt" to="288.05pt,83.8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4894580</wp:posOffset>
                </wp:positionH>
                <wp:positionV relativeFrom="paragraph">
                  <wp:posOffset>78105</wp:posOffset>
                </wp:positionV>
                <wp:extent cx="0" cy="986155"/>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615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4pt,6.15pt" to="385.4pt,83.8pt" o:allowincell="f" strokecolor="#FFFFFF" strokeweight="1.404pt"/>
            </w:pict>
          </mc:Fallback>
        </mc:AlternateContent>
      </w:r>
    </w:p>
    <w:p>
      <w:pPr>
        <w:spacing w:after="0" w:line="103" w:lineRule="exact"/>
        <w:rPr>
          <w:sz w:val="20"/>
          <w:szCs w:val="20"/>
          <w:color w:val="auto"/>
        </w:rPr>
      </w:pPr>
    </w:p>
    <w:tbl>
      <w:tblPr>
        <w:tblLayout w:type="fixed"/>
        <w:tblInd w:w="7" w:type="dxa"/>
        <w:tblCellMar>
          <w:top w:w="0" w:type="dxa"/>
          <w:left w:w="0" w:type="dxa"/>
          <w:bottom w:w="0" w:type="dxa"/>
          <w:right w:w="0" w:type="dxa"/>
        </w:tblCellMar>
      </w:tblPr>
      <w:tr>
        <w:trPr>
          <w:trHeight w:val="61"/>
        </w:trPr>
        <w:tc>
          <w:tcPr>
            <w:tcW w:w="40" w:type="dxa"/>
            <w:vAlign w:val="bottom"/>
            <w:shd w:val="clear" w:color="auto" w:fill="0A248E"/>
          </w:tcPr>
          <w:p>
            <w:pPr>
              <w:spacing w:after="0"/>
              <w:rPr>
                <w:sz w:val="5"/>
                <w:szCs w:val="5"/>
                <w:color w:val="auto"/>
              </w:rPr>
            </w:pPr>
          </w:p>
        </w:tc>
        <w:tc>
          <w:tcPr>
            <w:tcW w:w="570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920" w:type="dxa"/>
            <w:vAlign w:val="bottom"/>
            <w:shd w:val="clear" w:color="auto" w:fill="0A248E"/>
          </w:tcPr>
          <w:p>
            <w:pPr>
              <w:spacing w:after="0"/>
              <w:rPr>
                <w:sz w:val="5"/>
                <w:szCs w:val="5"/>
                <w:color w:val="auto"/>
              </w:rPr>
            </w:pPr>
          </w:p>
        </w:tc>
        <w:tc>
          <w:tcPr>
            <w:tcW w:w="80" w:type="dxa"/>
            <w:vAlign w:val="bottom"/>
            <w:tcBorders>
              <w:right w:val="single" w:sz="8" w:color="0A248E"/>
            </w:tcBorders>
          </w:tcPr>
          <w:p>
            <w:pPr>
              <w:spacing w:after="0"/>
              <w:rPr>
                <w:sz w:val="5"/>
                <w:szCs w:val="5"/>
                <w:color w:val="auto"/>
              </w:rPr>
            </w:pPr>
          </w:p>
        </w:tc>
        <w:tc>
          <w:tcPr>
            <w:tcW w:w="185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Aggregate Grant</w:t>
            </w:r>
          </w:p>
        </w:tc>
        <w:tc>
          <w:tcPr>
            <w:tcW w:w="3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40" w:type="dxa"/>
            <w:vAlign w:val="bottom"/>
            <w:shd w:val="clear" w:color="auto" w:fill="0A248E"/>
          </w:tcPr>
          <w:p>
            <w:pPr>
              <w:spacing w:after="0"/>
              <w:rPr>
                <w:sz w:val="21"/>
                <w:szCs w:val="21"/>
                <w:color w:val="auto"/>
              </w:rPr>
            </w:pPr>
          </w:p>
        </w:tc>
        <w:tc>
          <w:tcPr>
            <w:tcW w:w="5700" w:type="dxa"/>
            <w:vAlign w:val="bottom"/>
            <w:tcBorders>
              <w:right w:val="single" w:sz="8" w:color="0A248E"/>
            </w:tcBorders>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1920" w:type="dxa"/>
            <w:vAlign w:val="bottom"/>
            <w:shd w:val="clear" w:color="auto" w:fill="0A248E"/>
          </w:tcPr>
          <w:p>
            <w:pPr>
              <w:spacing w:after="0"/>
              <w:rPr>
                <w:sz w:val="21"/>
                <w:szCs w:val="21"/>
                <w:color w:val="auto"/>
              </w:rPr>
            </w:pPr>
          </w:p>
        </w:tc>
        <w:tc>
          <w:tcPr>
            <w:tcW w:w="80" w:type="dxa"/>
            <w:vAlign w:val="bottom"/>
            <w:tcBorders>
              <w:left w:val="single" w:sz="8" w:color="0A248E"/>
              <w:right w:val="single" w:sz="8" w:color="0A248E"/>
            </w:tcBorders>
          </w:tcPr>
          <w:p>
            <w:pPr>
              <w:spacing w:after="0"/>
              <w:rPr>
                <w:sz w:val="21"/>
                <w:szCs w:val="21"/>
                <w:color w:val="auto"/>
              </w:rPr>
            </w:pPr>
          </w:p>
        </w:tc>
        <w:tc>
          <w:tcPr>
            <w:tcW w:w="1850" w:type="dxa"/>
            <w:vAlign w:val="bottom"/>
            <w:vMerge w:val="continue"/>
            <w:shd w:val="clear" w:color="auto" w:fill="0A248E"/>
          </w:tcPr>
          <w:p>
            <w:pPr>
              <w:spacing w:after="0"/>
              <w:rPr>
                <w:sz w:val="21"/>
                <w:szCs w:val="21"/>
                <w:color w:val="auto"/>
              </w:rPr>
            </w:pPr>
          </w:p>
        </w:tc>
        <w:tc>
          <w:tcPr>
            <w:tcW w:w="30" w:type="dxa"/>
            <w:vAlign w:val="bottom"/>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bottom w:val="single" w:sz="8" w:color="0A248E"/>
            </w:tcBorders>
            <w:shd w:val="clear" w:color="auto" w:fill="0A248E"/>
          </w:tcPr>
          <w:p>
            <w:pPr>
              <w:spacing w:after="0"/>
              <w:rPr>
                <w:sz w:val="24"/>
                <w:szCs w:val="24"/>
                <w:color w:val="auto"/>
              </w:rPr>
            </w:pPr>
          </w:p>
        </w:tc>
        <w:tc>
          <w:tcPr>
            <w:tcW w:w="5700" w:type="dxa"/>
            <w:vAlign w:val="bottom"/>
            <w:tcBorders>
              <w:bottom w:val="single" w:sz="8" w:color="0A248E"/>
              <w:right w:val="single" w:sz="8" w:color="0A248E"/>
            </w:tcBorders>
            <w:shd w:val="clear" w:color="auto" w:fill="0A248E"/>
          </w:tcPr>
          <w:p>
            <w:pPr>
              <w:ind w:left="60"/>
              <w:spacing w:after="0"/>
              <w:rPr>
                <w:sz w:val="20"/>
                <w:szCs w:val="20"/>
                <w:color w:val="auto"/>
              </w:rPr>
            </w:pPr>
            <w:r>
              <w:rPr>
                <w:rFonts w:ascii="Arial" w:cs="Arial" w:eastAsia="Arial" w:hAnsi="Arial"/>
                <w:sz w:val="15"/>
                <w:szCs w:val="15"/>
                <w:b w:val="1"/>
                <w:bCs w:val="1"/>
                <w:color w:val="FFFFFF"/>
              </w:rPr>
              <w:t>Named Executive Officer</w:t>
            </w:r>
          </w:p>
        </w:tc>
        <w:tc>
          <w:tcPr>
            <w:tcW w:w="20" w:type="dxa"/>
            <w:vAlign w:val="bottom"/>
            <w:shd w:val="clear" w:color="auto" w:fill="0A248E"/>
          </w:tcPr>
          <w:p>
            <w:pPr>
              <w:spacing w:after="0"/>
              <w:rPr>
                <w:sz w:val="24"/>
                <w:szCs w:val="24"/>
                <w:color w:val="auto"/>
              </w:rPr>
            </w:pPr>
          </w:p>
        </w:tc>
        <w:tc>
          <w:tcPr>
            <w:tcW w:w="1920" w:type="dxa"/>
            <w:vAlign w:val="bottom"/>
            <w:tcBorders>
              <w:bottom w:val="single" w:sz="8" w:color="0A248E"/>
            </w:tcBorders>
            <w:shd w:val="clear" w:color="auto" w:fill="0A248E"/>
          </w:tcPr>
          <w:p>
            <w:pPr>
              <w:ind w:left="700"/>
              <w:spacing w:after="0"/>
              <w:rPr>
                <w:sz w:val="20"/>
                <w:szCs w:val="20"/>
                <w:color w:val="auto"/>
              </w:rPr>
            </w:pPr>
            <w:r>
              <w:rPr>
                <w:rFonts w:ascii="Arial" w:cs="Arial" w:eastAsia="Arial" w:hAnsi="Arial"/>
                <w:sz w:val="15"/>
                <w:szCs w:val="15"/>
                <w:b w:val="1"/>
                <w:bCs w:val="1"/>
                <w:color w:val="FFFFFF"/>
              </w:rPr>
              <w:t>RSUs</w:t>
            </w:r>
            <w:r>
              <w:rPr>
                <w:rFonts w:ascii="Arial" w:cs="Arial" w:eastAsia="Arial" w:hAnsi="Arial"/>
                <w:sz w:val="19"/>
                <w:szCs w:val="19"/>
                <w:b w:val="1"/>
                <w:bCs w:val="1"/>
                <w:color w:val="FFFFFF"/>
                <w:vertAlign w:val="superscript"/>
              </w:rPr>
              <w:t>(1)</w:t>
            </w:r>
          </w:p>
        </w:tc>
        <w:tc>
          <w:tcPr>
            <w:tcW w:w="80" w:type="dxa"/>
            <w:vAlign w:val="bottom"/>
            <w:tcBorders>
              <w:left w:val="single" w:sz="8" w:color="0A248E"/>
              <w:right w:val="single" w:sz="8" w:color="0A248E"/>
            </w:tcBorders>
          </w:tcPr>
          <w:p>
            <w:pPr>
              <w:spacing w:after="0"/>
              <w:rPr>
                <w:sz w:val="24"/>
                <w:szCs w:val="24"/>
                <w:color w:val="auto"/>
              </w:rPr>
            </w:pPr>
          </w:p>
        </w:tc>
        <w:tc>
          <w:tcPr>
            <w:tcW w:w="185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Date Fair Value ($)</w:t>
            </w:r>
          </w:p>
        </w:tc>
        <w:tc>
          <w:tcPr>
            <w:tcW w:w="3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572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50" w:type="dxa"/>
            <w:vAlign w:val="bottom"/>
          </w:tcPr>
          <w:p>
            <w:pPr>
              <w:spacing w:after="0"/>
              <w:rPr>
                <w:sz w:val="2"/>
                <w:szCs w:val="2"/>
                <w:color w:val="auto"/>
              </w:rPr>
            </w:pPr>
          </w:p>
        </w:tc>
        <w:tc>
          <w:tcPr>
            <w:tcW w:w="3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572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8"/>
                <w:szCs w:val="18"/>
                <w:color w:val="auto"/>
              </w:rPr>
              <w:t>Andrew W. Houston</w:t>
            </w:r>
          </w:p>
        </w:tc>
        <w:tc>
          <w:tcPr>
            <w:tcW w:w="1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left w:val="single" w:sz="8" w:color="E6E6E6"/>
              <w:right w:val="single" w:sz="8" w:color="E6E6E6"/>
            </w:tcBorders>
          </w:tcPr>
          <w:p>
            <w:pPr>
              <w:spacing w:after="0"/>
              <w:rPr>
                <w:sz w:val="23"/>
                <w:szCs w:val="23"/>
                <w:color w:val="auto"/>
              </w:rPr>
            </w:pPr>
          </w:p>
        </w:tc>
        <w:tc>
          <w:tcPr>
            <w:tcW w:w="1880" w:type="dxa"/>
            <w:vAlign w:val="bottom"/>
            <w:tcBorders>
              <w:bottom w:val="single" w:sz="8" w:color="E6E6E6"/>
            </w:tcBorders>
            <w:gridSpan w:val="2"/>
            <w:shd w:val="clear" w:color="auto" w:fill="E6E6E6"/>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2"/>
        </w:trPr>
        <w:tc>
          <w:tcPr>
            <w:tcW w:w="40" w:type="dxa"/>
            <w:vAlign w:val="bottom"/>
            <w:tcBorders>
              <w:bottom w:val="single" w:sz="8" w:color="E6E6E6"/>
            </w:tcBorders>
          </w:tcPr>
          <w:p>
            <w:pPr>
              <w:spacing w:after="0"/>
              <w:rPr>
                <w:sz w:val="24"/>
                <w:szCs w:val="24"/>
                <w:color w:val="auto"/>
              </w:rPr>
            </w:pPr>
          </w:p>
        </w:tc>
        <w:tc>
          <w:tcPr>
            <w:tcW w:w="570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Ross Tennenbaum</w:t>
            </w:r>
            <w:r>
              <w:rPr>
                <w:rFonts w:ascii="Arial" w:cs="Arial" w:eastAsia="Arial" w:hAnsi="Arial"/>
                <w:sz w:val="23"/>
                <w:szCs w:val="23"/>
                <w:color w:val="auto"/>
                <w:vertAlign w:val="superscript"/>
              </w:rPr>
              <w:t>(2)</w:t>
            </w:r>
          </w:p>
        </w:tc>
        <w:tc>
          <w:tcPr>
            <w:tcW w:w="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8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5700" w:type="dxa"/>
            <w:vAlign w:val="bottom"/>
            <w:tcBorders>
              <w:bottom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Timothy Regan</w:t>
            </w:r>
          </w:p>
        </w:tc>
        <w:tc>
          <w:tcPr>
            <w:tcW w:w="20" w:type="dxa"/>
            <w:vAlign w:val="bottom"/>
            <w:tcBorders>
              <w:bottom w:val="single" w:sz="8" w:color="E6E6E6"/>
            </w:tcBorders>
            <w:shd w:val="clear" w:color="auto" w:fill="E6E6E6"/>
          </w:tcPr>
          <w:p>
            <w:pPr>
              <w:spacing w:after="0"/>
              <w:rPr>
                <w:sz w:val="23"/>
                <w:szCs w:val="23"/>
                <w:color w:val="auto"/>
              </w:rPr>
            </w:pPr>
          </w:p>
        </w:tc>
        <w:tc>
          <w:tcPr>
            <w:tcW w:w="1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209,777</w:t>
            </w:r>
          </w:p>
        </w:tc>
        <w:tc>
          <w:tcPr>
            <w:tcW w:w="80" w:type="dxa"/>
            <w:vAlign w:val="bottom"/>
            <w:tcBorders>
              <w:left w:val="single" w:sz="8" w:color="E6E6E6"/>
              <w:right w:val="single" w:sz="8" w:color="E6E6E6"/>
            </w:tcBorders>
          </w:tcPr>
          <w:p>
            <w:pPr>
              <w:spacing w:after="0"/>
              <w:rPr>
                <w:sz w:val="23"/>
                <w:szCs w:val="23"/>
                <w:color w:val="auto"/>
              </w:rPr>
            </w:pPr>
          </w:p>
        </w:tc>
        <w:tc>
          <w:tcPr>
            <w:tcW w:w="185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5,603,144</w:t>
            </w:r>
          </w:p>
        </w:tc>
        <w:tc>
          <w:tcPr>
            <w:tcW w:w="3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5720" w:type="dxa"/>
            <w:vAlign w:val="bottom"/>
            <w:gridSpan w:val="2"/>
          </w:tcPr>
          <w:p>
            <w:pPr>
              <w:ind w:left="60"/>
              <w:spacing w:after="0"/>
              <w:rPr>
                <w:sz w:val="20"/>
                <w:szCs w:val="20"/>
                <w:color w:val="auto"/>
              </w:rPr>
            </w:pPr>
            <w:r>
              <w:rPr>
                <w:rFonts w:ascii="Arial" w:cs="Arial" w:eastAsia="Arial" w:hAnsi="Arial"/>
                <w:sz w:val="18"/>
                <w:szCs w:val="18"/>
                <w:color w:val="auto"/>
              </w:rPr>
              <w:t>William Yoon</w:t>
            </w: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190,706</w:t>
            </w:r>
          </w:p>
        </w:tc>
        <w:tc>
          <w:tcPr>
            <w:tcW w:w="1930" w:type="dxa"/>
            <w:vAlign w:val="bottom"/>
            <w:gridSpan w:val="2"/>
          </w:tcPr>
          <w:p>
            <w:pPr>
              <w:jc w:val="center"/>
              <w:ind w:left="1"/>
              <w:spacing w:after="0"/>
              <w:rPr>
                <w:sz w:val="20"/>
                <w:szCs w:val="20"/>
                <w:color w:val="auto"/>
              </w:rPr>
            </w:pPr>
            <w:r>
              <w:rPr>
                <w:rFonts w:ascii="Arial" w:cs="Arial" w:eastAsia="Arial" w:hAnsi="Arial"/>
                <w:sz w:val="18"/>
                <w:szCs w:val="18"/>
                <w:color w:val="auto"/>
                <w:w w:val="97"/>
              </w:rPr>
              <w:t>5,093,757</w:t>
            </w:r>
          </w:p>
        </w:tc>
        <w:tc>
          <w:tcPr>
            <w:tcW w:w="3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572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c>
          <w:tcPr>
            <w:tcW w:w="1930" w:type="dxa"/>
            <w:vAlign w:val="bottom"/>
            <w:gridSpan w:val="2"/>
          </w:tcPr>
          <w:p>
            <w:pPr>
              <w:spacing w:after="0"/>
              <w:rPr>
                <w:sz w:val="2"/>
                <w:szCs w:val="2"/>
                <w:color w:val="auto"/>
              </w:rPr>
            </w:pPr>
          </w:p>
        </w:tc>
        <w:tc>
          <w:tcPr>
            <w:tcW w:w="3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0" w:type="dxa"/>
            <w:vAlign w:val="bottom"/>
            <w:tcBorders>
              <w:bottom w:val="single" w:sz="8" w:color="E6E6E6"/>
            </w:tcBorders>
            <w:shd w:val="clear" w:color="auto" w:fill="E6E6E6"/>
          </w:tcPr>
          <w:p>
            <w:pPr>
              <w:spacing w:after="0"/>
              <w:rPr>
                <w:sz w:val="24"/>
                <w:szCs w:val="24"/>
                <w:color w:val="auto"/>
              </w:rPr>
            </w:pPr>
          </w:p>
        </w:tc>
        <w:tc>
          <w:tcPr>
            <w:tcW w:w="572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8"/>
                <w:szCs w:val="18"/>
                <w:color w:val="auto"/>
              </w:rPr>
              <w:t>Ali Dasdan</w:t>
            </w:r>
          </w:p>
        </w:tc>
        <w:tc>
          <w:tcPr>
            <w:tcW w:w="1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610,260</w:t>
            </w:r>
          </w:p>
        </w:tc>
        <w:tc>
          <w:tcPr>
            <w:tcW w:w="1930" w:type="dxa"/>
            <w:vAlign w:val="bottom"/>
            <w:tcBorders>
              <w:left w:val="single" w:sz="8" w:color="E6E6E6"/>
              <w:bottom w:val="single" w:sz="8" w:color="E6E6E6"/>
            </w:tcBorders>
            <w:gridSpan w:val="2"/>
            <w:shd w:val="clear" w:color="auto" w:fill="E6E6E6"/>
          </w:tcPr>
          <w:p>
            <w:pPr>
              <w:jc w:val="center"/>
              <w:ind w:left="21"/>
              <w:spacing w:after="0"/>
              <w:rPr>
                <w:sz w:val="20"/>
                <w:szCs w:val="20"/>
                <w:color w:val="auto"/>
              </w:rPr>
            </w:pPr>
            <w:r>
              <w:rPr>
                <w:rFonts w:ascii="Arial" w:cs="Arial" w:eastAsia="Arial" w:hAnsi="Arial"/>
                <w:sz w:val="18"/>
                <w:szCs w:val="18"/>
                <w:color w:val="auto"/>
                <w:w w:val="97"/>
              </w:rPr>
              <w:t>16,300,045</w:t>
            </w:r>
          </w:p>
        </w:tc>
        <w:tc>
          <w:tcPr>
            <w:tcW w:w="3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5720" w:type="dxa"/>
            <w:vAlign w:val="bottom"/>
            <w:gridSpan w:val="2"/>
          </w:tcPr>
          <w:p>
            <w:pPr>
              <w:ind w:left="60"/>
              <w:spacing w:after="0"/>
              <w:rPr>
                <w:sz w:val="20"/>
                <w:szCs w:val="20"/>
                <w:color w:val="auto"/>
              </w:rPr>
            </w:pPr>
            <w:r>
              <w:rPr>
                <w:rFonts w:ascii="Arial" w:cs="Arial" w:eastAsia="Arial" w:hAnsi="Arial"/>
                <w:sz w:val="18"/>
                <w:szCs w:val="18"/>
                <w:color w:val="auto"/>
              </w:rPr>
              <w:t>Ashraf Alkarmi</w:t>
            </w: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537,936</w:t>
            </w:r>
          </w:p>
        </w:tc>
        <w:tc>
          <w:tcPr>
            <w:tcW w:w="1930" w:type="dxa"/>
            <w:vAlign w:val="bottom"/>
            <w:gridSpan w:val="2"/>
          </w:tcPr>
          <w:p>
            <w:pPr>
              <w:jc w:val="center"/>
              <w:ind w:left="21"/>
              <w:spacing w:after="0"/>
              <w:rPr>
                <w:sz w:val="20"/>
                <w:szCs w:val="20"/>
                <w:color w:val="auto"/>
              </w:rPr>
            </w:pPr>
            <w:r>
              <w:rPr>
                <w:rFonts w:ascii="Arial" w:cs="Arial" w:eastAsia="Arial" w:hAnsi="Arial"/>
                <w:sz w:val="18"/>
                <w:szCs w:val="18"/>
                <w:color w:val="auto"/>
                <w:w w:val="97"/>
              </w:rPr>
              <w:t>16,159,597</w:t>
            </w:r>
          </w:p>
        </w:tc>
        <w:tc>
          <w:tcPr>
            <w:tcW w:w="3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both"/>
        <w:ind w:left="347" w:right="120" w:hanging="347"/>
        <w:spacing w:after="0" w:line="252" w:lineRule="auto"/>
        <w:tabs>
          <w:tab w:leader="none" w:pos="347" w:val="left"/>
        </w:tabs>
        <w:numPr>
          <w:ilvl w:val="0"/>
          <w:numId w:val="66"/>
        </w:numPr>
        <w:rPr>
          <w:rFonts w:ascii="Arial" w:cs="Arial" w:eastAsia="Arial" w:hAnsi="Arial"/>
          <w:sz w:val="20"/>
          <w:szCs w:val="20"/>
          <w:color w:val="auto"/>
          <w:vertAlign w:val="superscript"/>
        </w:rPr>
      </w:pPr>
      <w:r>
        <w:rPr>
          <w:rFonts w:ascii="Arial" w:cs="Arial" w:eastAsia="Arial" w:hAnsi="Arial"/>
          <w:sz w:val="15"/>
          <w:szCs w:val="15"/>
          <w:color w:val="auto"/>
        </w:rPr>
        <w:t>The time-based RSU awards granted to Messrs. Regan Yoon, Dasdan, and Alkarmi were scheduled to vest over a four-year period in equal quarterly installments. The unvested portion of the RSU awards previously granted to Mr. Regan terminated upon his departure from the company.</w:t>
      </w:r>
    </w:p>
    <w:p>
      <w:pPr>
        <w:ind w:left="347" w:right="60" w:hanging="346"/>
        <w:spacing w:after="0" w:line="253" w:lineRule="auto"/>
        <w:tabs>
          <w:tab w:leader="none" w:pos="347" w:val="left"/>
        </w:tabs>
        <w:numPr>
          <w:ilvl w:val="0"/>
          <w:numId w:val="66"/>
        </w:numPr>
        <w:rPr>
          <w:rFonts w:ascii="Arial" w:cs="Arial" w:eastAsia="Arial" w:hAnsi="Arial"/>
          <w:sz w:val="20"/>
          <w:szCs w:val="20"/>
          <w:color w:val="auto"/>
          <w:vertAlign w:val="superscript"/>
        </w:rPr>
      </w:pPr>
      <w:r>
        <w:rPr>
          <w:rFonts w:ascii="Arial" w:cs="Arial" w:eastAsia="Arial" w:hAnsi="Arial"/>
          <w:sz w:val="15"/>
          <w:szCs w:val="15"/>
          <w:color w:val="auto"/>
        </w:rPr>
        <w:t>Mr. Tennenbaum joined the company in December 2025 and, in connection with his hiring, he was granted an equity award in January 2026.</w:t>
      </w:r>
    </w:p>
    <w:p>
      <w:pPr>
        <w:spacing w:after="0" w:line="150" w:lineRule="exact"/>
        <w:rPr>
          <w:sz w:val="20"/>
          <w:szCs w:val="20"/>
          <w:color w:val="auto"/>
        </w:rPr>
      </w:pPr>
    </w:p>
    <w:p>
      <w:pPr>
        <w:ind w:left="7" w:right="140"/>
        <w:spacing w:after="0" w:line="310" w:lineRule="auto"/>
        <w:rPr>
          <w:sz w:val="20"/>
          <w:szCs w:val="20"/>
          <w:color w:val="auto"/>
        </w:rPr>
      </w:pPr>
      <w:r>
        <w:rPr>
          <w:rFonts w:ascii="Arial" w:cs="Arial" w:eastAsia="Arial" w:hAnsi="Arial"/>
          <w:sz w:val="18"/>
          <w:szCs w:val="18"/>
          <w:color w:val="auto"/>
        </w:rPr>
        <w:t>The equity awards granted to our named executive officers during 2025 are set forth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w:t>
      </w:r>
      <w:r>
        <w:rPr>
          <w:rFonts w:ascii="Arial" w:cs="Arial" w:eastAsia="Arial" w:hAnsi="Arial"/>
          <w:sz w:val="18"/>
          <w:szCs w:val="18"/>
          <w:i w:val="1"/>
          <w:iCs w:val="1"/>
          <w:color w:val="auto"/>
        </w:rPr>
        <w:t>for Fiscal Year 2025</w:t>
      </w:r>
      <w:r>
        <w:rPr>
          <w:rFonts w:ascii="Arial" w:cs="Arial" w:eastAsia="Arial" w:hAnsi="Arial"/>
          <w:sz w:val="18"/>
          <w:szCs w:val="18"/>
          <w:color w:val="auto"/>
        </w:rPr>
        <w:t>” and under “</w:t>
      </w:r>
      <w:r>
        <w:rPr>
          <w:rFonts w:ascii="Arial" w:cs="Arial" w:eastAsia="Arial" w:hAnsi="Arial"/>
          <w:sz w:val="18"/>
          <w:szCs w:val="18"/>
          <w:i w:val="1"/>
          <w:iCs w:val="1"/>
          <w:color w:val="auto"/>
        </w:rPr>
        <w:t>Grants of Plan-Based Awards in 2025</w:t>
      </w:r>
      <w:r>
        <w:rPr>
          <w:rFonts w:ascii="Arial" w:cs="Arial" w:eastAsia="Arial" w:hAnsi="Arial"/>
          <w:sz w:val="18"/>
          <w:szCs w:val="18"/>
          <w:color w:val="auto"/>
        </w:rPr>
        <w:t>” below.</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CFO Sign On Bonus</w:t>
      </w:r>
    </w:p>
    <w:p>
      <w:pPr>
        <w:spacing w:after="0" w:line="203" w:lineRule="exact"/>
        <w:rPr>
          <w:sz w:val="20"/>
          <w:szCs w:val="20"/>
          <w:color w:val="auto"/>
        </w:rPr>
      </w:pPr>
    </w:p>
    <w:p>
      <w:pPr>
        <w:ind w:left="7" w:right="400"/>
        <w:spacing w:after="0" w:line="291" w:lineRule="auto"/>
        <w:rPr>
          <w:sz w:val="20"/>
          <w:szCs w:val="20"/>
          <w:color w:val="auto"/>
        </w:rPr>
      </w:pPr>
      <w:r>
        <w:rPr>
          <w:rFonts w:ascii="Arial" w:cs="Arial" w:eastAsia="Arial" w:hAnsi="Arial"/>
          <w:sz w:val="18"/>
          <w:szCs w:val="18"/>
          <w:color w:val="auto"/>
        </w:rPr>
        <w:t>As noted above, Mr. Tennenbaum was not eligible to receive a bonus under the 2025 Cash Bonus Plan. However, in connection with his hiring, the talent and compensation committee approved a one-time sign-on bonus in the aggregate amount of $350,000 to Mr. Tennenbaum, which was paid in December 2025.</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Performance Achievement of Mr. Houston’s Co-Founder Grant</w:t>
      </w:r>
    </w:p>
    <w:p>
      <w:pPr>
        <w:spacing w:after="0" w:line="203" w:lineRule="exact"/>
        <w:rPr>
          <w:sz w:val="20"/>
          <w:szCs w:val="20"/>
          <w:color w:val="auto"/>
        </w:rPr>
      </w:pPr>
    </w:p>
    <w:p>
      <w:pPr>
        <w:ind w:left="7" w:right="60"/>
        <w:spacing w:after="0" w:line="275" w:lineRule="auto"/>
        <w:rPr>
          <w:sz w:val="20"/>
          <w:szCs w:val="20"/>
          <w:color w:val="auto"/>
        </w:rPr>
      </w:pPr>
      <w:r>
        <w:rPr>
          <w:rFonts w:ascii="Arial" w:cs="Arial" w:eastAsia="Arial" w:hAnsi="Arial"/>
          <w:sz w:val="18"/>
          <w:szCs w:val="18"/>
          <w:color w:val="auto"/>
        </w:rPr>
        <w:t>In December 2017, our board approved a grant to Mr. Houston (our co-founder, Chief Executive Officer and chair of the board of directors) of a restricted stock award ("</w:t>
      </w:r>
      <w:r>
        <w:rPr>
          <w:rFonts w:ascii="Arial" w:cs="Arial" w:eastAsia="Arial" w:hAnsi="Arial"/>
          <w:sz w:val="18"/>
          <w:szCs w:val="18"/>
          <w:b w:val="1"/>
          <w:bCs w:val="1"/>
          <w:i w:val="1"/>
          <w:iCs w:val="1"/>
          <w:color w:val="auto"/>
        </w:rPr>
        <w:t>RSA</w:t>
      </w:r>
      <w:r>
        <w:rPr>
          <w:rFonts w:ascii="Arial" w:cs="Arial" w:eastAsia="Arial" w:hAnsi="Arial"/>
          <w:sz w:val="18"/>
          <w:szCs w:val="18"/>
          <w:color w:val="auto"/>
        </w:rPr>
        <w:t>") with respect to 10.3 million shares of Class A common stock in the aggregate (the “</w:t>
      </w:r>
      <w:r>
        <w:rPr>
          <w:rFonts w:ascii="Arial" w:cs="Arial" w:eastAsia="Arial" w:hAnsi="Arial"/>
          <w:sz w:val="18"/>
          <w:szCs w:val="18"/>
          <w:b w:val="1"/>
          <w:bCs w:val="1"/>
          <w:i w:val="1"/>
          <w:iCs w:val="1"/>
          <w:color w:val="auto"/>
        </w:rPr>
        <w:t>Co-Founder Grant</w:t>
      </w:r>
      <w:r>
        <w:rPr>
          <w:rFonts w:ascii="Arial" w:cs="Arial" w:eastAsia="Arial" w:hAnsi="Arial"/>
          <w:sz w:val="18"/>
          <w:szCs w:val="18"/>
          <w:color w:val="auto"/>
        </w:rPr>
        <w:t>”). The Co-Founder Grant has service-based, market-based, and performance-based vesting conditions. The Co-Founder Grant is eligible to vest over the ten-year period following the closing of our initial public offering. The Co-Founder Grant is comprised of nine tranches that are eligible to vest based on the achievement of stock price goals (each, a “</w:t>
      </w:r>
      <w:r>
        <w:rPr>
          <w:rFonts w:ascii="Arial" w:cs="Arial" w:eastAsia="Arial" w:hAnsi="Arial"/>
          <w:sz w:val="18"/>
          <w:szCs w:val="18"/>
          <w:b w:val="1"/>
          <w:bCs w:val="1"/>
          <w:i w:val="1"/>
          <w:iCs w:val="1"/>
          <w:color w:val="auto"/>
        </w:rPr>
        <w:t>Stock Price Target</w:t>
      </w:r>
      <w:r>
        <w:rPr>
          <w:rFonts w:ascii="Arial" w:cs="Arial" w:eastAsia="Arial" w:hAnsi="Arial"/>
          <w:sz w:val="18"/>
          <w:szCs w:val="18"/>
          <w:color w:val="auto"/>
        </w:rPr>
        <w:t>”), measured over a consecutive thirty-day trading period during the Performance Period (defined below), as follows:</w:t>
      </w:r>
    </w:p>
    <w:p>
      <w:pPr>
        <w:spacing w:after="0" w:line="60" w:lineRule="exact"/>
        <w:rPr>
          <w:sz w:val="20"/>
          <w:szCs w:val="20"/>
          <w:color w:val="auto"/>
        </w:rPr>
      </w:pPr>
    </w:p>
    <w:tbl>
      <w:tblPr>
        <w:tblLayout w:type="fixed"/>
        <w:tblInd w:w="2247" w:type="dxa"/>
        <w:tblCellMar>
          <w:top w:w="0" w:type="dxa"/>
          <w:left w:w="0" w:type="dxa"/>
          <w:bottom w:w="0" w:type="dxa"/>
          <w:right w:w="0" w:type="dxa"/>
        </w:tblCellMar>
      </w:tblPr>
      <w:tr>
        <w:trPr>
          <w:trHeight w:val="61"/>
        </w:trPr>
        <w:tc>
          <w:tcPr>
            <w:tcW w:w="256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248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Shares Eligible to</w:t>
            </w:r>
          </w:p>
        </w:tc>
        <w:tc>
          <w:tcPr>
            <w:tcW w:w="4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560" w:type="dxa"/>
            <w:vAlign w:val="bottom"/>
            <w:shd w:val="clear" w:color="auto" w:fill="0A248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2480" w:type="dxa"/>
            <w:vAlign w:val="bottom"/>
            <w:vMerge w:val="continue"/>
            <w:shd w:val="clear" w:color="auto" w:fill="0A248E"/>
          </w:tcPr>
          <w:p>
            <w:pPr>
              <w:spacing w:after="0"/>
              <w:rPr>
                <w:sz w:val="21"/>
                <w:szCs w:val="21"/>
                <w:color w:val="auto"/>
              </w:rPr>
            </w:pPr>
          </w:p>
        </w:tc>
        <w:tc>
          <w:tcPr>
            <w:tcW w:w="40" w:type="dxa"/>
            <w:vAlign w:val="bottom"/>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560" w:type="dxa"/>
            <w:vAlign w:val="bottom"/>
            <w:shd w:val="clear" w:color="auto" w:fill="0A248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right w:val="single" w:sz="8" w:color="0A248E"/>
            </w:tcBorders>
            <w:shd w:val="clear" w:color="auto" w:fill="0A248E"/>
          </w:tcPr>
          <w:p>
            <w:pPr>
              <w:spacing w:after="0"/>
              <w:rPr>
                <w:sz w:val="14"/>
                <w:szCs w:val="14"/>
                <w:color w:val="auto"/>
              </w:rPr>
            </w:pPr>
          </w:p>
        </w:tc>
        <w:tc>
          <w:tcPr>
            <w:tcW w:w="248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Vest for</w:t>
            </w:r>
          </w:p>
        </w:tc>
        <w:tc>
          <w:tcPr>
            <w:tcW w:w="40" w:type="dxa"/>
            <w:vAlign w:val="bottom"/>
            <w:shd w:val="clear" w:color="auto" w:fill="0A248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56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Company Stock Price Target</w:t>
            </w:r>
          </w:p>
        </w:tc>
        <w:tc>
          <w:tcPr>
            <w:tcW w:w="20" w:type="dxa"/>
            <w:vAlign w:val="bottom"/>
          </w:tcPr>
          <w:p>
            <w:pPr>
              <w:spacing w:after="0"/>
              <w:rPr>
                <w:sz w:val="24"/>
                <w:szCs w:val="24"/>
                <w:color w:val="auto"/>
              </w:rPr>
            </w:pPr>
          </w:p>
        </w:tc>
        <w:tc>
          <w:tcPr>
            <w:tcW w:w="60" w:type="dxa"/>
            <w:vAlign w:val="bottom"/>
            <w:tcBorders>
              <w:bottom w:val="single" w:sz="8" w:color="0A248E"/>
              <w:right w:val="single" w:sz="8" w:color="0A248E"/>
            </w:tcBorders>
            <w:shd w:val="clear" w:color="auto" w:fill="0A248E"/>
          </w:tcPr>
          <w:p>
            <w:pPr>
              <w:spacing w:after="0"/>
              <w:rPr>
                <w:sz w:val="24"/>
                <w:szCs w:val="24"/>
                <w:color w:val="auto"/>
              </w:rPr>
            </w:pPr>
          </w:p>
        </w:tc>
        <w:tc>
          <w:tcPr>
            <w:tcW w:w="248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Mr. Houston</w:t>
            </w:r>
          </w:p>
        </w:tc>
        <w:tc>
          <w:tcPr>
            <w:tcW w:w="4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560" w:type="dxa"/>
            <w:vAlign w:val="bottom"/>
          </w:tcPr>
          <w:p>
            <w:pPr>
              <w:spacing w:after="0"/>
              <w:rPr>
                <w:sz w:val="2"/>
                <w:szCs w:val="2"/>
                <w:color w:val="auto"/>
              </w:rPr>
            </w:pPr>
          </w:p>
        </w:tc>
        <w:tc>
          <w:tcPr>
            <w:tcW w:w="25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5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$30.00</w:t>
            </w:r>
          </w:p>
        </w:tc>
        <w:tc>
          <w:tcPr>
            <w:tcW w:w="20" w:type="dxa"/>
            <w:vAlign w:val="bottom"/>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2480" w:type="dxa"/>
            <w:vAlign w:val="bottom"/>
            <w:shd w:val="clear" w:color="auto" w:fill="E6E6E6"/>
          </w:tcPr>
          <w:p>
            <w:pPr>
              <w:jc w:val="center"/>
              <w:ind w:right="235"/>
              <w:spacing w:after="0"/>
              <w:rPr>
                <w:sz w:val="20"/>
                <w:szCs w:val="20"/>
                <w:color w:val="auto"/>
              </w:rPr>
            </w:pPr>
            <w:r>
              <w:rPr>
                <w:rFonts w:ascii="Arial" w:cs="Arial" w:eastAsia="Arial" w:hAnsi="Arial"/>
                <w:sz w:val="18"/>
                <w:szCs w:val="18"/>
                <w:color w:val="auto"/>
                <w:w w:val="93"/>
              </w:rPr>
              <w:t>2,066,667</w:t>
            </w:r>
            <w:r>
              <w:rPr>
                <w:rFonts w:ascii="Arial" w:cs="Arial" w:eastAsia="Arial" w:hAnsi="Arial"/>
                <w:sz w:val="23"/>
                <w:szCs w:val="23"/>
                <w:color w:val="auto"/>
                <w:w w:val="93"/>
                <w:vertAlign w:val="superscript"/>
              </w:rPr>
              <w:t>(1)</w:t>
            </w:r>
          </w:p>
        </w:tc>
        <w:tc>
          <w:tcPr>
            <w:tcW w:w="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560" w:type="dxa"/>
            <w:vAlign w:val="bottom"/>
          </w:tcPr>
          <w:p>
            <w:pPr>
              <w:jc w:val="center"/>
              <w:spacing w:after="0"/>
              <w:rPr>
                <w:sz w:val="20"/>
                <w:szCs w:val="20"/>
                <w:color w:val="auto"/>
              </w:rPr>
            </w:pPr>
            <w:r>
              <w:rPr>
                <w:rFonts w:ascii="Arial" w:cs="Arial" w:eastAsia="Arial" w:hAnsi="Arial"/>
                <w:sz w:val="18"/>
                <w:szCs w:val="18"/>
                <w:color w:val="auto"/>
                <w:w w:val="98"/>
              </w:rPr>
              <w:t>$37.50</w:t>
            </w:r>
          </w:p>
        </w:tc>
        <w:tc>
          <w:tcPr>
            <w:tcW w:w="2560" w:type="dxa"/>
            <w:vAlign w:val="bottom"/>
            <w:gridSpan w:val="3"/>
          </w:tcPr>
          <w:p>
            <w:pPr>
              <w:jc w:val="center"/>
              <w:ind w:right="135"/>
              <w:spacing w:after="0"/>
              <w:rPr>
                <w:sz w:val="20"/>
                <w:szCs w:val="20"/>
                <w:color w:val="auto"/>
              </w:rPr>
            </w:pPr>
            <w:r>
              <w:rPr>
                <w:rFonts w:ascii="Arial" w:cs="Arial" w:eastAsia="Arial" w:hAnsi="Arial"/>
                <w:sz w:val="18"/>
                <w:szCs w:val="18"/>
                <w:color w:val="auto"/>
                <w:w w:val="97"/>
              </w:rPr>
              <w:t>1,033,334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560" w:type="dxa"/>
            <w:vAlign w:val="bottom"/>
          </w:tcPr>
          <w:p>
            <w:pPr>
              <w:spacing w:after="0"/>
              <w:rPr>
                <w:sz w:val="2"/>
                <w:szCs w:val="2"/>
                <w:color w:val="auto"/>
              </w:rPr>
            </w:pPr>
          </w:p>
        </w:tc>
        <w:tc>
          <w:tcPr>
            <w:tcW w:w="25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5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$45.00</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2480" w:type="dxa"/>
            <w:vAlign w:val="bottom"/>
            <w:tcBorders>
              <w:bottom w:val="single" w:sz="8" w:color="E6E6E6"/>
            </w:tcBorders>
            <w:shd w:val="clear" w:color="auto" w:fill="E6E6E6"/>
          </w:tcPr>
          <w:p>
            <w:pPr>
              <w:jc w:val="center"/>
              <w:ind w:right="215"/>
              <w:spacing w:after="0"/>
              <w:rPr>
                <w:sz w:val="20"/>
                <w:szCs w:val="20"/>
                <w:color w:val="auto"/>
              </w:rPr>
            </w:pPr>
            <w:r>
              <w:rPr>
                <w:rFonts w:ascii="Arial" w:cs="Arial" w:eastAsia="Arial" w:hAnsi="Arial"/>
                <w:sz w:val="18"/>
                <w:szCs w:val="18"/>
                <w:color w:val="auto"/>
                <w:w w:val="97"/>
              </w:rPr>
              <w:t>1,033,334</w:t>
            </w:r>
          </w:p>
        </w:tc>
        <w:tc>
          <w:tcPr>
            <w:tcW w:w="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560" w:type="dxa"/>
            <w:vAlign w:val="bottom"/>
          </w:tcPr>
          <w:p>
            <w:pPr>
              <w:jc w:val="center"/>
              <w:spacing w:after="0"/>
              <w:rPr>
                <w:sz w:val="20"/>
                <w:szCs w:val="20"/>
                <w:color w:val="auto"/>
              </w:rPr>
            </w:pPr>
            <w:r>
              <w:rPr>
                <w:rFonts w:ascii="Arial" w:cs="Arial" w:eastAsia="Arial" w:hAnsi="Arial"/>
                <w:sz w:val="18"/>
                <w:szCs w:val="18"/>
                <w:color w:val="auto"/>
                <w:w w:val="98"/>
              </w:rPr>
              <w:t>$52.50</w:t>
            </w:r>
          </w:p>
        </w:tc>
        <w:tc>
          <w:tcPr>
            <w:tcW w:w="2560" w:type="dxa"/>
            <w:vAlign w:val="bottom"/>
            <w:gridSpan w:val="3"/>
          </w:tcPr>
          <w:p>
            <w:pPr>
              <w:jc w:val="center"/>
              <w:ind w:right="135"/>
              <w:spacing w:after="0"/>
              <w:rPr>
                <w:sz w:val="20"/>
                <w:szCs w:val="20"/>
                <w:color w:val="auto"/>
              </w:rPr>
            </w:pPr>
            <w:r>
              <w:rPr>
                <w:rFonts w:ascii="Arial" w:cs="Arial" w:eastAsia="Arial" w:hAnsi="Arial"/>
                <w:sz w:val="18"/>
                <w:szCs w:val="18"/>
                <w:color w:val="auto"/>
                <w:w w:val="97"/>
              </w:rPr>
              <w:t>1,033,333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560" w:type="dxa"/>
            <w:vAlign w:val="bottom"/>
          </w:tcPr>
          <w:p>
            <w:pPr>
              <w:spacing w:after="0"/>
              <w:rPr>
                <w:sz w:val="2"/>
                <w:szCs w:val="2"/>
                <w:color w:val="auto"/>
              </w:rPr>
            </w:pPr>
          </w:p>
        </w:tc>
        <w:tc>
          <w:tcPr>
            <w:tcW w:w="25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5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$60.00</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2480" w:type="dxa"/>
            <w:vAlign w:val="bottom"/>
            <w:tcBorders>
              <w:bottom w:val="single" w:sz="8" w:color="E6E6E6"/>
            </w:tcBorders>
            <w:shd w:val="clear" w:color="auto" w:fill="E6E6E6"/>
          </w:tcPr>
          <w:p>
            <w:pPr>
              <w:jc w:val="center"/>
              <w:ind w:right="215"/>
              <w:spacing w:after="0"/>
              <w:rPr>
                <w:sz w:val="20"/>
                <w:szCs w:val="20"/>
                <w:color w:val="auto"/>
              </w:rPr>
            </w:pPr>
            <w:r>
              <w:rPr>
                <w:rFonts w:ascii="Arial" w:cs="Arial" w:eastAsia="Arial" w:hAnsi="Arial"/>
                <w:sz w:val="18"/>
                <w:szCs w:val="18"/>
                <w:color w:val="auto"/>
                <w:w w:val="97"/>
              </w:rPr>
              <w:t>1,033,333</w:t>
            </w:r>
          </w:p>
        </w:tc>
        <w:tc>
          <w:tcPr>
            <w:tcW w:w="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560" w:type="dxa"/>
            <w:vAlign w:val="bottom"/>
          </w:tcPr>
          <w:p>
            <w:pPr>
              <w:jc w:val="center"/>
              <w:spacing w:after="0"/>
              <w:rPr>
                <w:sz w:val="20"/>
                <w:szCs w:val="20"/>
                <w:color w:val="auto"/>
              </w:rPr>
            </w:pPr>
            <w:r>
              <w:rPr>
                <w:rFonts w:ascii="Arial" w:cs="Arial" w:eastAsia="Arial" w:hAnsi="Arial"/>
                <w:sz w:val="18"/>
                <w:szCs w:val="18"/>
                <w:color w:val="auto"/>
                <w:w w:val="98"/>
              </w:rPr>
              <w:t>$67.50</w:t>
            </w:r>
          </w:p>
        </w:tc>
        <w:tc>
          <w:tcPr>
            <w:tcW w:w="2560" w:type="dxa"/>
            <w:vAlign w:val="bottom"/>
            <w:gridSpan w:val="3"/>
          </w:tcPr>
          <w:p>
            <w:pPr>
              <w:jc w:val="center"/>
              <w:ind w:right="135"/>
              <w:spacing w:after="0"/>
              <w:rPr>
                <w:sz w:val="20"/>
                <w:szCs w:val="20"/>
                <w:color w:val="auto"/>
              </w:rPr>
            </w:pPr>
            <w:r>
              <w:rPr>
                <w:rFonts w:ascii="Arial" w:cs="Arial" w:eastAsia="Arial" w:hAnsi="Arial"/>
                <w:sz w:val="18"/>
                <w:szCs w:val="18"/>
                <w:color w:val="auto"/>
                <w:w w:val="97"/>
              </w:rPr>
              <w:t>1,033,333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560" w:type="dxa"/>
            <w:vAlign w:val="bottom"/>
          </w:tcPr>
          <w:p>
            <w:pPr>
              <w:spacing w:after="0"/>
              <w:rPr>
                <w:sz w:val="2"/>
                <w:szCs w:val="2"/>
                <w:color w:val="auto"/>
              </w:rPr>
            </w:pPr>
          </w:p>
        </w:tc>
        <w:tc>
          <w:tcPr>
            <w:tcW w:w="25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5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$75.00</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2480" w:type="dxa"/>
            <w:vAlign w:val="bottom"/>
            <w:tcBorders>
              <w:bottom w:val="single" w:sz="8" w:color="E6E6E6"/>
            </w:tcBorders>
            <w:shd w:val="clear" w:color="auto" w:fill="E6E6E6"/>
          </w:tcPr>
          <w:p>
            <w:pPr>
              <w:jc w:val="center"/>
              <w:ind w:right="215"/>
              <w:spacing w:after="0"/>
              <w:rPr>
                <w:sz w:val="20"/>
                <w:szCs w:val="20"/>
                <w:color w:val="auto"/>
              </w:rPr>
            </w:pPr>
            <w:r>
              <w:rPr>
                <w:rFonts w:ascii="Arial" w:cs="Arial" w:eastAsia="Arial" w:hAnsi="Arial"/>
                <w:sz w:val="18"/>
                <w:szCs w:val="18"/>
                <w:color w:val="auto"/>
                <w:w w:val="97"/>
              </w:rPr>
              <w:t>1,033,333</w:t>
            </w:r>
          </w:p>
        </w:tc>
        <w:tc>
          <w:tcPr>
            <w:tcW w:w="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560" w:type="dxa"/>
            <w:vAlign w:val="bottom"/>
          </w:tcPr>
          <w:p>
            <w:pPr>
              <w:jc w:val="center"/>
              <w:spacing w:after="0"/>
              <w:rPr>
                <w:sz w:val="20"/>
                <w:szCs w:val="20"/>
                <w:color w:val="auto"/>
              </w:rPr>
            </w:pPr>
            <w:r>
              <w:rPr>
                <w:rFonts w:ascii="Arial" w:cs="Arial" w:eastAsia="Arial" w:hAnsi="Arial"/>
                <w:sz w:val="18"/>
                <w:szCs w:val="18"/>
                <w:color w:val="auto"/>
                <w:w w:val="98"/>
              </w:rPr>
              <w:t>$82.50</w:t>
            </w:r>
          </w:p>
        </w:tc>
        <w:tc>
          <w:tcPr>
            <w:tcW w:w="2560" w:type="dxa"/>
            <w:vAlign w:val="bottom"/>
            <w:gridSpan w:val="3"/>
          </w:tcPr>
          <w:p>
            <w:pPr>
              <w:jc w:val="center"/>
              <w:ind w:right="135"/>
              <w:spacing w:after="0"/>
              <w:rPr>
                <w:sz w:val="20"/>
                <w:szCs w:val="20"/>
                <w:color w:val="auto"/>
              </w:rPr>
            </w:pPr>
            <w:r>
              <w:rPr>
                <w:rFonts w:ascii="Arial" w:cs="Arial" w:eastAsia="Arial" w:hAnsi="Arial"/>
                <w:sz w:val="18"/>
                <w:szCs w:val="18"/>
                <w:color w:val="auto"/>
                <w:w w:val="97"/>
              </w:rPr>
              <w:t>1,033,333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560" w:type="dxa"/>
            <w:vAlign w:val="bottom"/>
          </w:tcPr>
          <w:p>
            <w:pPr>
              <w:spacing w:after="0"/>
              <w:rPr>
                <w:sz w:val="2"/>
                <w:szCs w:val="2"/>
                <w:color w:val="auto"/>
              </w:rPr>
            </w:pPr>
          </w:p>
        </w:tc>
        <w:tc>
          <w:tcPr>
            <w:tcW w:w="25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5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$90.00</w:t>
            </w:r>
          </w:p>
        </w:tc>
        <w:tc>
          <w:tcPr>
            <w:tcW w:w="20" w:type="dxa"/>
            <w:vAlign w:val="bottom"/>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2480" w:type="dxa"/>
            <w:vAlign w:val="bottom"/>
            <w:shd w:val="clear" w:color="auto" w:fill="E6E6E6"/>
          </w:tcPr>
          <w:p>
            <w:pPr>
              <w:jc w:val="center"/>
              <w:ind w:right="215"/>
              <w:spacing w:after="0"/>
              <w:rPr>
                <w:sz w:val="20"/>
                <w:szCs w:val="20"/>
                <w:color w:val="auto"/>
              </w:rPr>
            </w:pPr>
            <w:r>
              <w:rPr>
                <w:rFonts w:ascii="Arial" w:cs="Arial" w:eastAsia="Arial" w:hAnsi="Arial"/>
                <w:sz w:val="18"/>
                <w:szCs w:val="18"/>
                <w:color w:val="auto"/>
                <w:w w:val="97"/>
              </w:rPr>
              <w:t>1,033,333</w:t>
            </w:r>
          </w:p>
        </w:tc>
        <w:tc>
          <w:tcPr>
            <w:tcW w:w="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56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60" w:type="dxa"/>
            <w:vAlign w:val="bottom"/>
            <w:tcBorders>
              <w:right w:val="single" w:sz="8" w:color="E6E6E6"/>
            </w:tcBorders>
          </w:tcPr>
          <w:p>
            <w:pPr>
              <w:spacing w:after="0"/>
              <w:rPr>
                <w:sz w:val="2"/>
                <w:szCs w:val="2"/>
                <w:color w:val="auto"/>
              </w:rPr>
            </w:pPr>
          </w:p>
        </w:tc>
        <w:tc>
          <w:tcPr>
            <w:tcW w:w="2480" w:type="dxa"/>
            <w:vAlign w:val="bottom"/>
            <w:shd w:val="clear" w:color="auto" w:fill="E6E6E6"/>
          </w:tcPr>
          <w:p>
            <w:pPr>
              <w:spacing w:after="0"/>
              <w:rPr>
                <w:sz w:val="2"/>
                <w:szCs w:val="2"/>
                <w:color w:val="auto"/>
              </w:rPr>
            </w:pPr>
          </w:p>
        </w:tc>
        <w:tc>
          <w:tcPr>
            <w:tcW w:w="4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3063875</wp:posOffset>
                </wp:positionH>
                <wp:positionV relativeFrom="paragraph">
                  <wp:posOffset>-2273300</wp:posOffset>
                </wp:positionV>
                <wp:extent cx="0" cy="1078865"/>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7886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25pt,-179pt" to="241.25pt,-94.0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3063875</wp:posOffset>
                </wp:positionH>
                <wp:positionV relativeFrom="paragraph">
                  <wp:posOffset>-995045</wp:posOffset>
                </wp:positionV>
                <wp:extent cx="0" cy="198755"/>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75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25pt,-78.3499pt" to="241.25pt,-62.6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3063875</wp:posOffset>
                </wp:positionH>
                <wp:positionV relativeFrom="paragraph">
                  <wp:posOffset>-596900</wp:posOffset>
                </wp:positionV>
                <wp:extent cx="0" cy="19875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75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25pt,-47pt" to="241.25pt,-31.3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3063875</wp:posOffset>
                </wp:positionH>
                <wp:positionV relativeFrom="paragraph">
                  <wp:posOffset>-198755</wp:posOffset>
                </wp:positionV>
                <wp:extent cx="0" cy="19875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75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25pt,-15.6499pt" to="241.25pt,0pt" o:allowincell="f" strokecolor="#FFFFFF" strokeweight="1.4039pt"/>
            </w:pict>
          </mc:Fallback>
        </mc:AlternateContent>
      </w:r>
    </w:p>
    <w:p>
      <w:pPr>
        <w:spacing w:after="0" w:line="43" w:lineRule="exact"/>
        <w:rPr>
          <w:sz w:val="20"/>
          <w:szCs w:val="20"/>
          <w:color w:val="auto"/>
        </w:rPr>
      </w:pPr>
    </w:p>
    <w:p>
      <w:pPr>
        <w:ind w:left="347" w:hanging="347"/>
        <w:spacing w:after="0"/>
        <w:tabs>
          <w:tab w:leader="none" w:pos="347" w:val="left"/>
        </w:tabs>
        <w:numPr>
          <w:ilvl w:val="0"/>
          <w:numId w:val="67"/>
        </w:numPr>
        <w:rPr>
          <w:rFonts w:ascii="Arial" w:cs="Arial" w:eastAsia="Arial" w:hAnsi="Arial"/>
          <w:sz w:val="20"/>
          <w:szCs w:val="20"/>
          <w:color w:val="auto"/>
          <w:vertAlign w:val="superscript"/>
        </w:rPr>
      </w:pPr>
      <w:r>
        <w:rPr>
          <w:rFonts w:ascii="Arial" w:cs="Arial" w:eastAsia="Arial" w:hAnsi="Arial"/>
          <w:sz w:val="15"/>
          <w:szCs w:val="15"/>
          <w:color w:val="auto"/>
        </w:rPr>
        <w:t>This tranche was vested and achieved on November 15, 2021.</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7" w:hanging="475"/>
        <w:spacing w:after="0"/>
        <w:tabs>
          <w:tab w:leader="none" w:pos="527"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60" w:name="page61"/>
    <w:bookmarkEnd w:id="60"/>
    <w:p>
      <w:pPr>
        <w:ind w:left="7"/>
        <w:spacing w:after="0"/>
        <w:rPr>
          <w:sz w:val="20"/>
          <w:szCs w:val="20"/>
          <w:color w:val="auto"/>
        </w:rPr>
      </w:pPr>
      <w:r>
        <w:rPr>
          <w:rFonts w:ascii="Arial" w:cs="Arial" w:eastAsia="Arial" w:hAnsi="Arial"/>
          <w:sz w:val="33"/>
          <w:szCs w:val="33"/>
          <w:color w:val="0A248E"/>
        </w:rPr>
        <w:t>EXECUTIVE COMPENSATION (continued)</w:t>
      </w:r>
    </w:p>
    <w:p>
      <w:pPr>
        <w:spacing w:after="0" w:line="282" w:lineRule="exact"/>
        <w:rPr>
          <w:sz w:val="20"/>
          <w:szCs w:val="20"/>
          <w:color w:val="auto"/>
        </w:rPr>
      </w:pPr>
    </w:p>
    <w:p>
      <w:pPr>
        <w:ind w:left="7" w:right="160"/>
        <w:spacing w:after="0" w:line="284" w:lineRule="auto"/>
        <w:rPr>
          <w:sz w:val="20"/>
          <w:szCs w:val="20"/>
          <w:color w:val="auto"/>
        </w:rPr>
      </w:pPr>
      <w:r>
        <w:rPr>
          <w:rFonts w:ascii="Arial" w:cs="Arial" w:eastAsia="Arial" w:hAnsi="Arial"/>
          <w:sz w:val="17"/>
          <w:szCs w:val="17"/>
          <w:color w:val="auto"/>
        </w:rPr>
        <w:t>The Performance Period began on January 2, 2019, and ends on the earliest to occur of: (i) the date on which all shares subject to the Co-Founder Grant vests, (ii) the date Mr. Houston ceases to satisfy the service-based vesting condition, and</w:t>
      </w:r>
    </w:p>
    <w:p>
      <w:pPr>
        <w:spacing w:after="0" w:line="1" w:lineRule="exact"/>
        <w:rPr>
          <w:sz w:val="20"/>
          <w:szCs w:val="20"/>
          <w:color w:val="auto"/>
        </w:rPr>
      </w:pPr>
    </w:p>
    <w:p>
      <w:pPr>
        <w:jc w:val="both"/>
        <w:ind w:left="7" w:right="20" w:hanging="7"/>
        <w:spacing w:after="0" w:line="282" w:lineRule="auto"/>
        <w:tabs>
          <w:tab w:leader="none" w:pos="2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March 23, 2028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During 2021, the $30.00 Stock Price Target was achieved and as a result, on November 15, 2021, Mr. Houston vested into 2,066,667 shares. The remaining tranches covering 8,266,666 shares remain outstanding and eligible to vest based on the achievement of the applicable stock price goals and fulfilling the service-based condition. No additional tranches were earned or vested during 2025.</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Welfare and Health Benefits</w:t>
      </w:r>
    </w:p>
    <w:p>
      <w:pPr>
        <w:spacing w:after="0" w:line="203" w:lineRule="exact"/>
        <w:rPr>
          <w:sz w:val="20"/>
          <w:szCs w:val="20"/>
          <w:color w:val="auto"/>
        </w:rPr>
      </w:pPr>
    </w:p>
    <w:p>
      <w:pPr>
        <w:ind w:left="7" w:right="80"/>
        <w:spacing w:after="0" w:line="291" w:lineRule="auto"/>
        <w:rPr>
          <w:sz w:val="20"/>
          <w:szCs w:val="20"/>
          <w:color w:val="auto"/>
        </w:rPr>
      </w:pPr>
      <w:r>
        <w:rPr>
          <w:rFonts w:ascii="Arial" w:cs="Arial" w:eastAsia="Arial" w:hAnsi="Arial"/>
          <w:sz w:val="18"/>
          <w:szCs w:val="18"/>
          <w:color w:val="auto"/>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a maximum of $6,000 per calendar year.</w:t>
      </w:r>
    </w:p>
    <w:p>
      <w:pPr>
        <w:spacing w:after="0" w:line="118" w:lineRule="exact"/>
        <w:rPr>
          <w:sz w:val="20"/>
          <w:szCs w:val="20"/>
          <w:color w:val="auto"/>
        </w:rPr>
      </w:pPr>
    </w:p>
    <w:p>
      <w:pPr>
        <w:jc w:val="both"/>
        <w:ind w:left="7" w:right="220"/>
        <w:spacing w:after="0" w:line="291" w:lineRule="auto"/>
        <w:rPr>
          <w:sz w:val="20"/>
          <w:szCs w:val="20"/>
          <w:color w:val="auto"/>
        </w:rPr>
      </w:pPr>
      <w:r>
        <w:rPr>
          <w:rFonts w:ascii="Arial" w:cs="Arial" w:eastAsia="Arial" w:hAnsi="Arial"/>
          <w:sz w:val="18"/>
          <w:szCs w:val="18"/>
          <w:color w:val="auto"/>
        </w:rPr>
        <w:t>We intend for the plan to qualify under Section 401(a) of the Internal Revenue Code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so that contributions by participants to the plan, and income earned on plan contributions, are not taxable to participants until withdrawn from the plan.</w:t>
      </w:r>
    </w:p>
    <w:p>
      <w:pPr>
        <w:spacing w:after="0" w:line="118" w:lineRule="exact"/>
        <w:rPr>
          <w:sz w:val="20"/>
          <w:szCs w:val="20"/>
          <w:color w:val="auto"/>
        </w:rPr>
      </w:pPr>
    </w:p>
    <w:p>
      <w:pPr>
        <w:ind w:left="7" w:right="180"/>
        <w:spacing w:after="0" w:line="271" w:lineRule="auto"/>
        <w:rPr>
          <w:sz w:val="20"/>
          <w:szCs w:val="20"/>
          <w:color w:val="auto"/>
        </w:rPr>
      </w:pPr>
      <w:r>
        <w:rPr>
          <w:rFonts w:ascii="Arial" w:cs="Arial" w:eastAsia="Arial" w:hAnsi="Arial"/>
          <w:sz w:val="18"/>
          <w:szCs w:val="18"/>
          <w:color w:val="auto"/>
        </w:rPr>
        <w:t>Additional benefits received by our executive officers include medical, dental, and vision insurance, fertility benefits, an employee assistance program, commuter and wellness reimbursement programs, health and dependent care flexible spending accounts, health savings accounts, basic and voluntary life and accidental death and dismemberment insurance and disability insurance. All of these benefits are provided to our executive officers on the same basis as to all of our employees.</w:t>
      </w:r>
    </w:p>
    <w:p>
      <w:pPr>
        <w:spacing w:after="0" w:line="142" w:lineRule="exact"/>
        <w:rPr>
          <w:sz w:val="20"/>
          <w:szCs w:val="20"/>
          <w:color w:val="auto"/>
        </w:rPr>
      </w:pPr>
    </w:p>
    <w:p>
      <w:pPr>
        <w:ind w:left="7"/>
        <w:spacing w:after="0" w:line="312" w:lineRule="auto"/>
        <w:rPr>
          <w:sz w:val="20"/>
          <w:szCs w:val="20"/>
          <w:color w:val="auto"/>
        </w:rPr>
      </w:pPr>
      <w:r>
        <w:rPr>
          <w:rFonts w:ascii="Arial" w:cs="Arial" w:eastAsia="Arial" w:hAnsi="Arial"/>
          <w:sz w:val="17"/>
          <w:szCs w:val="17"/>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changes to the working arrangements of our employees and the competitive market.</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Perquisites and Other Personal Benefits</w:t>
      </w:r>
    </w:p>
    <w:p>
      <w:pPr>
        <w:spacing w:after="0" w:line="198" w:lineRule="exact"/>
        <w:rPr>
          <w:sz w:val="20"/>
          <w:szCs w:val="20"/>
          <w:color w:val="auto"/>
        </w:rPr>
      </w:pPr>
    </w:p>
    <w:p>
      <w:pPr>
        <w:ind w:left="7" w:right="40"/>
        <w:spacing w:after="0" w:line="305"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provide significant perquisites or other personal benefits to our executive officers except as generally made available to our employees, or in situations where we believe it is appropriate to assist an individual in the performance of their duties, to make him or her more efficient and effective, and for recruitment and retention purposes.</w:t>
      </w:r>
    </w:p>
    <w:p>
      <w:pPr>
        <w:spacing w:after="0" w:line="111" w:lineRule="exact"/>
        <w:rPr>
          <w:sz w:val="20"/>
          <w:szCs w:val="20"/>
          <w:color w:val="auto"/>
        </w:rPr>
      </w:pPr>
    </w:p>
    <w:p>
      <w:pPr>
        <w:ind w:left="7" w:right="20"/>
        <w:spacing w:after="0" w:line="293" w:lineRule="auto"/>
        <w:rPr>
          <w:sz w:val="20"/>
          <w:szCs w:val="20"/>
          <w:color w:val="auto"/>
        </w:rPr>
      </w:pPr>
      <w:r>
        <w:rPr>
          <w:rFonts w:ascii="Arial" w:cs="Arial" w:eastAsia="Arial" w:hAnsi="Arial"/>
          <w:sz w:val="17"/>
          <w:szCs w:val="17"/>
          <w:color w:val="auto"/>
        </w:rPr>
        <w:t>In 2025, the talent and compensation committee approved the continued provision of security measures for Mr. Houston. We consider the security measures provided to Mr. Houston to be reasonable and necessary expenses for the benefit of the company and not a personal benefit. However, in accordance with SEC disclosure rules, the aggregate incremental cost of these services is reported in the “</w:t>
      </w:r>
      <w:r>
        <w:rPr>
          <w:rFonts w:ascii="Arial" w:cs="Arial" w:eastAsia="Arial" w:hAnsi="Arial"/>
          <w:sz w:val="17"/>
          <w:szCs w:val="17"/>
          <w:i w:val="1"/>
          <w:iCs w:val="1"/>
          <w:color w:val="auto"/>
        </w:rPr>
        <w:t>Summary Compensation Table for Fiscal Year 2025</w:t>
      </w:r>
      <w:r>
        <w:rPr>
          <w:rFonts w:ascii="Arial" w:cs="Arial" w:eastAsia="Arial" w:hAnsi="Arial"/>
          <w:sz w:val="17"/>
          <w:szCs w:val="17"/>
          <w:color w:val="auto"/>
        </w:rPr>
        <w:t>.” The talent and compensation committee periodically reviews the nature and cost of this program in relation to Mr. Houston’s security profile. In connection with this review, in August 2025, the talent and compensation committee approved Mr. Houston's participation in a security program with an annual limit of $605,000. The talent and compensation committee later approved an increase to this annual limit to $610,222 to reflect the actual cost of the security services for Mr. Houston in 2025.</w:t>
      </w:r>
    </w:p>
    <w:p>
      <w:pPr>
        <w:spacing w:after="0" w:line="127" w:lineRule="exact"/>
        <w:rPr>
          <w:sz w:val="20"/>
          <w:szCs w:val="20"/>
          <w:color w:val="auto"/>
        </w:rPr>
      </w:pPr>
    </w:p>
    <w:p>
      <w:pPr>
        <w:jc w:val="both"/>
        <w:ind w:left="7"/>
        <w:spacing w:after="0" w:line="288"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those described in the preceding paragraphs. All future practices with respect to perquisites or other personal benefits will be approved and subject to periodic review by the talent and compensation committee.</w:t>
      </w:r>
    </w:p>
    <w:p>
      <w:pPr>
        <w:sectPr>
          <w:pgSz w:w="11880" w:h="15480" w:orient="portrait"/>
          <w:cols w:equalWidth="0" w:num="1">
            <w:col w:w="9627"/>
          </w:cols>
          <w:pgMar w:left="1133" w:top="3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53</w:t>
      </w:r>
    </w:p>
    <w:p>
      <w:pPr>
        <w:sectPr>
          <w:pgSz w:w="11880" w:h="15480" w:orient="portrait"/>
          <w:cols w:equalWidth="0" w:num="1">
            <w:col w:w="9627"/>
          </w:cols>
          <w:pgMar w:left="1133" w:top="340" w:right="1120" w:bottom="0" w:gutter="0" w:footer="0" w:header="0"/>
          <w:type w:val="continuous"/>
        </w:sectPr>
      </w:pPr>
    </w:p>
    <w:bookmarkStart w:id="61" w:name="page62"/>
    <w:bookmarkEnd w:id="61"/>
    <w:p>
      <w:pPr>
        <w:spacing w:after="0"/>
        <w:rPr>
          <w:sz w:val="20"/>
          <w:szCs w:val="20"/>
          <w:color w:val="auto"/>
        </w:rPr>
      </w:pPr>
      <w:r>
        <w:rPr>
          <w:rFonts w:ascii="Arial" w:cs="Arial" w:eastAsia="Arial" w:hAnsi="Arial"/>
          <w:sz w:val="33"/>
          <w:szCs w:val="33"/>
          <w:color w:val="0A248E"/>
        </w:rPr>
        <w:t>EXECUTIVE COMPENSATION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Stock Ownership Guidelines</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talent and compensation committee of our board adopted stock ownership guidelines for our independent directors and executive officers, including our Chief Executive Officer. Under these guidelines (i) our Chief Executive Officer is required to acquire and own stock or stock equivalents in an amount equal to five times his annual base salary and (ii) our executive officers (other than our Chief Executive Officer) are required to acquire and own stock or stock equivalents in an amount equal to two times their base annual salary.</w:t>
      </w:r>
    </w:p>
    <w:p>
      <w:pPr>
        <w:spacing w:after="0" w:line="135" w:lineRule="exact"/>
        <w:rPr>
          <w:sz w:val="20"/>
          <w:szCs w:val="20"/>
          <w:color w:val="auto"/>
        </w:rPr>
      </w:pPr>
    </w:p>
    <w:p>
      <w:pPr>
        <w:ind w:right="200"/>
        <w:spacing w:after="0" w:line="304" w:lineRule="auto"/>
        <w:rPr>
          <w:sz w:val="20"/>
          <w:szCs w:val="20"/>
          <w:color w:val="auto"/>
        </w:rPr>
      </w:pPr>
      <w:r>
        <w:rPr>
          <w:rFonts w:ascii="Arial" w:cs="Arial" w:eastAsia="Arial" w:hAnsi="Arial"/>
          <w:sz w:val="17"/>
          <w:szCs w:val="17"/>
          <w:color w:val="auto"/>
        </w:rPr>
        <w:t>For these purposes, owned stock includes shares of stock owned directly or indirectly by the covered individual, but does not include unexercised, unvested or unearned equity awards (including unexercised stock options). Executive officers (including our Chief Executive Officer) are required to meet the applicable ownership requirements within five years of the later of (i) December 1, 2023 or (ii) such executive officer's hire, appointment, promotion or election date, as applicable.</w:t>
      </w:r>
    </w:p>
    <w:p>
      <w:pPr>
        <w:spacing w:after="0" w:line="114" w:lineRule="exact"/>
        <w:rPr>
          <w:sz w:val="20"/>
          <w:szCs w:val="20"/>
          <w:color w:val="auto"/>
        </w:rPr>
      </w:pPr>
    </w:p>
    <w:p>
      <w:pPr>
        <w:ind w:right="440"/>
        <w:spacing w:after="0" w:line="288" w:lineRule="auto"/>
        <w:rPr>
          <w:sz w:val="20"/>
          <w:szCs w:val="20"/>
          <w:color w:val="auto"/>
        </w:rPr>
      </w:pPr>
      <w:r>
        <w:rPr>
          <w:rFonts w:ascii="Arial" w:cs="Arial" w:eastAsia="Arial" w:hAnsi="Arial"/>
          <w:sz w:val="18"/>
          <w:szCs w:val="18"/>
          <w:color w:val="auto"/>
        </w:rPr>
        <w:t>At the end of fiscal 2025, all of our then-current named executive officers have met, exceeded, or are on track to meet, these guidelines based on their current rate of stock accumulations in the time frames set out in the stock ownership guidelines.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Practices with Regard to Timing of Equity Awards</w:t>
      </w:r>
    </w:p>
    <w:p>
      <w:pPr>
        <w:spacing w:after="0" w:line="20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Our board and the talent and compensation committee of our board does not take material nonpublic information into account when determining the timing and terms of equity grants. We do not have a policy or practice to time equity grants based on the release of material non-public information. We did not grant stock options to any of our named executive officers in 2025 and have never granted stock appreciation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Compensation Recovery Policy</w:t>
      </w:r>
    </w:p>
    <w:p>
      <w:pPr>
        <w:spacing w:after="0" w:line="20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August 2023, the talent and compensation committee adopted a compensation recovery ("</w:t>
      </w:r>
      <w:r>
        <w:rPr>
          <w:rFonts w:ascii="Arial" w:cs="Arial" w:eastAsia="Arial" w:hAnsi="Arial"/>
          <w:sz w:val="18"/>
          <w:szCs w:val="18"/>
          <w:b w:val="1"/>
          <w:bCs w:val="1"/>
          <w:i w:val="1"/>
          <w:iCs w:val="1"/>
          <w:color w:val="auto"/>
        </w:rPr>
        <w:t>clawback</w:t>
      </w:r>
      <w:r>
        <w:rPr>
          <w:rFonts w:ascii="Arial" w:cs="Arial" w:eastAsia="Arial" w:hAnsi="Arial"/>
          <w:sz w:val="18"/>
          <w:szCs w:val="18"/>
          <w:color w:val="auto"/>
        </w:rPr>
        <w:t>") policy in compliance with Nasdaq and SEC requirements. Consistent with the requirements, for compensation received after October 2, 2023 and during the applicable covered period (which generally includes the three completed fiscal years prior to the restatement date), the clawback policy requires the company to recover excess incentive-based compensation from current and former executives that is granted, earned or vested based upon the attainment of a financial reporting measure in the event of an accounting restatement due to material non-compliance with any financial reporting requirement under U.S. securities laws that was in excess of what would have been received had the incentive-based compensation been determined based on the restated amounts.</w:t>
      </w:r>
    </w:p>
    <w:p>
      <w:pPr>
        <w:spacing w:after="0" w:line="382" w:lineRule="exact"/>
        <w:rPr>
          <w:sz w:val="20"/>
          <w:szCs w:val="20"/>
          <w:color w:val="auto"/>
        </w:rPr>
      </w:pPr>
    </w:p>
    <w:p>
      <w:pPr>
        <w:spacing w:after="0"/>
        <w:rPr>
          <w:sz w:val="20"/>
          <w:szCs w:val="20"/>
          <w:color w:val="auto"/>
        </w:rPr>
      </w:pPr>
      <w:r>
        <w:rPr>
          <w:rFonts w:ascii="Arial" w:cs="Arial" w:eastAsia="Arial" w:hAnsi="Arial"/>
          <w:sz w:val="28"/>
          <w:szCs w:val="28"/>
          <w:color w:val="0A248E"/>
        </w:rPr>
        <w:t>Employment Arrangements</w:t>
      </w:r>
    </w:p>
    <w:p>
      <w:pPr>
        <w:spacing w:after="0" w:line="295"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auto"/>
        </w:rPr>
        <w:t>We have entered into written employment letters with our Chief Executive Officer and each of our other executive officers. Each of these arrangements was approved on our behalf by the talent and compensation committee or our board of directors.</w:t>
      </w:r>
    </w:p>
    <w:p>
      <w:pPr>
        <w:spacing w:after="0" w:line="12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In filling each of our executive positions, our board of directors or the talent and compensation committee, as applicable, recognized that we would need to develop competitive compensation packages to attract qualified candidates in a dynamic labor market. At the same time, our board of directors and the talent and compensation committee were sensitive to the need to integrate new executive officers into the executive compensation structure, balancing both competitive and internal equity considerations.</w:t>
      </w:r>
    </w:p>
    <w:p>
      <w:pPr>
        <w:spacing w:after="0" w:line="135"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26" w:lineRule="exact"/>
        <w:rPr>
          <w:sz w:val="20"/>
          <w:szCs w:val="20"/>
          <w:color w:val="auto"/>
        </w:rPr>
      </w:pPr>
    </w:p>
    <w:p>
      <w:pPr>
        <w:ind w:right="120"/>
        <w:spacing w:after="0" w:line="310" w:lineRule="auto"/>
        <w:rPr>
          <w:sz w:val="20"/>
          <w:szCs w:val="20"/>
          <w:color w:val="auto"/>
        </w:rPr>
      </w:pPr>
      <w:r>
        <w:rPr>
          <w:rFonts w:ascii="Arial" w:cs="Arial" w:eastAsia="Arial" w:hAnsi="Arial"/>
          <w:sz w:val="18"/>
          <w:szCs w:val="18"/>
          <w:color w:val="auto"/>
        </w:rPr>
        <w:t>Our executive officers are also eligible to enter into change in control and severance agreements with the company. These post-employment compensation terms are discussed in “</w:t>
      </w:r>
      <w:r>
        <w:rPr>
          <w:rFonts w:ascii="Arial" w:cs="Arial" w:eastAsia="Arial" w:hAnsi="Arial"/>
          <w:sz w:val="18"/>
          <w:szCs w:val="18"/>
          <w:i w:val="1"/>
          <w:iCs w:val="1"/>
          <w:color w:val="auto"/>
        </w:rPr>
        <w:t>Post-Employment Compensation</w:t>
      </w:r>
      <w:r>
        <w:rPr>
          <w:rFonts w:ascii="Arial" w:cs="Arial" w:eastAsia="Arial" w:hAnsi="Arial"/>
          <w:sz w:val="18"/>
          <w:szCs w:val="18"/>
          <w:color w:val="auto"/>
        </w:rPr>
        <w:t>” below.</w:t>
      </w:r>
    </w:p>
    <w:p>
      <w:pPr>
        <w:sectPr>
          <w:pgSz w:w="11880" w:h="15480" w:orient="portrait"/>
          <w:cols w:equalWidth="0" w:num="1">
            <w:col w:w="9600"/>
          </w:cols>
          <w:pgMar w:left="1140" w:top="3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hanging="475"/>
        <w:spacing w:after="0"/>
        <w:tabs>
          <w:tab w:leader="none" w:pos="52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00"/>
          </w:cols>
          <w:pgMar w:left="1140" w:top="340" w:right="1140" w:bottom="0" w:gutter="0" w:footer="0" w:header="0"/>
          <w:type w:val="continuous"/>
        </w:sectPr>
      </w:pPr>
    </w:p>
    <w:bookmarkStart w:id="62" w:name="page63"/>
    <w:bookmarkEnd w:id="62"/>
    <w:p>
      <w:pPr>
        <w:spacing w:after="0"/>
        <w:rPr>
          <w:sz w:val="20"/>
          <w:szCs w:val="20"/>
          <w:color w:val="auto"/>
        </w:rPr>
      </w:pPr>
      <w:r>
        <w:rPr>
          <w:rFonts w:ascii="Arial" w:cs="Arial" w:eastAsia="Arial" w:hAnsi="Arial"/>
          <w:sz w:val="33"/>
          <w:szCs w:val="33"/>
          <w:color w:val="0A248E"/>
        </w:rPr>
        <w:t>EXECUTIVE COMPENSATION (continued)</w:t>
      </w: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color w:val="0A248E"/>
        </w:rPr>
        <w:t>Post-Employment Compensation</w:t>
      </w:r>
    </w:p>
    <w:p>
      <w:pPr>
        <w:spacing w:after="0" w:line="295"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fiduciary duties under Nevada law. The terms and conditions were approved by our board of directors after an analysis of competitive market data.</w:t>
      </w:r>
    </w:p>
    <w:p>
      <w:pPr>
        <w:spacing w:after="0" w:line="138"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3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Mr. Houston’s Co-Founder Grant (as described below) is eligible to vest in connection with our acquisition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the section titled “</w:t>
      </w:r>
      <w:r>
        <w:rPr>
          <w:rFonts w:ascii="Arial" w:cs="Arial" w:eastAsia="Arial" w:hAnsi="Arial"/>
          <w:sz w:val="18"/>
          <w:szCs w:val="18"/>
          <w:i w:val="1"/>
          <w:iCs w:val="1"/>
          <w:color w:val="auto"/>
        </w:rPr>
        <w:t>Potential Payments on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or Change in Control</w:t>
      </w:r>
      <w:r>
        <w:rPr>
          <w:rFonts w:ascii="Arial" w:cs="Arial" w:eastAsia="Arial" w:hAnsi="Arial"/>
          <w:sz w:val="18"/>
          <w:szCs w:val="18"/>
          <w:color w:val="auto"/>
        </w:rPr>
        <w:t>” below for additional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Hedging and Pledging Prohibitions</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383" w:lineRule="exact"/>
        <w:rPr>
          <w:sz w:val="20"/>
          <w:szCs w:val="20"/>
          <w:color w:val="auto"/>
        </w:rPr>
      </w:pPr>
    </w:p>
    <w:p>
      <w:pPr>
        <w:spacing w:after="0"/>
        <w:rPr>
          <w:sz w:val="20"/>
          <w:szCs w:val="20"/>
          <w:color w:val="auto"/>
        </w:rPr>
      </w:pPr>
      <w:r>
        <w:rPr>
          <w:rFonts w:ascii="Arial" w:cs="Arial" w:eastAsia="Arial" w:hAnsi="Arial"/>
          <w:sz w:val="28"/>
          <w:szCs w:val="28"/>
          <w:color w:val="0A248E"/>
        </w:rPr>
        <w:t>Tax and Accounting Considerations</w:t>
      </w:r>
    </w:p>
    <w:p>
      <w:pPr>
        <w:spacing w:after="0" w:line="230" w:lineRule="exact"/>
        <w:rPr>
          <w:sz w:val="20"/>
          <w:szCs w:val="20"/>
          <w:color w:val="auto"/>
        </w:rPr>
      </w:pPr>
    </w:p>
    <w:p>
      <w:pPr>
        <w:ind w:right="640"/>
        <w:spacing w:after="0" w:line="310" w:lineRule="auto"/>
        <w:rPr>
          <w:sz w:val="20"/>
          <w:szCs w:val="20"/>
          <w:color w:val="auto"/>
        </w:rPr>
      </w:pPr>
      <w:r>
        <w:rPr>
          <w:rFonts w:ascii="Arial" w:cs="Arial" w:eastAsia="Arial" w:hAnsi="Arial"/>
          <w:sz w:val="18"/>
          <w:szCs w:val="18"/>
          <w:color w:val="auto"/>
        </w:rPr>
        <w:t>We take the applicable tax and accounting requirements into consideration in designing and operating our executive compensation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Deductibility of Executive Compensation</w:t>
      </w:r>
    </w:p>
    <w:p>
      <w:pPr>
        <w:spacing w:after="0" w:line="203"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including certain compensation paid pursuant to a compensation plan in existence before the effective date of our initial public offering.</w:t>
      </w:r>
    </w:p>
    <w:p>
      <w:pPr>
        <w:spacing w:after="0" w:line="1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talent and compensation committee has not adopted a policy that all equity or other compensation must be deductible. In approving the amount and form of compensation for our executive officers, the talent and compensation committee considers all elements of our cost of providing such compensation, including the potential impact of Section 162(m) of the Code. The talent and compensation committee may, in its judgment, approve compensation that may not be deductible for federal income tax purposes when it believes that such compensation is in our best interests and the best interests of our stockholders.</w:t>
      </w:r>
    </w:p>
    <w:p>
      <w:pPr>
        <w:sectPr>
          <w:pgSz w:w="11880" w:h="15480" w:orient="portrait"/>
          <w:cols w:equalWidth="0" w:num="1">
            <w:col w:w="9620"/>
          </w:cols>
          <w:pgMar w:left="1140" w:top="3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55</w:t>
      </w:r>
    </w:p>
    <w:p>
      <w:pPr>
        <w:sectPr>
          <w:pgSz w:w="11880" w:h="15480" w:orient="portrait"/>
          <w:cols w:equalWidth="0" w:num="1">
            <w:col w:w="9620"/>
          </w:cols>
          <w:pgMar w:left="1140" w:top="340" w:right="1120" w:bottom="0" w:gutter="0" w:footer="0" w:header="0"/>
          <w:type w:val="continuous"/>
        </w:sectPr>
      </w:pPr>
    </w:p>
    <w:bookmarkStart w:id="63" w:name="page64"/>
    <w:bookmarkEnd w:id="63"/>
    <w:p>
      <w:pPr>
        <w:spacing w:after="0"/>
        <w:rPr>
          <w:sz w:val="20"/>
          <w:szCs w:val="20"/>
          <w:color w:val="auto"/>
        </w:rPr>
      </w:pPr>
      <w:r>
        <w:rPr>
          <w:rFonts w:ascii="Arial" w:cs="Arial" w:eastAsia="Arial" w:hAnsi="Arial"/>
          <w:sz w:val="33"/>
          <w:szCs w:val="33"/>
          <w:color w:val="0A248E"/>
        </w:rPr>
        <w:t>EXECUTIVE COMPENSATION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Taxation of Parachute Payments and Deferred Compensation</w:t>
      </w:r>
    </w:p>
    <w:p>
      <w:pPr>
        <w:spacing w:after="0" w:line="19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Accounting for Stock-Based Compensation</w:t>
      </w:r>
    </w:p>
    <w:p>
      <w:pPr>
        <w:spacing w:after="0" w:line="203"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Our talent and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restricted stock units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estimated the grant date fair value of Mr. Houston’s Co-Founder Grant using a model based on multiple stock price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paths developed through the use of a Monte Carlo simulation that incorporates into the valuation the possibility that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Price Targets may not be satisfied. The average grant date fair value of the Co-Founder Grant was estimated to be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$10.60 per share, and we will recognize total stock-based compensation expense of $109.6 million over the requisite service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period of each tranche, which ranged from 2.9 to 6.9 years, using the accelerated attribution method.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2024, Mr. Houston's Co-Founder Grant has been fully recognized, and no further stock-based compensation expense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Co-Founder Grant remains.</w:t>
      </w:r>
    </w:p>
    <w:p>
      <w:pPr>
        <w:spacing w:after="0" w:line="200" w:lineRule="exact"/>
        <w:rPr>
          <w:sz w:val="20"/>
          <w:szCs w:val="20"/>
          <w:color w:val="auto"/>
        </w:rPr>
      </w:pPr>
    </w:p>
    <w:p>
      <w:pPr>
        <w:ind w:right="140"/>
        <w:spacing w:after="0" w:line="305" w:lineRule="auto"/>
        <w:rPr>
          <w:sz w:val="20"/>
          <w:szCs w:val="20"/>
          <w:color w:val="auto"/>
        </w:rPr>
      </w:pPr>
      <w:r>
        <w:rPr>
          <w:rFonts w:ascii="Arial" w:cs="Arial" w:eastAsia="Arial" w:hAnsi="Arial"/>
          <w:sz w:val="18"/>
          <w:szCs w:val="18"/>
          <w:color w:val="auto"/>
        </w:rPr>
        <w:t>The fair value of the Co-Founder Grant, whereby vesting is contingent on meeting certain market conditions was estimated using the following assumptions: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3059430</wp:posOffset>
                </wp:positionH>
                <wp:positionV relativeFrom="paragraph">
                  <wp:posOffset>83185</wp:posOffset>
                </wp:positionV>
                <wp:extent cx="0" cy="99568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56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9pt,6.55pt" to="240.9pt,84.95pt" o:allowincell="f" strokecolor="#FFFFFF" strokeweight="1.4039pt"/>
            </w:pict>
          </mc:Fallback>
        </mc:AlternateConten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482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auto"/>
              </w:rPr>
              <w:t>Grant date</w:t>
            </w:r>
          </w:p>
        </w:tc>
        <w:tc>
          <w:tcPr>
            <w:tcW w:w="20" w:type="dxa"/>
            <w:vAlign w:val="bottom"/>
          </w:tcPr>
          <w:p>
            <w:pPr>
              <w:spacing w:after="0"/>
              <w:rPr>
                <w:sz w:val="24"/>
                <w:szCs w:val="24"/>
                <w:color w:val="auto"/>
              </w:rPr>
            </w:pPr>
          </w:p>
        </w:tc>
        <w:tc>
          <w:tcPr>
            <w:tcW w:w="48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12/12/2017</w:t>
            </w:r>
          </w:p>
        </w:tc>
      </w:tr>
      <w:tr>
        <w:trPr>
          <w:trHeight w:val="304"/>
        </w:trPr>
        <w:tc>
          <w:tcPr>
            <w:tcW w:w="4820" w:type="dxa"/>
            <w:vAlign w:val="bottom"/>
          </w:tcPr>
          <w:p>
            <w:pPr>
              <w:ind w:left="100"/>
              <w:spacing w:after="0"/>
              <w:rPr>
                <w:sz w:val="20"/>
                <w:szCs w:val="20"/>
                <w:color w:val="auto"/>
              </w:rPr>
            </w:pPr>
            <w:r>
              <w:rPr>
                <w:rFonts w:ascii="Arial" w:cs="Arial" w:eastAsia="Arial" w:hAnsi="Arial"/>
                <w:sz w:val="18"/>
                <w:szCs w:val="18"/>
                <w:b w:val="1"/>
                <w:bCs w:val="1"/>
                <w:color w:val="auto"/>
              </w:rPr>
              <w:t>Expected IPO date</w:t>
            </w:r>
          </w:p>
        </w:tc>
        <w:tc>
          <w:tcPr>
            <w:tcW w:w="4820" w:type="dxa"/>
            <w:vAlign w:val="bottom"/>
            <w:gridSpan w:val="2"/>
          </w:tcPr>
          <w:p>
            <w:pPr>
              <w:jc w:val="center"/>
              <w:spacing w:after="0"/>
              <w:rPr>
                <w:sz w:val="20"/>
                <w:szCs w:val="20"/>
                <w:color w:val="auto"/>
              </w:rPr>
            </w:pPr>
            <w:r>
              <w:rPr>
                <w:rFonts w:ascii="Arial" w:cs="Arial" w:eastAsia="Arial" w:hAnsi="Arial"/>
                <w:sz w:val="18"/>
                <w:szCs w:val="18"/>
                <w:color w:val="auto"/>
                <w:w w:val="97"/>
              </w:rPr>
              <w:t>3/31/2018</w:t>
            </w:r>
          </w:p>
        </w:tc>
      </w:tr>
      <w:tr>
        <w:trPr>
          <w:trHeight w:val="323"/>
        </w:trPr>
        <w:tc>
          <w:tcPr>
            <w:tcW w:w="482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auto"/>
              </w:rPr>
              <w:t>Lock-up period</w:t>
            </w:r>
          </w:p>
        </w:tc>
        <w:tc>
          <w:tcPr>
            <w:tcW w:w="20" w:type="dxa"/>
            <w:vAlign w:val="bottom"/>
          </w:tcPr>
          <w:p>
            <w:pPr>
              <w:spacing w:after="0"/>
              <w:rPr>
                <w:sz w:val="24"/>
                <w:szCs w:val="24"/>
                <w:color w:val="auto"/>
              </w:rPr>
            </w:pPr>
          </w:p>
        </w:tc>
        <w:tc>
          <w:tcPr>
            <w:tcW w:w="48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1/1/2019</w:t>
            </w:r>
          </w:p>
        </w:tc>
      </w:tr>
      <w:tr>
        <w:trPr>
          <w:trHeight w:val="304"/>
        </w:trPr>
        <w:tc>
          <w:tcPr>
            <w:tcW w:w="4820" w:type="dxa"/>
            <w:vAlign w:val="bottom"/>
          </w:tcPr>
          <w:p>
            <w:pPr>
              <w:ind w:left="100"/>
              <w:spacing w:after="0"/>
              <w:rPr>
                <w:sz w:val="20"/>
                <w:szCs w:val="20"/>
                <w:color w:val="auto"/>
              </w:rPr>
            </w:pPr>
            <w:r>
              <w:rPr>
                <w:rFonts w:ascii="Arial" w:cs="Arial" w:eastAsia="Arial" w:hAnsi="Arial"/>
                <w:sz w:val="18"/>
                <w:szCs w:val="18"/>
                <w:b w:val="1"/>
                <w:bCs w:val="1"/>
                <w:color w:val="auto"/>
              </w:rPr>
              <w:t>Expiration date</w:t>
            </w:r>
          </w:p>
        </w:tc>
        <w:tc>
          <w:tcPr>
            <w:tcW w:w="4820" w:type="dxa"/>
            <w:vAlign w:val="bottom"/>
            <w:gridSpan w:val="2"/>
          </w:tcPr>
          <w:p>
            <w:pPr>
              <w:jc w:val="center"/>
              <w:spacing w:after="0"/>
              <w:rPr>
                <w:sz w:val="20"/>
                <w:szCs w:val="20"/>
                <w:color w:val="auto"/>
              </w:rPr>
            </w:pPr>
            <w:r>
              <w:rPr>
                <w:rFonts w:ascii="Arial" w:cs="Arial" w:eastAsia="Arial" w:hAnsi="Arial"/>
                <w:sz w:val="18"/>
                <w:szCs w:val="18"/>
                <w:color w:val="auto"/>
                <w:w w:val="97"/>
              </w:rPr>
              <w:t>3/31/2028</w:t>
            </w:r>
          </w:p>
        </w:tc>
      </w:tr>
      <w:tr>
        <w:trPr>
          <w:trHeight w:val="323"/>
        </w:trPr>
        <w:tc>
          <w:tcPr>
            <w:tcW w:w="482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auto"/>
              </w:rPr>
              <w:t>Grant price</w:t>
            </w:r>
          </w:p>
        </w:tc>
        <w:tc>
          <w:tcPr>
            <w:tcW w:w="20" w:type="dxa"/>
            <w:vAlign w:val="bottom"/>
          </w:tcPr>
          <w:p>
            <w:pPr>
              <w:spacing w:after="0"/>
              <w:rPr>
                <w:sz w:val="24"/>
                <w:szCs w:val="24"/>
                <w:color w:val="auto"/>
              </w:rPr>
            </w:pPr>
          </w:p>
        </w:tc>
        <w:tc>
          <w:tcPr>
            <w:tcW w:w="48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$17.15</w:t>
            </w:r>
          </w:p>
        </w:tc>
      </w:tr>
      <w:tr>
        <w:trPr>
          <w:trHeight w:val="304"/>
        </w:trPr>
        <w:tc>
          <w:tcPr>
            <w:tcW w:w="4820" w:type="dxa"/>
            <w:vAlign w:val="bottom"/>
          </w:tcPr>
          <w:p>
            <w:pPr>
              <w:ind w:left="100"/>
              <w:spacing w:after="0"/>
              <w:rPr>
                <w:sz w:val="20"/>
                <w:szCs w:val="20"/>
                <w:color w:val="auto"/>
              </w:rPr>
            </w:pPr>
            <w:r>
              <w:rPr>
                <w:rFonts w:ascii="Arial" w:cs="Arial" w:eastAsia="Arial" w:hAnsi="Arial"/>
                <w:sz w:val="18"/>
                <w:szCs w:val="18"/>
                <w:b w:val="1"/>
                <w:bCs w:val="1"/>
                <w:color w:val="auto"/>
              </w:rPr>
              <w:t>Expected volatility</w:t>
            </w:r>
          </w:p>
        </w:tc>
        <w:tc>
          <w:tcPr>
            <w:tcW w:w="4820" w:type="dxa"/>
            <w:vAlign w:val="bottom"/>
            <w:gridSpan w:val="2"/>
          </w:tcPr>
          <w:p>
            <w:pPr>
              <w:jc w:val="center"/>
              <w:spacing w:after="0"/>
              <w:rPr>
                <w:sz w:val="20"/>
                <w:szCs w:val="20"/>
                <w:color w:val="auto"/>
              </w:rPr>
            </w:pPr>
            <w:r>
              <w:rPr>
                <w:rFonts w:ascii="Arial" w:cs="Arial" w:eastAsia="Arial" w:hAnsi="Arial"/>
                <w:sz w:val="18"/>
                <w:szCs w:val="18"/>
                <w:color w:val="auto"/>
                <w:w w:val="97"/>
              </w:rPr>
              <w:t>40.0%</w:t>
            </w:r>
          </w:p>
        </w:tc>
      </w:tr>
      <w:tr>
        <w:trPr>
          <w:trHeight w:val="323"/>
        </w:trPr>
        <w:tc>
          <w:tcPr>
            <w:tcW w:w="482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auto"/>
              </w:rPr>
              <w:t>Risk-free interest rate (continuous)</w:t>
            </w:r>
          </w:p>
        </w:tc>
        <w:tc>
          <w:tcPr>
            <w:tcW w:w="20" w:type="dxa"/>
            <w:vAlign w:val="bottom"/>
          </w:tcPr>
          <w:p>
            <w:pPr>
              <w:spacing w:after="0"/>
              <w:rPr>
                <w:sz w:val="24"/>
                <w:szCs w:val="24"/>
                <w:color w:val="auto"/>
              </w:rPr>
            </w:pPr>
          </w:p>
        </w:tc>
        <w:tc>
          <w:tcPr>
            <w:tcW w:w="48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2.38%</w:t>
            </w:r>
          </w:p>
        </w:tc>
      </w:tr>
      <w:tr>
        <w:trPr>
          <w:trHeight w:val="295"/>
        </w:trPr>
        <w:tc>
          <w:tcPr>
            <w:tcW w:w="4820" w:type="dxa"/>
            <w:vAlign w:val="bottom"/>
          </w:tcPr>
          <w:p>
            <w:pPr>
              <w:ind w:left="100"/>
              <w:spacing w:after="0"/>
              <w:rPr>
                <w:sz w:val="20"/>
                <w:szCs w:val="20"/>
                <w:color w:val="auto"/>
              </w:rPr>
            </w:pPr>
            <w:r>
              <w:rPr>
                <w:rFonts w:ascii="Arial" w:cs="Arial" w:eastAsia="Arial" w:hAnsi="Arial"/>
                <w:sz w:val="18"/>
                <w:szCs w:val="18"/>
                <w:b w:val="1"/>
                <w:bCs w:val="1"/>
                <w:color w:val="auto"/>
              </w:rPr>
              <w:t>Expected dividends</w:t>
            </w:r>
          </w:p>
        </w:tc>
        <w:tc>
          <w:tcPr>
            <w:tcW w:w="482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3059430</wp:posOffset>
                </wp:positionH>
                <wp:positionV relativeFrom="paragraph">
                  <wp:posOffset>-386080</wp:posOffset>
                </wp:positionV>
                <wp:extent cx="0" cy="19875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75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9pt,-30.3999pt" to="240.9pt,-14.7499pt" o:allowincell="f" strokecolor="#FFFFFF" strokeweight="1.4039pt"/>
            </w:pict>
          </mc:Fallback>
        </mc:AlternateContent>
      </w:r>
    </w:p>
    <w:p>
      <w:pPr>
        <w:spacing w:after="0" w:line="155" w:lineRule="exact"/>
        <w:rPr>
          <w:sz w:val="20"/>
          <w:szCs w:val="20"/>
          <w:color w:val="auto"/>
        </w:rPr>
      </w:pPr>
    </w:p>
    <w:p>
      <w:pPr>
        <w:ind w:right="200"/>
        <w:spacing w:after="0" w:line="288" w:lineRule="auto"/>
        <w:rPr>
          <w:sz w:val="20"/>
          <w:szCs w:val="20"/>
          <w:color w:val="auto"/>
        </w:rPr>
      </w:pPr>
      <w:r>
        <w:rPr>
          <w:rFonts w:ascii="Arial" w:cs="Arial" w:eastAsia="Arial" w:hAnsi="Arial"/>
          <w:sz w:val="18"/>
          <w:szCs w:val="18"/>
          <w:i w:val="1"/>
          <w:iCs w:val="1"/>
          <w:color w:val="auto"/>
        </w:rPr>
        <w:t xml:space="preserve">Expected grant date, expected IPO date, lock-up period, and expiration date. </w:t>
      </w:r>
      <w:r>
        <w:rPr>
          <w:rFonts w:ascii="Arial" w:cs="Arial" w:eastAsia="Arial" w:hAnsi="Arial"/>
          <w:sz w:val="18"/>
          <w:szCs w:val="18"/>
          <w:color w:val="auto"/>
        </w:rPr>
        <w:t>The Grant Date, expected IPO date,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of the lock-up period were estimates at the time of the valuation and correspond to the terms defined in the Restricted Stock Award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 grant price is based on the valuation of Common Stock as of December 12, 2017.</w:t>
      </w:r>
    </w:p>
    <w:p>
      <w:pPr>
        <w:spacing w:after="0" w:line="200"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is based on the average of the implied volatility of the longer at-the-money call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annualized daily return volatility over the greater of the trading history or the term for each one of the guideline companies. The concluded volatility is then based on the median of the comparable companies.</w:t>
      </w:r>
    </w:p>
    <w:p>
      <w:pPr>
        <w:spacing w:after="0" w:line="118" w:lineRule="exact"/>
        <w:rPr>
          <w:sz w:val="20"/>
          <w:szCs w:val="20"/>
          <w:color w:val="auto"/>
        </w:rPr>
      </w:pPr>
    </w:p>
    <w:p>
      <w:pPr>
        <w:ind w:right="80"/>
        <w:spacing w:after="0" w:line="310"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interpolated based on the U.S. Treasury rates sourced from S&amp;P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IQ with a term commensurate with the remaining performance period.</w:t>
      </w:r>
    </w:p>
    <w:p>
      <w:pPr>
        <w:spacing w:after="0" w:line="106" w:lineRule="exact"/>
        <w:rPr>
          <w:sz w:val="20"/>
          <w:szCs w:val="20"/>
          <w:color w:val="auto"/>
        </w:rPr>
      </w:pPr>
    </w:p>
    <w:p>
      <w:pPr>
        <w:ind w:right="180"/>
        <w:spacing w:after="0" w:line="310"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The company has not paid and does not expect to pay dividends. Consequently, the company uses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of zero.</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61" w:lineRule="exact"/>
        <w:rPr>
          <w:sz w:val="20"/>
          <w:szCs w:val="20"/>
          <w:color w:val="auto"/>
        </w:rPr>
      </w:pPr>
    </w:p>
    <w:p>
      <w:pPr>
        <w:ind w:left="520" w:hanging="475"/>
        <w:spacing w:after="0"/>
        <w:tabs>
          <w:tab w:leader="none" w:pos="520"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64" w:name="page65"/>
    <w:bookmarkEnd w:id="64"/>
    <w:p>
      <w:pPr>
        <w:spacing w:after="0"/>
        <w:rPr>
          <w:sz w:val="20"/>
          <w:szCs w:val="20"/>
          <w:color w:val="auto"/>
        </w:rPr>
      </w:pPr>
      <w:r>
        <w:rPr>
          <w:rFonts w:ascii="Arial" w:cs="Arial" w:eastAsia="Arial" w:hAnsi="Arial"/>
          <w:sz w:val="33"/>
          <w:szCs w:val="33"/>
          <w:color w:val="0A248E"/>
        </w:rPr>
        <w:t>EXECUTIVE COMPENSATION (continued)</w:t>
      </w: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color w:val="0A248E"/>
        </w:rPr>
        <w:t>Report of the Compensation Committee</w:t>
      </w:r>
    </w:p>
    <w:p>
      <w:pPr>
        <w:spacing w:after="0" w:line="29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talent and compensation committee has reviewed and discussed with management the Compensation Discussion and Analysis provided above. Based on its review and discussions, the talent and compensation committee recommended to the board of directors that the Compensation Discussion and Analysis be included in this proxy statement and Dropbox’s Annual Report on Form 10-K for our fiscal year ended December 31, 2025.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talent and compensation committee of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E. Jacobs*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Abhay Parasnis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Karen Peacock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Seibel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 Dr. Jacobs joined the talent and compensation committee in May 2025.</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57</w:t>
      </w:r>
    </w:p>
    <w:p>
      <w:pPr>
        <w:sectPr>
          <w:pgSz w:w="11880" w:h="15480" w:orient="portrait"/>
          <w:cols w:equalWidth="0" w:num="1">
            <w:col w:w="9640"/>
          </w:cols>
          <w:pgMar w:left="1140" w:top="340" w:right="1100" w:bottom="0" w:gutter="0" w:footer="0" w:header="0"/>
          <w:type w:val="continuous"/>
        </w:sectPr>
      </w:pPr>
    </w:p>
    <w:bookmarkStart w:id="65" w:name="page66"/>
    <w:bookmarkEnd w:id="65"/>
    <w:p>
      <w:pPr>
        <w:spacing w:after="0"/>
        <w:rPr>
          <w:sz w:val="20"/>
          <w:szCs w:val="20"/>
          <w:color w:val="auto"/>
        </w:rPr>
      </w:pPr>
      <w:r>
        <w:rPr>
          <w:rFonts w:ascii="Arial" w:cs="Arial" w:eastAsia="Arial" w:hAnsi="Arial"/>
          <w:sz w:val="33"/>
          <w:szCs w:val="33"/>
          <w:color w:val="0A248E"/>
        </w:rPr>
        <w:t>EXECUTIVE COMPENSATION (continued)</w:t>
      </w: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color w:val="0A248E"/>
        </w:rPr>
        <w:t>Compensation Risk Assessment</w:t>
      </w:r>
    </w:p>
    <w:p>
      <w:pPr>
        <w:spacing w:after="0" w:line="29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management regularly assesses and discusses with the talent and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3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41" w:lineRule="exact"/>
        <w:rPr>
          <w:sz w:val="20"/>
          <w:szCs w:val="20"/>
          <w:color w:val="auto"/>
        </w:rPr>
      </w:pPr>
    </w:p>
    <w:p>
      <w:pPr>
        <w:ind w:right="100"/>
        <w:spacing w:after="0" w:line="299" w:lineRule="auto"/>
        <w:rPr>
          <w:sz w:val="20"/>
          <w:szCs w:val="20"/>
          <w:color w:val="auto"/>
        </w:rPr>
      </w:pPr>
      <w:r>
        <w:rPr>
          <w:rFonts w:ascii="Arial" w:cs="Arial" w:eastAsia="Arial" w:hAnsi="Arial"/>
          <w:sz w:val="17"/>
          <w:szCs w:val="17"/>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ectPr>
          <w:pgSz w:w="11880" w:h="15480" w:orient="portrait"/>
          <w:cols w:equalWidth="0" w:num="1">
            <w:col w:w="9600"/>
          </w:cols>
          <w:pgMar w:left="1140" w:top="3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hanging="475"/>
        <w:spacing w:after="0"/>
        <w:tabs>
          <w:tab w:leader="none" w:pos="52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00"/>
          </w:cols>
          <w:pgMar w:left="1140" w:top="340" w:right="1140" w:bottom="0" w:gutter="0" w:footer="0" w:header="0"/>
          <w:type w:val="continuous"/>
        </w:sectPr>
      </w:pPr>
    </w:p>
    <w:bookmarkStart w:id="66" w:name="page67"/>
    <w:bookmarkEnd w:id="66"/>
    <w:p>
      <w:pPr>
        <w:ind w:left="7"/>
        <w:spacing w:after="0"/>
        <w:rPr>
          <w:sz w:val="20"/>
          <w:szCs w:val="20"/>
          <w:color w:val="auto"/>
        </w:rPr>
      </w:pPr>
      <w:r>
        <w:rPr>
          <w:rFonts w:ascii="Arial" w:cs="Arial" w:eastAsia="Arial" w:hAnsi="Arial"/>
          <w:sz w:val="33"/>
          <w:szCs w:val="33"/>
          <w:color w:val="0A248E"/>
        </w:rPr>
        <w:t>EXECUTIVE COMPENSATION (continued)</w:t>
      </w:r>
    </w:p>
    <w:p>
      <w:pPr>
        <w:spacing w:after="0" w:line="273" w:lineRule="exact"/>
        <w:rPr>
          <w:sz w:val="20"/>
          <w:szCs w:val="20"/>
          <w:color w:val="auto"/>
        </w:rPr>
      </w:pPr>
    </w:p>
    <w:p>
      <w:pPr>
        <w:ind w:left="7"/>
        <w:spacing w:after="0"/>
        <w:rPr>
          <w:sz w:val="20"/>
          <w:szCs w:val="20"/>
          <w:color w:val="auto"/>
        </w:rPr>
      </w:pPr>
      <w:r>
        <w:rPr>
          <w:rFonts w:ascii="Arial" w:cs="Arial" w:eastAsia="Arial" w:hAnsi="Arial"/>
          <w:sz w:val="28"/>
          <w:szCs w:val="28"/>
          <w:color w:val="0A248E"/>
        </w:rPr>
        <w:t>Summary Compensation Table for Fiscal Year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4457700</wp:posOffset>
                </wp:positionH>
                <wp:positionV relativeFrom="paragraph">
                  <wp:posOffset>197485</wp:posOffset>
                </wp:positionV>
                <wp:extent cx="0" cy="2056765"/>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5676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5.55pt" to="351pt,177.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158750</wp:posOffset>
                </wp:positionV>
                <wp:extent cx="0" cy="209550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12.5pt" to="424.2pt,177.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1857375</wp:posOffset>
                </wp:positionH>
                <wp:positionV relativeFrom="paragraph">
                  <wp:posOffset>158750</wp:posOffset>
                </wp:positionV>
                <wp:extent cx="0" cy="211328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132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12.5pt" to="146.25pt,178.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1857375</wp:posOffset>
                </wp:positionH>
                <wp:positionV relativeFrom="paragraph">
                  <wp:posOffset>2272030</wp:posOffset>
                </wp:positionV>
                <wp:extent cx="0" cy="74295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2950"/>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178.9pt" to="146.25pt,237.4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2341245</wp:posOffset>
                </wp:positionH>
                <wp:positionV relativeFrom="paragraph">
                  <wp:posOffset>949325</wp:posOffset>
                </wp:positionV>
                <wp:extent cx="45466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4660" cy="4763"/>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35pt,74.75pt" to="220.15pt,74.7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2778125</wp:posOffset>
                </wp:positionH>
                <wp:positionV relativeFrom="paragraph">
                  <wp:posOffset>1139825</wp:posOffset>
                </wp:positionV>
                <wp:extent cx="72263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630" cy="4763"/>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75pt,89.75pt" to="275.65pt,89.75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2953385</wp:posOffset>
                </wp:positionH>
                <wp:positionV relativeFrom="paragraph">
                  <wp:posOffset>1329690</wp:posOffset>
                </wp:positionV>
                <wp:extent cx="77025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4763"/>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55pt,104.7pt" to="293.2pt,104.7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2787015</wp:posOffset>
                </wp:positionH>
                <wp:positionV relativeFrom="paragraph">
                  <wp:posOffset>940435</wp:posOffset>
                </wp:positionV>
                <wp:extent cx="0" cy="58547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547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45pt,74.05pt" to="219.45pt,120.1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2962910</wp:posOffset>
                </wp:positionH>
                <wp:positionV relativeFrom="paragraph">
                  <wp:posOffset>156210</wp:posOffset>
                </wp:positionV>
                <wp:extent cx="0" cy="1369695"/>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696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3pt,12.3pt" to="233.3pt,120.1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2350135</wp:posOffset>
                </wp:positionH>
                <wp:positionV relativeFrom="paragraph">
                  <wp:posOffset>158750</wp:posOffset>
                </wp:positionV>
                <wp:extent cx="0" cy="211328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132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05pt,12.5pt" to="185.05pt,178.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2350135</wp:posOffset>
                </wp:positionH>
                <wp:positionV relativeFrom="paragraph">
                  <wp:posOffset>2272030</wp:posOffset>
                </wp:positionV>
                <wp:extent cx="0" cy="72517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5170"/>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05pt,178.9pt" to="185.05pt,236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2787015</wp:posOffset>
                </wp:positionH>
                <wp:positionV relativeFrom="paragraph">
                  <wp:posOffset>2272030</wp:posOffset>
                </wp:positionV>
                <wp:extent cx="0" cy="72517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5170"/>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45pt,178.9pt" to="219.45pt,236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2962910</wp:posOffset>
                </wp:positionH>
                <wp:positionV relativeFrom="paragraph">
                  <wp:posOffset>2265680</wp:posOffset>
                </wp:positionV>
                <wp:extent cx="0" cy="74295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2950"/>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3pt,178.4pt" to="233.3pt,236.9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3500755</wp:posOffset>
                </wp:positionH>
                <wp:positionV relativeFrom="paragraph">
                  <wp:posOffset>1525905</wp:posOffset>
                </wp:positionV>
                <wp:extent cx="0" cy="148907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907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65pt,120.15pt" to="275.65pt,237.4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3714750</wp:posOffset>
                </wp:positionH>
                <wp:positionV relativeFrom="paragraph">
                  <wp:posOffset>197485</wp:posOffset>
                </wp:positionV>
                <wp:extent cx="0" cy="281749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174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5pt,15.55pt" to="292.5pt,237.4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2265680</wp:posOffset>
                </wp:positionV>
                <wp:extent cx="0" cy="7493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9300"/>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78.4pt" to="351pt,237.4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5200650</wp:posOffset>
                </wp:positionH>
                <wp:positionV relativeFrom="paragraph">
                  <wp:posOffset>2265680</wp:posOffset>
                </wp:positionV>
                <wp:extent cx="0" cy="74930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9300"/>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5pt,178.4pt" to="409.5pt,237.4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2265680</wp:posOffset>
                </wp:positionV>
                <wp:extent cx="0" cy="74930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9300"/>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178.4pt" to="424.2pt,237.4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1485900</wp:posOffset>
                </wp:positionH>
                <wp:positionV relativeFrom="paragraph">
                  <wp:posOffset>158750</wp:posOffset>
                </wp:positionV>
                <wp:extent cx="0" cy="495109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510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7pt,12.5pt" to="117pt,402.3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2736850</wp:posOffset>
                </wp:positionH>
                <wp:positionV relativeFrom="paragraph">
                  <wp:posOffset>3689350</wp:posOffset>
                </wp:positionV>
                <wp:extent cx="23495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0" cy="4763"/>
                        </a:xfrm>
                        <a:prstGeom prst="line">
                          <a:avLst/>
                        </a:prstGeom>
                        <a:solidFill>
                          <a:srgbClr val="FFFFFF"/>
                        </a:solidFill>
                        <a:ln w="17143">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pt,290.5pt" to="234pt,290.5pt" o:allowincell="f" strokecolor="#FFFFFF" strokeweight="1.3498pt"/>
            </w:pict>
          </mc:Fallback>
        </mc:AlternateContent>
        <mc:AlternateContent>
          <mc:Choice Requires="wps">
            <w:drawing>
              <wp:anchor simplePos="0" relativeHeight="251657728" behindDoc="1" locked="0" layoutInCell="0" allowOverlap="1">
                <wp:simplePos x="0" y="0"/>
                <wp:positionH relativeFrom="column">
                  <wp:posOffset>2953385</wp:posOffset>
                </wp:positionH>
                <wp:positionV relativeFrom="paragraph">
                  <wp:posOffset>3686810</wp:posOffset>
                </wp:positionV>
                <wp:extent cx="77025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4763"/>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55pt,290.3pt" to="293.2pt,290.3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2787015</wp:posOffset>
                </wp:positionH>
                <wp:positionV relativeFrom="paragraph">
                  <wp:posOffset>3670935</wp:posOffset>
                </wp:positionV>
                <wp:extent cx="0" cy="200025"/>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02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45pt,289.05pt" to="219.45pt,304.8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2962910</wp:posOffset>
                </wp:positionH>
                <wp:positionV relativeFrom="paragraph">
                  <wp:posOffset>3680460</wp:posOffset>
                </wp:positionV>
                <wp:extent cx="0" cy="43688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68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3pt,289.8pt" to="233.3pt,324.2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2953385</wp:posOffset>
                </wp:positionH>
                <wp:positionV relativeFrom="paragraph">
                  <wp:posOffset>4613275</wp:posOffset>
                </wp:positionV>
                <wp:extent cx="29845" cy="1270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45" cy="12700"/>
                        </a:xfrm>
                        <a:prstGeom prst="rect">
                          <a:avLst/>
                        </a:prstGeom>
                        <a:solidFill>
                          <a:srgbClr val="E6E6E6"/>
                        </a:solidFill>
                      </wps:spPr>
                      <wps:bodyPr/>
                    </wps:wsp>
                  </a:graphicData>
                </a:graphic>
              </wp:anchor>
            </w:drawing>
          </mc:Choice>
          <mc:Fallback>
            <w:pict>
              <v:rect id="Shape 167" o:spid="_x0000_s1192" style="position:absolute;margin-left:232.55pt;margin-top:363.25pt;width:2.3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3692525</wp:posOffset>
                </wp:positionV>
                <wp:extent cx="0" cy="196215"/>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215"/>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90.75pt" to="351pt,306.2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4448810</wp:posOffset>
                </wp:positionH>
                <wp:positionV relativeFrom="paragraph">
                  <wp:posOffset>3879850</wp:posOffset>
                </wp:positionV>
                <wp:extent cx="169037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0370" cy="4763"/>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3pt,305.5pt" to="483.4pt,305.5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5200650</wp:posOffset>
                </wp:positionH>
                <wp:positionV relativeFrom="paragraph">
                  <wp:posOffset>3202305</wp:posOffset>
                </wp:positionV>
                <wp:extent cx="0" cy="915035"/>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50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5pt,252.15pt" to="409.5pt,324.2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3202305</wp:posOffset>
                </wp:positionV>
                <wp:extent cx="0" cy="117348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7348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52.15pt" to="351pt,344.5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5200650</wp:posOffset>
                </wp:positionH>
                <wp:positionV relativeFrom="paragraph">
                  <wp:posOffset>4135120</wp:posOffset>
                </wp:positionV>
                <wp:extent cx="0" cy="240665"/>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066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5pt,325.6pt" to="409.5pt,344.5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3202305</wp:posOffset>
                </wp:positionV>
                <wp:extent cx="0" cy="1429385"/>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2938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252.15pt" to="424.2pt,364.7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4372610</wp:posOffset>
                </wp:positionV>
                <wp:extent cx="26670" cy="1270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 cy="12700"/>
                        </a:xfrm>
                        <a:prstGeom prst="rect">
                          <a:avLst/>
                        </a:prstGeom>
                        <a:solidFill>
                          <a:srgbClr val="E6E6E6"/>
                        </a:solidFill>
                      </wps:spPr>
                      <wps:bodyPr/>
                    </wps:wsp>
                  </a:graphicData>
                </a:graphic>
              </wp:anchor>
            </w:drawing>
          </mc:Choice>
          <mc:Fallback>
            <w:pict>
              <v:rect id="Shape 174" o:spid="_x0000_s1199" style="position:absolute;margin-left:423.75pt;margin-top:344.3pt;width:2.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6121400</wp:posOffset>
                </wp:positionH>
                <wp:positionV relativeFrom="paragraph">
                  <wp:posOffset>4372610</wp:posOffset>
                </wp:positionV>
                <wp:extent cx="15240" cy="1270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12700"/>
                        </a:xfrm>
                        <a:prstGeom prst="rect">
                          <a:avLst/>
                        </a:prstGeom>
                        <a:solidFill>
                          <a:srgbClr val="E6E6E6"/>
                        </a:solidFill>
                      </wps:spPr>
                      <wps:bodyPr/>
                    </wps:wsp>
                  </a:graphicData>
                </a:graphic>
              </wp:anchor>
            </w:drawing>
          </mc:Choice>
          <mc:Fallback>
            <w:pict>
              <v:rect id="Shape 175" o:spid="_x0000_s1200" style="position:absolute;margin-left:482pt;margin-top:344.3pt;width:1.2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3705860</wp:posOffset>
                </wp:positionH>
                <wp:positionV relativeFrom="paragraph">
                  <wp:posOffset>4370070</wp:posOffset>
                </wp:positionV>
                <wp:extent cx="243332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3320" cy="4763"/>
                        </a:xfrm>
                        <a:prstGeom prst="line">
                          <a:avLst/>
                        </a:prstGeom>
                        <a:solidFill>
                          <a:srgbClr val="FFFFFF"/>
                        </a:solidFill>
                        <a:ln w="11886">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8pt,344.1pt" to="483.4pt,344.1pt" o:allowincell="f" strokecolor="#FFFFFF" strokeweight="0.9359pt"/>
            </w:pict>
          </mc:Fallback>
        </mc:AlternateContent>
        <mc:AlternateContent>
          <mc:Choice Requires="wps">
            <w:drawing>
              <wp:anchor simplePos="0" relativeHeight="251657728" behindDoc="1" locked="0" layoutInCell="0" allowOverlap="1">
                <wp:simplePos x="0" y="0"/>
                <wp:positionH relativeFrom="column">
                  <wp:posOffset>4448810</wp:posOffset>
                </wp:positionH>
                <wp:positionV relativeFrom="paragraph">
                  <wp:posOffset>4622800</wp:posOffset>
                </wp:positionV>
                <wp:extent cx="169037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0370" cy="4763"/>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3pt,364pt" to="483.4pt,364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1464310</wp:posOffset>
                </wp:positionH>
                <wp:positionV relativeFrom="paragraph">
                  <wp:posOffset>3686810</wp:posOffset>
                </wp:positionV>
                <wp:extent cx="89471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4715" cy="4763"/>
                        </a:xfrm>
                        <a:prstGeom prst="line">
                          <a:avLst/>
                        </a:prstGeom>
                        <a:solidFill>
                          <a:srgbClr val="FFFFFF"/>
                        </a:solidFill>
                        <a:ln w="11887">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3pt,290.3pt" to="185.75pt,290.3pt" o:allowincell="f" strokecolor="#FFFFFF" strokeweight="0.936pt"/>
            </w:pict>
          </mc:Fallback>
        </mc:AlternateContent>
        <mc:AlternateContent>
          <mc:Choice Requires="wps">
            <w:drawing>
              <wp:anchor simplePos="0" relativeHeight="251657728" behindDoc="1" locked="0" layoutInCell="0" allowOverlap="1">
                <wp:simplePos x="0" y="0"/>
                <wp:positionH relativeFrom="column">
                  <wp:posOffset>1857375</wp:posOffset>
                </wp:positionH>
                <wp:positionV relativeFrom="paragraph">
                  <wp:posOffset>3888740</wp:posOffset>
                </wp:positionV>
                <wp:extent cx="0" cy="493395"/>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33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306.2pt" to="146.25pt,345.0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2350135</wp:posOffset>
                </wp:positionH>
                <wp:positionV relativeFrom="paragraph">
                  <wp:posOffset>2997200</wp:posOffset>
                </wp:positionV>
                <wp:extent cx="0" cy="2112645"/>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126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05pt,236pt" to="185.05pt,402.35pt" o:allowincell="f" strokecolor="#FFFFFF" strokeweight="1.4039pt"/>
            </w:pict>
          </mc:Fallback>
        </mc:AlternateContent>
      </w:r>
    </w:p>
    <w:p>
      <w:pPr>
        <w:spacing w:after="0" w:line="231" w:lineRule="exact"/>
        <w:rPr>
          <w:sz w:val="20"/>
          <w:szCs w:val="20"/>
          <w:color w:val="auto"/>
        </w:rPr>
      </w:pPr>
    </w:p>
    <w:tbl>
      <w:tblPr>
        <w:tblLayout w:type="fixed"/>
        <w:tblInd w:w="7" w:type="dxa"/>
        <w:tblCellMar>
          <w:top w:w="0" w:type="dxa"/>
          <w:left w:w="0" w:type="dxa"/>
          <w:bottom w:w="0" w:type="dxa"/>
          <w:right w:w="0" w:type="dxa"/>
        </w:tblCellMar>
      </w:tblPr>
      <w:tr>
        <w:trPr>
          <w:trHeight w:val="61"/>
        </w:trPr>
        <w:tc>
          <w:tcPr>
            <w:tcW w:w="40" w:type="dxa"/>
            <w:vAlign w:val="bottom"/>
            <w:shd w:val="clear" w:color="auto" w:fill="0A248E"/>
          </w:tcPr>
          <w:p>
            <w:pPr>
              <w:spacing w:after="0"/>
              <w:rPr>
                <w:sz w:val="5"/>
                <w:szCs w:val="5"/>
                <w:color w:val="auto"/>
              </w:rPr>
            </w:pPr>
          </w:p>
        </w:tc>
        <w:tc>
          <w:tcPr>
            <w:tcW w:w="228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Borders>
              <w:left w:val="single" w:sz="8" w:color="0A248E"/>
              <w:right w:val="single" w:sz="8" w:color="0A248E"/>
            </w:tcBorders>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64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240" w:type="dxa"/>
            <w:vAlign w:val="bottom"/>
            <w:shd w:val="clear" w:color="auto" w:fill="0A248E"/>
          </w:tcPr>
          <w:p>
            <w:pPr>
              <w:spacing w:after="0"/>
              <w:rPr>
                <w:sz w:val="5"/>
                <w:szCs w:val="5"/>
                <w:color w:val="auto"/>
              </w:rPr>
            </w:pPr>
          </w:p>
        </w:tc>
        <w:tc>
          <w:tcPr>
            <w:tcW w:w="80" w:type="dxa"/>
            <w:vAlign w:val="bottom"/>
            <w:tcBorders>
              <w:left w:val="single" w:sz="8" w:color="0A248E"/>
              <w:right w:val="single" w:sz="8" w:color="0A248E"/>
            </w:tcBorders>
            <w:shd w:val="clear" w:color="auto" w:fill="0A248E"/>
          </w:tcPr>
          <w:p>
            <w:pPr>
              <w:spacing w:after="0"/>
              <w:rPr>
                <w:sz w:val="5"/>
                <w:szCs w:val="5"/>
                <w:color w:val="auto"/>
              </w:rPr>
            </w:pPr>
          </w:p>
        </w:tc>
        <w:tc>
          <w:tcPr>
            <w:tcW w:w="78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300" w:type="dxa"/>
            <w:vAlign w:val="bottom"/>
            <w:shd w:val="clear" w:color="auto" w:fill="0A248E"/>
          </w:tcPr>
          <w:p>
            <w:pPr>
              <w:spacing w:after="0"/>
              <w:rPr>
                <w:sz w:val="5"/>
                <w:szCs w:val="5"/>
                <w:color w:val="auto"/>
              </w:rPr>
            </w:pPr>
          </w:p>
        </w:tc>
        <w:tc>
          <w:tcPr>
            <w:tcW w:w="80" w:type="dxa"/>
            <w:vAlign w:val="bottom"/>
            <w:tcBorders>
              <w:right w:val="single" w:sz="8" w:color="0A248E"/>
            </w:tcBorders>
          </w:tcPr>
          <w:p>
            <w:pPr>
              <w:spacing w:after="0"/>
              <w:rPr>
                <w:sz w:val="5"/>
                <w:szCs w:val="5"/>
                <w:color w:val="auto"/>
              </w:rPr>
            </w:pPr>
          </w:p>
        </w:tc>
        <w:tc>
          <w:tcPr>
            <w:tcW w:w="110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Non-equity</w:t>
            </w:r>
          </w:p>
        </w:tc>
        <w:tc>
          <w:tcPr>
            <w:tcW w:w="60" w:type="dxa"/>
            <w:vAlign w:val="bottom"/>
            <w:tcBorders>
              <w:right w:val="single" w:sz="8" w:color="0A248E"/>
            </w:tcBorders>
          </w:tcPr>
          <w:p>
            <w:pPr>
              <w:spacing w:after="0"/>
              <w:rPr>
                <w:sz w:val="5"/>
                <w:szCs w:val="5"/>
                <w:color w:val="auto"/>
              </w:rPr>
            </w:pPr>
          </w:p>
        </w:tc>
        <w:tc>
          <w:tcPr>
            <w:tcW w:w="1120" w:type="dxa"/>
            <w:vAlign w:val="bottom"/>
            <w:shd w:val="clear" w:color="auto" w:fill="0A248E"/>
          </w:tcPr>
          <w:p>
            <w:pPr>
              <w:spacing w:after="0"/>
              <w:rPr>
                <w:sz w:val="5"/>
                <w:szCs w:val="5"/>
                <w:color w:val="auto"/>
              </w:rPr>
            </w:pPr>
          </w:p>
        </w:tc>
        <w:tc>
          <w:tcPr>
            <w:tcW w:w="60" w:type="dxa"/>
            <w:vAlign w:val="bottom"/>
            <w:tcBorders>
              <w:right w:val="single" w:sz="8" w:color="0A248E"/>
            </w:tcBorders>
            <w:shd w:val="clear" w:color="auto" w:fill="0A248E"/>
          </w:tcPr>
          <w:p>
            <w:pPr>
              <w:spacing w:after="0"/>
              <w:rPr>
                <w:sz w:val="5"/>
                <w:szCs w:val="5"/>
                <w:color w:val="auto"/>
              </w:rPr>
            </w:pPr>
          </w:p>
        </w:tc>
        <w:tc>
          <w:tcPr>
            <w:tcW w:w="220" w:type="dxa"/>
            <w:vAlign w:val="bottom"/>
            <w:tcBorders>
              <w:right w:val="single" w:sz="8" w:color="0A248E"/>
            </w:tcBorders>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110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40" w:type="dxa"/>
            <w:vAlign w:val="bottom"/>
            <w:shd w:val="clear" w:color="auto" w:fill="0A248E"/>
          </w:tcPr>
          <w:p>
            <w:pPr>
              <w:spacing w:after="0"/>
              <w:rPr>
                <w:sz w:val="21"/>
                <w:szCs w:val="21"/>
                <w:color w:val="auto"/>
              </w:rPr>
            </w:pPr>
          </w:p>
        </w:tc>
        <w:tc>
          <w:tcPr>
            <w:tcW w:w="2280" w:type="dxa"/>
            <w:vAlign w:val="bottom"/>
            <w:tcBorders>
              <w:right w:val="single" w:sz="8" w:color="0A248E"/>
            </w:tcBorders>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560" w:type="dxa"/>
            <w:vAlign w:val="bottom"/>
            <w:tcBorders>
              <w:left w:val="single" w:sz="8" w:color="0A248E"/>
              <w:right w:val="single" w:sz="8" w:color="0A248E"/>
            </w:tcBorders>
            <w:shd w:val="clear" w:color="auto" w:fill="0A248E"/>
          </w:tcPr>
          <w:p>
            <w:pPr>
              <w:spacing w:after="0"/>
              <w:rPr>
                <w:sz w:val="21"/>
                <w:szCs w:val="21"/>
                <w:color w:val="auto"/>
              </w:rPr>
            </w:pPr>
          </w:p>
        </w:tc>
        <w:tc>
          <w:tcPr>
            <w:tcW w:w="40" w:type="dxa"/>
            <w:vAlign w:val="bottom"/>
            <w:tcBorders>
              <w:left w:val="single" w:sz="8" w:color="0A248E"/>
            </w:tcBorders>
          </w:tcPr>
          <w:p>
            <w:pPr>
              <w:spacing w:after="0"/>
              <w:rPr>
                <w:sz w:val="21"/>
                <w:szCs w:val="21"/>
                <w:color w:val="auto"/>
              </w:rPr>
            </w:pPr>
          </w:p>
        </w:tc>
        <w:tc>
          <w:tcPr>
            <w:tcW w:w="740" w:type="dxa"/>
            <w:vAlign w:val="bottom"/>
            <w:shd w:val="clear" w:color="auto" w:fill="0A248E"/>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64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240" w:type="dxa"/>
            <w:vAlign w:val="bottom"/>
            <w:shd w:val="clear" w:color="auto" w:fill="0A248E"/>
          </w:tcPr>
          <w:p>
            <w:pPr>
              <w:spacing w:after="0"/>
              <w:rPr>
                <w:sz w:val="21"/>
                <w:szCs w:val="21"/>
                <w:color w:val="auto"/>
              </w:rPr>
            </w:pPr>
          </w:p>
        </w:tc>
        <w:tc>
          <w:tcPr>
            <w:tcW w:w="80" w:type="dxa"/>
            <w:vAlign w:val="bottom"/>
            <w:tcBorders>
              <w:left w:val="single" w:sz="8" w:color="0A248E"/>
              <w:right w:val="single" w:sz="8" w:color="0A248E"/>
            </w:tcBorders>
          </w:tcPr>
          <w:p>
            <w:pPr>
              <w:spacing w:after="0"/>
              <w:rPr>
                <w:sz w:val="21"/>
                <w:szCs w:val="21"/>
                <w:color w:val="auto"/>
              </w:rPr>
            </w:pPr>
          </w:p>
        </w:tc>
        <w:tc>
          <w:tcPr>
            <w:tcW w:w="78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300" w:type="dxa"/>
            <w:vAlign w:val="bottom"/>
            <w:shd w:val="clear" w:color="auto" w:fill="0A248E"/>
          </w:tcPr>
          <w:p>
            <w:pPr>
              <w:spacing w:after="0"/>
              <w:rPr>
                <w:sz w:val="21"/>
                <w:szCs w:val="21"/>
                <w:color w:val="auto"/>
              </w:rPr>
            </w:pPr>
          </w:p>
        </w:tc>
        <w:tc>
          <w:tcPr>
            <w:tcW w:w="80" w:type="dxa"/>
            <w:vAlign w:val="bottom"/>
            <w:tcBorders>
              <w:left w:val="single" w:sz="8" w:color="0A248E"/>
              <w:right w:val="single" w:sz="8" w:color="0A248E"/>
            </w:tcBorders>
          </w:tcPr>
          <w:p>
            <w:pPr>
              <w:spacing w:after="0"/>
              <w:rPr>
                <w:sz w:val="21"/>
                <w:szCs w:val="21"/>
                <w:color w:val="auto"/>
              </w:rPr>
            </w:pPr>
          </w:p>
        </w:tc>
        <w:tc>
          <w:tcPr>
            <w:tcW w:w="1100" w:type="dxa"/>
            <w:vAlign w:val="bottom"/>
            <w:tcBorders>
              <w:right w:val="single" w:sz="8" w:color="0A248E"/>
            </w:tcBorders>
            <w:vMerge w:val="continue"/>
            <w:shd w:val="clear" w:color="auto" w:fill="0A248E"/>
          </w:tcPr>
          <w:p>
            <w:pPr>
              <w:spacing w:after="0"/>
              <w:rPr>
                <w:sz w:val="21"/>
                <w:szCs w:val="21"/>
                <w:color w:val="auto"/>
              </w:rPr>
            </w:pPr>
          </w:p>
        </w:tc>
        <w:tc>
          <w:tcPr>
            <w:tcW w:w="60" w:type="dxa"/>
            <w:vAlign w:val="bottom"/>
            <w:tcBorders>
              <w:right w:val="single" w:sz="8" w:color="0A248E"/>
            </w:tcBorders>
          </w:tcPr>
          <w:p>
            <w:pPr>
              <w:spacing w:after="0"/>
              <w:rPr>
                <w:sz w:val="21"/>
                <w:szCs w:val="21"/>
                <w:color w:val="auto"/>
              </w:rPr>
            </w:pPr>
          </w:p>
        </w:tc>
        <w:tc>
          <w:tcPr>
            <w:tcW w:w="1120" w:type="dxa"/>
            <w:vAlign w:val="bottom"/>
            <w:shd w:val="clear" w:color="auto" w:fill="0A248E"/>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220" w:type="dxa"/>
            <w:vAlign w:val="bottom"/>
            <w:tcBorders>
              <w:right w:val="single" w:sz="8" w:color="0A248E"/>
            </w:tcBorders>
            <w:shd w:val="clear" w:color="auto" w:fill="0A248E"/>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110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0A248E"/>
          </w:tcPr>
          <w:p>
            <w:pPr>
              <w:spacing w:after="0"/>
              <w:rPr>
                <w:sz w:val="14"/>
                <w:szCs w:val="14"/>
                <w:color w:val="auto"/>
              </w:rPr>
            </w:pPr>
          </w:p>
        </w:tc>
        <w:tc>
          <w:tcPr>
            <w:tcW w:w="2280" w:type="dxa"/>
            <w:vAlign w:val="bottom"/>
            <w:tcBorders>
              <w:right w:val="single" w:sz="8" w:color="0A248E"/>
            </w:tcBorders>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560" w:type="dxa"/>
            <w:vAlign w:val="bottom"/>
            <w:tcBorders>
              <w:left w:val="single" w:sz="8" w:color="0A248E"/>
              <w:right w:val="single" w:sz="8" w:color="0A248E"/>
            </w:tcBorders>
            <w:shd w:val="clear" w:color="auto" w:fill="0A248E"/>
          </w:tcPr>
          <w:p>
            <w:pPr>
              <w:spacing w:after="0"/>
              <w:rPr>
                <w:sz w:val="14"/>
                <w:szCs w:val="14"/>
                <w:color w:val="auto"/>
              </w:rPr>
            </w:pPr>
          </w:p>
        </w:tc>
        <w:tc>
          <w:tcPr>
            <w:tcW w:w="40" w:type="dxa"/>
            <w:vAlign w:val="bottom"/>
            <w:tcBorders>
              <w:left w:val="single" w:sz="8" w:color="0A248E"/>
            </w:tcBorders>
          </w:tcPr>
          <w:p>
            <w:pPr>
              <w:spacing w:after="0"/>
              <w:rPr>
                <w:sz w:val="14"/>
                <w:szCs w:val="14"/>
                <w:color w:val="auto"/>
              </w:rPr>
            </w:pPr>
          </w:p>
        </w:tc>
        <w:tc>
          <w:tcPr>
            <w:tcW w:w="740" w:type="dxa"/>
            <w:vAlign w:val="bottom"/>
            <w:shd w:val="clear" w:color="auto" w:fill="0A248E"/>
          </w:tcPr>
          <w:p>
            <w:pPr>
              <w:spacing w:after="0"/>
              <w:rPr>
                <w:sz w:val="14"/>
                <w:szCs w:val="14"/>
                <w:color w:val="auto"/>
              </w:rPr>
            </w:pPr>
          </w:p>
        </w:tc>
        <w:tc>
          <w:tcPr>
            <w:tcW w:w="60" w:type="dxa"/>
            <w:vAlign w:val="bottom"/>
            <w:tcBorders>
              <w:right w:val="single" w:sz="8" w:color="0A248E"/>
            </w:tcBorders>
            <w:shd w:val="clear" w:color="auto" w:fill="0A248E"/>
          </w:tcPr>
          <w:p>
            <w:pPr>
              <w:spacing w:after="0"/>
              <w:rPr>
                <w:sz w:val="14"/>
                <w:szCs w:val="14"/>
                <w:color w:val="auto"/>
              </w:rPr>
            </w:pPr>
          </w:p>
        </w:tc>
        <w:tc>
          <w:tcPr>
            <w:tcW w:w="64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240" w:type="dxa"/>
            <w:vAlign w:val="bottom"/>
            <w:shd w:val="clear" w:color="auto" w:fill="0A248E"/>
          </w:tcPr>
          <w:p>
            <w:pPr>
              <w:spacing w:after="0"/>
              <w:rPr>
                <w:sz w:val="14"/>
                <w:szCs w:val="14"/>
                <w:color w:val="auto"/>
              </w:rPr>
            </w:pPr>
          </w:p>
        </w:tc>
        <w:tc>
          <w:tcPr>
            <w:tcW w:w="80" w:type="dxa"/>
            <w:vAlign w:val="bottom"/>
            <w:tcBorders>
              <w:left w:val="single" w:sz="8" w:color="0A248E"/>
              <w:right w:val="single" w:sz="8" w:color="0A248E"/>
            </w:tcBorders>
          </w:tcPr>
          <w:p>
            <w:pPr>
              <w:spacing w:after="0"/>
              <w:rPr>
                <w:sz w:val="14"/>
                <w:szCs w:val="14"/>
                <w:color w:val="auto"/>
              </w:rPr>
            </w:pPr>
          </w:p>
        </w:tc>
        <w:tc>
          <w:tcPr>
            <w:tcW w:w="78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300" w:type="dxa"/>
            <w:vAlign w:val="bottom"/>
            <w:shd w:val="clear" w:color="auto" w:fill="0A248E"/>
          </w:tcPr>
          <w:p>
            <w:pPr>
              <w:spacing w:after="0"/>
              <w:rPr>
                <w:sz w:val="14"/>
                <w:szCs w:val="14"/>
                <w:color w:val="auto"/>
              </w:rPr>
            </w:pPr>
          </w:p>
        </w:tc>
        <w:tc>
          <w:tcPr>
            <w:tcW w:w="80" w:type="dxa"/>
            <w:vAlign w:val="bottom"/>
            <w:tcBorders>
              <w:left w:val="single" w:sz="8" w:color="0A248E"/>
              <w:right w:val="single" w:sz="8" w:color="0A248E"/>
            </w:tcBorders>
          </w:tcPr>
          <w:p>
            <w:pPr>
              <w:spacing w:after="0"/>
              <w:rPr>
                <w:sz w:val="14"/>
                <w:szCs w:val="14"/>
                <w:color w:val="auto"/>
              </w:rPr>
            </w:pPr>
          </w:p>
        </w:tc>
        <w:tc>
          <w:tcPr>
            <w:tcW w:w="1100" w:type="dxa"/>
            <w:vAlign w:val="bottom"/>
            <w:tcBorders>
              <w:right w:val="single" w:sz="8" w:color="0A248E"/>
            </w:tcBorders>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Incentive Plan</w:t>
            </w:r>
          </w:p>
        </w:tc>
        <w:tc>
          <w:tcPr>
            <w:tcW w:w="60" w:type="dxa"/>
            <w:vAlign w:val="bottom"/>
            <w:tcBorders>
              <w:right w:val="single" w:sz="8" w:color="0A248E"/>
            </w:tcBorders>
          </w:tcPr>
          <w:p>
            <w:pPr>
              <w:spacing w:after="0"/>
              <w:rPr>
                <w:sz w:val="14"/>
                <w:szCs w:val="14"/>
                <w:color w:val="auto"/>
              </w:rPr>
            </w:pPr>
          </w:p>
        </w:tc>
        <w:tc>
          <w:tcPr>
            <w:tcW w:w="1120" w:type="dxa"/>
            <w:vAlign w:val="bottom"/>
            <w:shd w:val="clear" w:color="auto" w:fill="0A248E"/>
          </w:tcPr>
          <w:p>
            <w:pPr>
              <w:spacing w:after="0"/>
              <w:rPr>
                <w:sz w:val="14"/>
                <w:szCs w:val="14"/>
                <w:color w:val="auto"/>
              </w:rPr>
            </w:pPr>
          </w:p>
        </w:tc>
        <w:tc>
          <w:tcPr>
            <w:tcW w:w="60" w:type="dxa"/>
            <w:vAlign w:val="bottom"/>
            <w:tcBorders>
              <w:right w:val="single" w:sz="8" w:color="0A248E"/>
            </w:tcBorders>
            <w:shd w:val="clear" w:color="auto" w:fill="0A248E"/>
          </w:tcPr>
          <w:p>
            <w:pPr>
              <w:spacing w:after="0"/>
              <w:rPr>
                <w:sz w:val="14"/>
                <w:szCs w:val="14"/>
                <w:color w:val="auto"/>
              </w:rPr>
            </w:pPr>
          </w:p>
        </w:tc>
        <w:tc>
          <w:tcPr>
            <w:tcW w:w="220" w:type="dxa"/>
            <w:vAlign w:val="bottom"/>
            <w:tcBorders>
              <w:right w:val="single" w:sz="8" w:color="0A248E"/>
            </w:tcBorders>
            <w:shd w:val="clear" w:color="auto" w:fill="0A248E"/>
          </w:tcPr>
          <w:p>
            <w:pPr>
              <w:spacing w:after="0"/>
              <w:rPr>
                <w:sz w:val="14"/>
                <w:szCs w:val="14"/>
                <w:color w:val="auto"/>
              </w:rPr>
            </w:pPr>
          </w:p>
        </w:tc>
        <w:tc>
          <w:tcPr>
            <w:tcW w:w="60" w:type="dxa"/>
            <w:vAlign w:val="bottom"/>
            <w:tcBorders>
              <w:right w:val="single" w:sz="8" w:color="0A248E"/>
            </w:tcBorders>
            <w:shd w:val="clear" w:color="auto" w:fill="0A248E"/>
          </w:tcPr>
          <w:p>
            <w:pPr>
              <w:spacing w:after="0"/>
              <w:rPr>
                <w:sz w:val="14"/>
                <w:szCs w:val="14"/>
                <w:color w:val="auto"/>
              </w:rPr>
            </w:pPr>
          </w:p>
        </w:tc>
        <w:tc>
          <w:tcPr>
            <w:tcW w:w="110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0" w:type="dxa"/>
            <w:vAlign w:val="bottom"/>
            <w:shd w:val="clear" w:color="auto" w:fill="0A248E"/>
          </w:tcPr>
          <w:p>
            <w:pPr>
              <w:spacing w:after="0"/>
              <w:rPr>
                <w:sz w:val="21"/>
                <w:szCs w:val="21"/>
                <w:color w:val="auto"/>
              </w:rPr>
            </w:pPr>
          </w:p>
        </w:tc>
        <w:tc>
          <w:tcPr>
            <w:tcW w:w="2280" w:type="dxa"/>
            <w:vAlign w:val="bottom"/>
            <w:tcBorders>
              <w:right w:val="single" w:sz="8" w:color="0A248E"/>
            </w:tcBorders>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560" w:type="dxa"/>
            <w:vAlign w:val="bottom"/>
            <w:tcBorders>
              <w:left w:val="single" w:sz="8" w:color="0A248E"/>
              <w:right w:val="single" w:sz="8" w:color="0A248E"/>
            </w:tcBorders>
            <w:shd w:val="clear" w:color="auto" w:fill="0A248E"/>
          </w:tcPr>
          <w:p>
            <w:pPr>
              <w:spacing w:after="0"/>
              <w:rPr>
                <w:sz w:val="21"/>
                <w:szCs w:val="21"/>
                <w:color w:val="auto"/>
              </w:rPr>
            </w:pPr>
          </w:p>
        </w:tc>
        <w:tc>
          <w:tcPr>
            <w:tcW w:w="40" w:type="dxa"/>
            <w:vAlign w:val="bottom"/>
            <w:tcBorders>
              <w:left w:val="single" w:sz="8" w:color="0A248E"/>
            </w:tcBorders>
          </w:tcPr>
          <w:p>
            <w:pPr>
              <w:spacing w:after="0"/>
              <w:rPr>
                <w:sz w:val="21"/>
                <w:szCs w:val="21"/>
                <w:color w:val="auto"/>
              </w:rPr>
            </w:pPr>
          </w:p>
        </w:tc>
        <w:tc>
          <w:tcPr>
            <w:tcW w:w="740" w:type="dxa"/>
            <w:vAlign w:val="bottom"/>
            <w:shd w:val="clear" w:color="auto" w:fill="0A248E"/>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64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240" w:type="dxa"/>
            <w:vAlign w:val="bottom"/>
            <w:shd w:val="clear" w:color="auto" w:fill="0A248E"/>
          </w:tcPr>
          <w:p>
            <w:pPr>
              <w:spacing w:after="0"/>
              <w:rPr>
                <w:sz w:val="21"/>
                <w:szCs w:val="21"/>
                <w:color w:val="auto"/>
              </w:rPr>
            </w:pPr>
          </w:p>
        </w:tc>
        <w:tc>
          <w:tcPr>
            <w:tcW w:w="80" w:type="dxa"/>
            <w:vAlign w:val="bottom"/>
            <w:tcBorders>
              <w:left w:val="single" w:sz="8" w:color="0A248E"/>
              <w:right w:val="single" w:sz="8" w:color="0A248E"/>
            </w:tcBorders>
          </w:tcPr>
          <w:p>
            <w:pPr>
              <w:spacing w:after="0"/>
              <w:rPr>
                <w:sz w:val="21"/>
                <w:szCs w:val="21"/>
                <w:color w:val="auto"/>
              </w:rPr>
            </w:pPr>
          </w:p>
        </w:tc>
        <w:tc>
          <w:tcPr>
            <w:tcW w:w="1100" w:type="dxa"/>
            <w:vAlign w:val="bottom"/>
            <w:gridSpan w:val="3"/>
            <w:shd w:val="clear" w:color="auto" w:fill="0A248E"/>
          </w:tcPr>
          <w:p>
            <w:pPr>
              <w:jc w:val="center"/>
              <w:ind w:right="40"/>
              <w:spacing w:after="0"/>
              <w:rPr>
                <w:sz w:val="20"/>
                <w:szCs w:val="20"/>
                <w:color w:val="auto"/>
              </w:rPr>
            </w:pPr>
            <w:r>
              <w:rPr>
                <w:rFonts w:ascii="Arial" w:cs="Arial" w:eastAsia="Arial" w:hAnsi="Arial"/>
                <w:sz w:val="15"/>
                <w:szCs w:val="15"/>
                <w:b w:val="1"/>
                <w:bCs w:val="1"/>
                <w:color w:val="FFFFFF"/>
              </w:rPr>
              <w:t>Stock</w:t>
            </w:r>
          </w:p>
        </w:tc>
        <w:tc>
          <w:tcPr>
            <w:tcW w:w="80" w:type="dxa"/>
            <w:vAlign w:val="bottom"/>
            <w:tcBorders>
              <w:left w:val="single" w:sz="8" w:color="0A248E"/>
              <w:right w:val="single" w:sz="8" w:color="0A248E"/>
            </w:tcBorders>
          </w:tcPr>
          <w:p>
            <w:pPr>
              <w:spacing w:after="0"/>
              <w:rPr>
                <w:sz w:val="21"/>
                <w:szCs w:val="21"/>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Compensatio</w:t>
            </w:r>
          </w:p>
        </w:tc>
        <w:tc>
          <w:tcPr>
            <w:tcW w:w="60" w:type="dxa"/>
            <w:vAlign w:val="bottom"/>
            <w:tcBorders>
              <w:right w:val="single" w:sz="8" w:color="0A248E"/>
            </w:tcBorders>
          </w:tcPr>
          <w:p>
            <w:pPr>
              <w:spacing w:after="0"/>
              <w:rPr>
                <w:sz w:val="21"/>
                <w:szCs w:val="21"/>
                <w:color w:val="auto"/>
              </w:rPr>
            </w:pPr>
          </w:p>
        </w:tc>
        <w:tc>
          <w:tcPr>
            <w:tcW w:w="1120" w:type="dxa"/>
            <w:vAlign w:val="bottom"/>
            <w:shd w:val="clear" w:color="auto" w:fill="0A248E"/>
          </w:tcPr>
          <w:p>
            <w:pPr>
              <w:jc w:val="center"/>
              <w:ind w:left="183"/>
              <w:spacing w:after="0"/>
              <w:rPr>
                <w:sz w:val="20"/>
                <w:szCs w:val="20"/>
                <w:color w:val="auto"/>
              </w:rPr>
            </w:pPr>
            <w:r>
              <w:rPr>
                <w:rFonts w:ascii="Arial" w:cs="Arial" w:eastAsia="Arial" w:hAnsi="Arial"/>
                <w:sz w:val="15"/>
                <w:szCs w:val="15"/>
                <w:b w:val="1"/>
                <w:bCs w:val="1"/>
                <w:color w:val="FFFFFF"/>
              </w:rPr>
              <w:t>All Other</w:t>
            </w:r>
          </w:p>
        </w:tc>
        <w:tc>
          <w:tcPr>
            <w:tcW w:w="60" w:type="dxa"/>
            <w:vAlign w:val="bottom"/>
            <w:tcBorders>
              <w:right w:val="single" w:sz="8" w:color="0A248E"/>
            </w:tcBorders>
            <w:shd w:val="clear" w:color="auto" w:fill="0A248E"/>
          </w:tcPr>
          <w:p>
            <w:pPr>
              <w:spacing w:after="0"/>
              <w:rPr>
                <w:sz w:val="21"/>
                <w:szCs w:val="21"/>
                <w:color w:val="auto"/>
              </w:rPr>
            </w:pPr>
          </w:p>
        </w:tc>
        <w:tc>
          <w:tcPr>
            <w:tcW w:w="220" w:type="dxa"/>
            <w:vAlign w:val="bottom"/>
            <w:tcBorders>
              <w:right w:val="single" w:sz="8" w:color="0A248E"/>
            </w:tcBorders>
            <w:shd w:val="clear" w:color="auto" w:fill="0A248E"/>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110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0A248E"/>
          </w:tcPr>
          <w:p>
            <w:pPr>
              <w:spacing w:after="0"/>
              <w:rPr>
                <w:sz w:val="18"/>
                <w:szCs w:val="18"/>
                <w:color w:val="auto"/>
              </w:rPr>
            </w:pPr>
          </w:p>
        </w:tc>
        <w:tc>
          <w:tcPr>
            <w:tcW w:w="2280" w:type="dxa"/>
            <w:vAlign w:val="bottom"/>
            <w:tcBorders>
              <w:right w:val="single" w:sz="8" w:color="0A248E"/>
            </w:tcBorders>
            <w:shd w:val="clear" w:color="auto" w:fill="0A248E"/>
          </w:tcPr>
          <w:p>
            <w:pPr>
              <w:spacing w:after="0"/>
              <w:rPr>
                <w:sz w:val="18"/>
                <w:szCs w:val="18"/>
                <w:color w:val="auto"/>
              </w:rPr>
            </w:pPr>
          </w:p>
        </w:tc>
        <w:tc>
          <w:tcPr>
            <w:tcW w:w="20" w:type="dxa"/>
            <w:vAlign w:val="bottom"/>
            <w:shd w:val="clear" w:color="auto" w:fill="0A248E"/>
          </w:tcPr>
          <w:p>
            <w:pPr>
              <w:spacing w:after="0"/>
              <w:rPr>
                <w:sz w:val="18"/>
                <w:szCs w:val="18"/>
                <w:color w:val="auto"/>
              </w:rPr>
            </w:pPr>
          </w:p>
        </w:tc>
        <w:tc>
          <w:tcPr>
            <w:tcW w:w="560" w:type="dxa"/>
            <w:vAlign w:val="bottom"/>
            <w:tcBorders>
              <w:left w:val="single" w:sz="8" w:color="0A248E"/>
              <w:right w:val="single" w:sz="8" w:color="0A248E"/>
            </w:tcBorders>
            <w:shd w:val="clear" w:color="auto" w:fill="0A248E"/>
          </w:tcPr>
          <w:p>
            <w:pPr>
              <w:spacing w:after="0"/>
              <w:rPr>
                <w:sz w:val="18"/>
                <w:szCs w:val="18"/>
                <w:color w:val="auto"/>
              </w:rPr>
            </w:pPr>
          </w:p>
        </w:tc>
        <w:tc>
          <w:tcPr>
            <w:tcW w:w="40" w:type="dxa"/>
            <w:vAlign w:val="bottom"/>
            <w:tcBorders>
              <w:left w:val="single" w:sz="8" w:color="0A248E"/>
            </w:tcBorders>
          </w:tcPr>
          <w:p>
            <w:pPr>
              <w:spacing w:after="0"/>
              <w:rPr>
                <w:sz w:val="18"/>
                <w:szCs w:val="18"/>
                <w:color w:val="auto"/>
              </w:rPr>
            </w:pPr>
          </w:p>
        </w:tc>
        <w:tc>
          <w:tcPr>
            <w:tcW w:w="740" w:type="dxa"/>
            <w:vAlign w:val="bottom"/>
            <w:shd w:val="clear" w:color="auto" w:fill="0A248E"/>
          </w:tcPr>
          <w:p>
            <w:pPr>
              <w:ind w:left="140"/>
              <w:spacing w:after="0"/>
              <w:rPr>
                <w:sz w:val="20"/>
                <w:szCs w:val="20"/>
                <w:color w:val="auto"/>
              </w:rPr>
            </w:pPr>
            <w:r>
              <w:rPr>
                <w:rFonts w:ascii="Arial" w:cs="Arial" w:eastAsia="Arial" w:hAnsi="Arial"/>
                <w:sz w:val="15"/>
                <w:szCs w:val="15"/>
                <w:b w:val="1"/>
                <w:bCs w:val="1"/>
                <w:color w:val="FFFFFF"/>
              </w:rPr>
              <w:t>Salary</w:t>
            </w:r>
          </w:p>
        </w:tc>
        <w:tc>
          <w:tcPr>
            <w:tcW w:w="60" w:type="dxa"/>
            <w:vAlign w:val="bottom"/>
            <w:tcBorders>
              <w:right w:val="single" w:sz="8" w:color="0A248E"/>
            </w:tcBorders>
            <w:shd w:val="clear" w:color="auto" w:fill="0A248E"/>
          </w:tcPr>
          <w:p>
            <w:pPr>
              <w:spacing w:after="0"/>
              <w:rPr>
                <w:sz w:val="18"/>
                <w:szCs w:val="18"/>
                <w:color w:val="auto"/>
              </w:rPr>
            </w:pPr>
          </w:p>
        </w:tc>
        <w:tc>
          <w:tcPr>
            <w:tcW w:w="900" w:type="dxa"/>
            <w:vAlign w:val="bottom"/>
            <w:gridSpan w:val="3"/>
            <w:shd w:val="clear" w:color="auto" w:fill="0A248E"/>
          </w:tcPr>
          <w:p>
            <w:pPr>
              <w:ind w:left="200"/>
              <w:spacing w:after="0"/>
              <w:rPr>
                <w:sz w:val="20"/>
                <w:szCs w:val="20"/>
                <w:color w:val="auto"/>
              </w:rPr>
            </w:pPr>
            <w:r>
              <w:rPr>
                <w:rFonts w:ascii="Arial" w:cs="Arial" w:eastAsia="Arial" w:hAnsi="Arial"/>
                <w:sz w:val="15"/>
                <w:szCs w:val="15"/>
                <w:b w:val="1"/>
                <w:bCs w:val="1"/>
                <w:color w:val="FFFFFF"/>
              </w:rPr>
              <w:t>Bonus</w:t>
            </w:r>
          </w:p>
        </w:tc>
        <w:tc>
          <w:tcPr>
            <w:tcW w:w="80" w:type="dxa"/>
            <w:vAlign w:val="bottom"/>
            <w:tcBorders>
              <w:left w:val="single" w:sz="8" w:color="0A248E"/>
              <w:right w:val="single" w:sz="8" w:color="0A248E"/>
            </w:tcBorders>
          </w:tcPr>
          <w:p>
            <w:pPr>
              <w:spacing w:after="0"/>
              <w:rPr>
                <w:sz w:val="18"/>
                <w:szCs w:val="18"/>
                <w:color w:val="auto"/>
              </w:rPr>
            </w:pPr>
          </w:p>
        </w:tc>
        <w:tc>
          <w:tcPr>
            <w:tcW w:w="1100" w:type="dxa"/>
            <w:vAlign w:val="bottom"/>
            <w:gridSpan w:val="3"/>
            <w:shd w:val="clear" w:color="auto" w:fill="0A248E"/>
          </w:tcPr>
          <w:p>
            <w:pPr>
              <w:jc w:val="center"/>
              <w:ind w:right="20"/>
              <w:spacing w:after="0"/>
              <w:rPr>
                <w:sz w:val="20"/>
                <w:szCs w:val="20"/>
                <w:color w:val="auto"/>
              </w:rPr>
            </w:pPr>
            <w:r>
              <w:rPr>
                <w:rFonts w:ascii="Arial" w:cs="Arial" w:eastAsia="Arial" w:hAnsi="Arial"/>
                <w:sz w:val="15"/>
                <w:szCs w:val="15"/>
                <w:b w:val="1"/>
                <w:bCs w:val="1"/>
                <w:color w:val="FFFFFF"/>
              </w:rPr>
              <w:t>Awards</w:t>
            </w:r>
          </w:p>
        </w:tc>
        <w:tc>
          <w:tcPr>
            <w:tcW w:w="80" w:type="dxa"/>
            <w:vAlign w:val="bottom"/>
            <w:tcBorders>
              <w:left w:val="single" w:sz="8" w:color="0A248E"/>
              <w:right w:val="single" w:sz="8" w:color="0A248E"/>
            </w:tcBorders>
          </w:tcPr>
          <w:p>
            <w:pPr>
              <w:spacing w:after="0"/>
              <w:rPr>
                <w:sz w:val="18"/>
                <w:szCs w:val="18"/>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n</w:t>
            </w:r>
          </w:p>
        </w:tc>
        <w:tc>
          <w:tcPr>
            <w:tcW w:w="60" w:type="dxa"/>
            <w:vAlign w:val="bottom"/>
            <w:tcBorders>
              <w:right w:val="single" w:sz="8" w:color="0A248E"/>
            </w:tcBorders>
          </w:tcPr>
          <w:p>
            <w:pPr>
              <w:spacing w:after="0"/>
              <w:rPr>
                <w:sz w:val="18"/>
                <w:szCs w:val="18"/>
                <w:color w:val="auto"/>
              </w:rPr>
            </w:pPr>
          </w:p>
        </w:tc>
        <w:tc>
          <w:tcPr>
            <w:tcW w:w="1400" w:type="dxa"/>
            <w:vAlign w:val="bottom"/>
            <w:tcBorders>
              <w:right w:val="single" w:sz="8" w:color="0A248E"/>
            </w:tcBorders>
            <w:gridSpan w:val="3"/>
            <w:shd w:val="clear" w:color="auto" w:fill="0A248E"/>
          </w:tcPr>
          <w:p>
            <w:pPr>
              <w:jc w:val="center"/>
              <w:spacing w:after="0"/>
              <w:rPr>
                <w:sz w:val="20"/>
                <w:szCs w:val="20"/>
                <w:color w:val="auto"/>
              </w:rPr>
            </w:pPr>
            <w:r>
              <w:rPr>
                <w:rFonts w:ascii="Arial" w:cs="Arial" w:eastAsia="Arial" w:hAnsi="Arial"/>
                <w:sz w:val="15"/>
                <w:szCs w:val="15"/>
                <w:b w:val="1"/>
                <w:bCs w:val="1"/>
                <w:color w:val="FFFFFF"/>
              </w:rPr>
              <w:t>Compensation</w:t>
            </w:r>
          </w:p>
        </w:tc>
        <w:tc>
          <w:tcPr>
            <w:tcW w:w="60" w:type="dxa"/>
            <w:vAlign w:val="bottom"/>
            <w:tcBorders>
              <w:right w:val="single" w:sz="8" w:color="0A248E"/>
            </w:tcBorders>
            <w:shd w:val="clear" w:color="auto" w:fill="0A248E"/>
          </w:tcPr>
          <w:p>
            <w:pPr>
              <w:spacing w:after="0"/>
              <w:rPr>
                <w:sz w:val="18"/>
                <w:szCs w:val="18"/>
                <w:color w:val="auto"/>
              </w:rPr>
            </w:pPr>
          </w:p>
        </w:tc>
        <w:tc>
          <w:tcPr>
            <w:tcW w:w="1100" w:type="dxa"/>
            <w:vAlign w:val="bottom"/>
            <w:shd w:val="clear" w:color="auto" w:fill="0A248E"/>
          </w:tcPr>
          <w:p>
            <w:pPr>
              <w:jc w:val="right"/>
              <w:ind w:right="303"/>
              <w:spacing w:after="0"/>
              <w:rPr>
                <w:sz w:val="20"/>
                <w:szCs w:val="20"/>
                <w:color w:val="auto"/>
              </w:rPr>
            </w:pPr>
            <w:r>
              <w:rPr>
                <w:rFonts w:ascii="Arial" w:cs="Arial" w:eastAsia="Arial" w:hAnsi="Arial"/>
                <w:sz w:val="15"/>
                <w:szCs w:val="15"/>
                <w:b w:val="1"/>
                <w:bCs w:val="1"/>
                <w:color w:val="FFFFFF"/>
              </w:rPr>
              <w:t>Total</w:t>
            </w:r>
          </w:p>
        </w:tc>
        <w:tc>
          <w:tcPr>
            <w:tcW w:w="20" w:type="dxa"/>
            <w:vAlign w:val="bottom"/>
            <w:shd w:val="clear" w:color="auto" w:fill="0A248E"/>
          </w:tcPr>
          <w:p>
            <w:pPr>
              <w:spacing w:after="0"/>
              <w:rPr>
                <w:sz w:val="18"/>
                <w:szCs w:val="18"/>
                <w:color w:val="auto"/>
              </w:rPr>
            </w:pPr>
          </w:p>
        </w:tc>
        <w:tc>
          <w:tcPr>
            <w:tcW w:w="20" w:type="dxa"/>
            <w:vAlign w:val="bottom"/>
            <w:shd w:val="clear" w:color="auto" w:fill="0A248E"/>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0A248E"/>
            </w:tcBorders>
            <w:shd w:val="clear" w:color="auto" w:fill="0A248E"/>
          </w:tcPr>
          <w:p>
            <w:pPr>
              <w:spacing w:after="0"/>
              <w:rPr>
                <w:sz w:val="24"/>
                <w:szCs w:val="24"/>
                <w:color w:val="auto"/>
              </w:rPr>
            </w:pPr>
          </w:p>
        </w:tc>
        <w:tc>
          <w:tcPr>
            <w:tcW w:w="2280" w:type="dxa"/>
            <w:vAlign w:val="bottom"/>
            <w:tcBorders>
              <w:bottom w:val="single" w:sz="8" w:color="0A248E"/>
              <w:right w:val="single" w:sz="8" w:color="0A248E"/>
            </w:tcBorders>
            <w:shd w:val="clear" w:color="auto" w:fill="0A248E"/>
          </w:tcPr>
          <w:p>
            <w:pPr>
              <w:ind w:left="60"/>
              <w:spacing w:after="0"/>
              <w:rPr>
                <w:sz w:val="20"/>
                <w:szCs w:val="20"/>
                <w:color w:val="auto"/>
              </w:rPr>
            </w:pPr>
            <w:r>
              <w:rPr>
                <w:rFonts w:ascii="Arial" w:cs="Arial" w:eastAsia="Arial" w:hAnsi="Arial"/>
                <w:sz w:val="15"/>
                <w:szCs w:val="15"/>
                <w:b w:val="1"/>
                <w:bCs w:val="1"/>
                <w:color w:val="FFFFFF"/>
                <w:shd w:val="clear" w:color="auto" w:fill="0A248E"/>
              </w:rPr>
              <w:t>Name and Principal Position</w:t>
            </w:r>
          </w:p>
        </w:tc>
        <w:tc>
          <w:tcPr>
            <w:tcW w:w="20" w:type="dxa"/>
            <w:vAlign w:val="bottom"/>
            <w:tcBorders>
              <w:bottom w:val="single" w:sz="8" w:color="0A248E"/>
            </w:tcBorders>
            <w:shd w:val="clear" w:color="auto" w:fill="0A248E"/>
          </w:tcPr>
          <w:p>
            <w:pPr>
              <w:spacing w:after="0"/>
              <w:rPr>
                <w:sz w:val="24"/>
                <w:szCs w:val="24"/>
                <w:color w:val="auto"/>
              </w:rPr>
            </w:pPr>
          </w:p>
        </w:tc>
        <w:tc>
          <w:tcPr>
            <w:tcW w:w="560" w:type="dxa"/>
            <w:vAlign w:val="bottom"/>
            <w:tcBorders>
              <w:left w:val="single" w:sz="8" w:color="0A248E"/>
              <w:bottom w:val="single" w:sz="8" w:color="0A248E"/>
              <w:right w:val="single" w:sz="8" w:color="0A248E"/>
            </w:tcBorders>
            <w:shd w:val="clear" w:color="auto" w:fill="0A248E"/>
          </w:tcPr>
          <w:p>
            <w:pPr>
              <w:ind w:left="120"/>
              <w:spacing w:after="0"/>
              <w:rPr>
                <w:sz w:val="20"/>
                <w:szCs w:val="20"/>
                <w:color w:val="auto"/>
              </w:rPr>
            </w:pPr>
            <w:r>
              <w:rPr>
                <w:rFonts w:ascii="Arial" w:cs="Arial" w:eastAsia="Arial" w:hAnsi="Arial"/>
                <w:sz w:val="15"/>
                <w:szCs w:val="15"/>
                <w:b w:val="1"/>
                <w:bCs w:val="1"/>
                <w:color w:val="FFFFFF"/>
              </w:rPr>
              <w:t>Year</w:t>
            </w:r>
          </w:p>
        </w:tc>
        <w:tc>
          <w:tcPr>
            <w:tcW w:w="40" w:type="dxa"/>
            <w:vAlign w:val="bottom"/>
            <w:tcBorders>
              <w:left w:val="single" w:sz="8" w:color="0A248E"/>
            </w:tcBorders>
          </w:tcPr>
          <w:p>
            <w:pPr>
              <w:spacing w:after="0"/>
              <w:rPr>
                <w:sz w:val="24"/>
                <w:szCs w:val="24"/>
                <w:color w:val="auto"/>
              </w:rPr>
            </w:pPr>
          </w:p>
        </w:tc>
        <w:tc>
          <w:tcPr>
            <w:tcW w:w="740" w:type="dxa"/>
            <w:vAlign w:val="bottom"/>
            <w:tcBorders>
              <w:bottom w:val="single" w:sz="8" w:color="0A248E"/>
            </w:tcBorders>
            <w:shd w:val="clear" w:color="auto" w:fill="0A248E"/>
          </w:tcPr>
          <w:p>
            <w:pPr>
              <w:jc w:val="right"/>
              <w:ind w:right="203"/>
              <w:spacing w:after="0"/>
              <w:rPr>
                <w:sz w:val="20"/>
                <w:szCs w:val="20"/>
                <w:color w:val="auto"/>
              </w:rPr>
            </w:pPr>
            <w:r>
              <w:rPr>
                <w:rFonts w:ascii="Arial" w:cs="Arial" w:eastAsia="Arial" w:hAnsi="Arial"/>
                <w:sz w:val="15"/>
                <w:szCs w:val="15"/>
                <w:b w:val="1"/>
                <w:bCs w:val="1"/>
                <w:color w:val="FFFFFF"/>
              </w:rPr>
              <w:t>($)</w:t>
            </w:r>
          </w:p>
        </w:tc>
        <w:tc>
          <w:tcPr>
            <w:tcW w:w="60" w:type="dxa"/>
            <w:vAlign w:val="bottom"/>
            <w:tcBorders>
              <w:bottom w:val="single" w:sz="8" w:color="0A248E"/>
              <w:right w:val="single" w:sz="8" w:color="0A248E"/>
            </w:tcBorders>
            <w:shd w:val="clear" w:color="auto" w:fill="0A248E"/>
          </w:tcPr>
          <w:p>
            <w:pPr>
              <w:spacing w:after="0"/>
              <w:rPr>
                <w:sz w:val="24"/>
                <w:szCs w:val="24"/>
                <w:color w:val="auto"/>
              </w:rPr>
            </w:pPr>
          </w:p>
        </w:tc>
        <w:tc>
          <w:tcPr>
            <w:tcW w:w="640" w:type="dxa"/>
            <w:vAlign w:val="bottom"/>
            <w:tcBorders>
              <w:bottom w:val="single" w:sz="8" w:color="0A248E"/>
            </w:tcBorders>
            <w:shd w:val="clear" w:color="auto" w:fill="0A248E"/>
          </w:tcPr>
          <w:p>
            <w:pPr>
              <w:jc w:val="right"/>
              <w:ind w:right="43"/>
              <w:spacing w:after="0"/>
              <w:rPr>
                <w:sz w:val="20"/>
                <w:szCs w:val="20"/>
                <w:color w:val="auto"/>
              </w:rPr>
            </w:pPr>
            <w:r>
              <w:rPr>
                <w:rFonts w:ascii="Arial" w:cs="Arial" w:eastAsia="Arial" w:hAnsi="Arial"/>
                <w:sz w:val="15"/>
                <w:szCs w:val="15"/>
                <w:b w:val="1"/>
                <w:bCs w:val="1"/>
                <w:color w:val="FFFFFF"/>
              </w:rPr>
              <w:t>($)</w:t>
            </w:r>
          </w:p>
        </w:tc>
        <w:tc>
          <w:tcPr>
            <w:tcW w:w="20" w:type="dxa"/>
            <w:vAlign w:val="bottom"/>
            <w:tcBorders>
              <w:bottom w:val="single" w:sz="8" w:color="0A248E"/>
            </w:tcBorders>
            <w:shd w:val="clear" w:color="auto" w:fill="0A248E"/>
          </w:tcPr>
          <w:p>
            <w:pPr>
              <w:spacing w:after="0"/>
              <w:rPr>
                <w:sz w:val="24"/>
                <w:szCs w:val="24"/>
                <w:color w:val="auto"/>
              </w:rPr>
            </w:pPr>
          </w:p>
        </w:tc>
        <w:tc>
          <w:tcPr>
            <w:tcW w:w="240" w:type="dxa"/>
            <w:vAlign w:val="bottom"/>
            <w:tcBorders>
              <w:bottom w:val="single" w:sz="8" w:color="0A248E"/>
            </w:tcBorders>
            <w:shd w:val="clear" w:color="auto" w:fill="0A248E"/>
          </w:tcPr>
          <w:p>
            <w:pPr>
              <w:spacing w:after="0"/>
              <w:rPr>
                <w:sz w:val="24"/>
                <w:szCs w:val="24"/>
                <w:color w:val="auto"/>
              </w:rPr>
            </w:pPr>
          </w:p>
        </w:tc>
        <w:tc>
          <w:tcPr>
            <w:tcW w:w="80" w:type="dxa"/>
            <w:vAlign w:val="bottom"/>
            <w:tcBorders>
              <w:left w:val="single" w:sz="8" w:color="0A248E"/>
              <w:bottom w:val="single" w:sz="8" w:color="0A248E"/>
              <w:right w:val="single" w:sz="8" w:color="0A248E"/>
            </w:tcBorders>
          </w:tcPr>
          <w:p>
            <w:pPr>
              <w:spacing w:after="0"/>
              <w:rPr>
                <w:sz w:val="24"/>
                <w:szCs w:val="24"/>
                <w:color w:val="auto"/>
              </w:rPr>
            </w:pPr>
          </w:p>
        </w:tc>
        <w:tc>
          <w:tcPr>
            <w:tcW w:w="780" w:type="dxa"/>
            <w:vAlign w:val="bottom"/>
            <w:tcBorders>
              <w:bottom w:val="single" w:sz="8" w:color="0A248E"/>
            </w:tcBorders>
            <w:shd w:val="clear" w:color="auto" w:fill="0A248E"/>
          </w:tcPr>
          <w:p>
            <w:pPr>
              <w:jc w:val="center"/>
              <w:ind w:left="203"/>
              <w:spacing w:after="0"/>
              <w:rPr>
                <w:sz w:val="20"/>
                <w:szCs w:val="20"/>
                <w:color w:val="auto"/>
              </w:rPr>
            </w:pPr>
            <w:r>
              <w:rPr>
                <w:rFonts w:ascii="Arial" w:cs="Arial" w:eastAsia="Arial" w:hAnsi="Arial"/>
                <w:sz w:val="15"/>
                <w:szCs w:val="15"/>
                <w:b w:val="1"/>
                <w:bCs w:val="1"/>
                <w:color w:val="FFFFFF"/>
                <w:w w:val="88"/>
              </w:rPr>
              <w:t>($)</w:t>
            </w:r>
            <w:r>
              <w:rPr>
                <w:rFonts w:ascii="Arial" w:cs="Arial" w:eastAsia="Arial" w:hAnsi="Arial"/>
                <w:sz w:val="19"/>
                <w:szCs w:val="19"/>
                <w:b w:val="1"/>
                <w:bCs w:val="1"/>
                <w:color w:val="FFFFFF"/>
                <w:w w:val="88"/>
                <w:vertAlign w:val="superscript"/>
              </w:rPr>
              <w:t>(1)</w:t>
            </w:r>
          </w:p>
        </w:tc>
        <w:tc>
          <w:tcPr>
            <w:tcW w:w="20" w:type="dxa"/>
            <w:vAlign w:val="bottom"/>
            <w:tcBorders>
              <w:bottom w:val="single" w:sz="8" w:color="0A248E"/>
            </w:tcBorders>
            <w:shd w:val="clear" w:color="auto" w:fill="0A248E"/>
          </w:tcPr>
          <w:p>
            <w:pPr>
              <w:spacing w:after="0"/>
              <w:rPr>
                <w:sz w:val="24"/>
                <w:szCs w:val="24"/>
                <w:color w:val="auto"/>
              </w:rPr>
            </w:pPr>
          </w:p>
        </w:tc>
        <w:tc>
          <w:tcPr>
            <w:tcW w:w="300" w:type="dxa"/>
            <w:vAlign w:val="bottom"/>
            <w:tcBorders>
              <w:bottom w:val="single" w:sz="8" w:color="0A248E"/>
            </w:tcBorders>
            <w:shd w:val="clear" w:color="auto" w:fill="0A248E"/>
          </w:tcPr>
          <w:p>
            <w:pPr>
              <w:spacing w:after="0"/>
              <w:rPr>
                <w:sz w:val="24"/>
                <w:szCs w:val="24"/>
                <w:color w:val="auto"/>
              </w:rPr>
            </w:pPr>
          </w:p>
        </w:tc>
        <w:tc>
          <w:tcPr>
            <w:tcW w:w="80" w:type="dxa"/>
            <w:vAlign w:val="bottom"/>
            <w:tcBorders>
              <w:left w:val="single" w:sz="8" w:color="0A248E"/>
              <w:right w:val="single" w:sz="8" w:color="0A248E"/>
            </w:tcBorders>
          </w:tcPr>
          <w:p>
            <w:pPr>
              <w:spacing w:after="0"/>
              <w:rPr>
                <w:sz w:val="24"/>
                <w:szCs w:val="24"/>
                <w:color w:val="auto"/>
              </w:rPr>
            </w:pPr>
          </w:p>
        </w:tc>
        <w:tc>
          <w:tcPr>
            <w:tcW w:w="1100" w:type="dxa"/>
            <w:vAlign w:val="bottom"/>
            <w:tcBorders>
              <w:bottom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88"/>
              </w:rPr>
              <w:t>($)</w:t>
            </w:r>
            <w:r>
              <w:rPr>
                <w:rFonts w:ascii="Arial" w:cs="Arial" w:eastAsia="Arial" w:hAnsi="Arial"/>
                <w:sz w:val="19"/>
                <w:szCs w:val="19"/>
                <w:b w:val="1"/>
                <w:bCs w:val="1"/>
                <w:color w:val="FFFFFF"/>
                <w:w w:val="88"/>
                <w:vertAlign w:val="superscript"/>
              </w:rPr>
              <w:t>(2)</w:t>
            </w:r>
          </w:p>
        </w:tc>
        <w:tc>
          <w:tcPr>
            <w:tcW w:w="60" w:type="dxa"/>
            <w:vAlign w:val="bottom"/>
            <w:tcBorders>
              <w:right w:val="single" w:sz="8" w:color="0A248E"/>
            </w:tcBorders>
          </w:tcPr>
          <w:p>
            <w:pPr>
              <w:spacing w:after="0"/>
              <w:rPr>
                <w:sz w:val="24"/>
                <w:szCs w:val="24"/>
                <w:color w:val="auto"/>
              </w:rPr>
            </w:pPr>
          </w:p>
        </w:tc>
        <w:tc>
          <w:tcPr>
            <w:tcW w:w="1120" w:type="dxa"/>
            <w:vAlign w:val="bottom"/>
            <w:tcBorders>
              <w:bottom w:val="single" w:sz="8" w:color="0A248E"/>
            </w:tcBorders>
            <w:shd w:val="clear" w:color="auto" w:fill="0A248E"/>
          </w:tcPr>
          <w:p>
            <w:pPr>
              <w:jc w:val="center"/>
              <w:ind w:left="163"/>
              <w:spacing w:after="0"/>
              <w:rPr>
                <w:sz w:val="20"/>
                <w:szCs w:val="20"/>
                <w:color w:val="auto"/>
              </w:rPr>
            </w:pPr>
            <w:r>
              <w:rPr>
                <w:rFonts w:ascii="Arial" w:cs="Arial" w:eastAsia="Arial" w:hAnsi="Arial"/>
                <w:sz w:val="15"/>
                <w:szCs w:val="15"/>
                <w:b w:val="1"/>
                <w:bCs w:val="1"/>
                <w:color w:val="FFFFFF"/>
                <w:w w:val="94"/>
              </w:rPr>
              <w:t>($)</w:t>
            </w:r>
            <w:r>
              <w:rPr>
                <w:rFonts w:ascii="Arial" w:cs="Arial" w:eastAsia="Arial" w:hAnsi="Arial"/>
                <w:sz w:val="19"/>
                <w:szCs w:val="19"/>
                <w:b w:val="1"/>
                <w:bCs w:val="1"/>
                <w:color w:val="FFFFFF"/>
                <w:w w:val="94"/>
                <w:vertAlign w:val="superscript"/>
              </w:rPr>
              <w:t>(3)</w:t>
            </w:r>
          </w:p>
        </w:tc>
        <w:tc>
          <w:tcPr>
            <w:tcW w:w="60" w:type="dxa"/>
            <w:vAlign w:val="bottom"/>
            <w:tcBorders>
              <w:bottom w:val="single" w:sz="8" w:color="0A248E"/>
              <w:right w:val="single" w:sz="8" w:color="0A248E"/>
            </w:tcBorders>
            <w:shd w:val="clear" w:color="auto" w:fill="0A248E"/>
          </w:tcPr>
          <w:p>
            <w:pPr>
              <w:spacing w:after="0"/>
              <w:rPr>
                <w:sz w:val="24"/>
                <w:szCs w:val="24"/>
                <w:color w:val="auto"/>
              </w:rPr>
            </w:pPr>
          </w:p>
        </w:tc>
        <w:tc>
          <w:tcPr>
            <w:tcW w:w="220" w:type="dxa"/>
            <w:vAlign w:val="bottom"/>
            <w:tcBorders>
              <w:bottom w:val="single" w:sz="8" w:color="0A248E"/>
              <w:right w:val="single" w:sz="8" w:color="0A248E"/>
            </w:tcBorders>
            <w:shd w:val="clear" w:color="auto" w:fill="0A248E"/>
          </w:tcPr>
          <w:p>
            <w:pPr>
              <w:spacing w:after="0"/>
              <w:rPr>
                <w:sz w:val="24"/>
                <w:szCs w:val="24"/>
                <w:color w:val="auto"/>
              </w:rPr>
            </w:pPr>
          </w:p>
        </w:tc>
        <w:tc>
          <w:tcPr>
            <w:tcW w:w="60" w:type="dxa"/>
            <w:vAlign w:val="bottom"/>
            <w:tcBorders>
              <w:bottom w:val="single" w:sz="8" w:color="0A248E"/>
              <w:right w:val="single" w:sz="8" w:color="0A248E"/>
            </w:tcBorders>
            <w:shd w:val="clear" w:color="auto" w:fill="0A248E"/>
          </w:tcPr>
          <w:p>
            <w:pPr>
              <w:spacing w:after="0"/>
              <w:rPr>
                <w:sz w:val="24"/>
                <w:szCs w:val="24"/>
                <w:color w:val="auto"/>
              </w:rPr>
            </w:pPr>
          </w:p>
        </w:tc>
        <w:tc>
          <w:tcPr>
            <w:tcW w:w="1100" w:type="dxa"/>
            <w:vAlign w:val="bottom"/>
            <w:tcBorders>
              <w:bottom w:val="single" w:sz="8" w:color="0A248E"/>
            </w:tcBorders>
            <w:shd w:val="clear" w:color="auto" w:fill="0A248E"/>
          </w:tcPr>
          <w:p>
            <w:pPr>
              <w:jc w:val="right"/>
              <w:ind w:right="383"/>
              <w:spacing w:after="0"/>
              <w:rPr>
                <w:sz w:val="20"/>
                <w:szCs w:val="20"/>
                <w:color w:val="auto"/>
              </w:rPr>
            </w:pPr>
            <w:r>
              <w:rPr>
                <w:rFonts w:ascii="Arial" w:cs="Arial" w:eastAsia="Arial" w:hAnsi="Arial"/>
                <w:sz w:val="15"/>
                <w:szCs w:val="15"/>
                <w:b w:val="1"/>
                <w:bCs w:val="1"/>
                <w:color w:val="FFFFFF"/>
              </w:rPr>
              <w:t>($)</w:t>
            </w:r>
          </w:p>
        </w:tc>
        <w:tc>
          <w:tcPr>
            <w:tcW w:w="20" w:type="dxa"/>
            <w:vAlign w:val="bottom"/>
            <w:tcBorders>
              <w:bottom w:val="single" w:sz="8" w:color="0A248E"/>
            </w:tcBorders>
            <w:shd w:val="clear" w:color="auto" w:fill="0A248E"/>
          </w:tcPr>
          <w:p>
            <w:pPr>
              <w:spacing w:after="0"/>
              <w:rPr>
                <w:sz w:val="24"/>
                <w:szCs w:val="24"/>
                <w:color w:val="auto"/>
              </w:rPr>
            </w:pPr>
          </w:p>
        </w:tc>
        <w:tc>
          <w:tcPr>
            <w:tcW w:w="2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E6E6E6"/>
          </w:tcPr>
          <w:p>
            <w:pPr>
              <w:spacing w:after="0"/>
              <w:rPr>
                <w:sz w:val="10"/>
                <w:szCs w:val="10"/>
                <w:color w:val="auto"/>
              </w:rPr>
            </w:pPr>
          </w:p>
        </w:tc>
        <w:tc>
          <w:tcPr>
            <w:tcW w:w="2300" w:type="dxa"/>
            <w:vAlign w:val="bottom"/>
            <w:gridSpan w:val="2"/>
            <w:shd w:val="clear" w:color="auto" w:fill="E6E6E6"/>
          </w:tcPr>
          <w:p>
            <w:pPr>
              <w:ind w:left="60"/>
              <w:spacing w:after="0" w:line="127" w:lineRule="exact"/>
              <w:rPr>
                <w:sz w:val="20"/>
                <w:szCs w:val="20"/>
                <w:color w:val="auto"/>
              </w:rPr>
            </w:pPr>
            <w:r>
              <w:rPr>
                <w:rFonts w:ascii="Arial" w:cs="Arial" w:eastAsia="Arial" w:hAnsi="Arial"/>
                <w:sz w:val="14"/>
                <w:szCs w:val="14"/>
                <w:b w:val="1"/>
                <w:bCs w:val="1"/>
                <w:color w:val="auto"/>
              </w:rPr>
              <w:t>Andrew W. Houston</w:t>
            </w:r>
          </w:p>
        </w:tc>
        <w:tc>
          <w:tcPr>
            <w:tcW w:w="560" w:type="dxa"/>
            <w:vAlign w:val="bottom"/>
            <w:tcBorders>
              <w:left w:val="single" w:sz="8" w:color="E6E6E6"/>
              <w:right w:val="single" w:sz="8" w:color="E6E6E6"/>
            </w:tcBorders>
            <w:shd w:val="clear" w:color="auto" w:fill="E6E6E6"/>
          </w:tcPr>
          <w:p>
            <w:pPr>
              <w:ind w:left="120"/>
              <w:spacing w:after="0" w:line="127" w:lineRule="exact"/>
              <w:rPr>
                <w:sz w:val="20"/>
                <w:szCs w:val="20"/>
                <w:color w:val="auto"/>
              </w:rPr>
            </w:pPr>
            <w:r>
              <w:rPr>
                <w:rFonts w:ascii="Arial" w:cs="Arial" w:eastAsia="Arial" w:hAnsi="Arial"/>
                <w:sz w:val="14"/>
                <w:szCs w:val="14"/>
                <w:color w:val="auto"/>
              </w:rPr>
              <w:t>2025</w:t>
            </w:r>
          </w:p>
        </w:tc>
        <w:tc>
          <w:tcPr>
            <w:tcW w:w="40" w:type="dxa"/>
            <w:vAlign w:val="bottom"/>
            <w:tcBorders>
              <w:left w:val="single" w:sz="8" w:color="E6E6E6"/>
            </w:tcBorders>
          </w:tcPr>
          <w:p>
            <w:pPr>
              <w:spacing w:after="0"/>
              <w:rPr>
                <w:sz w:val="10"/>
                <w:szCs w:val="10"/>
                <w:color w:val="auto"/>
              </w:rPr>
            </w:pPr>
          </w:p>
        </w:tc>
        <w:tc>
          <w:tcPr>
            <w:tcW w:w="740" w:type="dxa"/>
            <w:vAlign w:val="bottom"/>
            <w:shd w:val="clear" w:color="auto" w:fill="E6E6E6"/>
          </w:tcPr>
          <w:p>
            <w:pPr>
              <w:ind w:left="160"/>
              <w:spacing w:after="0" w:line="127" w:lineRule="exact"/>
              <w:rPr>
                <w:sz w:val="20"/>
                <w:szCs w:val="20"/>
                <w:color w:val="auto"/>
              </w:rPr>
            </w:pPr>
            <w:r>
              <w:rPr>
                <w:rFonts w:ascii="Arial" w:cs="Arial" w:eastAsia="Arial" w:hAnsi="Arial"/>
                <w:sz w:val="14"/>
                <w:szCs w:val="14"/>
                <w:color w:val="auto"/>
              </w:rPr>
              <w:t>800,000</w:t>
            </w:r>
          </w:p>
        </w:tc>
        <w:tc>
          <w:tcPr>
            <w:tcW w:w="60" w:type="dxa"/>
            <w:vAlign w:val="bottom"/>
            <w:tcBorders>
              <w:right w:val="single" w:sz="8" w:color="E6E6E6"/>
            </w:tcBorders>
            <w:shd w:val="clear" w:color="auto" w:fill="E6E6E6"/>
          </w:tcPr>
          <w:p>
            <w:pPr>
              <w:spacing w:after="0"/>
              <w:rPr>
                <w:sz w:val="10"/>
                <w:szCs w:val="10"/>
                <w:color w:val="auto"/>
              </w:rPr>
            </w:pPr>
          </w:p>
        </w:tc>
        <w:tc>
          <w:tcPr>
            <w:tcW w:w="640" w:type="dxa"/>
            <w:vAlign w:val="bottom"/>
            <w:shd w:val="clear" w:color="auto" w:fill="E6E6E6"/>
          </w:tcPr>
          <w:p>
            <w:pPr>
              <w:ind w:left="240"/>
              <w:spacing w:after="0" w:line="12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240" w:type="dxa"/>
            <w:vAlign w:val="bottom"/>
            <w:shd w:val="clear" w:color="auto" w:fill="E6E6E6"/>
          </w:tcPr>
          <w:p>
            <w:pPr>
              <w:spacing w:after="0"/>
              <w:rPr>
                <w:sz w:val="10"/>
                <w:szCs w:val="10"/>
                <w:color w:val="auto"/>
              </w:rPr>
            </w:pPr>
          </w:p>
        </w:tc>
        <w:tc>
          <w:tcPr>
            <w:tcW w:w="80" w:type="dxa"/>
            <w:vAlign w:val="bottom"/>
            <w:tcBorders>
              <w:left w:val="single" w:sz="8" w:color="E6E6E6"/>
              <w:right w:val="single" w:sz="8" w:color="E6E6E6"/>
            </w:tcBorders>
            <w:shd w:val="clear" w:color="auto" w:fill="E6E6E6"/>
          </w:tcPr>
          <w:p>
            <w:pPr>
              <w:spacing w:after="0"/>
              <w:rPr>
                <w:sz w:val="10"/>
                <w:szCs w:val="10"/>
                <w:color w:val="auto"/>
              </w:rPr>
            </w:pPr>
          </w:p>
        </w:tc>
        <w:tc>
          <w:tcPr>
            <w:tcW w:w="780" w:type="dxa"/>
            <w:vAlign w:val="bottom"/>
            <w:shd w:val="clear" w:color="auto" w:fill="E6E6E6"/>
          </w:tcPr>
          <w:p>
            <w:pPr>
              <w:jc w:val="center"/>
              <w:spacing w:after="0" w:line="127" w:lineRule="exact"/>
              <w:rPr>
                <w:sz w:val="20"/>
                <w:szCs w:val="20"/>
                <w:color w:val="auto"/>
              </w:rPr>
            </w:pPr>
            <w:r>
              <w:rPr>
                <w:rFonts w:ascii="Arial" w:cs="Arial" w:eastAsia="Arial" w:hAnsi="Arial"/>
                <w:sz w:val="14"/>
                <w:szCs w:val="14"/>
                <w:color w:val="auto"/>
              </w:rPr>
              <w:t>—</w:t>
            </w:r>
          </w:p>
        </w:tc>
        <w:tc>
          <w:tcPr>
            <w:tcW w:w="20" w:type="dxa"/>
            <w:vAlign w:val="bottom"/>
            <w:shd w:val="clear" w:color="auto" w:fill="E6E6E6"/>
          </w:tcPr>
          <w:p>
            <w:pPr>
              <w:spacing w:after="0"/>
              <w:rPr>
                <w:sz w:val="10"/>
                <w:szCs w:val="10"/>
                <w:color w:val="auto"/>
              </w:rPr>
            </w:pPr>
          </w:p>
        </w:tc>
        <w:tc>
          <w:tcPr>
            <w:tcW w:w="300" w:type="dxa"/>
            <w:vAlign w:val="bottom"/>
            <w:shd w:val="clear" w:color="auto" w:fill="E6E6E6"/>
          </w:tcPr>
          <w:p>
            <w:pPr>
              <w:spacing w:after="0"/>
              <w:rPr>
                <w:sz w:val="10"/>
                <w:szCs w:val="10"/>
                <w:color w:val="auto"/>
              </w:rPr>
            </w:pPr>
          </w:p>
        </w:tc>
        <w:tc>
          <w:tcPr>
            <w:tcW w:w="80" w:type="dxa"/>
            <w:vAlign w:val="bottom"/>
            <w:tcBorders>
              <w:right w:val="single" w:sz="8" w:color="E6E6E6"/>
            </w:tcBorders>
          </w:tcPr>
          <w:p>
            <w:pPr>
              <w:spacing w:after="0"/>
              <w:rPr>
                <w:sz w:val="10"/>
                <w:szCs w:val="10"/>
                <w:color w:val="auto"/>
              </w:rPr>
            </w:pPr>
          </w:p>
        </w:tc>
        <w:tc>
          <w:tcPr>
            <w:tcW w:w="1100" w:type="dxa"/>
            <w:vAlign w:val="bottom"/>
            <w:tcBorders>
              <w:right w:val="single" w:sz="8" w:color="E6E6E6"/>
            </w:tcBorders>
            <w:shd w:val="clear" w:color="auto" w:fill="E6E6E6"/>
          </w:tcPr>
          <w:p>
            <w:pPr>
              <w:jc w:val="center"/>
              <w:spacing w:after="0" w:line="127" w:lineRule="exact"/>
              <w:rPr>
                <w:sz w:val="20"/>
                <w:szCs w:val="20"/>
                <w:color w:val="auto"/>
              </w:rPr>
            </w:pPr>
            <w:r>
              <w:rPr>
                <w:rFonts w:ascii="Arial" w:cs="Arial" w:eastAsia="Arial" w:hAnsi="Arial"/>
                <w:sz w:val="14"/>
                <w:szCs w:val="14"/>
                <w:color w:val="auto"/>
              </w:rPr>
              <w:t>750,400</w:t>
            </w:r>
          </w:p>
        </w:tc>
        <w:tc>
          <w:tcPr>
            <w:tcW w:w="60" w:type="dxa"/>
            <w:vAlign w:val="bottom"/>
            <w:tcBorders>
              <w:right w:val="single" w:sz="8" w:color="E6E6E6"/>
            </w:tcBorders>
            <w:shd w:val="clear" w:color="auto" w:fill="E6E6E6"/>
          </w:tcPr>
          <w:p>
            <w:pPr>
              <w:spacing w:after="0"/>
              <w:rPr>
                <w:sz w:val="10"/>
                <w:szCs w:val="10"/>
                <w:color w:val="auto"/>
              </w:rPr>
            </w:pPr>
          </w:p>
        </w:tc>
        <w:tc>
          <w:tcPr>
            <w:tcW w:w="1120" w:type="dxa"/>
            <w:vAlign w:val="bottom"/>
            <w:tcBorders>
              <w:top w:val="single" w:sz="8" w:color="E6E6E6"/>
            </w:tcBorders>
            <w:shd w:val="clear" w:color="auto" w:fill="E6E6E6"/>
          </w:tcPr>
          <w:p>
            <w:pPr>
              <w:jc w:val="center"/>
              <w:spacing w:after="0" w:line="127" w:lineRule="exact"/>
              <w:rPr>
                <w:sz w:val="20"/>
                <w:szCs w:val="20"/>
                <w:color w:val="auto"/>
              </w:rPr>
            </w:pPr>
            <w:r>
              <w:rPr>
                <w:rFonts w:ascii="Arial" w:cs="Arial" w:eastAsia="Arial" w:hAnsi="Arial"/>
                <w:sz w:val="14"/>
                <w:szCs w:val="14"/>
                <w:color w:val="auto"/>
              </w:rPr>
              <w:t>616,222</w:t>
            </w:r>
          </w:p>
        </w:tc>
        <w:tc>
          <w:tcPr>
            <w:tcW w:w="60" w:type="dxa"/>
            <w:vAlign w:val="bottom"/>
            <w:tcBorders>
              <w:right w:val="single" w:sz="8" w:color="E6E6E6"/>
            </w:tcBorders>
            <w:shd w:val="clear" w:color="auto" w:fill="E6E6E6"/>
          </w:tcPr>
          <w:p>
            <w:pPr>
              <w:spacing w:after="0"/>
              <w:rPr>
                <w:sz w:val="10"/>
                <w:szCs w:val="10"/>
                <w:color w:val="auto"/>
              </w:rPr>
            </w:pPr>
          </w:p>
        </w:tc>
        <w:tc>
          <w:tcPr>
            <w:tcW w:w="220" w:type="dxa"/>
            <w:vAlign w:val="bottom"/>
            <w:tcBorders>
              <w:right w:val="single" w:sz="8" w:color="E6E6E6"/>
            </w:tcBorders>
            <w:vMerge w:val="restart"/>
            <w:shd w:val="clear" w:color="auto" w:fill="E6E6E6"/>
          </w:tcPr>
          <w:p>
            <w:pPr>
              <w:jc w:val="right"/>
              <w:ind w:right="31"/>
              <w:spacing w:after="0"/>
              <w:rPr>
                <w:sz w:val="20"/>
                <w:szCs w:val="20"/>
                <w:color w:val="auto"/>
              </w:rPr>
            </w:pPr>
            <w:r>
              <w:rPr>
                <w:rFonts w:ascii="Arial" w:cs="Arial" w:eastAsia="Arial" w:hAnsi="Arial"/>
                <w:sz w:val="10"/>
                <w:szCs w:val="10"/>
                <w:color w:val="auto"/>
                <w:w w:val="97"/>
              </w:rPr>
              <w:t>(4)</w:t>
            </w:r>
          </w:p>
        </w:tc>
        <w:tc>
          <w:tcPr>
            <w:tcW w:w="60" w:type="dxa"/>
            <w:vAlign w:val="bottom"/>
            <w:tcBorders>
              <w:right w:val="single" w:sz="8" w:color="E6E6E6"/>
            </w:tcBorders>
            <w:shd w:val="clear" w:color="auto" w:fill="E6E6E6"/>
          </w:tcPr>
          <w:p>
            <w:pPr>
              <w:spacing w:after="0"/>
              <w:rPr>
                <w:sz w:val="10"/>
                <w:szCs w:val="10"/>
                <w:color w:val="auto"/>
              </w:rPr>
            </w:pPr>
          </w:p>
        </w:tc>
        <w:tc>
          <w:tcPr>
            <w:tcW w:w="1100" w:type="dxa"/>
            <w:vAlign w:val="bottom"/>
            <w:shd w:val="clear" w:color="auto" w:fill="E6E6E6"/>
          </w:tcPr>
          <w:p>
            <w:pPr>
              <w:jc w:val="right"/>
              <w:ind w:right="183"/>
              <w:spacing w:after="0" w:line="127" w:lineRule="exact"/>
              <w:rPr>
                <w:sz w:val="20"/>
                <w:szCs w:val="20"/>
                <w:color w:val="auto"/>
              </w:rPr>
            </w:pPr>
            <w:r>
              <w:rPr>
                <w:rFonts w:ascii="Arial" w:cs="Arial" w:eastAsia="Arial" w:hAnsi="Arial"/>
                <w:sz w:val="14"/>
                <w:szCs w:val="14"/>
                <w:color w:val="auto"/>
              </w:rPr>
              <w:t>2,166,622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40" w:type="dxa"/>
            <w:vAlign w:val="bottom"/>
            <w:shd w:val="clear" w:color="auto" w:fill="E6E6E6"/>
          </w:tcPr>
          <w:p>
            <w:pPr>
              <w:spacing w:after="0"/>
              <w:rPr>
                <w:sz w:val="5"/>
                <w:szCs w:val="5"/>
                <w:color w:val="auto"/>
              </w:rPr>
            </w:pPr>
          </w:p>
        </w:tc>
        <w:tc>
          <w:tcPr>
            <w:tcW w:w="2280" w:type="dxa"/>
            <w:vAlign w:val="bottom"/>
            <w:tcBorders>
              <w:right w:val="single" w:sz="8" w:color="E6E6E6"/>
            </w:tcBorders>
            <w:vMerge w:val="restart"/>
            <w:shd w:val="clear" w:color="auto" w:fill="E6E6E6"/>
          </w:tcPr>
          <w:p>
            <w:pPr>
              <w:ind w:left="60"/>
              <w:spacing w:after="0"/>
              <w:rPr>
                <w:sz w:val="20"/>
                <w:szCs w:val="20"/>
                <w:color w:val="auto"/>
              </w:rPr>
            </w:pPr>
            <w:r>
              <w:rPr>
                <w:rFonts w:ascii="Arial" w:cs="Arial" w:eastAsia="Arial" w:hAnsi="Arial"/>
                <w:sz w:val="15"/>
                <w:szCs w:val="15"/>
                <w:i w:val="1"/>
                <w:iCs w:val="1"/>
                <w:color w:val="auto"/>
              </w:rPr>
              <w:t>Chief Executive Officer</w:t>
            </w:r>
          </w:p>
        </w:tc>
        <w:tc>
          <w:tcPr>
            <w:tcW w:w="20" w:type="dxa"/>
            <w:vAlign w:val="bottom"/>
            <w:shd w:val="clear" w:color="auto" w:fill="E6E6E6"/>
          </w:tcPr>
          <w:p>
            <w:pPr>
              <w:spacing w:after="0"/>
              <w:rPr>
                <w:sz w:val="5"/>
                <w:szCs w:val="5"/>
                <w:color w:val="auto"/>
              </w:rPr>
            </w:pPr>
          </w:p>
        </w:tc>
        <w:tc>
          <w:tcPr>
            <w:tcW w:w="560" w:type="dxa"/>
            <w:vAlign w:val="bottom"/>
            <w:tcBorders>
              <w:left w:val="single" w:sz="8" w:color="E6E6E6"/>
              <w:right w:val="single" w:sz="8" w:color="E6E6E6"/>
            </w:tcBorders>
            <w:shd w:val="clear" w:color="auto" w:fill="E6E6E6"/>
          </w:tcPr>
          <w:p>
            <w:pPr>
              <w:spacing w:after="0"/>
              <w:rPr>
                <w:sz w:val="5"/>
                <w:szCs w:val="5"/>
                <w:color w:val="auto"/>
              </w:rPr>
            </w:pPr>
          </w:p>
        </w:tc>
        <w:tc>
          <w:tcPr>
            <w:tcW w:w="40" w:type="dxa"/>
            <w:vAlign w:val="bottom"/>
            <w:tcBorders>
              <w:left w:val="single" w:sz="8" w:color="E6E6E6"/>
            </w:tcBorders>
          </w:tcPr>
          <w:p>
            <w:pPr>
              <w:spacing w:after="0"/>
              <w:rPr>
                <w:sz w:val="5"/>
                <w:szCs w:val="5"/>
                <w:color w:val="auto"/>
              </w:rPr>
            </w:pPr>
          </w:p>
        </w:tc>
        <w:tc>
          <w:tcPr>
            <w:tcW w:w="740" w:type="dxa"/>
            <w:vAlign w:val="bottom"/>
            <w:shd w:val="clear" w:color="auto" w:fill="E6E6E6"/>
          </w:tcPr>
          <w:p>
            <w:pPr>
              <w:spacing w:after="0"/>
              <w:rPr>
                <w:sz w:val="5"/>
                <w:szCs w:val="5"/>
                <w:color w:val="auto"/>
              </w:rPr>
            </w:pPr>
          </w:p>
        </w:tc>
        <w:tc>
          <w:tcPr>
            <w:tcW w:w="60" w:type="dxa"/>
            <w:vAlign w:val="bottom"/>
            <w:tcBorders>
              <w:right w:val="single" w:sz="8" w:color="E6E6E6"/>
            </w:tcBorders>
            <w:shd w:val="clear" w:color="auto" w:fill="E6E6E6"/>
          </w:tcPr>
          <w:p>
            <w:pPr>
              <w:spacing w:after="0"/>
              <w:rPr>
                <w:sz w:val="5"/>
                <w:szCs w:val="5"/>
                <w:color w:val="auto"/>
              </w:rPr>
            </w:pPr>
          </w:p>
        </w:tc>
        <w:tc>
          <w:tcPr>
            <w:tcW w:w="640" w:type="dxa"/>
            <w:vAlign w:val="bottom"/>
            <w:shd w:val="clear" w:color="auto" w:fill="E6E6E6"/>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shd w:val="clear" w:color="auto" w:fill="E6E6E6"/>
          </w:tcPr>
          <w:p>
            <w:pPr>
              <w:spacing w:after="0"/>
              <w:rPr>
                <w:sz w:val="5"/>
                <w:szCs w:val="5"/>
                <w:color w:val="auto"/>
              </w:rPr>
            </w:pPr>
          </w:p>
        </w:tc>
        <w:tc>
          <w:tcPr>
            <w:tcW w:w="80" w:type="dxa"/>
            <w:vAlign w:val="bottom"/>
            <w:tcBorders>
              <w:left w:val="single" w:sz="8" w:color="E6E6E6"/>
              <w:right w:val="single" w:sz="8" w:color="E6E6E6"/>
            </w:tcBorders>
            <w:shd w:val="clear" w:color="auto" w:fill="E6E6E6"/>
          </w:tcPr>
          <w:p>
            <w:pPr>
              <w:spacing w:after="0"/>
              <w:rPr>
                <w:sz w:val="5"/>
                <w:szCs w:val="5"/>
                <w:color w:val="auto"/>
              </w:rPr>
            </w:pPr>
          </w:p>
        </w:tc>
        <w:tc>
          <w:tcPr>
            <w:tcW w:w="7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300" w:type="dxa"/>
            <w:vAlign w:val="bottom"/>
            <w:shd w:val="clear" w:color="auto" w:fill="E6E6E6"/>
          </w:tcPr>
          <w:p>
            <w:pPr>
              <w:spacing w:after="0"/>
              <w:rPr>
                <w:sz w:val="5"/>
                <w:szCs w:val="5"/>
                <w:color w:val="auto"/>
              </w:rPr>
            </w:pPr>
          </w:p>
        </w:tc>
        <w:tc>
          <w:tcPr>
            <w:tcW w:w="80" w:type="dxa"/>
            <w:vAlign w:val="bottom"/>
            <w:tcBorders>
              <w:right w:val="single" w:sz="8" w:color="E6E6E6"/>
            </w:tcBorders>
          </w:tcPr>
          <w:p>
            <w:pPr>
              <w:spacing w:after="0"/>
              <w:rPr>
                <w:sz w:val="5"/>
                <w:szCs w:val="5"/>
                <w:color w:val="auto"/>
              </w:rPr>
            </w:pPr>
          </w:p>
        </w:tc>
        <w:tc>
          <w:tcPr>
            <w:tcW w:w="1100" w:type="dxa"/>
            <w:vAlign w:val="bottom"/>
            <w:tcBorders>
              <w:right w:val="single" w:sz="8" w:color="E6E6E6"/>
            </w:tcBorders>
            <w:shd w:val="clear" w:color="auto" w:fill="E6E6E6"/>
          </w:tcPr>
          <w:p>
            <w:pPr>
              <w:spacing w:after="0"/>
              <w:rPr>
                <w:sz w:val="5"/>
                <w:szCs w:val="5"/>
                <w:color w:val="auto"/>
              </w:rPr>
            </w:pPr>
          </w:p>
        </w:tc>
        <w:tc>
          <w:tcPr>
            <w:tcW w:w="60" w:type="dxa"/>
            <w:vAlign w:val="bottom"/>
            <w:tcBorders>
              <w:right w:val="single" w:sz="8" w:color="E6E6E6"/>
            </w:tcBorders>
            <w:shd w:val="clear" w:color="auto" w:fill="E6E6E6"/>
          </w:tcPr>
          <w:p>
            <w:pPr>
              <w:spacing w:after="0"/>
              <w:rPr>
                <w:sz w:val="5"/>
                <w:szCs w:val="5"/>
                <w:color w:val="auto"/>
              </w:rPr>
            </w:pPr>
          </w:p>
        </w:tc>
        <w:tc>
          <w:tcPr>
            <w:tcW w:w="1120" w:type="dxa"/>
            <w:vAlign w:val="bottom"/>
            <w:shd w:val="clear" w:color="auto" w:fill="E6E6E6"/>
          </w:tcPr>
          <w:p>
            <w:pPr>
              <w:spacing w:after="0"/>
              <w:rPr>
                <w:sz w:val="5"/>
                <w:szCs w:val="5"/>
                <w:color w:val="auto"/>
              </w:rPr>
            </w:pPr>
          </w:p>
        </w:tc>
        <w:tc>
          <w:tcPr>
            <w:tcW w:w="60" w:type="dxa"/>
            <w:vAlign w:val="bottom"/>
            <w:tcBorders>
              <w:right w:val="single" w:sz="8" w:color="E6E6E6"/>
            </w:tcBorders>
            <w:shd w:val="clear" w:color="auto" w:fill="E6E6E6"/>
          </w:tcPr>
          <w:p>
            <w:pPr>
              <w:spacing w:after="0"/>
              <w:rPr>
                <w:sz w:val="5"/>
                <w:szCs w:val="5"/>
                <w:color w:val="auto"/>
              </w:rPr>
            </w:pPr>
          </w:p>
        </w:tc>
        <w:tc>
          <w:tcPr>
            <w:tcW w:w="220" w:type="dxa"/>
            <w:vAlign w:val="bottom"/>
            <w:tcBorders>
              <w:right w:val="single" w:sz="8" w:color="E6E6E6"/>
            </w:tcBorders>
            <w:vMerge w:val="continue"/>
            <w:shd w:val="clear" w:color="auto" w:fill="E6E6E6"/>
          </w:tcPr>
          <w:p>
            <w:pPr>
              <w:spacing w:after="0"/>
              <w:rPr>
                <w:sz w:val="5"/>
                <w:szCs w:val="5"/>
                <w:color w:val="auto"/>
              </w:rPr>
            </w:pPr>
          </w:p>
        </w:tc>
        <w:tc>
          <w:tcPr>
            <w:tcW w:w="60" w:type="dxa"/>
            <w:vAlign w:val="bottom"/>
            <w:tcBorders>
              <w:right w:val="single" w:sz="8" w:color="E6E6E6"/>
            </w:tcBorders>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E6E6E6"/>
          </w:tcPr>
          <w:p>
            <w:pPr>
              <w:spacing w:after="0"/>
              <w:rPr>
                <w:sz w:val="7"/>
                <w:szCs w:val="7"/>
                <w:color w:val="auto"/>
              </w:rPr>
            </w:pPr>
          </w:p>
        </w:tc>
        <w:tc>
          <w:tcPr>
            <w:tcW w:w="2280" w:type="dxa"/>
            <w:vAlign w:val="bottom"/>
            <w:tcBorders>
              <w:right w:val="single" w:sz="8" w:color="E6E6E6"/>
            </w:tcBorders>
            <w:vMerge w:val="continue"/>
            <w:shd w:val="clear" w:color="auto" w:fill="E6E6E6"/>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560" w:type="dxa"/>
            <w:vAlign w:val="bottom"/>
            <w:tcBorders>
              <w:left w:val="single" w:sz="8" w:color="E6E6E6"/>
              <w:right w:val="single" w:sz="8" w:color="E6E6E6"/>
            </w:tcBorders>
            <w:shd w:val="clear" w:color="auto" w:fill="E6E6E6"/>
          </w:tcPr>
          <w:p>
            <w:pPr>
              <w:spacing w:after="0"/>
              <w:rPr>
                <w:sz w:val="7"/>
                <w:szCs w:val="7"/>
                <w:color w:val="auto"/>
              </w:rPr>
            </w:pPr>
          </w:p>
        </w:tc>
        <w:tc>
          <w:tcPr>
            <w:tcW w:w="40" w:type="dxa"/>
            <w:vAlign w:val="bottom"/>
            <w:tcBorders>
              <w:left w:val="single" w:sz="8" w:color="E6E6E6"/>
            </w:tcBorders>
          </w:tcPr>
          <w:p>
            <w:pPr>
              <w:spacing w:after="0"/>
              <w:rPr>
                <w:sz w:val="7"/>
                <w:szCs w:val="7"/>
                <w:color w:val="auto"/>
              </w:rPr>
            </w:pPr>
          </w:p>
        </w:tc>
        <w:tc>
          <w:tcPr>
            <w:tcW w:w="740" w:type="dxa"/>
            <w:vAlign w:val="bottom"/>
            <w:shd w:val="clear" w:color="auto" w:fill="E6E6E6"/>
          </w:tcPr>
          <w:p>
            <w:pPr>
              <w:spacing w:after="0"/>
              <w:rPr>
                <w:sz w:val="7"/>
                <w:szCs w:val="7"/>
                <w:color w:val="auto"/>
              </w:rPr>
            </w:pPr>
          </w:p>
        </w:tc>
        <w:tc>
          <w:tcPr>
            <w:tcW w:w="60" w:type="dxa"/>
            <w:vAlign w:val="bottom"/>
            <w:tcBorders>
              <w:right w:val="single" w:sz="8" w:color="E6E6E6"/>
            </w:tcBorders>
            <w:shd w:val="clear" w:color="auto" w:fill="E6E6E6"/>
          </w:tcPr>
          <w:p>
            <w:pPr>
              <w:spacing w:after="0"/>
              <w:rPr>
                <w:sz w:val="7"/>
                <w:szCs w:val="7"/>
                <w:color w:val="auto"/>
              </w:rPr>
            </w:pPr>
          </w:p>
        </w:tc>
        <w:tc>
          <w:tcPr>
            <w:tcW w:w="64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E6E6E6"/>
          </w:tcPr>
          <w:p>
            <w:pPr>
              <w:spacing w:after="0"/>
              <w:rPr>
                <w:sz w:val="7"/>
                <w:szCs w:val="7"/>
                <w:color w:val="auto"/>
              </w:rPr>
            </w:pPr>
          </w:p>
        </w:tc>
        <w:tc>
          <w:tcPr>
            <w:tcW w:w="80" w:type="dxa"/>
            <w:vAlign w:val="bottom"/>
            <w:tcBorders>
              <w:left w:val="single" w:sz="8" w:color="E6E6E6"/>
              <w:right w:val="single" w:sz="8" w:color="E6E6E6"/>
            </w:tcBorders>
            <w:shd w:val="clear" w:color="auto" w:fill="E6E6E6"/>
          </w:tcPr>
          <w:p>
            <w:pPr>
              <w:spacing w:after="0"/>
              <w:rPr>
                <w:sz w:val="7"/>
                <w:szCs w:val="7"/>
                <w:color w:val="auto"/>
              </w:rPr>
            </w:pPr>
          </w:p>
        </w:tc>
        <w:tc>
          <w:tcPr>
            <w:tcW w:w="780" w:type="dxa"/>
            <w:vAlign w:val="bottom"/>
            <w:shd w:val="clear" w:color="auto" w:fill="E6E6E6"/>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300" w:type="dxa"/>
            <w:vAlign w:val="bottom"/>
            <w:shd w:val="clear" w:color="auto" w:fill="E6E6E6"/>
          </w:tcPr>
          <w:p>
            <w:pPr>
              <w:spacing w:after="0"/>
              <w:rPr>
                <w:sz w:val="7"/>
                <w:szCs w:val="7"/>
                <w:color w:val="auto"/>
              </w:rPr>
            </w:pPr>
          </w:p>
        </w:tc>
        <w:tc>
          <w:tcPr>
            <w:tcW w:w="80" w:type="dxa"/>
            <w:vAlign w:val="bottom"/>
            <w:tcBorders>
              <w:right w:val="single" w:sz="8" w:color="E6E6E6"/>
            </w:tcBorders>
          </w:tcPr>
          <w:p>
            <w:pPr>
              <w:spacing w:after="0"/>
              <w:rPr>
                <w:sz w:val="7"/>
                <w:szCs w:val="7"/>
                <w:color w:val="auto"/>
              </w:rPr>
            </w:pPr>
          </w:p>
        </w:tc>
        <w:tc>
          <w:tcPr>
            <w:tcW w:w="1100" w:type="dxa"/>
            <w:vAlign w:val="bottom"/>
            <w:tcBorders>
              <w:right w:val="single" w:sz="8" w:color="E6E6E6"/>
            </w:tcBorders>
            <w:shd w:val="clear" w:color="auto" w:fill="E6E6E6"/>
          </w:tcPr>
          <w:p>
            <w:pPr>
              <w:spacing w:after="0"/>
              <w:rPr>
                <w:sz w:val="7"/>
                <w:szCs w:val="7"/>
                <w:color w:val="auto"/>
              </w:rPr>
            </w:pPr>
          </w:p>
        </w:tc>
        <w:tc>
          <w:tcPr>
            <w:tcW w:w="60" w:type="dxa"/>
            <w:vAlign w:val="bottom"/>
            <w:tcBorders>
              <w:right w:val="single" w:sz="8" w:color="E6E6E6"/>
            </w:tcBorders>
            <w:shd w:val="clear" w:color="auto" w:fill="E6E6E6"/>
          </w:tcPr>
          <w:p>
            <w:pPr>
              <w:spacing w:after="0"/>
              <w:rPr>
                <w:sz w:val="7"/>
                <w:szCs w:val="7"/>
                <w:color w:val="auto"/>
              </w:rPr>
            </w:pPr>
          </w:p>
        </w:tc>
        <w:tc>
          <w:tcPr>
            <w:tcW w:w="1120" w:type="dxa"/>
            <w:vAlign w:val="bottom"/>
            <w:shd w:val="clear" w:color="auto" w:fill="E6E6E6"/>
          </w:tcPr>
          <w:p>
            <w:pPr>
              <w:spacing w:after="0"/>
              <w:rPr>
                <w:sz w:val="7"/>
                <w:szCs w:val="7"/>
                <w:color w:val="auto"/>
              </w:rPr>
            </w:pPr>
          </w:p>
        </w:tc>
        <w:tc>
          <w:tcPr>
            <w:tcW w:w="60" w:type="dxa"/>
            <w:vAlign w:val="bottom"/>
            <w:tcBorders>
              <w:right w:val="single" w:sz="8" w:color="E6E6E6"/>
            </w:tcBorders>
            <w:shd w:val="clear" w:color="auto" w:fill="E6E6E6"/>
          </w:tcPr>
          <w:p>
            <w:pPr>
              <w:spacing w:after="0"/>
              <w:rPr>
                <w:sz w:val="7"/>
                <w:szCs w:val="7"/>
                <w:color w:val="auto"/>
              </w:rPr>
            </w:pPr>
          </w:p>
        </w:tc>
        <w:tc>
          <w:tcPr>
            <w:tcW w:w="220" w:type="dxa"/>
            <w:vAlign w:val="bottom"/>
            <w:tcBorders>
              <w:right w:val="single" w:sz="8" w:color="E6E6E6"/>
            </w:tcBorders>
            <w:shd w:val="clear" w:color="auto" w:fill="E6E6E6"/>
          </w:tcPr>
          <w:p>
            <w:pPr>
              <w:spacing w:after="0"/>
              <w:rPr>
                <w:sz w:val="7"/>
                <w:szCs w:val="7"/>
                <w:color w:val="auto"/>
              </w:rPr>
            </w:pPr>
          </w:p>
        </w:tc>
        <w:tc>
          <w:tcPr>
            <w:tcW w:w="60" w:type="dxa"/>
            <w:vAlign w:val="bottom"/>
            <w:tcBorders>
              <w:right w:val="single" w:sz="8" w:color="E6E6E6"/>
            </w:tcBorders>
            <w:shd w:val="clear" w:color="auto" w:fill="E6E6E6"/>
          </w:tcPr>
          <w:p>
            <w:pPr>
              <w:spacing w:after="0"/>
              <w:rPr>
                <w:sz w:val="7"/>
                <w:szCs w:val="7"/>
                <w:color w:val="auto"/>
              </w:rPr>
            </w:pPr>
          </w:p>
        </w:tc>
        <w:tc>
          <w:tcPr>
            <w:tcW w:w="110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40" w:type="dxa"/>
            <w:vAlign w:val="bottom"/>
            <w:shd w:val="clear" w:color="auto" w:fill="E6E6E6"/>
          </w:tcPr>
          <w:p>
            <w:pPr>
              <w:spacing w:after="0"/>
              <w:rPr>
                <w:sz w:val="2"/>
                <w:szCs w:val="2"/>
                <w:color w:val="auto"/>
              </w:rPr>
            </w:pPr>
          </w:p>
        </w:tc>
        <w:tc>
          <w:tcPr>
            <w:tcW w:w="2280" w:type="dxa"/>
            <w:vAlign w:val="bottom"/>
            <w:tcBorders>
              <w:right w:val="single" w:sz="8" w:color="E6E6E6"/>
            </w:tcBorders>
            <w:vMerge w:val="continue"/>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E6E6E6"/>
          </w:tcPr>
          <w:p>
            <w:pPr>
              <w:spacing w:after="0"/>
              <w:rPr>
                <w:sz w:val="2"/>
                <w:szCs w:val="2"/>
                <w:color w:val="auto"/>
              </w:rPr>
            </w:pPr>
          </w:p>
        </w:tc>
        <w:tc>
          <w:tcPr>
            <w:tcW w:w="80" w:type="dxa"/>
            <w:vAlign w:val="bottom"/>
            <w:tcBorders>
              <w:left w:val="single" w:sz="8" w:color="E6E6E6"/>
            </w:tcBorders>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Borders>
              <w:bottom w:val="single" w:sz="8" w:color="E6E6E6"/>
            </w:tcBorders>
            <w:shd w:val="clear" w:color="auto" w:fill="E6E6E6"/>
          </w:tcPr>
          <w:p>
            <w:pPr>
              <w:spacing w:after="0"/>
              <w:rPr>
                <w:sz w:val="21"/>
                <w:szCs w:val="21"/>
                <w:color w:val="auto"/>
              </w:rPr>
            </w:pPr>
          </w:p>
        </w:tc>
        <w:tc>
          <w:tcPr>
            <w:tcW w:w="2280" w:type="dxa"/>
            <w:vAlign w:val="bottom"/>
            <w:tcBorders>
              <w:bottom w:val="single" w:sz="8" w:color="E6E6E6"/>
              <w:right w:val="single" w:sz="8" w:color="E6E6E6"/>
            </w:tcBorders>
            <w:vMerge w:val="continue"/>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560" w:type="dxa"/>
            <w:vAlign w:val="bottom"/>
            <w:tcBorders>
              <w:left w:val="single" w:sz="8" w:color="E6E6E6"/>
              <w:bottom w:val="single" w:sz="8" w:color="E6E6E6"/>
              <w:right w:val="single" w:sz="8" w:color="E6E6E6"/>
            </w:tcBorders>
            <w:shd w:val="clear" w:color="auto" w:fill="E6E6E6"/>
          </w:tcPr>
          <w:p>
            <w:pPr>
              <w:ind w:left="120"/>
              <w:spacing w:after="0"/>
              <w:rPr>
                <w:sz w:val="20"/>
                <w:szCs w:val="20"/>
                <w:color w:val="auto"/>
              </w:rPr>
            </w:pPr>
            <w:r>
              <w:rPr>
                <w:rFonts w:ascii="Arial" w:cs="Arial" w:eastAsia="Arial" w:hAnsi="Arial"/>
                <w:sz w:val="15"/>
                <w:szCs w:val="15"/>
                <w:color w:val="auto"/>
              </w:rPr>
              <w:t>2024</w:t>
            </w:r>
          </w:p>
        </w:tc>
        <w:tc>
          <w:tcPr>
            <w:tcW w:w="40" w:type="dxa"/>
            <w:vAlign w:val="bottom"/>
            <w:tcBorders>
              <w:left w:val="single" w:sz="8" w:color="E6E6E6"/>
            </w:tcBorders>
          </w:tcPr>
          <w:p>
            <w:pPr>
              <w:spacing w:after="0"/>
              <w:rPr>
                <w:sz w:val="21"/>
                <w:szCs w:val="21"/>
                <w:color w:val="auto"/>
              </w:rPr>
            </w:pPr>
          </w:p>
        </w:tc>
        <w:tc>
          <w:tcPr>
            <w:tcW w:w="7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756,250</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640" w:type="dxa"/>
            <w:vAlign w:val="bottom"/>
            <w:tcBorders>
              <w:bottom w:val="single" w:sz="8" w:color="E6E6E6"/>
            </w:tcBorders>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1"/>
                <w:szCs w:val="21"/>
                <w:color w:val="auto"/>
              </w:rPr>
            </w:pPr>
          </w:p>
        </w:tc>
        <w:tc>
          <w:tcPr>
            <w:tcW w:w="24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left w:val="single" w:sz="8" w:color="E6E6E6"/>
              <w:bottom w:val="single" w:sz="8" w:color="E6E6E6"/>
              <w:right w:val="single" w:sz="8" w:color="E6E6E6"/>
            </w:tcBorders>
            <w:shd w:val="clear" w:color="auto" w:fill="E6E6E6"/>
          </w:tcPr>
          <w:p>
            <w:pPr>
              <w:spacing w:after="0"/>
              <w:rPr>
                <w:sz w:val="21"/>
                <w:szCs w:val="21"/>
                <w:color w:val="auto"/>
              </w:rPr>
            </w:pPr>
          </w:p>
        </w:tc>
        <w:tc>
          <w:tcPr>
            <w:tcW w:w="7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right w:val="single" w:sz="8" w:color="E6E6E6"/>
            </w:tcBorders>
          </w:tcPr>
          <w:p>
            <w:pPr>
              <w:spacing w:after="0"/>
              <w:rPr>
                <w:sz w:val="21"/>
                <w:szCs w:val="21"/>
                <w:color w:val="auto"/>
              </w:rPr>
            </w:pPr>
          </w:p>
        </w:tc>
        <w:tc>
          <w:tcPr>
            <w:tcW w:w="11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551,480</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11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398,775</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220" w:type="dxa"/>
            <w:vAlign w:val="bottom"/>
            <w:tcBorders>
              <w:bottom w:val="single" w:sz="8" w:color="E6E6E6"/>
              <w:right w:val="single" w:sz="8" w:color="E6E6E6"/>
            </w:tcBorders>
            <w:shd w:val="clear" w:color="auto" w:fill="E6E6E6"/>
          </w:tcPr>
          <w:p>
            <w:pPr>
              <w:jc w:val="right"/>
              <w:ind w:right="31"/>
              <w:spacing w:after="0"/>
              <w:rPr>
                <w:sz w:val="20"/>
                <w:szCs w:val="20"/>
                <w:color w:val="auto"/>
              </w:rPr>
            </w:pPr>
            <w:r>
              <w:rPr>
                <w:rFonts w:ascii="Arial" w:cs="Arial" w:eastAsia="Arial" w:hAnsi="Arial"/>
                <w:sz w:val="10"/>
                <w:szCs w:val="10"/>
                <w:color w:val="auto"/>
                <w:w w:val="97"/>
              </w:rPr>
              <w:t>(4)</w:t>
            </w:r>
          </w:p>
        </w:tc>
        <w:tc>
          <w:tcPr>
            <w:tcW w:w="60" w:type="dxa"/>
            <w:vAlign w:val="bottom"/>
            <w:tcBorders>
              <w:bottom w:val="single" w:sz="8" w:color="E6E6E6"/>
              <w:right w:val="single" w:sz="8" w:color="E6E6E6"/>
            </w:tcBorders>
            <w:shd w:val="clear" w:color="auto" w:fill="E6E6E6"/>
          </w:tcPr>
          <w:p>
            <w:pPr>
              <w:spacing w:after="0"/>
              <w:rPr>
                <w:sz w:val="21"/>
                <w:szCs w:val="21"/>
                <w:color w:val="auto"/>
              </w:rPr>
            </w:pPr>
          </w:p>
        </w:tc>
        <w:tc>
          <w:tcPr>
            <w:tcW w:w="1100" w:type="dxa"/>
            <w:vAlign w:val="bottom"/>
            <w:tcBorders>
              <w:bottom w:val="single" w:sz="8" w:color="E6E6E6"/>
            </w:tcBorders>
            <w:shd w:val="clear" w:color="auto" w:fill="E6E6E6"/>
          </w:tcPr>
          <w:p>
            <w:pPr>
              <w:jc w:val="right"/>
              <w:ind w:right="183"/>
              <w:spacing w:after="0"/>
              <w:rPr>
                <w:sz w:val="20"/>
                <w:szCs w:val="20"/>
                <w:color w:val="auto"/>
              </w:rPr>
            </w:pPr>
            <w:r>
              <w:rPr>
                <w:rFonts w:ascii="Arial" w:cs="Arial" w:eastAsia="Arial" w:hAnsi="Arial"/>
                <w:sz w:val="15"/>
                <w:szCs w:val="15"/>
                <w:color w:val="auto"/>
              </w:rPr>
              <w:t>1,706,505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0" w:type="dxa"/>
            <w:vAlign w:val="bottom"/>
            <w:shd w:val="clear" w:color="auto" w:fill="E6E6E6"/>
          </w:tcPr>
          <w:p>
            <w:pPr>
              <w:spacing w:after="0"/>
              <w:rPr>
                <w:sz w:val="2"/>
                <w:szCs w:val="2"/>
                <w:color w:val="auto"/>
              </w:rPr>
            </w:pPr>
          </w:p>
        </w:tc>
        <w:tc>
          <w:tcPr>
            <w:tcW w:w="2280" w:type="dxa"/>
            <w:vAlign w:val="bottom"/>
            <w:tcBorders>
              <w:right w:val="single" w:sz="8" w:color="E6E6E6"/>
            </w:tcBorders>
            <w:vMerge w:val="restart"/>
            <w:shd w:val="clear" w:color="auto" w:fill="E6E6E6"/>
          </w:tcPr>
          <w:p>
            <w:pPr>
              <w:ind w:left="60"/>
              <w:spacing w:after="0" w:line="162" w:lineRule="exact"/>
              <w:rPr>
                <w:sz w:val="20"/>
                <w:szCs w:val="20"/>
                <w:color w:val="auto"/>
              </w:rPr>
            </w:pPr>
            <w:r>
              <w:rPr>
                <w:rFonts w:ascii="Arial" w:cs="Arial" w:eastAsia="Arial" w:hAnsi="Arial"/>
                <w:sz w:val="15"/>
                <w:szCs w:val="15"/>
                <w:i w:val="1"/>
                <w:iCs w:val="1"/>
                <w:color w:val="auto"/>
              </w:rPr>
              <w:t>and Co-Founder</w:t>
            </w:r>
          </w:p>
        </w:tc>
        <w:tc>
          <w:tcPr>
            <w:tcW w:w="20" w:type="dxa"/>
            <w:vAlign w:val="bottom"/>
            <w:shd w:val="clear" w:color="auto" w:fill="E6E6E6"/>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E6E6E6"/>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40" w:type="dxa"/>
            <w:vAlign w:val="bottom"/>
            <w:shd w:val="clear" w:color="auto" w:fill="E6E6E6"/>
          </w:tcPr>
          <w:p>
            <w:pPr>
              <w:spacing w:after="0"/>
              <w:rPr>
                <w:sz w:val="11"/>
                <w:szCs w:val="11"/>
                <w:color w:val="auto"/>
              </w:rPr>
            </w:pPr>
          </w:p>
        </w:tc>
        <w:tc>
          <w:tcPr>
            <w:tcW w:w="2280" w:type="dxa"/>
            <w:vAlign w:val="bottom"/>
            <w:tcBorders>
              <w:right w:val="single" w:sz="8" w:color="E6E6E6"/>
            </w:tcBorders>
            <w:vMerge w:val="continue"/>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560" w:type="dxa"/>
            <w:vAlign w:val="bottom"/>
            <w:tcBorders>
              <w:left w:val="single" w:sz="8" w:color="E6E6E6"/>
              <w:right w:val="single" w:sz="8" w:color="E6E6E6"/>
            </w:tcBorders>
            <w:vMerge w:val="restart"/>
            <w:shd w:val="clear" w:color="auto" w:fill="E6E6E6"/>
          </w:tcPr>
          <w:p>
            <w:pPr>
              <w:ind w:left="120"/>
              <w:spacing w:after="0"/>
              <w:rPr>
                <w:sz w:val="20"/>
                <w:szCs w:val="20"/>
                <w:color w:val="auto"/>
              </w:rPr>
            </w:pPr>
            <w:r>
              <w:rPr>
                <w:rFonts w:ascii="Arial" w:cs="Arial" w:eastAsia="Arial" w:hAnsi="Arial"/>
                <w:sz w:val="15"/>
                <w:szCs w:val="15"/>
                <w:color w:val="auto"/>
              </w:rPr>
              <w:t>2023</w:t>
            </w:r>
          </w:p>
        </w:tc>
        <w:tc>
          <w:tcPr>
            <w:tcW w:w="40" w:type="dxa"/>
            <w:vAlign w:val="bottom"/>
            <w:tcBorders>
              <w:left w:val="single" w:sz="8" w:color="E6E6E6"/>
            </w:tcBorders>
          </w:tcPr>
          <w:p>
            <w:pPr>
              <w:spacing w:after="0"/>
              <w:rPr>
                <w:sz w:val="11"/>
                <w:szCs w:val="11"/>
                <w:color w:val="auto"/>
              </w:rPr>
            </w:pPr>
          </w:p>
        </w:tc>
        <w:tc>
          <w:tcPr>
            <w:tcW w:w="740" w:type="dxa"/>
            <w:vAlign w:val="bottom"/>
            <w:vMerge w:val="restart"/>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625,000</w:t>
            </w:r>
          </w:p>
        </w:tc>
        <w:tc>
          <w:tcPr>
            <w:tcW w:w="60" w:type="dxa"/>
            <w:vAlign w:val="bottom"/>
            <w:tcBorders>
              <w:right w:val="single" w:sz="8" w:color="E6E6E6"/>
            </w:tcBorders>
            <w:shd w:val="clear" w:color="auto" w:fill="E6E6E6"/>
          </w:tcPr>
          <w:p>
            <w:pPr>
              <w:spacing w:after="0"/>
              <w:rPr>
                <w:sz w:val="11"/>
                <w:szCs w:val="11"/>
                <w:color w:val="auto"/>
              </w:rPr>
            </w:pPr>
          </w:p>
        </w:tc>
        <w:tc>
          <w:tcPr>
            <w:tcW w:w="640" w:type="dxa"/>
            <w:vAlign w:val="bottom"/>
            <w:vMerge w:val="restart"/>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1"/>
                <w:szCs w:val="11"/>
                <w:color w:val="auto"/>
              </w:rPr>
            </w:pPr>
          </w:p>
        </w:tc>
        <w:tc>
          <w:tcPr>
            <w:tcW w:w="240" w:type="dxa"/>
            <w:vAlign w:val="bottom"/>
            <w:shd w:val="clear" w:color="auto" w:fill="E6E6E6"/>
          </w:tcPr>
          <w:p>
            <w:pPr>
              <w:spacing w:after="0"/>
              <w:rPr>
                <w:sz w:val="11"/>
                <w:szCs w:val="11"/>
                <w:color w:val="auto"/>
              </w:rPr>
            </w:pPr>
          </w:p>
        </w:tc>
        <w:tc>
          <w:tcPr>
            <w:tcW w:w="80" w:type="dxa"/>
            <w:vAlign w:val="bottom"/>
            <w:tcBorders>
              <w:right w:val="single" w:sz="8" w:color="E6E6E6"/>
            </w:tcBorders>
          </w:tcPr>
          <w:p>
            <w:pPr>
              <w:spacing w:after="0"/>
              <w:rPr>
                <w:sz w:val="11"/>
                <w:szCs w:val="11"/>
                <w:color w:val="auto"/>
              </w:rPr>
            </w:pPr>
          </w:p>
        </w:tc>
        <w:tc>
          <w:tcPr>
            <w:tcW w:w="780" w:type="dxa"/>
            <w:vAlign w:val="bottom"/>
            <w:vMerge w:val="restart"/>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1"/>
                <w:szCs w:val="11"/>
                <w:color w:val="auto"/>
              </w:rPr>
            </w:pPr>
          </w:p>
        </w:tc>
        <w:tc>
          <w:tcPr>
            <w:tcW w:w="300" w:type="dxa"/>
            <w:vAlign w:val="bottom"/>
            <w:shd w:val="clear" w:color="auto" w:fill="E6E6E6"/>
          </w:tcPr>
          <w:p>
            <w:pPr>
              <w:spacing w:after="0"/>
              <w:rPr>
                <w:sz w:val="11"/>
                <w:szCs w:val="11"/>
                <w:color w:val="auto"/>
              </w:rPr>
            </w:pPr>
          </w:p>
        </w:tc>
        <w:tc>
          <w:tcPr>
            <w:tcW w:w="80" w:type="dxa"/>
            <w:vAlign w:val="bottom"/>
            <w:tcBorders>
              <w:right w:val="single" w:sz="8" w:color="E6E6E6"/>
            </w:tcBorders>
          </w:tcPr>
          <w:p>
            <w:pPr>
              <w:spacing w:after="0"/>
              <w:rPr>
                <w:sz w:val="11"/>
                <w:szCs w:val="11"/>
                <w:color w:val="auto"/>
              </w:rPr>
            </w:pPr>
          </w:p>
        </w:tc>
        <w:tc>
          <w:tcPr>
            <w:tcW w:w="1100" w:type="dxa"/>
            <w:vAlign w:val="bottom"/>
            <w:tcBorders>
              <w:right w:val="single" w:sz="8" w:color="E6E6E6"/>
            </w:tcBorders>
            <w:vMerge w:val="restart"/>
            <w:shd w:val="clear" w:color="auto" w:fill="E6E6E6"/>
          </w:tcPr>
          <w:p>
            <w:pPr>
              <w:jc w:val="center"/>
              <w:spacing w:after="0"/>
              <w:rPr>
                <w:sz w:val="20"/>
                <w:szCs w:val="20"/>
                <w:color w:val="auto"/>
              </w:rPr>
            </w:pPr>
            <w:r>
              <w:rPr>
                <w:rFonts w:ascii="Arial" w:cs="Arial" w:eastAsia="Arial" w:hAnsi="Arial"/>
                <w:sz w:val="15"/>
                <w:szCs w:val="15"/>
                <w:color w:val="auto"/>
              </w:rPr>
              <w:t>485,000</w:t>
            </w:r>
          </w:p>
        </w:tc>
        <w:tc>
          <w:tcPr>
            <w:tcW w:w="60" w:type="dxa"/>
            <w:vAlign w:val="bottom"/>
            <w:tcBorders>
              <w:right w:val="single" w:sz="8" w:color="E6E6E6"/>
            </w:tcBorders>
            <w:shd w:val="clear" w:color="auto" w:fill="E6E6E6"/>
          </w:tcPr>
          <w:p>
            <w:pPr>
              <w:spacing w:after="0"/>
              <w:rPr>
                <w:sz w:val="11"/>
                <w:szCs w:val="11"/>
                <w:color w:val="auto"/>
              </w:rPr>
            </w:pPr>
          </w:p>
        </w:tc>
        <w:tc>
          <w:tcPr>
            <w:tcW w:w="1120" w:type="dxa"/>
            <w:vAlign w:val="bottom"/>
            <w:vMerge w:val="restart"/>
            <w:shd w:val="clear" w:color="auto" w:fill="E6E6E6"/>
          </w:tcPr>
          <w:p>
            <w:pPr>
              <w:jc w:val="center"/>
              <w:spacing w:after="0"/>
              <w:rPr>
                <w:sz w:val="20"/>
                <w:szCs w:val="20"/>
                <w:color w:val="auto"/>
              </w:rPr>
            </w:pPr>
            <w:r>
              <w:rPr>
                <w:rFonts w:ascii="Arial" w:cs="Arial" w:eastAsia="Arial" w:hAnsi="Arial"/>
                <w:sz w:val="15"/>
                <w:szCs w:val="15"/>
                <w:color w:val="auto"/>
              </w:rPr>
              <w:t>429,577</w:t>
            </w:r>
          </w:p>
        </w:tc>
        <w:tc>
          <w:tcPr>
            <w:tcW w:w="60" w:type="dxa"/>
            <w:vAlign w:val="bottom"/>
            <w:tcBorders>
              <w:right w:val="single" w:sz="8" w:color="E6E6E6"/>
            </w:tcBorders>
            <w:shd w:val="clear" w:color="auto" w:fill="E6E6E6"/>
          </w:tcPr>
          <w:p>
            <w:pPr>
              <w:spacing w:after="0"/>
              <w:rPr>
                <w:sz w:val="11"/>
                <w:szCs w:val="11"/>
                <w:color w:val="auto"/>
              </w:rPr>
            </w:pPr>
          </w:p>
        </w:tc>
        <w:tc>
          <w:tcPr>
            <w:tcW w:w="220" w:type="dxa"/>
            <w:vAlign w:val="bottom"/>
            <w:tcBorders>
              <w:right w:val="single" w:sz="8" w:color="E6E6E6"/>
            </w:tcBorders>
            <w:vMerge w:val="restart"/>
            <w:shd w:val="clear" w:color="auto" w:fill="E6E6E6"/>
          </w:tcPr>
          <w:p>
            <w:pPr>
              <w:jc w:val="right"/>
              <w:ind w:right="31"/>
              <w:spacing w:after="0"/>
              <w:rPr>
                <w:sz w:val="20"/>
                <w:szCs w:val="20"/>
                <w:color w:val="auto"/>
              </w:rPr>
            </w:pPr>
            <w:r>
              <w:rPr>
                <w:rFonts w:ascii="Arial" w:cs="Arial" w:eastAsia="Arial" w:hAnsi="Arial"/>
                <w:sz w:val="10"/>
                <w:szCs w:val="10"/>
                <w:color w:val="auto"/>
                <w:w w:val="97"/>
              </w:rPr>
              <w:t>(4)</w:t>
            </w:r>
          </w:p>
        </w:tc>
        <w:tc>
          <w:tcPr>
            <w:tcW w:w="60" w:type="dxa"/>
            <w:vAlign w:val="bottom"/>
            <w:tcBorders>
              <w:right w:val="single" w:sz="8" w:color="E6E6E6"/>
            </w:tcBorders>
            <w:shd w:val="clear" w:color="auto" w:fill="E6E6E6"/>
          </w:tcPr>
          <w:p>
            <w:pPr>
              <w:spacing w:after="0"/>
              <w:rPr>
                <w:sz w:val="11"/>
                <w:szCs w:val="11"/>
                <w:color w:val="auto"/>
              </w:rPr>
            </w:pPr>
          </w:p>
        </w:tc>
        <w:tc>
          <w:tcPr>
            <w:tcW w:w="1100" w:type="dxa"/>
            <w:vAlign w:val="bottom"/>
            <w:vMerge w:val="restart"/>
            <w:shd w:val="clear" w:color="auto" w:fill="E6E6E6"/>
          </w:tcPr>
          <w:p>
            <w:pPr>
              <w:jc w:val="right"/>
              <w:ind w:right="183"/>
              <w:spacing w:after="0"/>
              <w:rPr>
                <w:sz w:val="20"/>
                <w:szCs w:val="20"/>
                <w:color w:val="auto"/>
              </w:rPr>
            </w:pPr>
            <w:r>
              <w:rPr>
                <w:rFonts w:ascii="Arial" w:cs="Arial" w:eastAsia="Arial" w:hAnsi="Arial"/>
                <w:sz w:val="15"/>
                <w:szCs w:val="15"/>
                <w:color w:val="auto"/>
              </w:rPr>
              <w:t>1,539,577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E6E6E6"/>
            </w:tcBorders>
            <w:shd w:val="clear" w:color="auto" w:fill="E6E6E6"/>
          </w:tcPr>
          <w:p>
            <w:pPr>
              <w:spacing w:after="0"/>
              <w:rPr>
                <w:sz w:val="9"/>
                <w:szCs w:val="9"/>
                <w:color w:val="auto"/>
              </w:rPr>
            </w:pPr>
          </w:p>
        </w:tc>
        <w:tc>
          <w:tcPr>
            <w:tcW w:w="2280" w:type="dxa"/>
            <w:vAlign w:val="bottom"/>
            <w:tcBorders>
              <w:bottom w:val="single" w:sz="8" w:color="E6E6E6"/>
              <w:right w:val="single" w:sz="8" w:color="E6E6E6"/>
            </w:tcBorders>
            <w:shd w:val="clear" w:color="auto" w:fill="E6E6E6"/>
          </w:tcPr>
          <w:p>
            <w:pPr>
              <w:spacing w:after="0"/>
              <w:rPr>
                <w:sz w:val="9"/>
                <w:szCs w:val="9"/>
                <w:color w:val="auto"/>
              </w:rPr>
            </w:pPr>
          </w:p>
        </w:tc>
        <w:tc>
          <w:tcPr>
            <w:tcW w:w="20" w:type="dxa"/>
            <w:vAlign w:val="bottom"/>
            <w:tcBorders>
              <w:bottom w:val="single" w:sz="8" w:color="E6E6E6"/>
            </w:tcBorders>
            <w:shd w:val="clear" w:color="auto" w:fill="E6E6E6"/>
          </w:tcPr>
          <w:p>
            <w:pPr>
              <w:spacing w:after="0"/>
              <w:rPr>
                <w:sz w:val="9"/>
                <w:szCs w:val="9"/>
                <w:color w:val="auto"/>
              </w:rPr>
            </w:pPr>
          </w:p>
        </w:tc>
        <w:tc>
          <w:tcPr>
            <w:tcW w:w="560" w:type="dxa"/>
            <w:vAlign w:val="bottom"/>
            <w:tcBorders>
              <w:left w:val="single" w:sz="8" w:color="E6E6E6"/>
              <w:bottom w:val="single" w:sz="8" w:color="E6E6E6"/>
              <w:right w:val="single" w:sz="8" w:color="E6E6E6"/>
            </w:tcBorders>
            <w:vMerge w:val="continue"/>
            <w:shd w:val="clear" w:color="auto" w:fill="E6E6E6"/>
          </w:tcPr>
          <w:p>
            <w:pPr>
              <w:spacing w:after="0"/>
              <w:rPr>
                <w:sz w:val="9"/>
                <w:szCs w:val="9"/>
                <w:color w:val="auto"/>
              </w:rPr>
            </w:pPr>
          </w:p>
        </w:tc>
        <w:tc>
          <w:tcPr>
            <w:tcW w:w="40" w:type="dxa"/>
            <w:vAlign w:val="bottom"/>
            <w:tcBorders>
              <w:left w:val="single" w:sz="8" w:color="E6E6E6"/>
            </w:tcBorders>
          </w:tcPr>
          <w:p>
            <w:pPr>
              <w:spacing w:after="0"/>
              <w:rPr>
                <w:sz w:val="9"/>
                <w:szCs w:val="9"/>
                <w:color w:val="auto"/>
              </w:rPr>
            </w:pPr>
          </w:p>
        </w:tc>
        <w:tc>
          <w:tcPr>
            <w:tcW w:w="740" w:type="dxa"/>
            <w:vAlign w:val="bottom"/>
            <w:tcBorders>
              <w:bottom w:val="single" w:sz="8" w:color="E6E6E6"/>
            </w:tcBorders>
            <w:vMerge w:val="continue"/>
            <w:shd w:val="clear" w:color="auto" w:fill="E6E6E6"/>
          </w:tcPr>
          <w:p>
            <w:pPr>
              <w:spacing w:after="0"/>
              <w:rPr>
                <w:sz w:val="9"/>
                <w:szCs w:val="9"/>
                <w:color w:val="auto"/>
              </w:rPr>
            </w:pPr>
          </w:p>
        </w:tc>
        <w:tc>
          <w:tcPr>
            <w:tcW w:w="60" w:type="dxa"/>
            <w:vAlign w:val="bottom"/>
            <w:tcBorders>
              <w:bottom w:val="single" w:sz="8" w:color="E6E6E6"/>
              <w:right w:val="single" w:sz="8" w:color="E6E6E6"/>
            </w:tcBorders>
            <w:shd w:val="clear" w:color="auto" w:fill="E6E6E6"/>
          </w:tcPr>
          <w:p>
            <w:pPr>
              <w:spacing w:after="0"/>
              <w:rPr>
                <w:sz w:val="9"/>
                <w:szCs w:val="9"/>
                <w:color w:val="auto"/>
              </w:rPr>
            </w:pPr>
          </w:p>
        </w:tc>
        <w:tc>
          <w:tcPr>
            <w:tcW w:w="640" w:type="dxa"/>
            <w:vAlign w:val="bottom"/>
            <w:tcBorders>
              <w:bottom w:val="single" w:sz="8" w:color="E6E6E6"/>
            </w:tcBorders>
            <w:vMerge w:val="continue"/>
            <w:shd w:val="clear" w:color="auto" w:fill="E6E6E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E6E6E6"/>
            </w:tcBorders>
            <w:shd w:val="clear" w:color="auto" w:fill="E6E6E6"/>
          </w:tcPr>
          <w:p>
            <w:pPr>
              <w:spacing w:after="0"/>
              <w:rPr>
                <w:sz w:val="9"/>
                <w:szCs w:val="9"/>
                <w:color w:val="auto"/>
              </w:rPr>
            </w:pPr>
          </w:p>
        </w:tc>
        <w:tc>
          <w:tcPr>
            <w:tcW w:w="80" w:type="dxa"/>
            <w:vAlign w:val="bottom"/>
            <w:tcBorders>
              <w:right w:val="single" w:sz="8" w:color="E6E6E6"/>
            </w:tcBorders>
          </w:tcPr>
          <w:p>
            <w:pPr>
              <w:spacing w:after="0"/>
              <w:rPr>
                <w:sz w:val="9"/>
                <w:szCs w:val="9"/>
                <w:color w:val="auto"/>
              </w:rPr>
            </w:pPr>
          </w:p>
        </w:tc>
        <w:tc>
          <w:tcPr>
            <w:tcW w:w="780" w:type="dxa"/>
            <w:vAlign w:val="bottom"/>
            <w:tcBorders>
              <w:bottom w:val="single" w:sz="8" w:color="E6E6E6"/>
            </w:tcBorders>
            <w:vMerge w:val="continue"/>
            <w:shd w:val="clear" w:color="auto" w:fill="E6E6E6"/>
          </w:tcPr>
          <w:p>
            <w:pPr>
              <w:spacing w:after="0"/>
              <w:rPr>
                <w:sz w:val="9"/>
                <w:szCs w:val="9"/>
                <w:color w:val="auto"/>
              </w:rPr>
            </w:pPr>
          </w:p>
        </w:tc>
        <w:tc>
          <w:tcPr>
            <w:tcW w:w="20" w:type="dxa"/>
            <w:vAlign w:val="bottom"/>
            <w:tcBorders>
              <w:bottom w:val="single" w:sz="8" w:color="E6E6E6"/>
            </w:tcBorders>
            <w:shd w:val="clear" w:color="auto" w:fill="E6E6E6"/>
          </w:tcPr>
          <w:p>
            <w:pPr>
              <w:spacing w:after="0"/>
              <w:rPr>
                <w:sz w:val="9"/>
                <w:szCs w:val="9"/>
                <w:color w:val="auto"/>
              </w:rPr>
            </w:pPr>
          </w:p>
        </w:tc>
        <w:tc>
          <w:tcPr>
            <w:tcW w:w="300" w:type="dxa"/>
            <w:vAlign w:val="bottom"/>
            <w:tcBorders>
              <w:bottom w:val="single" w:sz="8" w:color="E6E6E6"/>
            </w:tcBorders>
            <w:shd w:val="clear" w:color="auto" w:fill="E6E6E6"/>
          </w:tcPr>
          <w:p>
            <w:pPr>
              <w:spacing w:after="0"/>
              <w:rPr>
                <w:sz w:val="9"/>
                <w:szCs w:val="9"/>
                <w:color w:val="auto"/>
              </w:rPr>
            </w:pPr>
          </w:p>
        </w:tc>
        <w:tc>
          <w:tcPr>
            <w:tcW w:w="80" w:type="dxa"/>
            <w:vAlign w:val="bottom"/>
            <w:tcBorders>
              <w:right w:val="single" w:sz="8" w:color="E6E6E6"/>
            </w:tcBorders>
          </w:tcPr>
          <w:p>
            <w:pPr>
              <w:spacing w:after="0"/>
              <w:rPr>
                <w:sz w:val="9"/>
                <w:szCs w:val="9"/>
                <w:color w:val="auto"/>
              </w:rPr>
            </w:pPr>
          </w:p>
        </w:tc>
        <w:tc>
          <w:tcPr>
            <w:tcW w:w="1100" w:type="dxa"/>
            <w:vAlign w:val="bottom"/>
            <w:tcBorders>
              <w:bottom w:val="single" w:sz="8" w:color="E6E6E6"/>
              <w:right w:val="single" w:sz="8" w:color="E6E6E6"/>
            </w:tcBorders>
            <w:vMerge w:val="continue"/>
            <w:shd w:val="clear" w:color="auto" w:fill="E6E6E6"/>
          </w:tcPr>
          <w:p>
            <w:pPr>
              <w:spacing w:after="0"/>
              <w:rPr>
                <w:sz w:val="9"/>
                <w:szCs w:val="9"/>
                <w:color w:val="auto"/>
              </w:rPr>
            </w:pPr>
          </w:p>
        </w:tc>
        <w:tc>
          <w:tcPr>
            <w:tcW w:w="60" w:type="dxa"/>
            <w:vAlign w:val="bottom"/>
            <w:tcBorders>
              <w:bottom w:val="single" w:sz="8" w:color="E6E6E6"/>
              <w:right w:val="single" w:sz="8" w:color="E6E6E6"/>
            </w:tcBorders>
            <w:shd w:val="clear" w:color="auto" w:fill="E6E6E6"/>
          </w:tcPr>
          <w:p>
            <w:pPr>
              <w:spacing w:after="0"/>
              <w:rPr>
                <w:sz w:val="9"/>
                <w:szCs w:val="9"/>
                <w:color w:val="auto"/>
              </w:rPr>
            </w:pPr>
          </w:p>
        </w:tc>
        <w:tc>
          <w:tcPr>
            <w:tcW w:w="1120" w:type="dxa"/>
            <w:vAlign w:val="bottom"/>
            <w:tcBorders>
              <w:bottom w:val="single" w:sz="8" w:color="E6E6E6"/>
            </w:tcBorders>
            <w:vMerge w:val="continue"/>
            <w:shd w:val="clear" w:color="auto" w:fill="E6E6E6"/>
          </w:tcPr>
          <w:p>
            <w:pPr>
              <w:spacing w:after="0"/>
              <w:rPr>
                <w:sz w:val="9"/>
                <w:szCs w:val="9"/>
                <w:color w:val="auto"/>
              </w:rPr>
            </w:pPr>
          </w:p>
        </w:tc>
        <w:tc>
          <w:tcPr>
            <w:tcW w:w="60" w:type="dxa"/>
            <w:vAlign w:val="bottom"/>
            <w:tcBorders>
              <w:bottom w:val="single" w:sz="8" w:color="E6E6E6"/>
              <w:right w:val="single" w:sz="8" w:color="E6E6E6"/>
            </w:tcBorders>
            <w:shd w:val="clear" w:color="auto" w:fill="E6E6E6"/>
          </w:tcPr>
          <w:p>
            <w:pPr>
              <w:spacing w:after="0"/>
              <w:rPr>
                <w:sz w:val="9"/>
                <w:szCs w:val="9"/>
                <w:color w:val="auto"/>
              </w:rPr>
            </w:pPr>
          </w:p>
        </w:tc>
        <w:tc>
          <w:tcPr>
            <w:tcW w:w="220" w:type="dxa"/>
            <w:vAlign w:val="bottom"/>
            <w:tcBorders>
              <w:bottom w:val="single" w:sz="8" w:color="E6E6E6"/>
              <w:right w:val="single" w:sz="8" w:color="E6E6E6"/>
            </w:tcBorders>
            <w:vMerge w:val="continue"/>
            <w:shd w:val="clear" w:color="auto" w:fill="E6E6E6"/>
          </w:tcPr>
          <w:p>
            <w:pPr>
              <w:spacing w:after="0"/>
              <w:rPr>
                <w:sz w:val="9"/>
                <w:szCs w:val="9"/>
                <w:color w:val="auto"/>
              </w:rPr>
            </w:pPr>
          </w:p>
        </w:tc>
        <w:tc>
          <w:tcPr>
            <w:tcW w:w="60" w:type="dxa"/>
            <w:vAlign w:val="bottom"/>
            <w:tcBorders>
              <w:bottom w:val="single" w:sz="8" w:color="E6E6E6"/>
              <w:right w:val="single" w:sz="8" w:color="E6E6E6"/>
            </w:tcBorders>
            <w:shd w:val="clear" w:color="auto" w:fill="E6E6E6"/>
          </w:tcPr>
          <w:p>
            <w:pPr>
              <w:spacing w:after="0"/>
              <w:rPr>
                <w:sz w:val="9"/>
                <w:szCs w:val="9"/>
                <w:color w:val="auto"/>
              </w:rPr>
            </w:pPr>
          </w:p>
        </w:tc>
        <w:tc>
          <w:tcPr>
            <w:tcW w:w="1100" w:type="dxa"/>
            <w:vAlign w:val="bottom"/>
            <w:tcBorders>
              <w:bottom w:val="single" w:sz="8" w:color="E6E6E6"/>
            </w:tcBorders>
            <w:vMerge w:val="continue"/>
            <w:shd w:val="clear" w:color="auto" w:fill="E6E6E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5"/>
                <w:szCs w:val="15"/>
                <w:color w:val="auto"/>
              </w:rPr>
              <w:t>2025</w:t>
            </w:r>
          </w:p>
        </w:tc>
        <w:tc>
          <w:tcPr>
            <w:tcW w:w="780" w:type="dxa"/>
            <w:vAlign w:val="bottom"/>
            <w:gridSpan w:val="2"/>
          </w:tcPr>
          <w:p>
            <w:pPr>
              <w:jc w:val="center"/>
              <w:spacing w:after="0"/>
              <w:rPr>
                <w:sz w:val="20"/>
                <w:szCs w:val="20"/>
                <w:color w:val="auto"/>
              </w:rPr>
            </w:pPr>
            <w:r>
              <w:rPr>
                <w:rFonts w:ascii="Arial" w:cs="Arial" w:eastAsia="Arial" w:hAnsi="Arial"/>
                <w:sz w:val="15"/>
                <w:szCs w:val="15"/>
                <w:color w:val="auto"/>
              </w:rPr>
              <w:t>22,917</w:t>
            </w:r>
          </w:p>
        </w:tc>
        <w:tc>
          <w:tcPr>
            <w:tcW w:w="6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5"/>
                <w:szCs w:val="15"/>
                <w:color w:val="auto"/>
              </w:rPr>
              <w:t xml:space="preserve">350,000  </w:t>
            </w:r>
            <w:r>
              <w:rPr>
                <w:rFonts w:ascii="Arial" w:cs="Arial" w:eastAsia="Arial" w:hAnsi="Arial"/>
                <w:sz w:val="9"/>
                <w:szCs w:val="9"/>
                <w:color w:val="auto"/>
              </w:rPr>
              <w:t>(5)</w:t>
            </w:r>
          </w:p>
        </w:tc>
        <w:tc>
          <w:tcPr>
            <w:tcW w:w="80" w:type="dxa"/>
            <w:vAlign w:val="bottom"/>
          </w:tcPr>
          <w:p>
            <w:pPr>
              <w:spacing w:after="0"/>
              <w:rPr>
                <w:sz w:val="24"/>
                <w:szCs w:val="2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ind w:right="183"/>
              <w:spacing w:after="0"/>
              <w:rPr>
                <w:sz w:val="20"/>
                <w:szCs w:val="20"/>
                <w:color w:val="auto"/>
              </w:rPr>
            </w:pPr>
            <w:r>
              <w:rPr>
                <w:rFonts w:ascii="Arial" w:cs="Arial" w:eastAsia="Arial" w:hAnsi="Arial"/>
                <w:sz w:val="15"/>
                <w:szCs w:val="15"/>
                <w:color w:val="auto"/>
              </w:rPr>
              <w:t>372,917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300" w:type="dxa"/>
            <w:vAlign w:val="bottom"/>
            <w:gridSpan w:val="2"/>
          </w:tcPr>
          <w:p>
            <w:pPr>
              <w:ind w:left="60"/>
              <w:spacing w:after="0"/>
              <w:rPr>
                <w:sz w:val="20"/>
                <w:szCs w:val="20"/>
                <w:color w:val="auto"/>
              </w:rPr>
            </w:pPr>
            <w:r>
              <w:rPr>
                <w:rFonts w:ascii="Arial" w:cs="Arial" w:eastAsia="Arial" w:hAnsi="Arial"/>
                <w:sz w:val="15"/>
                <w:szCs w:val="15"/>
                <w:b w:val="1"/>
                <w:bCs w:val="1"/>
                <w:color w:val="auto"/>
              </w:rPr>
              <w:t>Ross Tennenbaum</w:t>
            </w:r>
          </w:p>
        </w:tc>
        <w:tc>
          <w:tcPr>
            <w:tcW w:w="560" w:type="dxa"/>
            <w:vAlign w:val="bottom"/>
            <w:vMerge w:val="restart"/>
          </w:tcPr>
          <w:p>
            <w:pPr>
              <w:ind w:left="120"/>
              <w:spacing w:after="0"/>
              <w:rPr>
                <w:sz w:val="20"/>
                <w:szCs w:val="20"/>
                <w:color w:val="auto"/>
              </w:rPr>
            </w:pPr>
            <w:r>
              <w:rPr>
                <w:rFonts w:ascii="Arial" w:cs="Arial" w:eastAsia="Arial" w:hAnsi="Arial"/>
                <w:sz w:val="15"/>
                <w:szCs w:val="15"/>
                <w:color w:val="auto"/>
              </w:rPr>
              <w:t>2024</w:t>
            </w:r>
          </w:p>
        </w:tc>
        <w:tc>
          <w:tcPr>
            <w:tcW w:w="40" w:type="dxa"/>
            <w:vAlign w:val="bottom"/>
          </w:tcPr>
          <w:p>
            <w:pPr>
              <w:spacing w:after="0"/>
              <w:rPr>
                <w:sz w:val="20"/>
                <w:szCs w:val="20"/>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tcPr>
          <w:p>
            <w:pPr>
              <w:ind w:lef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10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300" w:type="dxa"/>
            <w:vAlign w:val="bottom"/>
            <w:gridSpan w:val="2"/>
          </w:tcPr>
          <w:p>
            <w:pPr>
              <w:ind w:left="60"/>
              <w:spacing w:after="0"/>
              <w:rPr>
                <w:sz w:val="20"/>
                <w:szCs w:val="20"/>
                <w:color w:val="auto"/>
              </w:rPr>
            </w:pPr>
            <w:r>
              <w:rPr>
                <w:rFonts w:ascii="Arial" w:cs="Arial" w:eastAsia="Arial" w:hAnsi="Arial"/>
                <w:sz w:val="15"/>
                <w:szCs w:val="15"/>
                <w:i w:val="1"/>
                <w:iCs w:val="1"/>
                <w:color w:val="auto"/>
              </w:rPr>
              <w:t>Chief Financial Officer</w:t>
            </w:r>
          </w:p>
        </w:tc>
        <w:tc>
          <w:tcPr>
            <w:tcW w:w="5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5"/>
                <w:szCs w:val="15"/>
                <w:color w:val="auto"/>
              </w:rPr>
              <w:t>2023</w:t>
            </w:r>
          </w:p>
        </w:tc>
        <w:tc>
          <w:tcPr>
            <w:tcW w:w="40" w:type="dxa"/>
            <w:vAlign w:val="bottom"/>
          </w:tcPr>
          <w:p>
            <w:pPr>
              <w:spacing w:after="0"/>
              <w:rPr>
                <w:sz w:val="24"/>
                <w:szCs w:val="2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5"/>
                <w:szCs w:val="15"/>
                <w:color w:val="auto"/>
              </w:rPr>
              <w:t>—</w:t>
            </w:r>
          </w:p>
        </w:tc>
        <w:tc>
          <w:tcPr>
            <w:tcW w:w="900" w:type="dxa"/>
            <w:vAlign w:val="bottom"/>
            <w:gridSpan w:val="3"/>
          </w:tcPr>
          <w:p>
            <w:pPr>
              <w:ind w:lef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E6E6E6"/>
          </w:tcPr>
          <w:p>
            <w:pPr>
              <w:spacing w:after="0"/>
              <w:rPr>
                <w:sz w:val="22"/>
                <w:szCs w:val="22"/>
                <w:color w:val="auto"/>
              </w:rPr>
            </w:pPr>
          </w:p>
        </w:tc>
        <w:tc>
          <w:tcPr>
            <w:tcW w:w="2280" w:type="dxa"/>
            <w:vAlign w:val="bottom"/>
            <w:tcBorders>
              <w:right w:val="single" w:sz="8" w:color="E6E6E6"/>
            </w:tcBorders>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60" w:type="dxa"/>
            <w:vAlign w:val="bottom"/>
            <w:tcBorders>
              <w:left w:val="single" w:sz="8" w:color="E6E6E6"/>
              <w:right w:val="single" w:sz="8" w:color="E6E6E6"/>
            </w:tcBorders>
            <w:shd w:val="clear" w:color="auto" w:fill="E6E6E6"/>
          </w:tcPr>
          <w:p>
            <w:pPr>
              <w:ind w:left="120"/>
              <w:spacing w:after="0"/>
              <w:rPr>
                <w:sz w:val="20"/>
                <w:szCs w:val="20"/>
                <w:color w:val="auto"/>
              </w:rPr>
            </w:pPr>
            <w:r>
              <w:rPr>
                <w:rFonts w:ascii="Arial" w:cs="Arial" w:eastAsia="Arial" w:hAnsi="Arial"/>
                <w:sz w:val="15"/>
                <w:szCs w:val="15"/>
                <w:color w:val="auto"/>
              </w:rPr>
              <w:t>2025</w:t>
            </w:r>
          </w:p>
        </w:tc>
        <w:tc>
          <w:tcPr>
            <w:tcW w:w="40" w:type="dxa"/>
            <w:vAlign w:val="bottom"/>
            <w:tcBorders>
              <w:left w:val="single" w:sz="8" w:color="E6E6E6"/>
            </w:tcBorders>
            <w:shd w:val="clear" w:color="auto" w:fill="E6E6E6"/>
          </w:tcPr>
          <w:p>
            <w:pPr>
              <w:spacing w:after="0"/>
              <w:rPr>
                <w:sz w:val="22"/>
                <w:szCs w:val="22"/>
                <w:color w:val="auto"/>
              </w:rPr>
            </w:pPr>
          </w:p>
        </w:tc>
        <w:tc>
          <w:tcPr>
            <w:tcW w:w="740" w:type="dxa"/>
            <w:vAlign w:val="bottom"/>
            <w:shd w:val="clear" w:color="auto" w:fill="E6E6E6"/>
          </w:tcPr>
          <w:p>
            <w:pPr>
              <w:jc w:val="right"/>
              <w:ind w:right="23"/>
              <w:spacing w:after="0"/>
              <w:rPr>
                <w:sz w:val="20"/>
                <w:szCs w:val="20"/>
                <w:color w:val="auto"/>
              </w:rPr>
            </w:pPr>
            <w:r>
              <w:rPr>
                <w:rFonts w:ascii="Arial" w:cs="Arial" w:eastAsia="Arial" w:hAnsi="Arial"/>
                <w:sz w:val="15"/>
                <w:szCs w:val="15"/>
                <w:color w:val="auto"/>
                <w:shd w:val="clear" w:color="auto" w:fill="E6E6E6"/>
              </w:rPr>
              <w:t>560,000</w:t>
            </w:r>
          </w:p>
        </w:tc>
        <w:tc>
          <w:tcPr>
            <w:tcW w:w="60" w:type="dxa"/>
            <w:vAlign w:val="bottom"/>
            <w:tcBorders>
              <w:right w:val="single" w:sz="8" w:color="E6E6E6"/>
            </w:tcBorders>
            <w:shd w:val="clear" w:color="auto" w:fill="E6E6E6"/>
          </w:tcPr>
          <w:p>
            <w:pPr>
              <w:spacing w:after="0"/>
              <w:rPr>
                <w:sz w:val="22"/>
                <w:szCs w:val="22"/>
                <w:color w:val="auto"/>
              </w:rPr>
            </w:pPr>
          </w:p>
        </w:tc>
        <w:tc>
          <w:tcPr>
            <w:tcW w:w="640" w:type="dxa"/>
            <w:vAlign w:val="bottom"/>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80" w:type="dxa"/>
            <w:vAlign w:val="bottom"/>
            <w:tcBorders>
              <w:left w:val="single" w:sz="8" w:color="E6E6E6"/>
              <w:right w:val="single" w:sz="8" w:color="E6E6E6"/>
            </w:tcBorders>
            <w:shd w:val="clear" w:color="auto" w:fill="E6E6E6"/>
          </w:tcPr>
          <w:p>
            <w:pPr>
              <w:spacing w:after="0"/>
              <w:rPr>
                <w:sz w:val="22"/>
                <w:szCs w:val="22"/>
                <w:color w:val="auto"/>
              </w:rPr>
            </w:pPr>
          </w:p>
        </w:tc>
        <w:tc>
          <w:tcPr>
            <w:tcW w:w="780" w:type="dxa"/>
            <w:vAlign w:val="bottom"/>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5,603,144</w:t>
            </w:r>
          </w:p>
        </w:tc>
        <w:tc>
          <w:tcPr>
            <w:tcW w:w="20" w:type="dxa"/>
            <w:vAlign w:val="bottom"/>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80" w:type="dxa"/>
            <w:vAlign w:val="bottom"/>
            <w:tcBorders>
              <w:left w:val="single" w:sz="8" w:color="E6E6E6"/>
              <w:right w:val="single" w:sz="8" w:color="E6E6E6"/>
            </w:tcBorders>
          </w:tcPr>
          <w:p>
            <w:pPr>
              <w:spacing w:after="0"/>
              <w:rPr>
                <w:sz w:val="22"/>
                <w:szCs w:val="22"/>
                <w:color w:val="auto"/>
              </w:rPr>
            </w:pPr>
          </w:p>
        </w:tc>
        <w:tc>
          <w:tcPr>
            <w:tcW w:w="11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558,000</w:t>
            </w:r>
          </w:p>
        </w:tc>
        <w:tc>
          <w:tcPr>
            <w:tcW w:w="60" w:type="dxa"/>
            <w:vAlign w:val="bottom"/>
            <w:tcBorders>
              <w:right w:val="single" w:sz="8" w:color="E6E6E6"/>
            </w:tcBorders>
            <w:shd w:val="clear" w:color="auto" w:fill="E6E6E6"/>
          </w:tcPr>
          <w:p>
            <w:pPr>
              <w:spacing w:after="0"/>
              <w:rPr>
                <w:sz w:val="22"/>
                <w:szCs w:val="22"/>
                <w:color w:val="auto"/>
              </w:rPr>
            </w:pPr>
          </w:p>
        </w:tc>
        <w:tc>
          <w:tcPr>
            <w:tcW w:w="112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256,000</w:t>
            </w:r>
          </w:p>
        </w:tc>
        <w:tc>
          <w:tcPr>
            <w:tcW w:w="60" w:type="dxa"/>
            <w:vAlign w:val="bottom"/>
            <w:tcBorders>
              <w:right w:val="single" w:sz="8" w:color="E6E6E6"/>
            </w:tcBorders>
          </w:tcPr>
          <w:p>
            <w:pPr>
              <w:spacing w:after="0"/>
              <w:rPr>
                <w:sz w:val="22"/>
                <w:szCs w:val="22"/>
                <w:color w:val="auto"/>
              </w:rPr>
            </w:pPr>
          </w:p>
        </w:tc>
        <w:tc>
          <w:tcPr>
            <w:tcW w:w="220" w:type="dxa"/>
            <w:vAlign w:val="bottom"/>
            <w:tcBorders>
              <w:right w:val="single" w:sz="8" w:color="E6E6E6"/>
            </w:tcBorders>
            <w:vMerge w:val="restart"/>
            <w:shd w:val="clear" w:color="auto" w:fill="E6E6E6"/>
          </w:tcPr>
          <w:p>
            <w:pPr>
              <w:jc w:val="right"/>
              <w:ind w:right="31"/>
              <w:spacing w:after="0"/>
              <w:rPr>
                <w:sz w:val="20"/>
                <w:szCs w:val="20"/>
                <w:color w:val="auto"/>
              </w:rPr>
            </w:pPr>
            <w:r>
              <w:rPr>
                <w:rFonts w:ascii="Arial" w:cs="Arial" w:eastAsia="Arial" w:hAnsi="Arial"/>
                <w:sz w:val="10"/>
                <w:szCs w:val="10"/>
                <w:color w:val="auto"/>
                <w:w w:val="97"/>
              </w:rPr>
              <w:t>(6)</w:t>
            </w:r>
          </w:p>
        </w:tc>
        <w:tc>
          <w:tcPr>
            <w:tcW w:w="60" w:type="dxa"/>
            <w:vAlign w:val="bottom"/>
            <w:tcBorders>
              <w:right w:val="single" w:sz="8" w:color="E6E6E6"/>
            </w:tcBorders>
            <w:shd w:val="clear" w:color="auto" w:fill="E6E6E6"/>
          </w:tcPr>
          <w:p>
            <w:pPr>
              <w:spacing w:after="0"/>
              <w:rPr>
                <w:sz w:val="22"/>
                <w:szCs w:val="22"/>
                <w:color w:val="auto"/>
              </w:rPr>
            </w:pPr>
          </w:p>
        </w:tc>
        <w:tc>
          <w:tcPr>
            <w:tcW w:w="1100" w:type="dxa"/>
            <w:vAlign w:val="bottom"/>
            <w:shd w:val="clear" w:color="auto" w:fill="E6E6E6"/>
          </w:tcPr>
          <w:p>
            <w:pPr>
              <w:jc w:val="right"/>
              <w:ind w:right="183"/>
              <w:spacing w:after="0"/>
              <w:rPr>
                <w:sz w:val="20"/>
                <w:szCs w:val="20"/>
                <w:color w:val="auto"/>
              </w:rPr>
            </w:pPr>
            <w:r>
              <w:rPr>
                <w:rFonts w:ascii="Arial" w:cs="Arial" w:eastAsia="Arial" w:hAnsi="Arial"/>
                <w:sz w:val="15"/>
                <w:szCs w:val="15"/>
                <w:color w:val="auto"/>
              </w:rPr>
              <w:t>6,977,144</w:t>
            </w:r>
          </w:p>
        </w:tc>
        <w:tc>
          <w:tcPr>
            <w:tcW w:w="20" w:type="dxa"/>
            <w:vAlign w:val="bottom"/>
            <w:shd w:val="clear" w:color="auto" w:fill="E6E6E6"/>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40" w:type="dxa"/>
            <w:vAlign w:val="bottom"/>
            <w:shd w:val="clear" w:color="auto" w:fill="E6E6E6"/>
          </w:tcPr>
          <w:p>
            <w:pPr>
              <w:spacing w:after="0"/>
              <w:rPr>
                <w:sz w:val="2"/>
                <w:szCs w:val="2"/>
                <w:color w:val="auto"/>
              </w:rPr>
            </w:pPr>
          </w:p>
        </w:tc>
        <w:tc>
          <w:tcPr>
            <w:tcW w:w="2280" w:type="dxa"/>
            <w:vAlign w:val="bottom"/>
            <w:tcBorders>
              <w:right w:val="single" w:sz="8" w:color="E6E6E6"/>
            </w:tcBorders>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560" w:type="dxa"/>
            <w:vAlign w:val="bottom"/>
            <w:tcBorders>
              <w:left w:val="single" w:sz="8" w:color="E6E6E6"/>
              <w:right w:val="single" w:sz="8" w:color="E6E6E6"/>
            </w:tcBorders>
            <w:shd w:val="clear" w:color="auto" w:fill="E6E6E6"/>
          </w:tcPr>
          <w:p>
            <w:pPr>
              <w:spacing w:after="0"/>
              <w:rPr>
                <w:sz w:val="2"/>
                <w:szCs w:val="2"/>
                <w:color w:val="auto"/>
              </w:rPr>
            </w:pPr>
          </w:p>
        </w:tc>
        <w:tc>
          <w:tcPr>
            <w:tcW w:w="40" w:type="dxa"/>
            <w:vAlign w:val="bottom"/>
            <w:tcBorders>
              <w:left w:val="single" w:sz="8" w:color="E6E6E6"/>
            </w:tcBorders>
            <w:shd w:val="clear" w:color="auto" w:fill="E6E6E6"/>
          </w:tcPr>
          <w:p>
            <w:pPr>
              <w:spacing w:after="0"/>
              <w:rPr>
                <w:sz w:val="2"/>
                <w:szCs w:val="2"/>
                <w:color w:val="auto"/>
              </w:rPr>
            </w:pPr>
          </w:p>
        </w:tc>
        <w:tc>
          <w:tcPr>
            <w:tcW w:w="740" w:type="dxa"/>
            <w:vAlign w:val="bottom"/>
            <w:shd w:val="clear" w:color="auto" w:fill="E6E6E6"/>
          </w:tcPr>
          <w:p>
            <w:pPr>
              <w:spacing w:after="0"/>
              <w:rPr>
                <w:sz w:val="2"/>
                <w:szCs w:val="2"/>
                <w:color w:val="auto"/>
              </w:rPr>
            </w:pPr>
          </w:p>
        </w:tc>
        <w:tc>
          <w:tcPr>
            <w:tcW w:w="60" w:type="dxa"/>
            <w:vAlign w:val="bottom"/>
            <w:tcBorders>
              <w:right w:val="single" w:sz="8" w:color="E6E6E6"/>
            </w:tcBorders>
            <w:shd w:val="clear" w:color="auto" w:fill="E6E6E6"/>
          </w:tcPr>
          <w:p>
            <w:pPr>
              <w:spacing w:after="0"/>
              <w:rPr>
                <w:sz w:val="2"/>
                <w:szCs w:val="2"/>
                <w:color w:val="auto"/>
              </w:rPr>
            </w:pPr>
          </w:p>
        </w:tc>
        <w:tc>
          <w:tcPr>
            <w:tcW w:w="64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240" w:type="dxa"/>
            <w:vAlign w:val="bottom"/>
            <w:shd w:val="clear" w:color="auto" w:fill="E6E6E6"/>
          </w:tcPr>
          <w:p>
            <w:pPr>
              <w:spacing w:after="0"/>
              <w:rPr>
                <w:sz w:val="2"/>
                <w:szCs w:val="2"/>
                <w:color w:val="auto"/>
              </w:rPr>
            </w:pPr>
          </w:p>
        </w:tc>
        <w:tc>
          <w:tcPr>
            <w:tcW w:w="80" w:type="dxa"/>
            <w:vAlign w:val="bottom"/>
            <w:tcBorders>
              <w:left w:val="single" w:sz="8" w:color="E6E6E6"/>
              <w:right w:val="single" w:sz="8" w:color="E6E6E6"/>
            </w:tcBorders>
            <w:shd w:val="clear" w:color="auto" w:fill="E6E6E6"/>
          </w:tcPr>
          <w:p>
            <w:pPr>
              <w:spacing w:after="0"/>
              <w:rPr>
                <w:sz w:val="2"/>
                <w:szCs w:val="2"/>
                <w:color w:val="auto"/>
              </w:rPr>
            </w:pPr>
          </w:p>
        </w:tc>
        <w:tc>
          <w:tcPr>
            <w:tcW w:w="780" w:type="dxa"/>
            <w:vAlign w:val="bottom"/>
            <w:shd w:val="clear" w:color="auto" w:fill="E6E6E6"/>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E6E6E6"/>
          </w:tcPr>
          <w:p>
            <w:pPr>
              <w:spacing w:after="0"/>
              <w:rPr>
                <w:sz w:val="2"/>
                <w:szCs w:val="2"/>
                <w:color w:val="auto"/>
              </w:rPr>
            </w:pPr>
          </w:p>
        </w:tc>
        <w:tc>
          <w:tcPr>
            <w:tcW w:w="80" w:type="dxa"/>
            <w:vAlign w:val="bottom"/>
            <w:tcBorders>
              <w:left w:val="single" w:sz="8" w:color="E6E6E6"/>
              <w:right w:val="single" w:sz="8" w:color="E6E6E6"/>
            </w:tcBorders>
          </w:tcPr>
          <w:p>
            <w:pPr>
              <w:spacing w:after="0"/>
              <w:rPr>
                <w:sz w:val="2"/>
                <w:szCs w:val="2"/>
                <w:color w:val="auto"/>
              </w:rPr>
            </w:pPr>
          </w:p>
        </w:tc>
        <w:tc>
          <w:tcPr>
            <w:tcW w:w="1100" w:type="dxa"/>
            <w:vAlign w:val="bottom"/>
            <w:tcBorders>
              <w:right w:val="single" w:sz="8" w:color="E6E6E6"/>
            </w:tcBorders>
            <w:shd w:val="clear" w:color="auto" w:fill="E6E6E6"/>
          </w:tcPr>
          <w:p>
            <w:pPr>
              <w:spacing w:after="0"/>
              <w:rPr>
                <w:sz w:val="2"/>
                <w:szCs w:val="2"/>
                <w:color w:val="auto"/>
              </w:rPr>
            </w:pPr>
          </w:p>
        </w:tc>
        <w:tc>
          <w:tcPr>
            <w:tcW w:w="60" w:type="dxa"/>
            <w:vAlign w:val="bottom"/>
            <w:tcBorders>
              <w:right w:val="single" w:sz="8" w:color="E6E6E6"/>
            </w:tcBorders>
            <w:shd w:val="clear" w:color="auto" w:fill="E6E6E6"/>
          </w:tcPr>
          <w:p>
            <w:pPr>
              <w:spacing w:after="0"/>
              <w:rPr>
                <w:sz w:val="2"/>
                <w:szCs w:val="2"/>
                <w:color w:val="auto"/>
              </w:rPr>
            </w:pPr>
          </w:p>
        </w:tc>
        <w:tc>
          <w:tcPr>
            <w:tcW w:w="1120" w:type="dxa"/>
            <w:vAlign w:val="bottom"/>
            <w:shd w:val="clear" w:color="auto" w:fill="E6E6E6"/>
          </w:tcPr>
          <w:p>
            <w:pPr>
              <w:spacing w:after="0"/>
              <w:rPr>
                <w:sz w:val="2"/>
                <w:szCs w:val="2"/>
                <w:color w:val="auto"/>
              </w:rPr>
            </w:pPr>
          </w:p>
        </w:tc>
        <w:tc>
          <w:tcPr>
            <w:tcW w:w="60" w:type="dxa"/>
            <w:vAlign w:val="bottom"/>
            <w:tcBorders>
              <w:right w:val="single" w:sz="8" w:color="E6E6E6"/>
            </w:tcBorders>
          </w:tcPr>
          <w:p>
            <w:pPr>
              <w:spacing w:after="0"/>
              <w:rPr>
                <w:sz w:val="2"/>
                <w:szCs w:val="2"/>
                <w:color w:val="auto"/>
              </w:rPr>
            </w:pPr>
          </w:p>
        </w:tc>
        <w:tc>
          <w:tcPr>
            <w:tcW w:w="220" w:type="dxa"/>
            <w:vAlign w:val="bottom"/>
            <w:tcBorders>
              <w:right w:val="single" w:sz="8" w:color="E6E6E6"/>
            </w:tcBorders>
            <w:vMerge w:val="continue"/>
            <w:shd w:val="clear" w:color="auto" w:fill="E6E6E6"/>
          </w:tcPr>
          <w:p>
            <w:pPr>
              <w:spacing w:after="0"/>
              <w:rPr>
                <w:sz w:val="2"/>
                <w:szCs w:val="2"/>
                <w:color w:val="auto"/>
              </w:rPr>
            </w:pPr>
          </w:p>
        </w:tc>
        <w:tc>
          <w:tcPr>
            <w:tcW w:w="60" w:type="dxa"/>
            <w:vAlign w:val="bottom"/>
            <w:tcBorders>
              <w:right w:val="single" w:sz="8" w:color="E6E6E6"/>
            </w:tcBorders>
            <w:shd w:val="clear" w:color="auto" w:fill="E6E6E6"/>
          </w:tcPr>
          <w:p>
            <w:pPr>
              <w:spacing w:after="0"/>
              <w:rPr>
                <w:sz w:val="2"/>
                <w:szCs w:val="2"/>
                <w:color w:val="auto"/>
              </w:rPr>
            </w:pPr>
          </w:p>
        </w:tc>
        <w:tc>
          <w:tcPr>
            <w:tcW w:w="110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40" w:type="dxa"/>
            <w:vAlign w:val="bottom"/>
            <w:shd w:val="clear" w:color="auto" w:fill="E6E6E6"/>
          </w:tcPr>
          <w:p>
            <w:pPr>
              <w:spacing w:after="0"/>
              <w:rPr>
                <w:sz w:val="8"/>
                <w:szCs w:val="8"/>
                <w:color w:val="auto"/>
              </w:rPr>
            </w:pPr>
          </w:p>
        </w:tc>
        <w:tc>
          <w:tcPr>
            <w:tcW w:w="2280" w:type="dxa"/>
            <w:vAlign w:val="bottom"/>
            <w:tcBorders>
              <w:right w:val="single" w:sz="8" w:color="E6E6E6"/>
            </w:tcBorders>
            <w:vMerge w:val="restart"/>
            <w:shd w:val="clear" w:color="auto" w:fill="E6E6E6"/>
          </w:tcPr>
          <w:p>
            <w:pPr>
              <w:ind w:left="60"/>
              <w:spacing w:after="0"/>
              <w:rPr>
                <w:sz w:val="20"/>
                <w:szCs w:val="20"/>
                <w:color w:val="auto"/>
              </w:rPr>
            </w:pPr>
            <w:r>
              <w:rPr>
                <w:rFonts w:ascii="Arial" w:cs="Arial" w:eastAsia="Arial" w:hAnsi="Arial"/>
                <w:sz w:val="15"/>
                <w:szCs w:val="15"/>
                <w:b w:val="1"/>
                <w:bCs w:val="1"/>
                <w:color w:val="auto"/>
              </w:rPr>
              <w:t>Timothy Regan</w:t>
            </w:r>
          </w:p>
        </w:tc>
        <w:tc>
          <w:tcPr>
            <w:tcW w:w="20" w:type="dxa"/>
            <w:vAlign w:val="bottom"/>
            <w:shd w:val="clear" w:color="auto" w:fill="E6E6E6"/>
          </w:tcPr>
          <w:p>
            <w:pPr>
              <w:spacing w:after="0"/>
              <w:rPr>
                <w:sz w:val="8"/>
                <w:szCs w:val="8"/>
                <w:color w:val="auto"/>
              </w:rPr>
            </w:pPr>
          </w:p>
        </w:tc>
        <w:tc>
          <w:tcPr>
            <w:tcW w:w="560" w:type="dxa"/>
            <w:vAlign w:val="bottom"/>
            <w:tcBorders>
              <w:left w:val="single" w:sz="8" w:color="E6E6E6"/>
              <w:right w:val="single" w:sz="8" w:color="E6E6E6"/>
            </w:tcBorders>
            <w:shd w:val="clear" w:color="auto" w:fill="E6E6E6"/>
          </w:tcPr>
          <w:p>
            <w:pPr>
              <w:spacing w:after="0"/>
              <w:rPr>
                <w:sz w:val="8"/>
                <w:szCs w:val="8"/>
                <w:color w:val="auto"/>
              </w:rPr>
            </w:pPr>
          </w:p>
        </w:tc>
        <w:tc>
          <w:tcPr>
            <w:tcW w:w="40" w:type="dxa"/>
            <w:vAlign w:val="bottom"/>
            <w:tcBorders>
              <w:left w:val="single" w:sz="8" w:color="E6E6E6"/>
            </w:tcBorders>
            <w:shd w:val="clear" w:color="auto" w:fill="E6E6E6"/>
          </w:tcPr>
          <w:p>
            <w:pPr>
              <w:spacing w:after="0"/>
              <w:rPr>
                <w:sz w:val="8"/>
                <w:szCs w:val="8"/>
                <w:color w:val="auto"/>
              </w:rPr>
            </w:pPr>
          </w:p>
        </w:tc>
        <w:tc>
          <w:tcPr>
            <w:tcW w:w="740" w:type="dxa"/>
            <w:vAlign w:val="bottom"/>
            <w:shd w:val="clear" w:color="auto" w:fill="E6E6E6"/>
          </w:tcPr>
          <w:p>
            <w:pPr>
              <w:spacing w:after="0"/>
              <w:rPr>
                <w:sz w:val="8"/>
                <w:szCs w:val="8"/>
                <w:color w:val="auto"/>
              </w:rPr>
            </w:pPr>
          </w:p>
        </w:tc>
        <w:tc>
          <w:tcPr>
            <w:tcW w:w="60" w:type="dxa"/>
            <w:vAlign w:val="bottom"/>
            <w:tcBorders>
              <w:right w:val="single" w:sz="8" w:color="E6E6E6"/>
            </w:tcBorders>
            <w:shd w:val="clear" w:color="auto" w:fill="E6E6E6"/>
          </w:tcPr>
          <w:p>
            <w:pPr>
              <w:spacing w:after="0"/>
              <w:rPr>
                <w:sz w:val="8"/>
                <w:szCs w:val="8"/>
                <w:color w:val="auto"/>
              </w:rPr>
            </w:pPr>
          </w:p>
        </w:tc>
        <w:tc>
          <w:tcPr>
            <w:tcW w:w="640" w:type="dxa"/>
            <w:vAlign w:val="bottom"/>
            <w:shd w:val="clear" w:color="auto" w:fill="E6E6E6"/>
          </w:tcPr>
          <w:p>
            <w:pPr>
              <w:spacing w:after="0"/>
              <w:rPr>
                <w:sz w:val="8"/>
                <w:szCs w:val="8"/>
                <w:color w:val="auto"/>
              </w:rPr>
            </w:pPr>
          </w:p>
        </w:tc>
        <w:tc>
          <w:tcPr>
            <w:tcW w:w="20" w:type="dxa"/>
            <w:vAlign w:val="bottom"/>
            <w:shd w:val="clear" w:color="auto" w:fill="E6E6E6"/>
          </w:tcPr>
          <w:p>
            <w:pPr>
              <w:spacing w:after="0"/>
              <w:rPr>
                <w:sz w:val="8"/>
                <w:szCs w:val="8"/>
                <w:color w:val="auto"/>
              </w:rPr>
            </w:pPr>
          </w:p>
        </w:tc>
        <w:tc>
          <w:tcPr>
            <w:tcW w:w="240" w:type="dxa"/>
            <w:vAlign w:val="bottom"/>
            <w:shd w:val="clear" w:color="auto" w:fill="E6E6E6"/>
          </w:tcPr>
          <w:p>
            <w:pPr>
              <w:spacing w:after="0"/>
              <w:rPr>
                <w:sz w:val="8"/>
                <w:szCs w:val="8"/>
                <w:color w:val="auto"/>
              </w:rPr>
            </w:pPr>
          </w:p>
        </w:tc>
        <w:tc>
          <w:tcPr>
            <w:tcW w:w="80" w:type="dxa"/>
            <w:vAlign w:val="bottom"/>
            <w:tcBorders>
              <w:left w:val="single" w:sz="8" w:color="E6E6E6"/>
              <w:right w:val="single" w:sz="8" w:color="E6E6E6"/>
            </w:tcBorders>
            <w:shd w:val="clear" w:color="auto" w:fill="E6E6E6"/>
          </w:tcPr>
          <w:p>
            <w:pPr>
              <w:spacing w:after="0"/>
              <w:rPr>
                <w:sz w:val="8"/>
                <w:szCs w:val="8"/>
                <w:color w:val="auto"/>
              </w:rPr>
            </w:pPr>
          </w:p>
        </w:tc>
        <w:tc>
          <w:tcPr>
            <w:tcW w:w="780" w:type="dxa"/>
            <w:vAlign w:val="bottom"/>
            <w:shd w:val="clear" w:color="auto" w:fill="E6E6E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E6E6E6"/>
          </w:tcPr>
          <w:p>
            <w:pPr>
              <w:spacing w:after="0"/>
              <w:rPr>
                <w:sz w:val="8"/>
                <w:szCs w:val="8"/>
                <w:color w:val="auto"/>
              </w:rPr>
            </w:pPr>
          </w:p>
        </w:tc>
        <w:tc>
          <w:tcPr>
            <w:tcW w:w="80" w:type="dxa"/>
            <w:vAlign w:val="bottom"/>
            <w:tcBorders>
              <w:left w:val="single" w:sz="8" w:color="E6E6E6"/>
              <w:right w:val="single" w:sz="8" w:color="E6E6E6"/>
            </w:tcBorders>
          </w:tcPr>
          <w:p>
            <w:pPr>
              <w:spacing w:after="0"/>
              <w:rPr>
                <w:sz w:val="8"/>
                <w:szCs w:val="8"/>
                <w:color w:val="auto"/>
              </w:rPr>
            </w:pPr>
          </w:p>
        </w:tc>
        <w:tc>
          <w:tcPr>
            <w:tcW w:w="1100" w:type="dxa"/>
            <w:vAlign w:val="bottom"/>
            <w:tcBorders>
              <w:right w:val="single" w:sz="8" w:color="E6E6E6"/>
            </w:tcBorders>
            <w:shd w:val="clear" w:color="auto" w:fill="E6E6E6"/>
          </w:tcPr>
          <w:p>
            <w:pPr>
              <w:spacing w:after="0"/>
              <w:rPr>
                <w:sz w:val="8"/>
                <w:szCs w:val="8"/>
                <w:color w:val="auto"/>
              </w:rPr>
            </w:pPr>
          </w:p>
        </w:tc>
        <w:tc>
          <w:tcPr>
            <w:tcW w:w="60" w:type="dxa"/>
            <w:vAlign w:val="bottom"/>
            <w:tcBorders>
              <w:right w:val="single" w:sz="8" w:color="E6E6E6"/>
            </w:tcBorders>
            <w:shd w:val="clear" w:color="auto" w:fill="E6E6E6"/>
          </w:tcPr>
          <w:p>
            <w:pPr>
              <w:spacing w:after="0"/>
              <w:rPr>
                <w:sz w:val="8"/>
                <w:szCs w:val="8"/>
                <w:color w:val="auto"/>
              </w:rPr>
            </w:pPr>
          </w:p>
        </w:tc>
        <w:tc>
          <w:tcPr>
            <w:tcW w:w="1120" w:type="dxa"/>
            <w:vAlign w:val="bottom"/>
            <w:shd w:val="clear" w:color="auto" w:fill="E6E6E6"/>
          </w:tcPr>
          <w:p>
            <w:pPr>
              <w:spacing w:after="0"/>
              <w:rPr>
                <w:sz w:val="8"/>
                <w:szCs w:val="8"/>
                <w:color w:val="auto"/>
              </w:rPr>
            </w:pPr>
          </w:p>
        </w:tc>
        <w:tc>
          <w:tcPr>
            <w:tcW w:w="60" w:type="dxa"/>
            <w:vAlign w:val="bottom"/>
            <w:tcBorders>
              <w:right w:val="single" w:sz="8" w:color="E6E6E6"/>
            </w:tcBorders>
          </w:tcPr>
          <w:p>
            <w:pPr>
              <w:spacing w:after="0"/>
              <w:rPr>
                <w:sz w:val="8"/>
                <w:szCs w:val="8"/>
                <w:color w:val="auto"/>
              </w:rPr>
            </w:pPr>
          </w:p>
        </w:tc>
        <w:tc>
          <w:tcPr>
            <w:tcW w:w="220" w:type="dxa"/>
            <w:vAlign w:val="bottom"/>
            <w:tcBorders>
              <w:right w:val="single" w:sz="8" w:color="E6E6E6"/>
            </w:tcBorders>
            <w:shd w:val="clear" w:color="auto" w:fill="E6E6E6"/>
          </w:tcPr>
          <w:p>
            <w:pPr>
              <w:spacing w:after="0"/>
              <w:rPr>
                <w:sz w:val="8"/>
                <w:szCs w:val="8"/>
                <w:color w:val="auto"/>
              </w:rPr>
            </w:pPr>
          </w:p>
        </w:tc>
        <w:tc>
          <w:tcPr>
            <w:tcW w:w="60" w:type="dxa"/>
            <w:vAlign w:val="bottom"/>
            <w:tcBorders>
              <w:right w:val="single" w:sz="8" w:color="E6E6E6"/>
            </w:tcBorders>
            <w:shd w:val="clear" w:color="auto" w:fill="E6E6E6"/>
          </w:tcPr>
          <w:p>
            <w:pPr>
              <w:spacing w:after="0"/>
              <w:rPr>
                <w:sz w:val="8"/>
                <w:szCs w:val="8"/>
                <w:color w:val="auto"/>
              </w:rPr>
            </w:pPr>
          </w:p>
        </w:tc>
        <w:tc>
          <w:tcPr>
            <w:tcW w:w="1100" w:type="dxa"/>
            <w:vAlign w:val="bottom"/>
            <w:shd w:val="clear" w:color="auto" w:fill="E6E6E6"/>
          </w:tcPr>
          <w:p>
            <w:pPr>
              <w:spacing w:after="0"/>
              <w:rPr>
                <w:sz w:val="8"/>
                <w:szCs w:val="8"/>
                <w:color w:val="auto"/>
              </w:rPr>
            </w:pPr>
          </w:p>
        </w:tc>
        <w:tc>
          <w:tcPr>
            <w:tcW w:w="20" w:type="dxa"/>
            <w:vAlign w:val="bottom"/>
            <w:shd w:val="clear" w:color="auto" w:fill="E6E6E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6E6E6"/>
          </w:tcPr>
          <w:p>
            <w:pPr>
              <w:spacing w:after="0"/>
              <w:rPr>
                <w:sz w:val="15"/>
                <w:szCs w:val="15"/>
                <w:color w:val="auto"/>
              </w:rPr>
            </w:pPr>
          </w:p>
        </w:tc>
        <w:tc>
          <w:tcPr>
            <w:tcW w:w="2280" w:type="dxa"/>
            <w:vAlign w:val="bottom"/>
            <w:tcBorders>
              <w:right w:val="single" w:sz="8" w:color="E6E6E6"/>
            </w:tcBorders>
            <w:vMerge w:val="continue"/>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560" w:type="dxa"/>
            <w:vAlign w:val="bottom"/>
            <w:tcBorders>
              <w:left w:val="single" w:sz="8" w:color="E6E6E6"/>
              <w:right w:val="single" w:sz="8" w:color="E6E6E6"/>
            </w:tcBorders>
            <w:vMerge w:val="restart"/>
            <w:shd w:val="clear" w:color="auto" w:fill="E6E6E6"/>
          </w:tcPr>
          <w:p>
            <w:pPr>
              <w:ind w:left="120"/>
              <w:spacing w:after="0"/>
              <w:rPr>
                <w:sz w:val="20"/>
                <w:szCs w:val="20"/>
                <w:color w:val="auto"/>
              </w:rPr>
            </w:pPr>
            <w:r>
              <w:rPr>
                <w:rFonts w:ascii="Arial" w:cs="Arial" w:eastAsia="Arial" w:hAnsi="Arial"/>
                <w:sz w:val="15"/>
                <w:szCs w:val="15"/>
                <w:color w:val="auto"/>
              </w:rPr>
              <w:t>2024</w:t>
            </w:r>
          </w:p>
        </w:tc>
        <w:tc>
          <w:tcPr>
            <w:tcW w:w="40" w:type="dxa"/>
            <w:vAlign w:val="bottom"/>
            <w:tcBorders>
              <w:left w:val="single" w:sz="8" w:color="E6E6E6"/>
            </w:tcBorders>
            <w:shd w:val="clear" w:color="auto" w:fill="E6E6E6"/>
          </w:tcPr>
          <w:p>
            <w:pPr>
              <w:spacing w:after="0"/>
              <w:rPr>
                <w:sz w:val="15"/>
                <w:szCs w:val="15"/>
                <w:color w:val="auto"/>
              </w:rPr>
            </w:pPr>
          </w:p>
        </w:tc>
        <w:tc>
          <w:tcPr>
            <w:tcW w:w="740" w:type="dxa"/>
            <w:vAlign w:val="bottom"/>
            <w:vMerge w:val="restart"/>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560,000</w:t>
            </w:r>
          </w:p>
        </w:tc>
        <w:tc>
          <w:tcPr>
            <w:tcW w:w="60" w:type="dxa"/>
            <w:vAlign w:val="bottom"/>
            <w:tcBorders>
              <w:right w:val="single" w:sz="8" w:color="E6E6E6"/>
            </w:tcBorders>
            <w:shd w:val="clear" w:color="auto" w:fill="E6E6E6"/>
          </w:tcPr>
          <w:p>
            <w:pPr>
              <w:spacing w:after="0"/>
              <w:rPr>
                <w:sz w:val="15"/>
                <w:szCs w:val="15"/>
                <w:color w:val="auto"/>
              </w:rPr>
            </w:pPr>
          </w:p>
        </w:tc>
        <w:tc>
          <w:tcPr>
            <w:tcW w:w="640" w:type="dxa"/>
            <w:vAlign w:val="bottom"/>
            <w:vMerge w:val="restart"/>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0" w:type="dxa"/>
            <w:vAlign w:val="bottom"/>
            <w:tcBorders>
              <w:left w:val="single" w:sz="8" w:color="E6E6E6"/>
              <w:right w:val="single" w:sz="8" w:color="E6E6E6"/>
            </w:tcBorders>
            <w:shd w:val="clear" w:color="auto" w:fill="E6E6E6"/>
          </w:tcPr>
          <w:p>
            <w:pPr>
              <w:spacing w:after="0"/>
              <w:rPr>
                <w:sz w:val="15"/>
                <w:szCs w:val="15"/>
                <w:color w:val="auto"/>
              </w:rPr>
            </w:pPr>
          </w:p>
        </w:tc>
        <w:tc>
          <w:tcPr>
            <w:tcW w:w="780" w:type="dxa"/>
            <w:vAlign w:val="bottom"/>
            <w:vMerge w:val="restart"/>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5,034,474</w:t>
            </w:r>
          </w:p>
        </w:tc>
        <w:tc>
          <w:tcPr>
            <w:tcW w:w="20" w:type="dxa"/>
            <w:vAlign w:val="bottom"/>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80" w:type="dxa"/>
            <w:vAlign w:val="bottom"/>
            <w:tcBorders>
              <w:left w:val="single" w:sz="8" w:color="E6E6E6"/>
              <w:right w:val="single" w:sz="8" w:color="E6E6E6"/>
            </w:tcBorders>
          </w:tcPr>
          <w:p>
            <w:pPr>
              <w:spacing w:after="0"/>
              <w:rPr>
                <w:sz w:val="15"/>
                <w:szCs w:val="15"/>
                <w:color w:val="auto"/>
              </w:rPr>
            </w:pPr>
          </w:p>
        </w:tc>
        <w:tc>
          <w:tcPr>
            <w:tcW w:w="1100" w:type="dxa"/>
            <w:vAlign w:val="bottom"/>
            <w:tcBorders>
              <w:right w:val="single" w:sz="8" w:color="E6E6E6"/>
            </w:tcBorders>
            <w:vMerge w:val="restart"/>
            <w:shd w:val="clear" w:color="auto" w:fill="E6E6E6"/>
          </w:tcPr>
          <w:p>
            <w:pPr>
              <w:jc w:val="center"/>
              <w:spacing w:after="0"/>
              <w:rPr>
                <w:sz w:val="20"/>
                <w:szCs w:val="20"/>
                <w:color w:val="auto"/>
              </w:rPr>
            </w:pPr>
            <w:r>
              <w:rPr>
                <w:rFonts w:ascii="Arial" w:cs="Arial" w:eastAsia="Arial" w:hAnsi="Arial"/>
                <w:sz w:val="15"/>
                <w:szCs w:val="15"/>
                <w:color w:val="auto"/>
              </w:rPr>
              <w:t>623,000</w:t>
            </w:r>
          </w:p>
        </w:tc>
        <w:tc>
          <w:tcPr>
            <w:tcW w:w="60" w:type="dxa"/>
            <w:vAlign w:val="bottom"/>
            <w:tcBorders>
              <w:right w:val="single" w:sz="8" w:color="E6E6E6"/>
            </w:tcBorders>
            <w:shd w:val="clear" w:color="auto" w:fill="E6E6E6"/>
          </w:tcPr>
          <w:p>
            <w:pPr>
              <w:spacing w:after="0"/>
              <w:rPr>
                <w:sz w:val="15"/>
                <w:szCs w:val="15"/>
                <w:color w:val="auto"/>
              </w:rPr>
            </w:pPr>
          </w:p>
        </w:tc>
        <w:tc>
          <w:tcPr>
            <w:tcW w:w="1120" w:type="dxa"/>
            <w:vAlign w:val="bottom"/>
            <w:vMerge w:val="restart"/>
            <w:shd w:val="clear" w:color="auto" w:fill="E6E6E6"/>
          </w:tcPr>
          <w:p>
            <w:pPr>
              <w:jc w:val="center"/>
              <w:spacing w:after="0"/>
              <w:rPr>
                <w:sz w:val="20"/>
                <w:szCs w:val="20"/>
                <w:color w:val="auto"/>
              </w:rPr>
            </w:pPr>
            <w:r>
              <w:rPr>
                <w:rFonts w:ascii="Arial" w:cs="Arial" w:eastAsia="Arial" w:hAnsi="Arial"/>
                <w:sz w:val="15"/>
                <w:szCs w:val="15"/>
                <w:color w:val="auto"/>
              </w:rPr>
              <w:t>6,000</w:t>
            </w:r>
          </w:p>
        </w:tc>
        <w:tc>
          <w:tcPr>
            <w:tcW w:w="60" w:type="dxa"/>
            <w:vAlign w:val="bottom"/>
            <w:tcBorders>
              <w:right w:val="single" w:sz="8" w:color="E6E6E6"/>
            </w:tcBorders>
          </w:tcPr>
          <w:p>
            <w:pPr>
              <w:spacing w:after="0"/>
              <w:rPr>
                <w:sz w:val="15"/>
                <w:szCs w:val="15"/>
                <w:color w:val="auto"/>
              </w:rPr>
            </w:pPr>
          </w:p>
        </w:tc>
        <w:tc>
          <w:tcPr>
            <w:tcW w:w="220" w:type="dxa"/>
            <w:vAlign w:val="bottom"/>
            <w:tcBorders>
              <w:right w:val="single" w:sz="8" w:color="E6E6E6"/>
            </w:tcBorders>
            <w:shd w:val="clear" w:color="auto" w:fill="E6E6E6"/>
          </w:tcPr>
          <w:p>
            <w:pPr>
              <w:spacing w:after="0"/>
              <w:rPr>
                <w:sz w:val="15"/>
                <w:szCs w:val="15"/>
                <w:color w:val="auto"/>
              </w:rPr>
            </w:pPr>
          </w:p>
        </w:tc>
        <w:tc>
          <w:tcPr>
            <w:tcW w:w="60" w:type="dxa"/>
            <w:vAlign w:val="bottom"/>
            <w:tcBorders>
              <w:right w:val="single" w:sz="8" w:color="E6E6E6"/>
            </w:tcBorders>
          </w:tcPr>
          <w:p>
            <w:pPr>
              <w:spacing w:after="0"/>
              <w:rPr>
                <w:sz w:val="15"/>
                <w:szCs w:val="15"/>
                <w:color w:val="auto"/>
              </w:rPr>
            </w:pPr>
          </w:p>
        </w:tc>
        <w:tc>
          <w:tcPr>
            <w:tcW w:w="1100" w:type="dxa"/>
            <w:vAlign w:val="bottom"/>
            <w:vMerge w:val="restart"/>
            <w:shd w:val="clear" w:color="auto" w:fill="E6E6E6"/>
          </w:tcPr>
          <w:p>
            <w:pPr>
              <w:jc w:val="right"/>
              <w:ind w:right="183"/>
              <w:spacing w:after="0"/>
              <w:rPr>
                <w:sz w:val="20"/>
                <w:szCs w:val="20"/>
                <w:color w:val="auto"/>
              </w:rPr>
            </w:pPr>
            <w:r>
              <w:rPr>
                <w:rFonts w:ascii="Arial" w:cs="Arial" w:eastAsia="Arial" w:hAnsi="Arial"/>
                <w:sz w:val="15"/>
                <w:szCs w:val="15"/>
                <w:color w:val="auto"/>
              </w:rPr>
              <w:t>6,223,474</w:t>
            </w:r>
          </w:p>
        </w:tc>
        <w:tc>
          <w:tcPr>
            <w:tcW w:w="2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shd w:val="clear" w:color="auto" w:fill="E6E6E6"/>
          </w:tcPr>
          <w:p>
            <w:pPr>
              <w:spacing w:after="0"/>
              <w:rPr>
                <w:sz w:val="16"/>
                <w:szCs w:val="16"/>
                <w:color w:val="auto"/>
              </w:rPr>
            </w:pPr>
          </w:p>
        </w:tc>
        <w:tc>
          <w:tcPr>
            <w:tcW w:w="2280" w:type="dxa"/>
            <w:vAlign w:val="bottom"/>
            <w:tcBorders>
              <w:right w:val="single" w:sz="8" w:color="E6E6E6"/>
            </w:tcBorders>
            <w:shd w:val="clear" w:color="auto" w:fill="E6E6E6"/>
          </w:tcPr>
          <w:p>
            <w:pPr>
              <w:ind w:left="60"/>
              <w:spacing w:after="0"/>
              <w:rPr>
                <w:sz w:val="20"/>
                <w:szCs w:val="20"/>
                <w:color w:val="auto"/>
              </w:rPr>
            </w:pPr>
            <w:r>
              <w:rPr>
                <w:rFonts w:ascii="Arial" w:cs="Arial" w:eastAsia="Arial" w:hAnsi="Arial"/>
                <w:sz w:val="15"/>
                <w:szCs w:val="15"/>
                <w:i w:val="1"/>
                <w:iCs w:val="1"/>
                <w:color w:val="auto"/>
              </w:rPr>
              <w:t>Former Chief Financial Officer</w:t>
            </w:r>
          </w:p>
        </w:tc>
        <w:tc>
          <w:tcPr>
            <w:tcW w:w="20" w:type="dxa"/>
            <w:vAlign w:val="bottom"/>
            <w:shd w:val="clear" w:color="auto" w:fill="E6E6E6"/>
          </w:tcPr>
          <w:p>
            <w:pPr>
              <w:spacing w:after="0"/>
              <w:rPr>
                <w:sz w:val="16"/>
                <w:szCs w:val="16"/>
                <w:color w:val="auto"/>
              </w:rPr>
            </w:pPr>
          </w:p>
        </w:tc>
        <w:tc>
          <w:tcPr>
            <w:tcW w:w="560" w:type="dxa"/>
            <w:vAlign w:val="bottom"/>
            <w:tcBorders>
              <w:left w:val="single" w:sz="8" w:color="E6E6E6"/>
              <w:right w:val="single" w:sz="8" w:color="E6E6E6"/>
            </w:tcBorders>
            <w:vMerge w:val="continue"/>
            <w:shd w:val="clear" w:color="auto" w:fill="E6E6E6"/>
          </w:tcPr>
          <w:p>
            <w:pPr>
              <w:spacing w:after="0"/>
              <w:rPr>
                <w:sz w:val="16"/>
                <w:szCs w:val="16"/>
                <w:color w:val="auto"/>
              </w:rPr>
            </w:pPr>
          </w:p>
        </w:tc>
        <w:tc>
          <w:tcPr>
            <w:tcW w:w="40" w:type="dxa"/>
            <w:vAlign w:val="bottom"/>
            <w:tcBorders>
              <w:left w:val="single" w:sz="8" w:color="E6E6E6"/>
            </w:tcBorders>
            <w:shd w:val="clear" w:color="auto" w:fill="E6E6E6"/>
          </w:tcPr>
          <w:p>
            <w:pPr>
              <w:spacing w:after="0"/>
              <w:rPr>
                <w:sz w:val="16"/>
                <w:szCs w:val="16"/>
                <w:color w:val="auto"/>
              </w:rPr>
            </w:pPr>
          </w:p>
        </w:tc>
        <w:tc>
          <w:tcPr>
            <w:tcW w:w="740" w:type="dxa"/>
            <w:vAlign w:val="bottom"/>
            <w:vMerge w:val="continue"/>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640" w:type="dxa"/>
            <w:vAlign w:val="bottom"/>
            <w:vMerge w:val="continue"/>
            <w:shd w:val="clear" w:color="auto" w:fill="E6E6E6"/>
          </w:tcPr>
          <w:p>
            <w:pPr>
              <w:spacing w:after="0"/>
              <w:rPr>
                <w:sz w:val="16"/>
                <w:szCs w:val="16"/>
                <w:color w:val="auto"/>
              </w:rPr>
            </w:pPr>
          </w:p>
        </w:tc>
        <w:tc>
          <w:tcPr>
            <w:tcW w:w="260" w:type="dxa"/>
            <w:vAlign w:val="bottom"/>
            <w:gridSpan w:val="2"/>
            <w:shd w:val="clear" w:color="auto" w:fill="E6E6E6"/>
          </w:tcPr>
          <w:p>
            <w:pPr>
              <w:spacing w:after="0"/>
              <w:rPr>
                <w:sz w:val="16"/>
                <w:szCs w:val="16"/>
                <w:color w:val="auto"/>
              </w:rPr>
            </w:pPr>
          </w:p>
        </w:tc>
        <w:tc>
          <w:tcPr>
            <w:tcW w:w="80" w:type="dxa"/>
            <w:vAlign w:val="bottom"/>
            <w:tcBorders>
              <w:left w:val="single" w:sz="8" w:color="E6E6E6"/>
              <w:right w:val="single" w:sz="8" w:color="E6E6E6"/>
            </w:tcBorders>
            <w:shd w:val="clear" w:color="auto" w:fill="E6E6E6"/>
          </w:tcPr>
          <w:p>
            <w:pPr>
              <w:spacing w:after="0"/>
              <w:rPr>
                <w:sz w:val="16"/>
                <w:szCs w:val="16"/>
                <w:color w:val="auto"/>
              </w:rPr>
            </w:pPr>
          </w:p>
        </w:tc>
        <w:tc>
          <w:tcPr>
            <w:tcW w:w="780" w:type="dxa"/>
            <w:vAlign w:val="bottom"/>
            <w:vMerge w:val="continue"/>
            <w:shd w:val="clear" w:color="auto" w:fill="E6E6E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80" w:type="dxa"/>
            <w:vAlign w:val="bottom"/>
            <w:tcBorders>
              <w:left w:val="single" w:sz="8" w:color="E6E6E6"/>
              <w:right w:val="single" w:sz="8" w:color="E6E6E6"/>
            </w:tcBorders>
          </w:tcPr>
          <w:p>
            <w:pPr>
              <w:spacing w:after="0"/>
              <w:rPr>
                <w:sz w:val="16"/>
                <w:szCs w:val="16"/>
                <w:color w:val="auto"/>
              </w:rPr>
            </w:pPr>
          </w:p>
        </w:tc>
        <w:tc>
          <w:tcPr>
            <w:tcW w:w="1100" w:type="dxa"/>
            <w:vAlign w:val="bottom"/>
            <w:tcBorders>
              <w:right w:val="single" w:sz="8" w:color="E6E6E6"/>
            </w:tcBorders>
            <w:vMerge w:val="continue"/>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1120" w:type="dxa"/>
            <w:vAlign w:val="bottom"/>
            <w:vMerge w:val="continue"/>
            <w:shd w:val="clear" w:color="auto" w:fill="E6E6E6"/>
          </w:tcPr>
          <w:p>
            <w:pPr>
              <w:spacing w:after="0"/>
              <w:rPr>
                <w:sz w:val="16"/>
                <w:szCs w:val="16"/>
                <w:color w:val="auto"/>
              </w:rPr>
            </w:pPr>
          </w:p>
        </w:tc>
        <w:tc>
          <w:tcPr>
            <w:tcW w:w="60" w:type="dxa"/>
            <w:vAlign w:val="bottom"/>
            <w:tcBorders>
              <w:right w:val="single" w:sz="8" w:color="E6E6E6"/>
            </w:tcBorders>
          </w:tcPr>
          <w:p>
            <w:pPr>
              <w:spacing w:after="0"/>
              <w:rPr>
                <w:sz w:val="16"/>
                <w:szCs w:val="16"/>
                <w:color w:val="auto"/>
              </w:rPr>
            </w:pPr>
          </w:p>
        </w:tc>
        <w:tc>
          <w:tcPr>
            <w:tcW w:w="220" w:type="dxa"/>
            <w:vAlign w:val="bottom"/>
            <w:tcBorders>
              <w:right w:val="single" w:sz="8" w:color="E6E6E6"/>
            </w:tcBorders>
            <w:shd w:val="clear" w:color="auto" w:fill="E6E6E6"/>
          </w:tcPr>
          <w:p>
            <w:pPr>
              <w:spacing w:after="0"/>
              <w:rPr>
                <w:sz w:val="16"/>
                <w:szCs w:val="16"/>
                <w:color w:val="auto"/>
              </w:rPr>
            </w:pPr>
          </w:p>
        </w:tc>
        <w:tc>
          <w:tcPr>
            <w:tcW w:w="60" w:type="dxa"/>
            <w:vAlign w:val="bottom"/>
            <w:tcBorders>
              <w:right w:val="single" w:sz="8" w:color="E6E6E6"/>
            </w:tcBorders>
          </w:tcPr>
          <w:p>
            <w:pPr>
              <w:spacing w:after="0"/>
              <w:rPr>
                <w:sz w:val="16"/>
                <w:szCs w:val="16"/>
                <w:color w:val="auto"/>
              </w:rPr>
            </w:pPr>
          </w:p>
        </w:tc>
        <w:tc>
          <w:tcPr>
            <w:tcW w:w="1100" w:type="dxa"/>
            <w:vAlign w:val="bottom"/>
            <w:vMerge w:val="continue"/>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E6E6E6"/>
            </w:tcBorders>
            <w:shd w:val="clear" w:color="auto" w:fill="E6E6E6"/>
          </w:tcPr>
          <w:p>
            <w:pPr>
              <w:spacing w:after="0" w:line="20" w:lineRule="exact"/>
              <w:rPr>
                <w:sz w:val="1"/>
                <w:szCs w:val="1"/>
                <w:color w:val="auto"/>
              </w:rPr>
            </w:pPr>
          </w:p>
        </w:tc>
        <w:tc>
          <w:tcPr>
            <w:tcW w:w="2280" w:type="dxa"/>
            <w:vAlign w:val="bottom"/>
            <w:tcBorders>
              <w:bottom w:val="single" w:sz="8" w:color="E6E6E6"/>
              <w:right w:val="single" w:sz="8" w:color="E6E6E6"/>
            </w:tcBorders>
            <w:shd w:val="clear" w:color="auto" w:fill="E6E6E6"/>
          </w:tcPr>
          <w:p>
            <w:pPr>
              <w:spacing w:after="0" w:line="20" w:lineRule="exact"/>
              <w:rPr>
                <w:sz w:val="1"/>
                <w:szCs w:val="1"/>
                <w:color w:val="auto"/>
              </w:rPr>
            </w:pPr>
          </w:p>
        </w:tc>
        <w:tc>
          <w:tcPr>
            <w:tcW w:w="20" w:type="dxa"/>
            <w:vAlign w:val="bottom"/>
            <w:tcBorders>
              <w:bottom w:val="single" w:sz="8" w:color="E6E6E6"/>
            </w:tcBorders>
            <w:shd w:val="clear" w:color="auto" w:fill="E6E6E6"/>
          </w:tcPr>
          <w:p>
            <w:pPr>
              <w:spacing w:after="0" w:line="20" w:lineRule="exact"/>
              <w:rPr>
                <w:sz w:val="1"/>
                <w:szCs w:val="1"/>
                <w:color w:val="auto"/>
              </w:rPr>
            </w:pPr>
          </w:p>
        </w:tc>
        <w:tc>
          <w:tcPr>
            <w:tcW w:w="560" w:type="dxa"/>
            <w:vAlign w:val="bottom"/>
            <w:tcBorders>
              <w:bottom w:val="single" w:sz="8" w:color="E6E6E6"/>
            </w:tcBorders>
          </w:tcPr>
          <w:p>
            <w:pPr>
              <w:spacing w:after="0" w:line="20" w:lineRule="exact"/>
              <w:rPr>
                <w:sz w:val="1"/>
                <w:szCs w:val="1"/>
                <w:color w:val="auto"/>
              </w:rPr>
            </w:pPr>
          </w:p>
        </w:tc>
        <w:tc>
          <w:tcPr>
            <w:tcW w:w="40" w:type="dxa"/>
            <w:vAlign w:val="bottom"/>
            <w:tcBorders>
              <w:bottom w:val="single" w:sz="8" w:color="E6E6E6"/>
            </w:tcBorders>
          </w:tcPr>
          <w:p>
            <w:pPr>
              <w:spacing w:after="0" w:line="20" w:lineRule="exact"/>
              <w:rPr>
                <w:sz w:val="1"/>
                <w:szCs w:val="1"/>
                <w:color w:val="auto"/>
              </w:rPr>
            </w:pPr>
          </w:p>
        </w:tc>
        <w:tc>
          <w:tcPr>
            <w:tcW w:w="740" w:type="dxa"/>
            <w:vAlign w:val="bottom"/>
            <w:tcBorders>
              <w:bottom w:val="single" w:sz="8" w:color="E6E6E6"/>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64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40" w:type="dxa"/>
            <w:vAlign w:val="bottom"/>
            <w:tcBorders>
              <w:bottom w:val="single" w:sz="8" w:color="E6E6E6"/>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780" w:type="dxa"/>
            <w:vAlign w:val="bottom"/>
            <w:tcBorders>
              <w:bottom w:val="single" w:sz="8" w:color="E6E6E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6E6E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E6E6E6"/>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1120" w:type="dxa"/>
            <w:vAlign w:val="bottom"/>
            <w:tcBorders>
              <w:bottom w:val="single" w:sz="8" w:color="E6E6E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E6E6E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0" w:type="dxa"/>
            <w:vAlign w:val="bottom"/>
            <w:tcBorders>
              <w:bottom w:val="single" w:sz="8" w:color="E6E6E6"/>
            </w:tcBorders>
            <w:shd w:val="clear" w:color="auto" w:fill="E6E6E6"/>
          </w:tcPr>
          <w:p>
            <w:pPr>
              <w:spacing w:after="0"/>
              <w:rPr>
                <w:sz w:val="24"/>
                <w:szCs w:val="24"/>
                <w:color w:val="auto"/>
              </w:rPr>
            </w:pPr>
          </w:p>
        </w:tc>
        <w:tc>
          <w:tcPr>
            <w:tcW w:w="2280" w:type="dxa"/>
            <w:vAlign w:val="bottom"/>
            <w:tcBorders>
              <w:bottom w:val="single" w:sz="8" w:color="E6E6E6"/>
              <w:right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left w:val="single" w:sz="8" w:color="E6E6E6"/>
              <w:bottom w:val="single" w:sz="8" w:color="E6E6E6"/>
              <w:right w:val="single" w:sz="8" w:color="E6E6E6"/>
            </w:tcBorders>
            <w:shd w:val="clear" w:color="auto" w:fill="E6E6E6"/>
          </w:tcPr>
          <w:p>
            <w:pPr>
              <w:ind w:left="120"/>
              <w:spacing w:after="0"/>
              <w:rPr>
                <w:sz w:val="20"/>
                <w:szCs w:val="20"/>
                <w:color w:val="auto"/>
              </w:rPr>
            </w:pPr>
            <w:r>
              <w:rPr>
                <w:rFonts w:ascii="Arial" w:cs="Arial" w:eastAsia="Arial" w:hAnsi="Arial"/>
                <w:sz w:val="15"/>
                <w:szCs w:val="15"/>
                <w:color w:val="auto"/>
              </w:rPr>
              <w:t>2023</w:t>
            </w:r>
          </w:p>
        </w:tc>
        <w:tc>
          <w:tcPr>
            <w:tcW w:w="40" w:type="dxa"/>
            <w:vAlign w:val="bottom"/>
            <w:tcBorders>
              <w:left w:val="single" w:sz="8" w:color="E6E6E6"/>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560,000</w:t>
            </w:r>
          </w:p>
        </w:tc>
        <w:tc>
          <w:tcPr>
            <w:tcW w:w="60" w:type="dxa"/>
            <w:vAlign w:val="bottom"/>
            <w:tcBorders>
              <w:bottom w:val="single" w:sz="8" w:color="E6E6E6"/>
              <w:right w:val="single" w:sz="8" w:color="E6E6E6"/>
            </w:tcBorders>
            <w:shd w:val="clear" w:color="auto" w:fill="E6E6E6"/>
          </w:tcPr>
          <w:p>
            <w:pPr>
              <w:spacing w:after="0"/>
              <w:rPr>
                <w:sz w:val="24"/>
                <w:szCs w:val="24"/>
                <w:color w:val="auto"/>
              </w:rPr>
            </w:pPr>
          </w:p>
        </w:tc>
        <w:tc>
          <w:tcPr>
            <w:tcW w:w="640" w:type="dxa"/>
            <w:vAlign w:val="bottom"/>
            <w:tcBorders>
              <w:bottom w:val="single" w:sz="8" w:color="E6E6E6"/>
            </w:tcBorders>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E6E6E6"/>
            </w:tcBorders>
            <w:gridSpan w:val="2"/>
            <w:shd w:val="clear" w:color="auto" w:fill="E6E6E6"/>
          </w:tcPr>
          <w:p>
            <w:pPr>
              <w:spacing w:after="0"/>
              <w:rPr>
                <w:sz w:val="24"/>
                <w:szCs w:val="24"/>
                <w:color w:val="auto"/>
              </w:rPr>
            </w:pPr>
          </w:p>
        </w:tc>
        <w:tc>
          <w:tcPr>
            <w:tcW w:w="80" w:type="dxa"/>
            <w:vAlign w:val="bottom"/>
            <w:tcBorders>
              <w:left w:val="single" w:sz="8" w:color="E6E6E6"/>
              <w:bottom w:val="single" w:sz="8" w:color="E6E6E6"/>
              <w:right w:val="single" w:sz="8" w:color="E6E6E6"/>
            </w:tcBorders>
            <w:shd w:val="clear" w:color="auto" w:fill="E6E6E6"/>
          </w:tcPr>
          <w:p>
            <w:pPr>
              <w:spacing w:after="0"/>
              <w:rPr>
                <w:sz w:val="24"/>
                <w:szCs w:val="24"/>
                <w:color w:val="auto"/>
              </w:rPr>
            </w:pPr>
          </w:p>
        </w:tc>
        <w:tc>
          <w:tcPr>
            <w:tcW w:w="7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4,761,200</w:t>
            </w:r>
          </w:p>
        </w:tc>
        <w:tc>
          <w:tcPr>
            <w:tcW w:w="20" w:type="dxa"/>
            <w:vAlign w:val="bottom"/>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left w:val="single" w:sz="8" w:color="E6E6E6"/>
              <w:right w:val="single" w:sz="8" w:color="E6E6E6"/>
            </w:tcBorders>
          </w:tcPr>
          <w:p>
            <w:pPr>
              <w:spacing w:after="0"/>
              <w:rPr>
                <w:sz w:val="24"/>
                <w:szCs w:val="24"/>
                <w:color w:val="auto"/>
              </w:rPr>
            </w:pPr>
          </w:p>
        </w:tc>
        <w:tc>
          <w:tcPr>
            <w:tcW w:w="11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348,000</w:t>
            </w:r>
          </w:p>
        </w:tc>
        <w:tc>
          <w:tcPr>
            <w:tcW w:w="60" w:type="dxa"/>
            <w:vAlign w:val="bottom"/>
            <w:tcBorders>
              <w:bottom w:val="single" w:sz="8" w:color="E6E6E6"/>
              <w:right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6,000</w:t>
            </w:r>
          </w:p>
        </w:tc>
        <w:tc>
          <w:tcPr>
            <w:tcW w:w="60" w:type="dxa"/>
            <w:vAlign w:val="bottom"/>
            <w:tcBorders>
              <w:right w:val="single" w:sz="8" w:color="E6E6E6"/>
            </w:tcBorders>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60" w:type="dxa"/>
            <w:vAlign w:val="bottom"/>
            <w:tcBorders>
              <w:right w:val="single" w:sz="8" w:color="E6E6E6"/>
            </w:tcBorders>
          </w:tcPr>
          <w:p>
            <w:pPr>
              <w:spacing w:after="0"/>
              <w:rPr>
                <w:sz w:val="24"/>
                <w:szCs w:val="24"/>
                <w:color w:val="auto"/>
              </w:rPr>
            </w:pPr>
          </w:p>
        </w:tc>
        <w:tc>
          <w:tcPr>
            <w:tcW w:w="1100" w:type="dxa"/>
            <w:vAlign w:val="bottom"/>
            <w:tcBorders>
              <w:bottom w:val="single" w:sz="8" w:color="E6E6E6"/>
            </w:tcBorders>
            <w:shd w:val="clear" w:color="auto" w:fill="E6E6E6"/>
          </w:tcPr>
          <w:p>
            <w:pPr>
              <w:jc w:val="right"/>
              <w:ind w:right="183"/>
              <w:spacing w:after="0"/>
              <w:rPr>
                <w:sz w:val="20"/>
                <w:szCs w:val="20"/>
                <w:color w:val="auto"/>
              </w:rPr>
            </w:pPr>
            <w:r>
              <w:rPr>
                <w:rFonts w:ascii="Arial" w:cs="Arial" w:eastAsia="Arial" w:hAnsi="Arial"/>
                <w:sz w:val="15"/>
                <w:szCs w:val="15"/>
                <w:color w:val="auto"/>
              </w:rPr>
              <w:t>5,675,200</w:t>
            </w: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vMerge w:val="restart"/>
          </w:tcPr>
          <w:p>
            <w:pPr>
              <w:ind w:left="120"/>
              <w:spacing w:after="0"/>
              <w:rPr>
                <w:sz w:val="20"/>
                <w:szCs w:val="20"/>
                <w:color w:val="auto"/>
              </w:rPr>
            </w:pPr>
            <w:r>
              <w:rPr>
                <w:rFonts w:ascii="Arial" w:cs="Arial" w:eastAsia="Arial" w:hAnsi="Arial"/>
                <w:sz w:val="15"/>
                <w:szCs w:val="15"/>
                <w:color w:val="auto"/>
              </w:rPr>
              <w:t>2025</w:t>
            </w:r>
          </w:p>
        </w:tc>
        <w:tc>
          <w:tcPr>
            <w:tcW w:w="780" w:type="dxa"/>
            <w:vAlign w:val="bottom"/>
            <w:gridSpan w:val="2"/>
            <w:vMerge w:val="restart"/>
          </w:tcPr>
          <w:p>
            <w:pPr>
              <w:jc w:val="center"/>
              <w:spacing w:after="0"/>
              <w:rPr>
                <w:sz w:val="20"/>
                <w:szCs w:val="20"/>
                <w:color w:val="auto"/>
              </w:rPr>
            </w:pPr>
            <w:r>
              <w:rPr>
                <w:rFonts w:ascii="Arial" w:cs="Arial" w:eastAsia="Arial" w:hAnsi="Arial"/>
                <w:sz w:val="15"/>
                <w:szCs w:val="15"/>
                <w:color w:val="auto"/>
              </w:rPr>
              <w:t>461,250</w:t>
            </w:r>
          </w:p>
        </w:tc>
        <w:tc>
          <w:tcPr>
            <w:tcW w:w="60" w:type="dxa"/>
            <w:vAlign w:val="bottom"/>
          </w:tcPr>
          <w:p>
            <w:pPr>
              <w:spacing w:after="0"/>
              <w:rPr>
                <w:sz w:val="2"/>
                <w:szCs w:val="2"/>
                <w:color w:val="auto"/>
              </w:rPr>
            </w:pPr>
          </w:p>
        </w:tc>
        <w:tc>
          <w:tcPr>
            <w:tcW w:w="900" w:type="dxa"/>
            <w:vAlign w:val="bottom"/>
            <w:gridSpan w:val="3"/>
            <w:vMerge w:val="restart"/>
          </w:tcPr>
          <w:p>
            <w:pPr>
              <w:ind w:left="240"/>
              <w:spacing w:after="0"/>
              <w:rPr>
                <w:sz w:val="20"/>
                <w:szCs w:val="20"/>
                <w:color w:val="auto"/>
              </w:rPr>
            </w:pPr>
            <w:r>
              <w:rPr>
                <w:rFonts w:ascii="Arial" w:cs="Arial" w:eastAsia="Arial" w:hAnsi="Arial"/>
                <w:sz w:val="15"/>
                <w:szCs w:val="15"/>
                <w:color w:val="auto"/>
              </w:rPr>
              <w:t>—</w:t>
            </w:r>
          </w:p>
        </w:tc>
        <w:tc>
          <w:tcPr>
            <w:tcW w:w="860" w:type="dxa"/>
            <w:vAlign w:val="bottom"/>
            <w:gridSpan w:val="2"/>
            <w:vMerge w:val="restart"/>
          </w:tcPr>
          <w:p>
            <w:pPr>
              <w:jc w:val="center"/>
              <w:spacing w:after="0"/>
              <w:rPr>
                <w:sz w:val="20"/>
                <w:szCs w:val="20"/>
                <w:color w:val="auto"/>
              </w:rPr>
            </w:pPr>
            <w:r>
              <w:rPr>
                <w:rFonts w:ascii="Arial" w:cs="Arial" w:eastAsia="Arial" w:hAnsi="Arial"/>
                <w:sz w:val="15"/>
                <w:szCs w:val="15"/>
                <w:color w:val="auto"/>
              </w:rPr>
              <w:t>5,093,757</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5"/>
                <w:szCs w:val="15"/>
                <w:color w:val="auto"/>
              </w:rPr>
              <w:t>375,000</w:t>
            </w:r>
          </w:p>
        </w:tc>
        <w:tc>
          <w:tcPr>
            <w:tcW w:w="1180" w:type="dxa"/>
            <w:vAlign w:val="bottom"/>
            <w:gridSpan w:val="2"/>
            <w:vMerge w:val="restart"/>
          </w:tcPr>
          <w:p>
            <w:pPr>
              <w:jc w:val="center"/>
              <w:spacing w:after="0"/>
              <w:rPr>
                <w:sz w:val="20"/>
                <w:szCs w:val="20"/>
                <w:color w:val="auto"/>
              </w:rPr>
            </w:pPr>
            <w:r>
              <w:rPr>
                <w:rFonts w:ascii="Arial" w:cs="Arial" w:eastAsia="Arial" w:hAnsi="Arial"/>
                <w:sz w:val="15"/>
                <w:szCs w:val="15"/>
                <w:color w:val="auto"/>
              </w:rPr>
              <w:t>9,273</w:t>
            </w: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vMerge w:val="restart"/>
          </w:tcPr>
          <w:p>
            <w:pPr>
              <w:jc w:val="right"/>
              <w:ind w:right="183"/>
              <w:spacing w:after="0"/>
              <w:rPr>
                <w:sz w:val="20"/>
                <w:szCs w:val="20"/>
                <w:color w:val="auto"/>
              </w:rPr>
            </w:pPr>
            <w:r>
              <w:rPr>
                <w:rFonts w:ascii="Arial" w:cs="Arial" w:eastAsia="Arial" w:hAnsi="Arial"/>
                <w:sz w:val="15"/>
                <w:szCs w:val="15"/>
                <w:color w:val="auto"/>
              </w:rPr>
              <w:t>5,939,280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300" w:type="dxa"/>
            <w:vAlign w:val="bottom"/>
            <w:gridSpan w:val="2"/>
          </w:tcPr>
          <w:p>
            <w:pPr>
              <w:ind w:left="60"/>
              <w:spacing w:after="0"/>
              <w:rPr>
                <w:sz w:val="20"/>
                <w:szCs w:val="20"/>
                <w:color w:val="auto"/>
              </w:rPr>
            </w:pPr>
            <w:r>
              <w:rPr>
                <w:rFonts w:ascii="Arial" w:cs="Arial" w:eastAsia="Arial" w:hAnsi="Arial"/>
                <w:sz w:val="15"/>
                <w:szCs w:val="15"/>
                <w:b w:val="1"/>
                <w:bCs w:val="1"/>
                <w:color w:val="auto"/>
              </w:rPr>
              <w:t>William Yoon</w:t>
            </w:r>
          </w:p>
        </w:tc>
        <w:tc>
          <w:tcPr>
            <w:tcW w:w="560" w:type="dxa"/>
            <w:vAlign w:val="bottom"/>
            <w:vMerge w:val="restart"/>
          </w:tcPr>
          <w:p>
            <w:pPr>
              <w:ind w:left="120"/>
              <w:spacing w:after="0"/>
              <w:rPr>
                <w:sz w:val="20"/>
                <w:szCs w:val="20"/>
                <w:color w:val="auto"/>
              </w:rPr>
            </w:pPr>
            <w:r>
              <w:rPr>
                <w:rFonts w:ascii="Arial" w:cs="Arial" w:eastAsia="Arial" w:hAnsi="Arial"/>
                <w:sz w:val="15"/>
                <w:szCs w:val="15"/>
                <w:color w:val="auto"/>
              </w:rPr>
              <w:t>2024</w:t>
            </w:r>
          </w:p>
        </w:tc>
        <w:tc>
          <w:tcPr>
            <w:tcW w:w="40" w:type="dxa"/>
            <w:vAlign w:val="bottom"/>
          </w:tcPr>
          <w:p>
            <w:pPr>
              <w:spacing w:after="0"/>
              <w:rPr>
                <w:sz w:val="21"/>
                <w:szCs w:val="21"/>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tcPr>
          <w:p>
            <w:pPr>
              <w:ind w:lef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10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300" w:type="dxa"/>
            <w:vAlign w:val="bottom"/>
            <w:gridSpan w:val="2"/>
            <w:vMerge w:val="restart"/>
          </w:tcPr>
          <w:p>
            <w:pPr>
              <w:ind w:left="60"/>
              <w:spacing w:after="0"/>
              <w:rPr>
                <w:sz w:val="20"/>
                <w:szCs w:val="20"/>
                <w:color w:val="auto"/>
              </w:rPr>
            </w:pPr>
            <w:r>
              <w:rPr>
                <w:rFonts w:ascii="Arial" w:cs="Arial" w:eastAsia="Arial" w:hAnsi="Arial"/>
                <w:sz w:val="15"/>
                <w:szCs w:val="15"/>
                <w:i w:val="1"/>
                <w:iCs w:val="1"/>
                <w:color w:val="auto"/>
              </w:rPr>
              <w:t>Chief Legal Officer</w:t>
            </w: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5"/>
                <w:szCs w:val="15"/>
                <w:color w:val="auto"/>
              </w:rPr>
              <w:t>2023</w:t>
            </w:r>
          </w:p>
        </w:tc>
        <w:tc>
          <w:tcPr>
            <w:tcW w:w="40" w:type="dxa"/>
            <w:vAlign w:val="bottom"/>
          </w:tcPr>
          <w:p>
            <w:pPr>
              <w:spacing w:after="0"/>
              <w:rPr>
                <w:sz w:val="24"/>
                <w:szCs w:val="2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5"/>
                <w:szCs w:val="15"/>
                <w:color w:val="auto"/>
              </w:rPr>
              <w:t>—</w:t>
            </w:r>
          </w:p>
        </w:tc>
        <w:tc>
          <w:tcPr>
            <w:tcW w:w="900" w:type="dxa"/>
            <w:vAlign w:val="bottom"/>
            <w:gridSpan w:val="3"/>
          </w:tcPr>
          <w:p>
            <w:pPr>
              <w:ind w:lef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8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E6E6E6"/>
          </w:tcPr>
          <w:p>
            <w:pPr>
              <w:spacing w:after="0"/>
              <w:rPr>
                <w:sz w:val="23"/>
                <w:szCs w:val="23"/>
                <w:color w:val="auto"/>
              </w:rPr>
            </w:pPr>
          </w:p>
        </w:tc>
        <w:tc>
          <w:tcPr>
            <w:tcW w:w="2280" w:type="dxa"/>
            <w:vAlign w:val="bottom"/>
            <w:tcBorders>
              <w:right w:val="single" w:sz="8" w:color="E6E6E6"/>
            </w:tcBorders>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560" w:type="dxa"/>
            <w:vAlign w:val="bottom"/>
            <w:tcBorders>
              <w:top w:val="single" w:sz="8" w:color="E6E6E6"/>
              <w:left w:val="single" w:sz="8" w:color="E6E6E6"/>
              <w:right w:val="single" w:sz="8" w:color="E6E6E6"/>
            </w:tcBorders>
            <w:shd w:val="clear" w:color="auto" w:fill="E6E6E6"/>
          </w:tcPr>
          <w:p>
            <w:pPr>
              <w:ind w:left="120"/>
              <w:spacing w:after="0"/>
              <w:rPr>
                <w:sz w:val="20"/>
                <w:szCs w:val="20"/>
                <w:color w:val="auto"/>
              </w:rPr>
            </w:pPr>
            <w:r>
              <w:rPr>
                <w:rFonts w:ascii="Arial" w:cs="Arial" w:eastAsia="Arial" w:hAnsi="Arial"/>
                <w:sz w:val="15"/>
                <w:szCs w:val="15"/>
                <w:color w:val="auto"/>
              </w:rPr>
              <w:t>2025</w:t>
            </w:r>
          </w:p>
        </w:tc>
        <w:tc>
          <w:tcPr>
            <w:tcW w:w="40" w:type="dxa"/>
            <w:vAlign w:val="bottom"/>
            <w:tcBorders>
              <w:top w:val="single" w:sz="8" w:color="E6E6E6"/>
              <w:left w:val="single" w:sz="8" w:color="E6E6E6"/>
            </w:tcBorders>
            <w:shd w:val="clear" w:color="auto" w:fill="E6E6E6"/>
          </w:tcPr>
          <w:p>
            <w:pPr>
              <w:spacing w:after="0"/>
              <w:rPr>
                <w:sz w:val="23"/>
                <w:szCs w:val="23"/>
                <w:color w:val="auto"/>
              </w:rPr>
            </w:pPr>
          </w:p>
        </w:tc>
        <w:tc>
          <w:tcPr>
            <w:tcW w:w="740" w:type="dxa"/>
            <w:vAlign w:val="bottom"/>
            <w:tcBorders>
              <w:top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415,063</w:t>
            </w:r>
          </w:p>
        </w:tc>
        <w:tc>
          <w:tcPr>
            <w:tcW w:w="60" w:type="dxa"/>
            <w:vAlign w:val="bottom"/>
            <w:tcBorders>
              <w:top w:val="single" w:sz="8" w:color="E6E6E6"/>
              <w:right w:val="single" w:sz="8" w:color="E6E6E6"/>
            </w:tcBorders>
            <w:shd w:val="clear" w:color="auto" w:fill="E6E6E6"/>
          </w:tcPr>
          <w:p>
            <w:pPr>
              <w:spacing w:after="0"/>
              <w:rPr>
                <w:sz w:val="23"/>
                <w:szCs w:val="23"/>
                <w:color w:val="auto"/>
              </w:rPr>
            </w:pPr>
          </w:p>
        </w:tc>
        <w:tc>
          <w:tcPr>
            <w:tcW w:w="640" w:type="dxa"/>
            <w:vAlign w:val="bottom"/>
            <w:tcBorders>
              <w:top w:val="single" w:sz="8" w:color="E6E6E6"/>
            </w:tcBorders>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20" w:type="dxa"/>
            <w:vAlign w:val="bottom"/>
            <w:tcBorders>
              <w:top w:val="single" w:sz="8" w:color="E6E6E6"/>
            </w:tcBorders>
          </w:tcPr>
          <w:p>
            <w:pPr>
              <w:spacing w:after="0"/>
              <w:rPr>
                <w:sz w:val="23"/>
                <w:szCs w:val="23"/>
                <w:color w:val="auto"/>
              </w:rPr>
            </w:pPr>
          </w:p>
        </w:tc>
        <w:tc>
          <w:tcPr>
            <w:tcW w:w="240" w:type="dxa"/>
            <w:vAlign w:val="bottom"/>
            <w:tcBorders>
              <w:top w:val="single" w:sz="8" w:color="E6E6E6"/>
            </w:tcBorders>
            <w:shd w:val="clear" w:color="auto" w:fill="E6E6E6"/>
          </w:tcPr>
          <w:p>
            <w:pPr>
              <w:spacing w:after="0"/>
              <w:rPr>
                <w:sz w:val="23"/>
                <w:szCs w:val="23"/>
                <w:color w:val="auto"/>
              </w:rPr>
            </w:pPr>
          </w:p>
        </w:tc>
        <w:tc>
          <w:tcPr>
            <w:tcW w:w="80" w:type="dxa"/>
            <w:vAlign w:val="bottom"/>
            <w:tcBorders>
              <w:top w:val="single" w:sz="8" w:color="E6E6E6"/>
              <w:left w:val="single" w:sz="8" w:color="E6E6E6"/>
              <w:right w:val="single" w:sz="8" w:color="E6E6E6"/>
            </w:tcBorders>
            <w:shd w:val="clear" w:color="auto" w:fill="E6E6E6"/>
          </w:tcPr>
          <w:p>
            <w:pPr>
              <w:spacing w:after="0"/>
              <w:rPr>
                <w:sz w:val="23"/>
                <w:szCs w:val="23"/>
                <w:color w:val="auto"/>
              </w:rPr>
            </w:pPr>
          </w:p>
        </w:tc>
        <w:tc>
          <w:tcPr>
            <w:tcW w:w="780" w:type="dxa"/>
            <w:vAlign w:val="bottom"/>
            <w:tcBorders>
              <w:top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16,300,045</w:t>
            </w:r>
          </w:p>
        </w:tc>
        <w:tc>
          <w:tcPr>
            <w:tcW w:w="2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E6E6E6"/>
            </w:tcBorders>
            <w:shd w:val="clear" w:color="auto" w:fill="E6E6E6"/>
          </w:tcPr>
          <w:p>
            <w:pPr>
              <w:spacing w:after="0"/>
              <w:rPr>
                <w:sz w:val="23"/>
                <w:szCs w:val="23"/>
                <w:color w:val="auto"/>
              </w:rPr>
            </w:pPr>
          </w:p>
        </w:tc>
        <w:tc>
          <w:tcPr>
            <w:tcW w:w="80" w:type="dxa"/>
            <w:vAlign w:val="bottom"/>
            <w:tcBorders>
              <w:right w:val="single" w:sz="8" w:color="E6E6E6"/>
            </w:tcBorders>
          </w:tcPr>
          <w:p>
            <w:pPr>
              <w:spacing w:after="0"/>
              <w:rPr>
                <w:sz w:val="23"/>
                <w:szCs w:val="23"/>
                <w:color w:val="auto"/>
              </w:rPr>
            </w:pPr>
          </w:p>
        </w:tc>
        <w:tc>
          <w:tcPr>
            <w:tcW w:w="1100" w:type="dxa"/>
            <w:vAlign w:val="bottom"/>
            <w:tcBorders>
              <w:top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391,000</w:t>
            </w:r>
          </w:p>
        </w:tc>
        <w:tc>
          <w:tcPr>
            <w:tcW w:w="60" w:type="dxa"/>
            <w:vAlign w:val="bottom"/>
            <w:tcBorders>
              <w:right w:val="single" w:sz="8" w:color="E6E6E6"/>
            </w:tcBorders>
            <w:shd w:val="clear" w:color="auto" w:fill="E6E6E6"/>
          </w:tcPr>
          <w:p>
            <w:pPr>
              <w:spacing w:after="0"/>
              <w:rPr>
                <w:sz w:val="23"/>
                <w:szCs w:val="23"/>
                <w:color w:val="auto"/>
              </w:rPr>
            </w:pPr>
          </w:p>
        </w:tc>
        <w:tc>
          <w:tcPr>
            <w:tcW w:w="1120" w:type="dxa"/>
            <w:vAlign w:val="bottom"/>
            <w:tcBorders>
              <w:top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9,488</w:t>
            </w:r>
          </w:p>
        </w:tc>
        <w:tc>
          <w:tcPr>
            <w:tcW w:w="60" w:type="dxa"/>
            <w:vAlign w:val="bottom"/>
            <w:tcBorders>
              <w:top w:val="single" w:sz="8" w:color="E6E6E6"/>
              <w:right w:val="single" w:sz="8" w:color="E6E6E6"/>
            </w:tcBorders>
            <w:shd w:val="clear" w:color="auto" w:fill="E6E6E6"/>
          </w:tcPr>
          <w:p>
            <w:pPr>
              <w:spacing w:after="0"/>
              <w:rPr>
                <w:sz w:val="23"/>
                <w:szCs w:val="23"/>
                <w:color w:val="auto"/>
              </w:rPr>
            </w:pPr>
          </w:p>
        </w:tc>
        <w:tc>
          <w:tcPr>
            <w:tcW w:w="220" w:type="dxa"/>
            <w:vAlign w:val="bottom"/>
            <w:tcBorders>
              <w:top w:val="single" w:sz="8" w:color="E6E6E6"/>
              <w:right w:val="single" w:sz="8" w:color="E6E6E6"/>
            </w:tcBorders>
            <w:shd w:val="clear" w:color="auto" w:fill="E6E6E6"/>
          </w:tcPr>
          <w:p>
            <w:pPr>
              <w:spacing w:after="0"/>
              <w:rPr>
                <w:sz w:val="23"/>
                <w:szCs w:val="23"/>
                <w:color w:val="auto"/>
              </w:rPr>
            </w:pPr>
          </w:p>
        </w:tc>
        <w:tc>
          <w:tcPr>
            <w:tcW w:w="60" w:type="dxa"/>
            <w:vAlign w:val="bottom"/>
            <w:tcBorders>
              <w:top w:val="single" w:sz="8" w:color="E6E6E6"/>
              <w:right w:val="single" w:sz="8" w:color="E6E6E6"/>
            </w:tcBorders>
            <w:shd w:val="clear" w:color="auto" w:fill="E6E6E6"/>
          </w:tcPr>
          <w:p>
            <w:pPr>
              <w:spacing w:after="0"/>
              <w:rPr>
                <w:sz w:val="23"/>
                <w:szCs w:val="23"/>
                <w:color w:val="auto"/>
              </w:rPr>
            </w:pPr>
          </w:p>
        </w:tc>
        <w:tc>
          <w:tcPr>
            <w:tcW w:w="1100" w:type="dxa"/>
            <w:vAlign w:val="bottom"/>
            <w:tcBorders>
              <w:top w:val="single" w:sz="8" w:color="E6E6E6"/>
            </w:tcBorders>
            <w:shd w:val="clear" w:color="auto" w:fill="E6E6E6"/>
          </w:tcPr>
          <w:p>
            <w:pPr>
              <w:jc w:val="right"/>
              <w:ind w:right="183"/>
              <w:spacing w:after="0"/>
              <w:rPr>
                <w:sz w:val="20"/>
                <w:szCs w:val="20"/>
                <w:color w:val="auto"/>
              </w:rPr>
            </w:pPr>
            <w:r>
              <w:rPr>
                <w:rFonts w:ascii="Arial" w:cs="Arial" w:eastAsia="Arial" w:hAnsi="Arial"/>
                <w:sz w:val="15"/>
                <w:szCs w:val="15"/>
                <w:color w:val="auto"/>
              </w:rPr>
              <w:t>17,115,597</w:t>
            </w: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E6E6E6"/>
          </w:tcPr>
          <w:p>
            <w:pPr>
              <w:spacing w:after="0" w:line="20" w:lineRule="exact"/>
              <w:rPr>
                <w:sz w:val="1"/>
                <w:szCs w:val="1"/>
                <w:color w:val="auto"/>
              </w:rPr>
            </w:pPr>
          </w:p>
        </w:tc>
        <w:tc>
          <w:tcPr>
            <w:tcW w:w="2280" w:type="dxa"/>
            <w:vAlign w:val="bottom"/>
            <w:tcBorders>
              <w:right w:val="single" w:sz="8" w:color="E6E6E6"/>
            </w:tcBorders>
            <w:vMerge w:val="restart"/>
            <w:shd w:val="clear" w:color="auto" w:fill="E6E6E6"/>
          </w:tcPr>
          <w:p>
            <w:pPr>
              <w:ind w:left="60"/>
              <w:spacing w:after="0"/>
              <w:rPr>
                <w:sz w:val="20"/>
                <w:szCs w:val="20"/>
                <w:color w:val="auto"/>
              </w:rPr>
            </w:pPr>
            <w:r>
              <w:rPr>
                <w:rFonts w:ascii="Arial" w:cs="Arial" w:eastAsia="Arial" w:hAnsi="Arial"/>
                <w:sz w:val="15"/>
                <w:szCs w:val="15"/>
                <w:b w:val="1"/>
                <w:bCs w:val="1"/>
                <w:color w:val="auto"/>
              </w:rPr>
              <w:t>Ali Dasdan</w:t>
            </w:r>
          </w:p>
        </w:tc>
        <w:tc>
          <w:tcPr>
            <w:tcW w:w="20" w:type="dxa"/>
            <w:vAlign w:val="bottom"/>
            <w:shd w:val="clear" w:color="auto" w:fill="E6E6E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6E6E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shd w:val="clear" w:color="auto" w:fill="E6E6E6"/>
          </w:tcPr>
          <w:p>
            <w:pPr>
              <w:spacing w:after="0"/>
              <w:rPr>
                <w:sz w:val="19"/>
                <w:szCs w:val="19"/>
                <w:color w:val="auto"/>
              </w:rPr>
            </w:pPr>
          </w:p>
        </w:tc>
        <w:tc>
          <w:tcPr>
            <w:tcW w:w="2280" w:type="dxa"/>
            <w:vAlign w:val="bottom"/>
            <w:tcBorders>
              <w:right w:val="single" w:sz="8" w:color="E6E6E6"/>
            </w:tcBorders>
            <w:vMerge w:val="continue"/>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560" w:type="dxa"/>
            <w:vAlign w:val="bottom"/>
            <w:tcBorders>
              <w:left w:val="single" w:sz="8" w:color="E6E6E6"/>
              <w:right w:val="single" w:sz="8" w:color="E6E6E6"/>
            </w:tcBorders>
            <w:vMerge w:val="restart"/>
            <w:shd w:val="clear" w:color="auto" w:fill="E6E6E6"/>
          </w:tcPr>
          <w:p>
            <w:pPr>
              <w:ind w:left="120"/>
              <w:spacing w:after="0"/>
              <w:rPr>
                <w:sz w:val="20"/>
                <w:szCs w:val="20"/>
                <w:color w:val="auto"/>
              </w:rPr>
            </w:pPr>
            <w:r>
              <w:rPr>
                <w:rFonts w:ascii="Arial" w:cs="Arial" w:eastAsia="Arial" w:hAnsi="Arial"/>
                <w:sz w:val="15"/>
                <w:szCs w:val="15"/>
                <w:color w:val="auto"/>
              </w:rPr>
              <w:t>2024</w:t>
            </w:r>
          </w:p>
        </w:tc>
        <w:tc>
          <w:tcPr>
            <w:tcW w:w="40" w:type="dxa"/>
            <w:vAlign w:val="bottom"/>
            <w:tcBorders>
              <w:left w:val="single" w:sz="8" w:color="E6E6E6"/>
            </w:tcBorders>
          </w:tcPr>
          <w:p>
            <w:pPr>
              <w:spacing w:after="0"/>
              <w:rPr>
                <w:sz w:val="19"/>
                <w:szCs w:val="19"/>
                <w:color w:val="auto"/>
              </w:rPr>
            </w:pPr>
          </w:p>
        </w:tc>
        <w:tc>
          <w:tcPr>
            <w:tcW w:w="740" w:type="dxa"/>
            <w:vAlign w:val="bottom"/>
            <w:vMerge w:val="restart"/>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E6E6E6"/>
            </w:tcBorders>
            <w:shd w:val="clear" w:color="auto" w:fill="E6E6E6"/>
          </w:tcPr>
          <w:p>
            <w:pPr>
              <w:spacing w:after="0"/>
              <w:rPr>
                <w:sz w:val="19"/>
                <w:szCs w:val="19"/>
                <w:color w:val="auto"/>
              </w:rPr>
            </w:pPr>
          </w:p>
        </w:tc>
        <w:tc>
          <w:tcPr>
            <w:tcW w:w="640" w:type="dxa"/>
            <w:vAlign w:val="bottom"/>
            <w:vMerge w:val="restart"/>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0" w:type="dxa"/>
            <w:vAlign w:val="bottom"/>
            <w:tcBorders>
              <w:right w:val="single" w:sz="8" w:color="E6E6E6"/>
            </w:tcBorders>
          </w:tcPr>
          <w:p>
            <w:pPr>
              <w:spacing w:after="0"/>
              <w:rPr>
                <w:sz w:val="19"/>
                <w:szCs w:val="19"/>
                <w:color w:val="auto"/>
              </w:rPr>
            </w:pPr>
          </w:p>
        </w:tc>
        <w:tc>
          <w:tcPr>
            <w:tcW w:w="780" w:type="dxa"/>
            <w:vAlign w:val="bottom"/>
            <w:vMerge w:val="restart"/>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80" w:type="dxa"/>
            <w:vAlign w:val="bottom"/>
            <w:tcBorders>
              <w:left w:val="single" w:sz="8" w:color="E6E6E6"/>
              <w:right w:val="single" w:sz="8" w:color="E6E6E6"/>
            </w:tcBorders>
          </w:tcPr>
          <w:p>
            <w:pPr>
              <w:spacing w:after="0"/>
              <w:rPr>
                <w:sz w:val="19"/>
                <w:szCs w:val="19"/>
                <w:color w:val="auto"/>
              </w:rPr>
            </w:pPr>
          </w:p>
        </w:tc>
        <w:tc>
          <w:tcPr>
            <w:tcW w:w="1100" w:type="dxa"/>
            <w:vAlign w:val="bottom"/>
            <w:tcBorders>
              <w:right w:val="single" w:sz="8" w:color="E6E6E6"/>
            </w:tcBorders>
            <w:vMerge w:val="restart"/>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E6E6E6"/>
            </w:tcBorders>
            <w:shd w:val="clear" w:color="auto" w:fill="E6E6E6"/>
          </w:tcPr>
          <w:p>
            <w:pPr>
              <w:spacing w:after="0"/>
              <w:rPr>
                <w:sz w:val="19"/>
                <w:szCs w:val="19"/>
                <w:color w:val="auto"/>
              </w:rPr>
            </w:pPr>
          </w:p>
        </w:tc>
        <w:tc>
          <w:tcPr>
            <w:tcW w:w="1120" w:type="dxa"/>
            <w:vAlign w:val="bottom"/>
            <w:vMerge w:val="restart"/>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E6E6E6"/>
            </w:tcBorders>
          </w:tcPr>
          <w:p>
            <w:pPr>
              <w:spacing w:after="0"/>
              <w:rPr>
                <w:sz w:val="19"/>
                <w:szCs w:val="19"/>
                <w:color w:val="auto"/>
              </w:rPr>
            </w:pPr>
          </w:p>
        </w:tc>
        <w:tc>
          <w:tcPr>
            <w:tcW w:w="220" w:type="dxa"/>
            <w:vAlign w:val="bottom"/>
            <w:tcBorders>
              <w:right w:val="single" w:sz="8" w:color="E6E6E6"/>
            </w:tcBorders>
            <w:shd w:val="clear" w:color="auto" w:fill="E6E6E6"/>
          </w:tcPr>
          <w:p>
            <w:pPr>
              <w:spacing w:after="0"/>
              <w:rPr>
                <w:sz w:val="19"/>
                <w:szCs w:val="19"/>
                <w:color w:val="auto"/>
              </w:rPr>
            </w:pPr>
          </w:p>
        </w:tc>
        <w:tc>
          <w:tcPr>
            <w:tcW w:w="60" w:type="dxa"/>
            <w:vAlign w:val="bottom"/>
            <w:tcBorders>
              <w:right w:val="single" w:sz="8" w:color="E6E6E6"/>
            </w:tcBorders>
            <w:shd w:val="clear" w:color="auto" w:fill="E6E6E6"/>
          </w:tcPr>
          <w:p>
            <w:pPr>
              <w:spacing w:after="0"/>
              <w:rPr>
                <w:sz w:val="19"/>
                <w:szCs w:val="19"/>
                <w:color w:val="auto"/>
              </w:rPr>
            </w:pPr>
          </w:p>
        </w:tc>
        <w:tc>
          <w:tcPr>
            <w:tcW w:w="1100" w:type="dxa"/>
            <w:vAlign w:val="bottom"/>
            <w:vMerge w:val="restart"/>
            <w:shd w:val="clear" w:color="auto" w:fill="E6E6E6"/>
          </w:tcPr>
          <w:p>
            <w:pPr>
              <w:jc w:val="right"/>
              <w:ind w:right="38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40" w:type="dxa"/>
            <w:vAlign w:val="bottom"/>
            <w:tcBorders>
              <w:bottom w:val="single" w:sz="8" w:color="E6E6E6"/>
            </w:tcBorders>
            <w:shd w:val="clear" w:color="auto" w:fill="E6E6E6"/>
          </w:tcPr>
          <w:p>
            <w:pPr>
              <w:spacing w:after="0"/>
              <w:rPr>
                <w:sz w:val="10"/>
                <w:szCs w:val="10"/>
                <w:color w:val="auto"/>
              </w:rPr>
            </w:pPr>
          </w:p>
        </w:tc>
        <w:tc>
          <w:tcPr>
            <w:tcW w:w="2280" w:type="dxa"/>
            <w:vAlign w:val="bottom"/>
            <w:tcBorders>
              <w:bottom w:val="single" w:sz="8" w:color="E6E6E6"/>
              <w:right w:val="single" w:sz="8" w:color="E6E6E6"/>
            </w:tcBorders>
            <w:vMerge w:val="restart"/>
            <w:shd w:val="clear" w:color="auto" w:fill="E6E6E6"/>
          </w:tcPr>
          <w:p>
            <w:pPr>
              <w:ind w:left="60"/>
              <w:spacing w:after="0"/>
              <w:rPr>
                <w:sz w:val="20"/>
                <w:szCs w:val="20"/>
                <w:color w:val="auto"/>
              </w:rPr>
            </w:pPr>
            <w:r>
              <w:rPr>
                <w:rFonts w:ascii="Arial" w:cs="Arial" w:eastAsia="Arial" w:hAnsi="Arial"/>
                <w:sz w:val="15"/>
                <w:szCs w:val="15"/>
                <w:i w:val="1"/>
                <w:iCs w:val="1"/>
                <w:color w:val="auto"/>
              </w:rPr>
              <w:t>Chief Technology Officer</w:t>
            </w:r>
          </w:p>
        </w:tc>
        <w:tc>
          <w:tcPr>
            <w:tcW w:w="20" w:type="dxa"/>
            <w:vAlign w:val="bottom"/>
            <w:tcBorders>
              <w:bottom w:val="single" w:sz="8" w:color="E6E6E6"/>
            </w:tcBorders>
            <w:shd w:val="clear" w:color="auto" w:fill="E6E6E6"/>
          </w:tcPr>
          <w:p>
            <w:pPr>
              <w:spacing w:after="0"/>
              <w:rPr>
                <w:sz w:val="10"/>
                <w:szCs w:val="10"/>
                <w:color w:val="auto"/>
              </w:rPr>
            </w:pPr>
          </w:p>
        </w:tc>
        <w:tc>
          <w:tcPr>
            <w:tcW w:w="560" w:type="dxa"/>
            <w:vAlign w:val="bottom"/>
            <w:tcBorders>
              <w:left w:val="single" w:sz="8" w:color="E6E6E6"/>
              <w:bottom w:val="single" w:sz="8" w:color="E6E6E6"/>
              <w:right w:val="single" w:sz="8" w:color="E6E6E6"/>
            </w:tcBorders>
            <w:vMerge w:val="continue"/>
            <w:shd w:val="clear" w:color="auto" w:fill="E6E6E6"/>
          </w:tcPr>
          <w:p>
            <w:pPr>
              <w:spacing w:after="0"/>
              <w:rPr>
                <w:sz w:val="10"/>
                <w:szCs w:val="10"/>
                <w:color w:val="auto"/>
              </w:rPr>
            </w:pPr>
          </w:p>
        </w:tc>
        <w:tc>
          <w:tcPr>
            <w:tcW w:w="40" w:type="dxa"/>
            <w:vAlign w:val="bottom"/>
            <w:tcBorders>
              <w:left w:val="single" w:sz="8" w:color="E6E6E6"/>
            </w:tcBorders>
          </w:tcPr>
          <w:p>
            <w:pPr>
              <w:spacing w:after="0"/>
              <w:rPr>
                <w:sz w:val="10"/>
                <w:szCs w:val="10"/>
                <w:color w:val="auto"/>
              </w:rPr>
            </w:pPr>
          </w:p>
        </w:tc>
        <w:tc>
          <w:tcPr>
            <w:tcW w:w="740" w:type="dxa"/>
            <w:vAlign w:val="bottom"/>
            <w:tcBorders>
              <w:bottom w:val="single" w:sz="8" w:color="E6E6E6"/>
            </w:tcBorders>
            <w:vMerge w:val="continue"/>
            <w:shd w:val="clear" w:color="auto" w:fill="E6E6E6"/>
          </w:tcPr>
          <w:p>
            <w:pPr>
              <w:spacing w:after="0"/>
              <w:rPr>
                <w:sz w:val="10"/>
                <w:szCs w:val="10"/>
                <w:color w:val="auto"/>
              </w:rPr>
            </w:pPr>
          </w:p>
        </w:tc>
        <w:tc>
          <w:tcPr>
            <w:tcW w:w="60" w:type="dxa"/>
            <w:vAlign w:val="bottom"/>
            <w:tcBorders>
              <w:bottom w:val="single" w:sz="8" w:color="E6E6E6"/>
              <w:right w:val="single" w:sz="8" w:color="E6E6E6"/>
            </w:tcBorders>
            <w:shd w:val="clear" w:color="auto" w:fill="E6E6E6"/>
          </w:tcPr>
          <w:p>
            <w:pPr>
              <w:spacing w:after="0"/>
              <w:rPr>
                <w:sz w:val="10"/>
                <w:szCs w:val="10"/>
                <w:color w:val="auto"/>
              </w:rPr>
            </w:pPr>
          </w:p>
        </w:tc>
        <w:tc>
          <w:tcPr>
            <w:tcW w:w="640" w:type="dxa"/>
            <w:vAlign w:val="bottom"/>
            <w:tcBorders>
              <w:bottom w:val="single" w:sz="8" w:color="E6E6E6"/>
            </w:tcBorders>
            <w:vMerge w:val="continue"/>
            <w:shd w:val="clear" w:color="auto" w:fill="E6E6E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E6E6E6"/>
            </w:tcBorders>
            <w:shd w:val="clear" w:color="auto" w:fill="E6E6E6"/>
          </w:tcPr>
          <w:p>
            <w:pPr>
              <w:spacing w:after="0"/>
              <w:rPr>
                <w:sz w:val="10"/>
                <w:szCs w:val="10"/>
                <w:color w:val="auto"/>
              </w:rPr>
            </w:pPr>
          </w:p>
        </w:tc>
        <w:tc>
          <w:tcPr>
            <w:tcW w:w="80" w:type="dxa"/>
            <w:vAlign w:val="bottom"/>
            <w:tcBorders>
              <w:right w:val="single" w:sz="8" w:color="E6E6E6"/>
            </w:tcBorders>
          </w:tcPr>
          <w:p>
            <w:pPr>
              <w:spacing w:after="0"/>
              <w:rPr>
                <w:sz w:val="10"/>
                <w:szCs w:val="10"/>
                <w:color w:val="auto"/>
              </w:rPr>
            </w:pPr>
          </w:p>
        </w:tc>
        <w:tc>
          <w:tcPr>
            <w:tcW w:w="780" w:type="dxa"/>
            <w:vAlign w:val="bottom"/>
            <w:tcBorders>
              <w:bottom w:val="single" w:sz="8" w:color="E6E6E6"/>
            </w:tcBorders>
            <w:vMerge w:val="continue"/>
            <w:shd w:val="clear" w:color="auto" w:fill="E6E6E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bottom w:val="single" w:sz="8" w:color="E6E6E6"/>
            </w:tcBorders>
            <w:shd w:val="clear" w:color="auto" w:fill="E6E6E6"/>
          </w:tcPr>
          <w:p>
            <w:pPr>
              <w:spacing w:after="0"/>
              <w:rPr>
                <w:sz w:val="10"/>
                <w:szCs w:val="10"/>
                <w:color w:val="auto"/>
              </w:rPr>
            </w:pPr>
          </w:p>
        </w:tc>
        <w:tc>
          <w:tcPr>
            <w:tcW w:w="80" w:type="dxa"/>
            <w:vAlign w:val="bottom"/>
            <w:tcBorders>
              <w:left w:val="single" w:sz="8" w:color="E6E6E6"/>
              <w:right w:val="single" w:sz="8" w:color="E6E6E6"/>
            </w:tcBorders>
          </w:tcPr>
          <w:p>
            <w:pPr>
              <w:spacing w:after="0"/>
              <w:rPr>
                <w:sz w:val="10"/>
                <w:szCs w:val="10"/>
                <w:color w:val="auto"/>
              </w:rPr>
            </w:pPr>
          </w:p>
        </w:tc>
        <w:tc>
          <w:tcPr>
            <w:tcW w:w="1100" w:type="dxa"/>
            <w:vAlign w:val="bottom"/>
            <w:tcBorders>
              <w:bottom w:val="single" w:sz="8" w:color="E6E6E6"/>
              <w:right w:val="single" w:sz="8" w:color="E6E6E6"/>
            </w:tcBorders>
            <w:vMerge w:val="continue"/>
            <w:shd w:val="clear" w:color="auto" w:fill="E6E6E6"/>
          </w:tcPr>
          <w:p>
            <w:pPr>
              <w:spacing w:after="0"/>
              <w:rPr>
                <w:sz w:val="10"/>
                <w:szCs w:val="10"/>
                <w:color w:val="auto"/>
              </w:rPr>
            </w:pPr>
          </w:p>
        </w:tc>
        <w:tc>
          <w:tcPr>
            <w:tcW w:w="60" w:type="dxa"/>
            <w:vAlign w:val="bottom"/>
            <w:tcBorders>
              <w:bottom w:val="single" w:sz="8" w:color="E6E6E6"/>
              <w:right w:val="single" w:sz="8" w:color="E6E6E6"/>
            </w:tcBorders>
            <w:shd w:val="clear" w:color="auto" w:fill="E6E6E6"/>
          </w:tcPr>
          <w:p>
            <w:pPr>
              <w:spacing w:after="0"/>
              <w:rPr>
                <w:sz w:val="10"/>
                <w:szCs w:val="10"/>
                <w:color w:val="auto"/>
              </w:rPr>
            </w:pPr>
          </w:p>
        </w:tc>
        <w:tc>
          <w:tcPr>
            <w:tcW w:w="1120" w:type="dxa"/>
            <w:vAlign w:val="bottom"/>
            <w:tcBorders>
              <w:bottom w:val="single" w:sz="8" w:color="E6E6E6"/>
            </w:tcBorders>
            <w:vMerge w:val="continue"/>
            <w:shd w:val="clear" w:color="auto" w:fill="E6E6E6"/>
          </w:tcPr>
          <w:p>
            <w:pPr>
              <w:spacing w:after="0"/>
              <w:rPr>
                <w:sz w:val="10"/>
                <w:szCs w:val="10"/>
                <w:color w:val="auto"/>
              </w:rPr>
            </w:pPr>
          </w:p>
        </w:tc>
        <w:tc>
          <w:tcPr>
            <w:tcW w:w="60" w:type="dxa"/>
            <w:vAlign w:val="bottom"/>
            <w:tcBorders>
              <w:right w:val="single" w:sz="8" w:color="E6E6E6"/>
            </w:tcBorders>
          </w:tcPr>
          <w:p>
            <w:pPr>
              <w:spacing w:after="0"/>
              <w:rPr>
                <w:sz w:val="10"/>
                <w:szCs w:val="10"/>
                <w:color w:val="auto"/>
              </w:rPr>
            </w:pPr>
          </w:p>
        </w:tc>
        <w:tc>
          <w:tcPr>
            <w:tcW w:w="220" w:type="dxa"/>
            <w:vAlign w:val="bottom"/>
            <w:tcBorders>
              <w:bottom w:val="single" w:sz="8" w:color="E6E6E6"/>
              <w:right w:val="single" w:sz="8" w:color="E6E6E6"/>
            </w:tcBorders>
            <w:shd w:val="clear" w:color="auto" w:fill="E6E6E6"/>
          </w:tcPr>
          <w:p>
            <w:pPr>
              <w:spacing w:after="0"/>
              <w:rPr>
                <w:sz w:val="10"/>
                <w:szCs w:val="10"/>
                <w:color w:val="auto"/>
              </w:rPr>
            </w:pPr>
          </w:p>
        </w:tc>
        <w:tc>
          <w:tcPr>
            <w:tcW w:w="60" w:type="dxa"/>
            <w:vAlign w:val="bottom"/>
            <w:tcBorders>
              <w:bottom w:val="single" w:sz="8" w:color="E6E6E6"/>
              <w:right w:val="single" w:sz="8" w:color="E6E6E6"/>
            </w:tcBorders>
            <w:shd w:val="clear" w:color="auto" w:fill="E6E6E6"/>
          </w:tcPr>
          <w:p>
            <w:pPr>
              <w:spacing w:after="0"/>
              <w:rPr>
                <w:sz w:val="10"/>
                <w:szCs w:val="10"/>
                <w:color w:val="auto"/>
              </w:rPr>
            </w:pPr>
          </w:p>
        </w:tc>
        <w:tc>
          <w:tcPr>
            <w:tcW w:w="1100" w:type="dxa"/>
            <w:vAlign w:val="bottom"/>
            <w:tcBorders>
              <w:bottom w:val="single" w:sz="8" w:color="E6E6E6"/>
            </w:tcBorders>
            <w:vMerge w:val="continue"/>
            <w:shd w:val="clear" w:color="auto" w:fill="E6E6E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0" w:type="dxa"/>
            <w:vAlign w:val="bottom"/>
            <w:shd w:val="clear" w:color="auto" w:fill="E6E6E6"/>
          </w:tcPr>
          <w:p>
            <w:pPr>
              <w:spacing w:after="0"/>
              <w:rPr>
                <w:sz w:val="2"/>
                <w:szCs w:val="2"/>
                <w:color w:val="auto"/>
              </w:rPr>
            </w:pPr>
          </w:p>
        </w:tc>
        <w:tc>
          <w:tcPr>
            <w:tcW w:w="2280" w:type="dxa"/>
            <w:vAlign w:val="bottom"/>
            <w:tcBorders>
              <w:right w:val="single" w:sz="8" w:color="E6E6E6"/>
            </w:tcBorders>
            <w:vMerge w:val="continue"/>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0"/>
        </w:trPr>
        <w:tc>
          <w:tcPr>
            <w:tcW w:w="40" w:type="dxa"/>
            <w:vAlign w:val="bottom"/>
            <w:tcBorders>
              <w:bottom w:val="single" w:sz="8" w:color="E6E6E6"/>
            </w:tcBorders>
            <w:shd w:val="clear" w:color="auto" w:fill="E6E6E6"/>
          </w:tcPr>
          <w:p>
            <w:pPr>
              <w:spacing w:after="0"/>
              <w:rPr>
                <w:sz w:val="24"/>
                <w:szCs w:val="24"/>
                <w:color w:val="auto"/>
              </w:rPr>
            </w:pPr>
          </w:p>
        </w:tc>
        <w:tc>
          <w:tcPr>
            <w:tcW w:w="2280" w:type="dxa"/>
            <w:vAlign w:val="bottom"/>
            <w:tcBorders>
              <w:bottom w:val="single" w:sz="8" w:color="E6E6E6"/>
              <w:right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left w:val="single" w:sz="8" w:color="E6E6E6"/>
              <w:bottom w:val="single" w:sz="8" w:color="E6E6E6"/>
              <w:right w:val="single" w:sz="8" w:color="E6E6E6"/>
            </w:tcBorders>
            <w:shd w:val="clear" w:color="auto" w:fill="E6E6E6"/>
          </w:tcPr>
          <w:p>
            <w:pPr>
              <w:ind w:left="120"/>
              <w:spacing w:after="0"/>
              <w:rPr>
                <w:sz w:val="20"/>
                <w:szCs w:val="20"/>
                <w:color w:val="auto"/>
              </w:rPr>
            </w:pPr>
            <w:r>
              <w:rPr>
                <w:rFonts w:ascii="Arial" w:cs="Arial" w:eastAsia="Arial" w:hAnsi="Arial"/>
                <w:sz w:val="15"/>
                <w:szCs w:val="15"/>
                <w:color w:val="auto"/>
              </w:rPr>
              <w:t>2023</w:t>
            </w:r>
          </w:p>
        </w:tc>
        <w:tc>
          <w:tcPr>
            <w:tcW w:w="40" w:type="dxa"/>
            <w:vAlign w:val="bottom"/>
            <w:tcBorders>
              <w:left w:val="single" w:sz="8" w:color="E6E6E6"/>
            </w:tcBorders>
          </w:tcPr>
          <w:p>
            <w:pPr>
              <w:spacing w:after="0"/>
              <w:rPr>
                <w:sz w:val="24"/>
                <w:szCs w:val="24"/>
                <w:color w:val="auto"/>
              </w:rPr>
            </w:pPr>
          </w:p>
        </w:tc>
        <w:tc>
          <w:tcPr>
            <w:tcW w:w="7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right w:val="single" w:sz="8" w:color="E6E6E6"/>
            </w:tcBorders>
            <w:shd w:val="clear" w:color="auto" w:fill="E6E6E6"/>
          </w:tcPr>
          <w:p>
            <w:pPr>
              <w:spacing w:after="0"/>
              <w:rPr>
                <w:sz w:val="24"/>
                <w:szCs w:val="24"/>
                <w:color w:val="auto"/>
              </w:rPr>
            </w:pPr>
          </w:p>
        </w:tc>
        <w:tc>
          <w:tcPr>
            <w:tcW w:w="640" w:type="dxa"/>
            <w:vAlign w:val="bottom"/>
            <w:tcBorders>
              <w:bottom w:val="single" w:sz="8" w:color="E6E6E6"/>
            </w:tcBorders>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2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right w:val="single" w:sz="8" w:color="E6E6E6"/>
            </w:tcBorders>
          </w:tcPr>
          <w:p>
            <w:pPr>
              <w:spacing w:after="0"/>
              <w:rPr>
                <w:sz w:val="24"/>
                <w:szCs w:val="24"/>
                <w:color w:val="auto"/>
              </w:rPr>
            </w:pPr>
          </w:p>
        </w:tc>
        <w:tc>
          <w:tcPr>
            <w:tcW w:w="7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left w:val="single" w:sz="8" w:color="E6E6E6"/>
              <w:right w:val="single" w:sz="8" w:color="E6E6E6"/>
            </w:tcBorders>
          </w:tcPr>
          <w:p>
            <w:pPr>
              <w:spacing w:after="0"/>
              <w:rPr>
                <w:sz w:val="24"/>
                <w:szCs w:val="24"/>
                <w:color w:val="auto"/>
              </w:rPr>
            </w:pPr>
          </w:p>
        </w:tc>
        <w:tc>
          <w:tcPr>
            <w:tcW w:w="11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right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E6E6E6"/>
            </w:tcBorders>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60" w:type="dxa"/>
            <w:vAlign w:val="bottom"/>
            <w:tcBorders>
              <w:bottom w:val="single" w:sz="8" w:color="E6E6E6"/>
              <w:right w:val="single" w:sz="8" w:color="E6E6E6"/>
            </w:tcBorders>
            <w:shd w:val="clear" w:color="auto" w:fill="E6E6E6"/>
          </w:tcPr>
          <w:p>
            <w:pPr>
              <w:spacing w:after="0"/>
              <w:rPr>
                <w:sz w:val="24"/>
                <w:szCs w:val="24"/>
                <w:color w:val="auto"/>
              </w:rPr>
            </w:pPr>
          </w:p>
        </w:tc>
        <w:tc>
          <w:tcPr>
            <w:tcW w:w="1100" w:type="dxa"/>
            <w:vAlign w:val="bottom"/>
            <w:tcBorders>
              <w:bottom w:val="single" w:sz="8" w:color="E6E6E6"/>
            </w:tcBorders>
            <w:shd w:val="clear" w:color="auto" w:fill="E6E6E6"/>
          </w:tcPr>
          <w:p>
            <w:pPr>
              <w:jc w:val="right"/>
              <w:ind w:right="38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0" w:type="dxa"/>
            <w:vAlign w:val="bottom"/>
          </w:tcPr>
          <w:p>
            <w:pPr>
              <w:spacing w:after="0"/>
              <w:rPr>
                <w:sz w:val="24"/>
                <w:szCs w:val="24"/>
                <w:color w:val="auto"/>
              </w:rPr>
            </w:pPr>
          </w:p>
        </w:tc>
        <w:tc>
          <w:tcPr>
            <w:tcW w:w="23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Ashraf Alkarmi</w:t>
            </w:r>
          </w:p>
        </w:tc>
        <w:tc>
          <w:tcPr>
            <w:tcW w:w="560" w:type="dxa"/>
            <w:vAlign w:val="bottom"/>
          </w:tcPr>
          <w:p>
            <w:pPr>
              <w:ind w:left="120"/>
              <w:spacing w:after="0"/>
              <w:rPr>
                <w:sz w:val="20"/>
                <w:szCs w:val="20"/>
                <w:color w:val="auto"/>
              </w:rPr>
            </w:pPr>
            <w:r>
              <w:rPr>
                <w:rFonts w:ascii="Arial" w:cs="Arial" w:eastAsia="Arial" w:hAnsi="Arial"/>
                <w:sz w:val="15"/>
                <w:szCs w:val="15"/>
                <w:color w:val="auto"/>
              </w:rPr>
              <w:t>2025</w:t>
            </w:r>
          </w:p>
        </w:tc>
        <w:tc>
          <w:tcPr>
            <w:tcW w:w="780" w:type="dxa"/>
            <w:vAlign w:val="bottom"/>
            <w:gridSpan w:val="2"/>
          </w:tcPr>
          <w:p>
            <w:pPr>
              <w:ind w:left="180"/>
              <w:spacing w:after="0"/>
              <w:rPr>
                <w:sz w:val="20"/>
                <w:szCs w:val="20"/>
                <w:color w:val="auto"/>
              </w:rPr>
            </w:pPr>
            <w:r>
              <w:rPr>
                <w:rFonts w:ascii="Arial" w:cs="Arial" w:eastAsia="Arial" w:hAnsi="Arial"/>
                <w:sz w:val="15"/>
                <w:szCs w:val="15"/>
                <w:color w:val="auto"/>
              </w:rPr>
              <w:t>500,000</w:t>
            </w:r>
          </w:p>
        </w:tc>
        <w:tc>
          <w:tcPr>
            <w:tcW w:w="60" w:type="dxa"/>
            <w:vAlign w:val="bottom"/>
          </w:tcPr>
          <w:p>
            <w:pPr>
              <w:spacing w:after="0"/>
              <w:rPr>
                <w:sz w:val="24"/>
                <w:szCs w:val="24"/>
                <w:color w:val="auto"/>
              </w:rPr>
            </w:pPr>
          </w:p>
        </w:tc>
        <w:tc>
          <w:tcPr>
            <w:tcW w:w="900" w:type="dxa"/>
            <w:vAlign w:val="bottom"/>
            <w:gridSpan w:val="3"/>
          </w:tcPr>
          <w:p>
            <w:pPr>
              <w:ind w:left="2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center"/>
              <w:ind w:left="3"/>
              <w:spacing w:after="0"/>
              <w:rPr>
                <w:sz w:val="20"/>
                <w:szCs w:val="20"/>
                <w:color w:val="auto"/>
              </w:rPr>
            </w:pPr>
            <w:r>
              <w:rPr>
                <w:rFonts w:ascii="Arial" w:cs="Arial" w:eastAsia="Arial" w:hAnsi="Arial"/>
                <w:sz w:val="15"/>
                <w:szCs w:val="15"/>
                <w:color w:val="auto"/>
              </w:rPr>
              <w:t>16,159,597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rPr>
              <w:t>586,000</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rPr>
              <w:t>9,808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right w:val="single" w:sz="8" w:color="E6E6E6"/>
            </w:tcBorders>
            <w:shd w:val="clear" w:color="auto" w:fill="E6E6E6"/>
          </w:tcPr>
          <w:p>
            <w:pPr>
              <w:spacing w:after="0"/>
              <w:rPr>
                <w:sz w:val="24"/>
                <w:szCs w:val="24"/>
                <w:color w:val="auto"/>
              </w:rPr>
            </w:pPr>
          </w:p>
        </w:tc>
        <w:tc>
          <w:tcPr>
            <w:tcW w:w="1100" w:type="dxa"/>
            <w:vAlign w:val="bottom"/>
            <w:shd w:val="clear" w:color="auto" w:fill="E6E6E6"/>
          </w:tcPr>
          <w:p>
            <w:pPr>
              <w:jc w:val="right"/>
              <w:ind w:right="183"/>
              <w:spacing w:after="0"/>
              <w:rPr>
                <w:sz w:val="20"/>
                <w:szCs w:val="20"/>
                <w:color w:val="auto"/>
              </w:rPr>
            </w:pPr>
            <w:r>
              <w:rPr>
                <w:rFonts w:ascii="Arial" w:cs="Arial" w:eastAsia="Arial" w:hAnsi="Arial"/>
                <w:sz w:val="15"/>
                <w:szCs w:val="15"/>
                <w:color w:val="auto"/>
              </w:rPr>
              <w:t>17,255,405</w:t>
            </w: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300" w:type="dxa"/>
            <w:vAlign w:val="bottom"/>
            <w:gridSpan w:val="2"/>
          </w:tcPr>
          <w:p>
            <w:pPr>
              <w:ind w:left="60"/>
              <w:spacing w:after="0"/>
              <w:rPr>
                <w:sz w:val="20"/>
                <w:szCs w:val="20"/>
                <w:color w:val="auto"/>
              </w:rPr>
            </w:pPr>
            <w:r>
              <w:rPr>
                <w:rFonts w:ascii="Arial" w:cs="Arial" w:eastAsia="Arial" w:hAnsi="Arial"/>
                <w:sz w:val="15"/>
                <w:szCs w:val="15"/>
                <w:i w:val="1"/>
                <w:iCs w:val="1"/>
                <w:color w:val="auto"/>
              </w:rPr>
              <w:t>General Manager and Senior</w:t>
            </w:r>
          </w:p>
        </w:tc>
        <w:tc>
          <w:tcPr>
            <w:tcW w:w="560" w:type="dxa"/>
            <w:vAlign w:val="bottom"/>
          </w:tcPr>
          <w:p>
            <w:pPr>
              <w:ind w:left="120"/>
              <w:spacing w:after="0"/>
              <w:rPr>
                <w:sz w:val="20"/>
                <w:szCs w:val="20"/>
                <w:color w:val="auto"/>
              </w:rPr>
            </w:pPr>
            <w:r>
              <w:rPr>
                <w:rFonts w:ascii="Arial" w:cs="Arial" w:eastAsia="Arial" w:hAnsi="Arial"/>
                <w:sz w:val="15"/>
                <w:szCs w:val="15"/>
                <w:color w:val="auto"/>
              </w:rPr>
              <w:t>2024</w:t>
            </w:r>
          </w:p>
        </w:tc>
        <w:tc>
          <w:tcPr>
            <w:tcW w:w="40" w:type="dxa"/>
            <w:vAlign w:val="bottom"/>
          </w:tcPr>
          <w:p>
            <w:pPr>
              <w:spacing w:after="0"/>
              <w:rPr>
                <w:sz w:val="18"/>
                <w:szCs w:val="18"/>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5"/>
                <w:szCs w:val="15"/>
                <w:color w:val="auto"/>
              </w:rPr>
              <w:t>—</w:t>
            </w:r>
          </w:p>
        </w:tc>
        <w:tc>
          <w:tcPr>
            <w:tcW w:w="900" w:type="dxa"/>
            <w:vAlign w:val="bottom"/>
            <w:gridSpan w:val="3"/>
          </w:tcPr>
          <w:p>
            <w:pPr>
              <w:ind w:lef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300" w:type="dxa"/>
            <w:vAlign w:val="bottom"/>
            <w:gridSpan w:val="2"/>
          </w:tcPr>
          <w:p>
            <w:pPr>
              <w:ind w:left="60"/>
              <w:spacing w:after="0"/>
              <w:rPr>
                <w:sz w:val="20"/>
                <w:szCs w:val="20"/>
                <w:color w:val="auto"/>
              </w:rPr>
            </w:pPr>
            <w:r>
              <w:rPr>
                <w:rFonts w:ascii="Arial" w:cs="Arial" w:eastAsia="Arial" w:hAnsi="Arial"/>
                <w:sz w:val="15"/>
                <w:szCs w:val="15"/>
                <w:i w:val="1"/>
                <w:iCs w:val="1"/>
                <w:color w:val="auto"/>
              </w:rPr>
              <w:t>Vice President, Core Products</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Arial" w:cs="Arial" w:eastAsia="Arial" w:hAnsi="Arial"/>
                <w:sz w:val="15"/>
                <w:szCs w:val="15"/>
                <w:color w:val="auto"/>
              </w:rPr>
              <w:t>2023</w:t>
            </w:r>
          </w:p>
        </w:tc>
        <w:tc>
          <w:tcPr>
            <w:tcW w:w="40" w:type="dxa"/>
            <w:vAlign w:val="bottom"/>
          </w:tcPr>
          <w:p>
            <w:pPr>
              <w:spacing w:after="0"/>
              <w:rPr>
                <w:sz w:val="20"/>
                <w:szCs w:val="20"/>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5"/>
                <w:szCs w:val="15"/>
                <w:color w:val="auto"/>
              </w:rPr>
              <w:t>—</w:t>
            </w:r>
          </w:p>
        </w:tc>
        <w:tc>
          <w:tcPr>
            <w:tcW w:w="900" w:type="dxa"/>
            <w:vAlign w:val="bottom"/>
            <w:gridSpan w:val="3"/>
          </w:tcPr>
          <w:p>
            <w:pPr>
              <w:ind w:lef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2787015</wp:posOffset>
                </wp:positionH>
                <wp:positionV relativeFrom="paragraph">
                  <wp:posOffset>-1199515</wp:posOffset>
                </wp:positionV>
                <wp:extent cx="0" cy="1221105"/>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11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45pt,-94.4499pt" to="219.45pt,1.7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3500755</wp:posOffset>
                </wp:positionH>
                <wp:positionV relativeFrom="paragraph">
                  <wp:posOffset>-1885950</wp:posOffset>
                </wp:positionV>
                <wp:extent cx="0" cy="192532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2532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65pt,-148.4999pt" to="275.65pt,3.1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3714750</wp:posOffset>
                </wp:positionH>
                <wp:positionV relativeFrom="paragraph">
                  <wp:posOffset>-1885950</wp:posOffset>
                </wp:positionV>
                <wp:extent cx="0" cy="190754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754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5pt,-148.4999pt" to="292.5pt,1.7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-474345</wp:posOffset>
                </wp:positionV>
                <wp:extent cx="0" cy="513715"/>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37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7.3499pt" to="351pt,3.1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6130290</wp:posOffset>
                </wp:positionH>
                <wp:positionV relativeFrom="paragraph">
                  <wp:posOffset>-1402715</wp:posOffset>
                </wp:positionV>
                <wp:extent cx="0" cy="142430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243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7pt,-110.4499pt" to="482.7pt,1.7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6130290</wp:posOffset>
                </wp:positionH>
                <wp:positionV relativeFrom="paragraph">
                  <wp:posOffset>-2821940</wp:posOffset>
                </wp:positionV>
                <wp:extent cx="0" cy="95821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8215"/>
                        </a:xfrm>
                        <a:prstGeom prst="line">
                          <a:avLst/>
                        </a:prstGeom>
                        <a:solidFill>
                          <a:srgbClr val="FFFFFF"/>
                        </a:solidFill>
                        <a:ln w="11886">
                          <a:solidFill>
                            <a:srgbClr val="FFFFFF"/>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7pt,-222.1999pt" to="482.7pt,-146.7499pt" o:allowincell="f" strokecolor="#FFFFFF" strokeweight="0.9359pt"/>
            </w:pict>
          </mc:Fallback>
        </mc:AlternateContent>
      </w:r>
    </w:p>
    <w:p>
      <w:pPr>
        <w:spacing w:after="0" w:line="27" w:lineRule="exact"/>
        <w:rPr>
          <w:sz w:val="20"/>
          <w:szCs w:val="20"/>
          <w:color w:val="auto"/>
        </w:rPr>
      </w:pPr>
    </w:p>
    <w:p>
      <w:pPr>
        <w:ind w:left="347" w:right="120" w:hanging="347"/>
        <w:spacing w:after="0" w:line="252" w:lineRule="auto"/>
        <w:tabs>
          <w:tab w:leader="none" w:pos="347" w:val="left"/>
        </w:tabs>
        <w:numPr>
          <w:ilvl w:val="0"/>
          <w:numId w:val="73"/>
        </w:numPr>
        <w:rPr>
          <w:rFonts w:ascii="Arial" w:cs="Arial" w:eastAsia="Arial" w:hAnsi="Arial"/>
          <w:sz w:val="20"/>
          <w:szCs w:val="20"/>
          <w:color w:val="auto"/>
          <w:vertAlign w:val="superscript"/>
        </w:rPr>
      </w:pPr>
      <w:r>
        <w:rPr>
          <w:rFonts w:ascii="Arial" w:cs="Arial" w:eastAsia="Arial" w:hAnsi="Arial"/>
          <w:sz w:val="15"/>
          <w:szCs w:val="15"/>
          <w:color w:val="auto"/>
        </w:rPr>
        <w:t>Unless otherwise described in the footnotes below, the amounts reported represent the aggregate grant date fair value of the stock awards based on the closing price for a share of our Class A common stock as reported by Nasdaq on the day immediately preceding the grant date, calculated in accordance with ASC Topic 718.</w:t>
      </w:r>
    </w:p>
    <w:p>
      <w:pPr>
        <w:ind w:left="347" w:right="300" w:hanging="347"/>
        <w:spacing w:after="0"/>
        <w:tabs>
          <w:tab w:leader="none" w:pos="347" w:val="left"/>
        </w:tabs>
        <w:numPr>
          <w:ilvl w:val="0"/>
          <w:numId w:val="73"/>
        </w:numPr>
        <w:rPr>
          <w:rFonts w:ascii="Arial" w:cs="Arial" w:eastAsia="Arial" w:hAnsi="Arial"/>
          <w:sz w:val="20"/>
          <w:szCs w:val="20"/>
          <w:color w:val="auto"/>
          <w:vertAlign w:val="superscript"/>
        </w:rPr>
      </w:pPr>
      <w:r>
        <w:rPr>
          <w:rFonts w:ascii="Arial" w:cs="Arial" w:eastAsia="Arial" w:hAnsi="Arial"/>
          <w:sz w:val="15"/>
          <w:szCs w:val="15"/>
          <w:color w:val="auto"/>
        </w:rPr>
        <w:t>The amounts reported represent the amounts payable under our cash bonus plans for 2023, 2024, and 2025, respectively. See the section titled “</w:t>
      </w:r>
      <w:r>
        <w:rPr>
          <w:rFonts w:ascii="Arial" w:cs="Arial" w:eastAsia="Arial" w:hAnsi="Arial"/>
          <w:sz w:val="15"/>
          <w:szCs w:val="15"/>
          <w:i w:val="1"/>
          <w:iCs w:val="1"/>
          <w:color w:val="auto"/>
        </w:rPr>
        <w:t>Executive Compensation—Compensation Elements—Annual Cash Bonuses</w:t>
      </w:r>
      <w:r>
        <w:rPr>
          <w:rFonts w:ascii="Arial" w:cs="Arial" w:eastAsia="Arial" w:hAnsi="Arial"/>
          <w:sz w:val="15"/>
          <w:szCs w:val="15"/>
          <w:color w:val="auto"/>
        </w:rPr>
        <w:t>” above.</w:t>
      </w:r>
    </w:p>
    <w:p>
      <w:pPr>
        <w:ind w:left="347" w:hanging="347"/>
        <w:spacing w:after="0" w:line="210" w:lineRule="auto"/>
        <w:tabs>
          <w:tab w:leader="none" w:pos="347" w:val="left"/>
        </w:tabs>
        <w:numPr>
          <w:ilvl w:val="0"/>
          <w:numId w:val="73"/>
        </w:numPr>
        <w:rPr>
          <w:rFonts w:ascii="Arial" w:cs="Arial" w:eastAsia="Arial" w:hAnsi="Arial"/>
          <w:sz w:val="20"/>
          <w:szCs w:val="20"/>
          <w:color w:val="auto"/>
          <w:vertAlign w:val="superscript"/>
        </w:rPr>
      </w:pPr>
      <w:r>
        <w:rPr>
          <w:rFonts w:ascii="Arial" w:cs="Arial" w:eastAsia="Arial" w:hAnsi="Arial"/>
          <w:sz w:val="15"/>
          <w:szCs w:val="15"/>
          <w:color w:val="auto"/>
        </w:rPr>
        <w:t>Unless otherwise noted, the amount reported includes matching 401(k) contributions in 2023, 2024, and 2025, respectively.</w:t>
      </w:r>
    </w:p>
    <w:p>
      <w:pPr>
        <w:ind w:left="347" w:hanging="347"/>
        <w:spacing w:after="0" w:line="205" w:lineRule="auto"/>
        <w:tabs>
          <w:tab w:leader="none" w:pos="347" w:val="left"/>
        </w:tabs>
        <w:numPr>
          <w:ilvl w:val="0"/>
          <w:numId w:val="73"/>
        </w:numPr>
        <w:rPr>
          <w:rFonts w:ascii="Arial" w:cs="Arial" w:eastAsia="Arial" w:hAnsi="Arial"/>
          <w:sz w:val="20"/>
          <w:szCs w:val="20"/>
          <w:color w:val="auto"/>
          <w:vertAlign w:val="superscript"/>
        </w:rPr>
      </w:pPr>
      <w:r>
        <w:rPr>
          <w:rFonts w:ascii="Arial" w:cs="Arial" w:eastAsia="Arial" w:hAnsi="Arial"/>
          <w:sz w:val="15"/>
          <w:szCs w:val="15"/>
          <w:color w:val="auto"/>
        </w:rPr>
        <w:t>Includes expenses related to security programs and related costs.</w:t>
      </w:r>
    </w:p>
    <w:p>
      <w:pPr>
        <w:ind w:left="347" w:right="120" w:hanging="347"/>
        <w:spacing w:after="0"/>
        <w:tabs>
          <w:tab w:leader="none" w:pos="347" w:val="left"/>
        </w:tabs>
        <w:numPr>
          <w:ilvl w:val="0"/>
          <w:numId w:val="73"/>
        </w:numPr>
        <w:rPr>
          <w:rFonts w:ascii="Arial" w:cs="Arial" w:eastAsia="Arial" w:hAnsi="Arial"/>
          <w:sz w:val="20"/>
          <w:szCs w:val="20"/>
          <w:color w:val="auto"/>
          <w:vertAlign w:val="superscript"/>
        </w:rPr>
      </w:pPr>
      <w:r>
        <w:rPr>
          <w:rFonts w:ascii="Arial" w:cs="Arial" w:eastAsia="Arial" w:hAnsi="Arial"/>
          <w:sz w:val="15"/>
          <w:szCs w:val="15"/>
          <w:color w:val="auto"/>
        </w:rPr>
        <w:t>The amount reported represents a sign-on bonus pursuant to the terms of the offer letter that we entered into with Mr. Tennenbaum in December 2025.</w:t>
      </w:r>
    </w:p>
    <w:p>
      <w:pPr>
        <w:ind w:left="347" w:right="60" w:hanging="346"/>
        <w:spacing w:after="0" w:line="262" w:lineRule="auto"/>
        <w:tabs>
          <w:tab w:leader="none" w:pos="347" w:val="left"/>
        </w:tabs>
        <w:numPr>
          <w:ilvl w:val="0"/>
          <w:numId w:val="73"/>
        </w:numPr>
        <w:rPr>
          <w:rFonts w:ascii="Arial" w:cs="Arial" w:eastAsia="Arial" w:hAnsi="Arial"/>
          <w:sz w:val="20"/>
          <w:szCs w:val="20"/>
          <w:color w:val="auto"/>
          <w:vertAlign w:val="superscript"/>
        </w:rPr>
      </w:pPr>
      <w:r>
        <w:rPr>
          <w:rFonts w:ascii="Arial" w:cs="Arial" w:eastAsia="Arial" w:hAnsi="Arial"/>
          <w:sz w:val="15"/>
          <w:szCs w:val="15"/>
          <w:color w:val="auto"/>
        </w:rPr>
        <w:t>Mr. Regan received a one-time advisory fee cash payment of $250,000 in December 2025 in connection with his continued service as a non-executive employee of the company to ensure a smooth transition. Mr. Regan did not otherwise receive any other compensation in connection with his termination of employment.</w:t>
      </w:r>
    </w:p>
    <w:p>
      <w:pPr>
        <w:sectPr>
          <w:pgSz w:w="11880" w:h="15480" w:orient="portrait"/>
          <w:cols w:equalWidth="0" w:num="1">
            <w:col w:w="9667"/>
          </w:cols>
          <w:pgMar w:left="1133" w:top="3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59</w:t>
      </w:r>
    </w:p>
    <w:p>
      <w:pPr>
        <w:sectPr>
          <w:pgSz w:w="11880" w:h="15480" w:orient="portrait"/>
          <w:cols w:equalWidth="0" w:num="1">
            <w:col w:w="9667"/>
          </w:cols>
          <w:pgMar w:left="1133" w:top="340" w:right="1080" w:bottom="0" w:gutter="0" w:footer="0" w:header="0"/>
          <w:type w:val="continuous"/>
        </w:sectPr>
      </w:pPr>
    </w:p>
    <w:bookmarkStart w:id="67" w:name="page68"/>
    <w:bookmarkEnd w:id="67"/>
    <w:p>
      <w:pPr>
        <w:ind w:left="7"/>
        <w:spacing w:after="0"/>
        <w:rPr>
          <w:sz w:val="20"/>
          <w:szCs w:val="20"/>
          <w:color w:val="auto"/>
        </w:rPr>
      </w:pPr>
      <w:r>
        <w:rPr>
          <w:rFonts w:ascii="Arial" w:cs="Arial" w:eastAsia="Arial" w:hAnsi="Arial"/>
          <w:sz w:val="33"/>
          <w:szCs w:val="33"/>
          <w:color w:val="0A248E"/>
        </w:rPr>
        <w:t>EXECUTIVE COMPENSATION (continued)</w:t>
      </w:r>
    </w:p>
    <w:p>
      <w:pPr>
        <w:spacing w:after="0" w:line="273" w:lineRule="exact"/>
        <w:rPr>
          <w:sz w:val="20"/>
          <w:szCs w:val="20"/>
          <w:color w:val="auto"/>
        </w:rPr>
      </w:pPr>
    </w:p>
    <w:p>
      <w:pPr>
        <w:ind w:left="7"/>
        <w:spacing w:after="0"/>
        <w:rPr>
          <w:sz w:val="20"/>
          <w:szCs w:val="20"/>
          <w:color w:val="auto"/>
        </w:rPr>
      </w:pPr>
      <w:r>
        <w:rPr>
          <w:rFonts w:ascii="Arial" w:cs="Arial" w:eastAsia="Arial" w:hAnsi="Arial"/>
          <w:sz w:val="28"/>
          <w:szCs w:val="28"/>
          <w:color w:val="0A248E"/>
        </w:rPr>
        <w:t>Grants of Plan-Based Awards in 2025</w:t>
      </w:r>
    </w:p>
    <w:p>
      <w:pPr>
        <w:spacing w:after="0" w:line="291"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shows all plan-based awards granted to our named executive officers during fiscal 2025.</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44"/>
        </w:trPr>
        <w:tc>
          <w:tcPr>
            <w:tcW w:w="2300" w:type="dxa"/>
            <w:vAlign w:val="bottom"/>
            <w:tcBorders>
              <w:top w:val="single" w:sz="8" w:color="0A248E"/>
            </w:tcBorders>
            <w:shd w:val="clear" w:color="auto" w:fill="0A248E"/>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Borders>
              <w:top w:val="single" w:sz="8" w:color="0A248E"/>
              <w:right w:val="single" w:sz="8" w:color="0A248E"/>
            </w:tcBorders>
            <w:shd w:val="clear" w:color="auto" w:fill="0A248E"/>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1000" w:type="dxa"/>
            <w:vAlign w:val="bottom"/>
            <w:tcBorders>
              <w:top w:val="single" w:sz="8" w:color="0A248E"/>
              <w:right w:val="single" w:sz="8" w:color="0A248E"/>
            </w:tcBorders>
            <w:shd w:val="clear" w:color="auto" w:fill="0A248E"/>
          </w:tcPr>
          <w:p>
            <w:pPr>
              <w:spacing w:after="0"/>
              <w:rPr>
                <w:sz w:val="21"/>
                <w:szCs w:val="21"/>
                <w:color w:val="auto"/>
              </w:rPr>
            </w:pPr>
          </w:p>
        </w:tc>
        <w:tc>
          <w:tcPr>
            <w:tcW w:w="20" w:type="dxa"/>
            <w:vAlign w:val="bottom"/>
            <w:tcBorders>
              <w:top w:val="single" w:sz="8" w:color="0A248E"/>
            </w:tcBorders>
          </w:tcPr>
          <w:p>
            <w:pPr>
              <w:spacing w:after="0"/>
              <w:rPr>
                <w:sz w:val="21"/>
                <w:szCs w:val="21"/>
                <w:color w:val="auto"/>
              </w:rPr>
            </w:pPr>
          </w:p>
        </w:tc>
        <w:tc>
          <w:tcPr>
            <w:tcW w:w="20" w:type="dxa"/>
            <w:vAlign w:val="bottom"/>
            <w:tcBorders>
              <w:top w:val="single" w:sz="8" w:color="0A248E"/>
            </w:tcBorders>
            <w:shd w:val="clear" w:color="auto" w:fill="0A248E"/>
          </w:tcPr>
          <w:p>
            <w:pPr>
              <w:spacing w:after="0"/>
              <w:rPr>
                <w:sz w:val="21"/>
                <w:szCs w:val="21"/>
                <w:color w:val="auto"/>
              </w:rPr>
            </w:pPr>
          </w:p>
        </w:tc>
        <w:tc>
          <w:tcPr>
            <w:tcW w:w="2900" w:type="dxa"/>
            <w:vAlign w:val="bottom"/>
            <w:tcBorders>
              <w:top w:val="single" w:sz="8" w:color="0A248E"/>
              <w:right w:val="single" w:sz="8" w:color="0A248E"/>
            </w:tcBorders>
            <w:gridSpan w:val="5"/>
            <w:shd w:val="clear" w:color="auto" w:fill="0A248E"/>
          </w:tcPr>
          <w:p>
            <w:pPr>
              <w:jc w:val="center"/>
              <w:spacing w:after="0"/>
              <w:rPr>
                <w:sz w:val="20"/>
                <w:szCs w:val="20"/>
                <w:color w:val="auto"/>
              </w:rPr>
            </w:pPr>
            <w:r>
              <w:rPr>
                <w:rFonts w:ascii="Arial" w:cs="Arial" w:eastAsia="Arial" w:hAnsi="Arial"/>
                <w:sz w:val="15"/>
                <w:szCs w:val="15"/>
                <w:b w:val="1"/>
                <w:bCs w:val="1"/>
                <w:color w:val="FFFFFF"/>
              </w:rPr>
              <w:t>Estimated Future Payouts Under</w:t>
            </w:r>
          </w:p>
        </w:tc>
        <w:tc>
          <w:tcPr>
            <w:tcW w:w="60" w:type="dxa"/>
            <w:vAlign w:val="bottom"/>
            <w:tcBorders>
              <w:right w:val="single" w:sz="8" w:color="0A248E"/>
            </w:tcBorders>
          </w:tcPr>
          <w:p>
            <w:pPr>
              <w:spacing w:after="0"/>
              <w:rPr>
                <w:sz w:val="21"/>
                <w:szCs w:val="21"/>
                <w:color w:val="auto"/>
              </w:rPr>
            </w:pPr>
          </w:p>
        </w:tc>
        <w:tc>
          <w:tcPr>
            <w:tcW w:w="920" w:type="dxa"/>
            <w:vAlign w:val="bottom"/>
            <w:tcBorders>
              <w:top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All Other</w:t>
            </w:r>
          </w:p>
        </w:tc>
        <w:tc>
          <w:tcPr>
            <w:tcW w:w="60" w:type="dxa"/>
            <w:vAlign w:val="bottom"/>
            <w:tcBorders>
              <w:right w:val="single" w:sz="8" w:color="0A248E"/>
            </w:tcBorders>
          </w:tcPr>
          <w:p>
            <w:pPr>
              <w:spacing w:after="0"/>
              <w:rPr>
                <w:sz w:val="21"/>
                <w:szCs w:val="21"/>
                <w:color w:val="auto"/>
              </w:rPr>
            </w:pPr>
          </w:p>
        </w:tc>
        <w:tc>
          <w:tcPr>
            <w:tcW w:w="1200" w:type="dxa"/>
            <w:vAlign w:val="bottom"/>
            <w:tcBorders>
              <w:top w:val="single" w:sz="8" w:color="0A248E"/>
            </w:tcBorders>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Grant Date</w:t>
            </w:r>
          </w:p>
        </w:tc>
        <w:tc>
          <w:tcPr>
            <w:tcW w:w="20" w:type="dxa"/>
            <w:vAlign w:val="bottom"/>
            <w:tcBorders>
              <w:top w:val="single" w:sz="8" w:color="0A248E"/>
            </w:tcBorders>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300" w:type="dxa"/>
            <w:vAlign w:val="bottom"/>
            <w:shd w:val="clear" w:color="auto" w:fill="0A248E"/>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Borders>
              <w:right w:val="single" w:sz="8" w:color="0A248E"/>
            </w:tcBorders>
            <w:shd w:val="clear" w:color="auto" w:fill="0A248E"/>
          </w:tcPr>
          <w:p>
            <w:pPr>
              <w:spacing w:after="0"/>
              <w:rPr>
                <w:sz w:val="16"/>
                <w:szCs w:val="16"/>
                <w:color w:val="auto"/>
              </w:rPr>
            </w:pPr>
          </w:p>
        </w:tc>
        <w:tc>
          <w:tcPr>
            <w:tcW w:w="60" w:type="dxa"/>
            <w:vAlign w:val="bottom"/>
            <w:tcBorders>
              <w:right w:val="single" w:sz="8" w:color="0A248E"/>
            </w:tcBorders>
            <w:shd w:val="clear" w:color="auto" w:fill="0A248E"/>
          </w:tcPr>
          <w:p>
            <w:pPr>
              <w:spacing w:after="0"/>
              <w:rPr>
                <w:sz w:val="16"/>
                <w:szCs w:val="16"/>
                <w:color w:val="auto"/>
              </w:rPr>
            </w:pPr>
          </w:p>
        </w:tc>
        <w:tc>
          <w:tcPr>
            <w:tcW w:w="1000" w:type="dxa"/>
            <w:vAlign w:val="bottom"/>
            <w:tcBorders>
              <w:right w:val="single" w:sz="8" w:color="0A248E"/>
            </w:tcBorders>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2900" w:type="dxa"/>
            <w:vAlign w:val="bottom"/>
            <w:tcBorders>
              <w:right w:val="single" w:sz="8" w:color="0A248E"/>
            </w:tcBorders>
            <w:gridSpan w:val="5"/>
            <w:shd w:val="clear" w:color="auto" w:fill="0A248E"/>
          </w:tcPr>
          <w:p>
            <w:pPr>
              <w:jc w:val="center"/>
              <w:spacing w:after="0"/>
              <w:rPr>
                <w:sz w:val="20"/>
                <w:szCs w:val="20"/>
                <w:color w:val="auto"/>
              </w:rPr>
            </w:pPr>
            <w:r>
              <w:rPr>
                <w:rFonts w:ascii="Arial" w:cs="Arial" w:eastAsia="Arial" w:hAnsi="Arial"/>
                <w:sz w:val="15"/>
                <w:szCs w:val="15"/>
                <w:b w:val="1"/>
                <w:bCs w:val="1"/>
                <w:color w:val="FFFFFF"/>
              </w:rPr>
              <w:t>Non-Equity Incentive</w:t>
            </w:r>
          </w:p>
        </w:tc>
        <w:tc>
          <w:tcPr>
            <w:tcW w:w="60" w:type="dxa"/>
            <w:vAlign w:val="bottom"/>
            <w:tcBorders>
              <w:right w:val="single" w:sz="8" w:color="0A248E"/>
            </w:tcBorders>
          </w:tcPr>
          <w:p>
            <w:pPr>
              <w:spacing w:after="0"/>
              <w:rPr>
                <w:sz w:val="16"/>
                <w:szCs w:val="16"/>
                <w:color w:val="auto"/>
              </w:rPr>
            </w:pPr>
          </w:p>
        </w:tc>
        <w:tc>
          <w:tcPr>
            <w:tcW w:w="9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Stock</w:t>
            </w:r>
          </w:p>
        </w:tc>
        <w:tc>
          <w:tcPr>
            <w:tcW w:w="60" w:type="dxa"/>
            <w:vAlign w:val="bottom"/>
            <w:tcBorders>
              <w:right w:val="single" w:sz="8" w:color="0A248E"/>
            </w:tcBorders>
          </w:tcPr>
          <w:p>
            <w:pPr>
              <w:spacing w:after="0"/>
              <w:rPr>
                <w:sz w:val="16"/>
                <w:szCs w:val="16"/>
                <w:color w:val="auto"/>
              </w:rPr>
            </w:pPr>
          </w:p>
        </w:tc>
        <w:tc>
          <w:tcPr>
            <w:tcW w:w="1200" w:type="dxa"/>
            <w:vAlign w:val="bottom"/>
            <w:vMerge w:val="continue"/>
            <w:shd w:val="clear" w:color="auto" w:fill="0A248E"/>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0A248E"/>
            </w:tcBorders>
            <w:shd w:val="clear" w:color="auto" w:fill="0A248E"/>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0A248E"/>
              <w:right w:val="single" w:sz="8" w:color="0A248E"/>
            </w:tcBorders>
            <w:shd w:val="clear" w:color="auto" w:fill="0A248E"/>
          </w:tcPr>
          <w:p>
            <w:pPr>
              <w:spacing w:after="0"/>
              <w:rPr>
                <w:sz w:val="19"/>
                <w:szCs w:val="19"/>
                <w:color w:val="auto"/>
              </w:rPr>
            </w:pPr>
          </w:p>
        </w:tc>
        <w:tc>
          <w:tcPr>
            <w:tcW w:w="60" w:type="dxa"/>
            <w:vAlign w:val="bottom"/>
            <w:tcBorders>
              <w:bottom w:val="single" w:sz="8" w:color="0A248E"/>
              <w:right w:val="single" w:sz="8" w:color="0A248E"/>
            </w:tcBorders>
            <w:shd w:val="clear" w:color="auto" w:fill="0A248E"/>
          </w:tcPr>
          <w:p>
            <w:pPr>
              <w:spacing w:after="0"/>
              <w:rPr>
                <w:sz w:val="19"/>
                <w:szCs w:val="19"/>
                <w:color w:val="auto"/>
              </w:rPr>
            </w:pPr>
          </w:p>
        </w:tc>
        <w:tc>
          <w:tcPr>
            <w:tcW w:w="1000" w:type="dxa"/>
            <w:vAlign w:val="bottom"/>
            <w:tcBorders>
              <w:bottom w:val="single" w:sz="8" w:color="0A248E"/>
              <w:right w:val="single" w:sz="8" w:color="0A248E"/>
            </w:tcBorders>
            <w:shd w:val="clear" w:color="auto" w:fill="0A248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0A248E"/>
            </w:tcBorders>
            <w:shd w:val="clear" w:color="auto" w:fill="0A248E"/>
          </w:tcPr>
          <w:p>
            <w:pPr>
              <w:spacing w:after="0"/>
              <w:rPr>
                <w:sz w:val="19"/>
                <w:szCs w:val="19"/>
                <w:color w:val="auto"/>
              </w:rPr>
            </w:pPr>
          </w:p>
        </w:tc>
        <w:tc>
          <w:tcPr>
            <w:tcW w:w="2900" w:type="dxa"/>
            <w:vAlign w:val="bottom"/>
            <w:tcBorders>
              <w:bottom w:val="single" w:sz="8" w:color="0A248E"/>
              <w:right w:val="single" w:sz="8" w:color="0A248E"/>
            </w:tcBorders>
            <w:gridSpan w:val="5"/>
            <w:shd w:val="clear" w:color="auto" w:fill="0A248E"/>
          </w:tcPr>
          <w:p>
            <w:pPr>
              <w:jc w:val="center"/>
              <w:spacing w:after="0" w:line="206" w:lineRule="exact"/>
              <w:rPr>
                <w:sz w:val="20"/>
                <w:szCs w:val="20"/>
                <w:color w:val="auto"/>
              </w:rPr>
            </w:pPr>
            <w:r>
              <w:rPr>
                <w:rFonts w:ascii="Arial" w:cs="Arial" w:eastAsia="Arial" w:hAnsi="Arial"/>
                <w:sz w:val="15"/>
                <w:szCs w:val="15"/>
                <w:b w:val="1"/>
                <w:bCs w:val="1"/>
                <w:color w:val="FFFFFF"/>
                <w:w w:val="99"/>
              </w:rPr>
              <w:t>Plan Awards ($)</w:t>
            </w:r>
            <w:r>
              <w:rPr>
                <w:rFonts w:ascii="Arial" w:cs="Arial" w:eastAsia="Arial" w:hAnsi="Arial"/>
                <w:sz w:val="19"/>
                <w:szCs w:val="19"/>
                <w:b w:val="1"/>
                <w:bCs w:val="1"/>
                <w:color w:val="FFFFFF"/>
                <w:w w:val="99"/>
                <w:vertAlign w:val="superscript"/>
              </w:rPr>
              <w:t>(1)</w:t>
            </w:r>
          </w:p>
        </w:tc>
        <w:tc>
          <w:tcPr>
            <w:tcW w:w="60" w:type="dxa"/>
            <w:vAlign w:val="bottom"/>
            <w:tcBorders>
              <w:right w:val="single" w:sz="8" w:color="0A248E"/>
            </w:tcBorders>
          </w:tcPr>
          <w:p>
            <w:pPr>
              <w:spacing w:after="0"/>
              <w:rPr>
                <w:sz w:val="19"/>
                <w:szCs w:val="19"/>
                <w:color w:val="auto"/>
              </w:rPr>
            </w:pPr>
          </w:p>
        </w:tc>
        <w:tc>
          <w:tcPr>
            <w:tcW w:w="920" w:type="dxa"/>
            <w:vAlign w:val="bottom"/>
            <w:tcBorders>
              <w:bottom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Awards:</w:t>
            </w:r>
          </w:p>
        </w:tc>
        <w:tc>
          <w:tcPr>
            <w:tcW w:w="60" w:type="dxa"/>
            <w:vAlign w:val="bottom"/>
            <w:tcBorders>
              <w:right w:val="single" w:sz="8" w:color="0A248E"/>
            </w:tcBorders>
          </w:tcPr>
          <w:p>
            <w:pPr>
              <w:spacing w:after="0"/>
              <w:rPr>
                <w:sz w:val="19"/>
                <w:szCs w:val="19"/>
                <w:color w:val="auto"/>
              </w:rPr>
            </w:pPr>
          </w:p>
        </w:tc>
        <w:tc>
          <w:tcPr>
            <w:tcW w:w="120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Fair Value of</w:t>
            </w:r>
          </w:p>
        </w:tc>
        <w:tc>
          <w:tcPr>
            <w:tcW w:w="20" w:type="dxa"/>
            <w:vAlign w:val="bottom"/>
            <w:tcBorders>
              <w:bottom w:val="single" w:sz="8" w:color="0A248E"/>
            </w:tcBorders>
            <w:shd w:val="clear" w:color="auto" w:fill="0A248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300" w:type="dxa"/>
            <w:vAlign w:val="bottom"/>
            <w:shd w:val="clear" w:color="auto" w:fill="0A248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Borders>
              <w:right w:val="single" w:sz="8" w:color="0A248E"/>
            </w:tcBorders>
            <w:shd w:val="clear" w:color="auto" w:fill="0A248E"/>
          </w:tcPr>
          <w:p>
            <w:pPr>
              <w:spacing w:after="0"/>
              <w:rPr>
                <w:sz w:val="2"/>
                <w:szCs w:val="2"/>
                <w:color w:val="auto"/>
              </w:rPr>
            </w:pPr>
          </w:p>
        </w:tc>
        <w:tc>
          <w:tcPr>
            <w:tcW w:w="60" w:type="dxa"/>
            <w:vAlign w:val="bottom"/>
            <w:tcBorders>
              <w:right w:val="single" w:sz="8" w:color="0A248E"/>
            </w:tcBorders>
            <w:shd w:val="clear" w:color="auto" w:fill="0A248E"/>
          </w:tcPr>
          <w:p>
            <w:pPr>
              <w:spacing w:after="0"/>
              <w:rPr>
                <w:sz w:val="2"/>
                <w:szCs w:val="2"/>
                <w:color w:val="auto"/>
              </w:rPr>
            </w:pPr>
          </w:p>
        </w:tc>
        <w:tc>
          <w:tcPr>
            <w:tcW w:w="1000" w:type="dxa"/>
            <w:vAlign w:val="bottom"/>
            <w:tcBorders>
              <w:right w:val="single" w:sz="8" w:color="0A248E"/>
            </w:tcBorders>
            <w:vMerge w:val="restart"/>
            <w:shd w:val="clear" w:color="auto" w:fill="0A248E"/>
          </w:tcPr>
          <w:p>
            <w:pPr>
              <w:jc w:val="center"/>
              <w:spacing w:after="0" w:line="154" w:lineRule="exact"/>
              <w:rPr>
                <w:sz w:val="20"/>
                <w:szCs w:val="20"/>
                <w:color w:val="auto"/>
              </w:rPr>
            </w:pPr>
            <w:r>
              <w:rPr>
                <w:rFonts w:ascii="Arial" w:cs="Arial" w:eastAsia="Arial" w:hAnsi="Arial"/>
                <w:sz w:val="15"/>
                <w:szCs w:val="15"/>
                <w:b w:val="1"/>
                <w:bCs w:val="1"/>
                <w:color w:val="FFFFFF"/>
              </w:rPr>
              <w:t>Approval</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Borders>
              <w:right w:val="single" w:sz="8" w:color="0A248E"/>
            </w:tcBorders>
          </w:tcPr>
          <w:p>
            <w:pPr>
              <w:spacing w:after="0"/>
              <w:rPr>
                <w:sz w:val="2"/>
                <w:szCs w:val="2"/>
                <w:color w:val="auto"/>
              </w:rPr>
            </w:pPr>
          </w:p>
        </w:tc>
        <w:tc>
          <w:tcPr>
            <w:tcW w:w="920" w:type="dxa"/>
            <w:vAlign w:val="bottom"/>
            <w:tcBorders>
              <w:right w:val="single" w:sz="8" w:color="0A248E"/>
            </w:tcBorders>
            <w:vMerge w:val="restart"/>
            <w:shd w:val="clear" w:color="auto" w:fill="0A248E"/>
          </w:tcPr>
          <w:p>
            <w:pPr>
              <w:jc w:val="center"/>
              <w:spacing w:after="0" w:line="154" w:lineRule="exact"/>
              <w:rPr>
                <w:sz w:val="20"/>
                <w:szCs w:val="20"/>
                <w:color w:val="auto"/>
              </w:rPr>
            </w:pPr>
            <w:r>
              <w:rPr>
                <w:rFonts w:ascii="Arial" w:cs="Arial" w:eastAsia="Arial" w:hAnsi="Arial"/>
                <w:sz w:val="15"/>
                <w:szCs w:val="15"/>
                <w:b w:val="1"/>
                <w:bCs w:val="1"/>
                <w:color w:val="FFFFFF"/>
              </w:rPr>
              <w:t>Number of</w:t>
            </w:r>
          </w:p>
        </w:tc>
        <w:tc>
          <w:tcPr>
            <w:tcW w:w="60" w:type="dxa"/>
            <w:vAlign w:val="bottom"/>
            <w:tcBorders>
              <w:right w:val="single" w:sz="8" w:color="0A248E"/>
            </w:tcBorders>
          </w:tcPr>
          <w:p>
            <w:pPr>
              <w:spacing w:after="0"/>
              <w:rPr>
                <w:sz w:val="2"/>
                <w:szCs w:val="2"/>
                <w:color w:val="auto"/>
              </w:rPr>
            </w:pPr>
          </w:p>
        </w:tc>
        <w:tc>
          <w:tcPr>
            <w:tcW w:w="1200" w:type="dxa"/>
            <w:vAlign w:val="bottom"/>
            <w:vMerge w:val="restart"/>
            <w:shd w:val="clear" w:color="auto" w:fill="0A248E"/>
          </w:tcPr>
          <w:p>
            <w:pPr>
              <w:jc w:val="center"/>
              <w:spacing w:after="0" w:line="154" w:lineRule="exact"/>
              <w:rPr>
                <w:sz w:val="20"/>
                <w:szCs w:val="20"/>
                <w:color w:val="auto"/>
              </w:rPr>
            </w:pPr>
            <w:r>
              <w:rPr>
                <w:rFonts w:ascii="Arial" w:cs="Arial" w:eastAsia="Arial" w:hAnsi="Arial"/>
                <w:sz w:val="15"/>
                <w:szCs w:val="15"/>
                <w:b w:val="1"/>
                <w:bCs w:val="1"/>
                <w:color w:val="FFFFFF"/>
              </w:rPr>
              <w:t>Stock Awards</w:t>
            </w:r>
          </w:p>
        </w:tc>
        <w:tc>
          <w:tcPr>
            <w:tcW w:w="20" w:type="dxa"/>
            <w:vAlign w:val="bottom"/>
            <w:shd w:val="clear" w:color="auto" w:fill="0A248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00" w:type="dxa"/>
            <w:vAlign w:val="bottom"/>
            <w:shd w:val="clear" w:color="auto" w:fill="0A248E"/>
          </w:tcPr>
          <w:p>
            <w:pPr>
              <w:spacing w:after="0"/>
              <w:rPr>
                <w:sz w:val="10"/>
                <w:szCs w:val="10"/>
                <w:color w:val="auto"/>
              </w:rPr>
            </w:pPr>
          </w:p>
        </w:tc>
        <w:tc>
          <w:tcPr>
            <w:tcW w:w="40" w:type="dxa"/>
            <w:vAlign w:val="bottom"/>
            <w:tcBorders>
              <w:left w:val="single" w:sz="8" w:color="0A248E"/>
            </w:tcBorders>
          </w:tcPr>
          <w:p>
            <w:pPr>
              <w:spacing w:after="0"/>
              <w:rPr>
                <w:sz w:val="10"/>
                <w:szCs w:val="10"/>
                <w:color w:val="auto"/>
              </w:rPr>
            </w:pPr>
          </w:p>
        </w:tc>
        <w:tc>
          <w:tcPr>
            <w:tcW w:w="1040" w:type="dxa"/>
            <w:vAlign w:val="bottom"/>
            <w:tcBorders>
              <w:right w:val="single" w:sz="8" w:color="0A248E"/>
            </w:tcBorders>
            <w:shd w:val="clear" w:color="auto" w:fill="0A248E"/>
          </w:tcPr>
          <w:p>
            <w:pPr>
              <w:spacing w:after="0"/>
              <w:rPr>
                <w:sz w:val="10"/>
                <w:szCs w:val="10"/>
                <w:color w:val="auto"/>
              </w:rPr>
            </w:pPr>
          </w:p>
        </w:tc>
        <w:tc>
          <w:tcPr>
            <w:tcW w:w="60" w:type="dxa"/>
            <w:vAlign w:val="bottom"/>
            <w:tcBorders>
              <w:right w:val="single" w:sz="8" w:color="0A248E"/>
            </w:tcBorders>
            <w:shd w:val="clear" w:color="auto" w:fill="0A248E"/>
          </w:tcPr>
          <w:p>
            <w:pPr>
              <w:spacing w:after="0"/>
              <w:rPr>
                <w:sz w:val="10"/>
                <w:szCs w:val="10"/>
                <w:color w:val="auto"/>
              </w:rPr>
            </w:pPr>
          </w:p>
        </w:tc>
        <w:tc>
          <w:tcPr>
            <w:tcW w:w="1000" w:type="dxa"/>
            <w:vAlign w:val="bottom"/>
            <w:tcBorders>
              <w:right w:val="single" w:sz="8" w:color="0A248E"/>
            </w:tcBorders>
            <w:vMerge w:val="continue"/>
            <w:shd w:val="clear" w:color="auto" w:fill="0A248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0A248E"/>
            </w:tcBorders>
            <w:shd w:val="clear" w:color="auto" w:fill="0A248E"/>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0A248E"/>
            </w:tcBorders>
            <w:shd w:val="clear" w:color="auto" w:fill="0A248E"/>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0A248E"/>
            </w:tcBorders>
            <w:shd w:val="clear" w:color="auto" w:fill="0A248E"/>
          </w:tcPr>
          <w:p>
            <w:pPr>
              <w:spacing w:after="0"/>
              <w:rPr>
                <w:sz w:val="10"/>
                <w:szCs w:val="10"/>
                <w:color w:val="auto"/>
              </w:rPr>
            </w:pPr>
          </w:p>
        </w:tc>
        <w:tc>
          <w:tcPr>
            <w:tcW w:w="60" w:type="dxa"/>
            <w:vAlign w:val="bottom"/>
            <w:tcBorders>
              <w:right w:val="single" w:sz="8" w:color="0A248E"/>
            </w:tcBorders>
          </w:tcPr>
          <w:p>
            <w:pPr>
              <w:spacing w:after="0"/>
              <w:rPr>
                <w:sz w:val="10"/>
                <w:szCs w:val="10"/>
                <w:color w:val="auto"/>
              </w:rPr>
            </w:pPr>
          </w:p>
        </w:tc>
        <w:tc>
          <w:tcPr>
            <w:tcW w:w="920" w:type="dxa"/>
            <w:vAlign w:val="bottom"/>
            <w:tcBorders>
              <w:right w:val="single" w:sz="8" w:color="0A248E"/>
            </w:tcBorders>
            <w:vMerge w:val="continue"/>
            <w:shd w:val="clear" w:color="auto" w:fill="0A248E"/>
          </w:tcPr>
          <w:p>
            <w:pPr>
              <w:spacing w:after="0"/>
              <w:rPr>
                <w:sz w:val="10"/>
                <w:szCs w:val="10"/>
                <w:color w:val="auto"/>
              </w:rPr>
            </w:pPr>
          </w:p>
        </w:tc>
        <w:tc>
          <w:tcPr>
            <w:tcW w:w="60" w:type="dxa"/>
            <w:vAlign w:val="bottom"/>
            <w:tcBorders>
              <w:right w:val="single" w:sz="8" w:color="0A248E"/>
            </w:tcBorders>
          </w:tcPr>
          <w:p>
            <w:pPr>
              <w:spacing w:after="0"/>
              <w:rPr>
                <w:sz w:val="10"/>
                <w:szCs w:val="10"/>
                <w:color w:val="auto"/>
              </w:rPr>
            </w:pPr>
          </w:p>
        </w:tc>
        <w:tc>
          <w:tcPr>
            <w:tcW w:w="1200" w:type="dxa"/>
            <w:vAlign w:val="bottom"/>
            <w:vMerge w:val="continue"/>
            <w:shd w:val="clear" w:color="auto" w:fill="0A248E"/>
          </w:tcPr>
          <w:p>
            <w:pPr>
              <w:spacing w:after="0"/>
              <w:rPr>
                <w:sz w:val="10"/>
                <w:szCs w:val="10"/>
                <w:color w:val="auto"/>
              </w:rPr>
            </w:pPr>
          </w:p>
        </w:tc>
        <w:tc>
          <w:tcPr>
            <w:tcW w:w="20" w:type="dxa"/>
            <w:vAlign w:val="bottom"/>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2300" w:type="dxa"/>
            <w:vAlign w:val="bottom"/>
            <w:tcBorders>
              <w:bottom w:val="single" w:sz="8" w:color="0A248E"/>
            </w:tcBorders>
            <w:shd w:val="clear" w:color="auto" w:fill="0A248E"/>
          </w:tcPr>
          <w:p>
            <w:pPr>
              <w:ind w:left="100"/>
              <w:spacing w:after="0"/>
              <w:rPr>
                <w:sz w:val="20"/>
                <w:szCs w:val="20"/>
                <w:color w:val="auto"/>
              </w:rPr>
            </w:pPr>
            <w:r>
              <w:rPr>
                <w:rFonts w:ascii="Arial" w:cs="Arial" w:eastAsia="Arial" w:hAnsi="Arial"/>
                <w:sz w:val="15"/>
                <w:szCs w:val="15"/>
                <w:b w:val="1"/>
                <w:bCs w:val="1"/>
                <w:color w:val="FFFFFF"/>
              </w:rPr>
              <w:t>Name</w:t>
            </w:r>
          </w:p>
        </w:tc>
        <w:tc>
          <w:tcPr>
            <w:tcW w:w="40" w:type="dxa"/>
            <w:vAlign w:val="bottom"/>
            <w:tcBorders>
              <w:left w:val="single" w:sz="8" w:color="0A248E"/>
            </w:tcBorders>
          </w:tcPr>
          <w:p>
            <w:pPr>
              <w:spacing w:after="0"/>
              <w:rPr>
                <w:sz w:val="24"/>
                <w:szCs w:val="24"/>
                <w:color w:val="auto"/>
              </w:rPr>
            </w:pPr>
          </w:p>
        </w:tc>
        <w:tc>
          <w:tcPr>
            <w:tcW w:w="1040" w:type="dxa"/>
            <w:vAlign w:val="bottom"/>
            <w:tcBorders>
              <w:bottom w:val="single" w:sz="8" w:color="0A248E"/>
              <w:right w:val="single" w:sz="8" w:color="0A248E"/>
            </w:tcBorders>
            <w:shd w:val="clear" w:color="auto" w:fill="0A248E"/>
          </w:tcPr>
          <w:p>
            <w:pPr>
              <w:ind w:left="120"/>
              <w:spacing w:after="0"/>
              <w:rPr>
                <w:sz w:val="20"/>
                <w:szCs w:val="20"/>
                <w:color w:val="auto"/>
              </w:rPr>
            </w:pPr>
            <w:r>
              <w:rPr>
                <w:rFonts w:ascii="Arial" w:cs="Arial" w:eastAsia="Arial" w:hAnsi="Arial"/>
                <w:sz w:val="15"/>
                <w:szCs w:val="15"/>
                <w:b w:val="1"/>
                <w:bCs w:val="1"/>
                <w:color w:val="FFFFFF"/>
              </w:rPr>
              <w:t>Grant Date</w:t>
            </w:r>
          </w:p>
        </w:tc>
        <w:tc>
          <w:tcPr>
            <w:tcW w:w="60" w:type="dxa"/>
            <w:vAlign w:val="bottom"/>
            <w:tcBorders>
              <w:right w:val="single" w:sz="8" w:color="0A248E"/>
            </w:tcBorders>
            <w:shd w:val="clear" w:color="auto" w:fill="0A248E"/>
          </w:tcPr>
          <w:p>
            <w:pPr>
              <w:spacing w:after="0"/>
              <w:rPr>
                <w:sz w:val="24"/>
                <w:szCs w:val="24"/>
                <w:color w:val="auto"/>
              </w:rPr>
            </w:pPr>
          </w:p>
        </w:tc>
        <w:tc>
          <w:tcPr>
            <w:tcW w:w="1000" w:type="dxa"/>
            <w:vAlign w:val="bottom"/>
            <w:tcBorders>
              <w:bottom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Date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shd w:val="clear" w:color="auto" w:fill="0A248E"/>
              </w:rPr>
              <w:t>Threshold</w:t>
            </w:r>
          </w:p>
        </w:tc>
        <w:tc>
          <w:tcPr>
            <w:tcW w:w="20" w:type="dxa"/>
            <w:vAlign w:val="bottom"/>
          </w:tcPr>
          <w:p>
            <w:pPr>
              <w:spacing w:after="0"/>
              <w:rPr>
                <w:sz w:val="24"/>
                <w:szCs w:val="24"/>
                <w:color w:val="auto"/>
              </w:rPr>
            </w:pPr>
          </w:p>
        </w:tc>
        <w:tc>
          <w:tcPr>
            <w:tcW w:w="960" w:type="dxa"/>
            <w:vAlign w:val="bottom"/>
            <w:tcBorders>
              <w:bottom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Target</w:t>
            </w:r>
          </w:p>
        </w:tc>
        <w:tc>
          <w:tcPr>
            <w:tcW w:w="20" w:type="dxa"/>
            <w:vAlign w:val="bottom"/>
          </w:tcPr>
          <w:p>
            <w:pPr>
              <w:spacing w:after="0"/>
              <w:rPr>
                <w:sz w:val="24"/>
                <w:szCs w:val="24"/>
                <w:color w:val="auto"/>
              </w:rPr>
            </w:pPr>
          </w:p>
        </w:tc>
        <w:tc>
          <w:tcPr>
            <w:tcW w:w="940" w:type="dxa"/>
            <w:vAlign w:val="bottom"/>
            <w:tcBorders>
              <w:bottom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shd w:val="clear" w:color="auto" w:fill="0A248E"/>
              </w:rPr>
              <w:t>Maximum</w:t>
            </w:r>
          </w:p>
        </w:tc>
        <w:tc>
          <w:tcPr>
            <w:tcW w:w="60" w:type="dxa"/>
            <w:vAlign w:val="bottom"/>
            <w:tcBorders>
              <w:right w:val="single" w:sz="8" w:color="0A248E"/>
            </w:tcBorders>
          </w:tcPr>
          <w:p>
            <w:pPr>
              <w:spacing w:after="0"/>
              <w:rPr>
                <w:sz w:val="24"/>
                <w:szCs w:val="24"/>
                <w:color w:val="auto"/>
              </w:rPr>
            </w:pPr>
          </w:p>
        </w:tc>
        <w:tc>
          <w:tcPr>
            <w:tcW w:w="920" w:type="dxa"/>
            <w:vAlign w:val="bottom"/>
            <w:tcBorders>
              <w:bottom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shd w:val="clear" w:color="auto" w:fill="0A248E"/>
              </w:rPr>
              <w:t>Shares (#)</w:t>
            </w:r>
          </w:p>
        </w:tc>
        <w:tc>
          <w:tcPr>
            <w:tcW w:w="60" w:type="dxa"/>
            <w:vAlign w:val="bottom"/>
            <w:tcBorders>
              <w:right w:val="single" w:sz="8" w:color="0A248E"/>
            </w:tcBorders>
          </w:tcPr>
          <w:p>
            <w:pPr>
              <w:spacing w:after="0"/>
              <w:rPr>
                <w:sz w:val="24"/>
                <w:szCs w:val="24"/>
                <w:color w:val="auto"/>
              </w:rPr>
            </w:pPr>
          </w:p>
        </w:tc>
        <w:tc>
          <w:tcPr>
            <w:tcW w:w="120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88"/>
              </w:rPr>
              <w:t>($)</w:t>
            </w:r>
            <w:r>
              <w:rPr>
                <w:rFonts w:ascii="Arial" w:cs="Arial" w:eastAsia="Arial" w:hAnsi="Arial"/>
                <w:sz w:val="19"/>
                <w:szCs w:val="19"/>
                <w:b w:val="1"/>
                <w:bCs w:val="1"/>
                <w:color w:val="FFFFFF"/>
                <w:w w:val="88"/>
                <w:vertAlign w:val="superscript"/>
              </w:rPr>
              <w:t>(2)</w:t>
            </w:r>
          </w:p>
        </w:tc>
        <w:tc>
          <w:tcPr>
            <w:tcW w:w="2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E6E6E6"/>
          </w:tcPr>
          <w:p>
            <w:pPr>
              <w:ind w:left="100"/>
              <w:spacing w:after="0"/>
              <w:rPr>
                <w:sz w:val="20"/>
                <w:szCs w:val="20"/>
                <w:color w:val="auto"/>
              </w:rPr>
            </w:pPr>
            <w:r>
              <w:rPr>
                <w:rFonts w:ascii="Arial" w:cs="Arial" w:eastAsia="Arial" w:hAnsi="Arial"/>
                <w:sz w:val="18"/>
                <w:szCs w:val="18"/>
                <w:color w:val="auto"/>
              </w:rPr>
              <w:t>Andrew W. Houston</w:t>
            </w:r>
          </w:p>
        </w:tc>
        <w:tc>
          <w:tcPr>
            <w:tcW w:w="40" w:type="dxa"/>
            <w:vAlign w:val="bottom"/>
            <w:tcBorders>
              <w:left w:val="single" w:sz="8" w:color="E6E6E6"/>
            </w:tcBorders>
          </w:tcPr>
          <w:p>
            <w:pPr>
              <w:spacing w:after="0"/>
              <w:rPr>
                <w:sz w:val="19"/>
                <w:szCs w:val="19"/>
                <w:color w:val="auto"/>
              </w:rPr>
            </w:pPr>
          </w:p>
        </w:tc>
        <w:tc>
          <w:tcPr>
            <w:tcW w:w="104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right w:val="single" w:sz="8" w:color="E6E6E6"/>
            </w:tcBorders>
          </w:tcPr>
          <w:p>
            <w:pPr>
              <w:spacing w:after="0"/>
              <w:rPr>
                <w:sz w:val="19"/>
                <w:szCs w:val="19"/>
                <w:color w:val="auto"/>
              </w:rPr>
            </w:pPr>
          </w:p>
        </w:tc>
        <w:tc>
          <w:tcPr>
            <w:tcW w:w="10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200,000</w:t>
            </w:r>
          </w:p>
        </w:tc>
        <w:tc>
          <w:tcPr>
            <w:tcW w:w="20" w:type="dxa"/>
            <w:vAlign w:val="bottom"/>
          </w:tcPr>
          <w:p>
            <w:pPr>
              <w:spacing w:after="0"/>
              <w:rPr>
                <w:sz w:val="19"/>
                <w:szCs w:val="19"/>
                <w:color w:val="auto"/>
              </w:rPr>
            </w:pPr>
          </w:p>
        </w:tc>
        <w:tc>
          <w:tcPr>
            <w:tcW w:w="96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800,000</w:t>
            </w:r>
          </w:p>
        </w:tc>
        <w:tc>
          <w:tcPr>
            <w:tcW w:w="20" w:type="dxa"/>
            <w:vAlign w:val="bottom"/>
          </w:tcPr>
          <w:p>
            <w:pPr>
              <w:spacing w:after="0"/>
              <w:rPr>
                <w:sz w:val="19"/>
                <w:szCs w:val="19"/>
                <w:color w:val="auto"/>
              </w:rPr>
            </w:pPr>
          </w:p>
        </w:tc>
        <w:tc>
          <w:tcPr>
            <w:tcW w:w="94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shd w:val="clear" w:color="auto" w:fill="E6E6E6"/>
              </w:rPr>
              <w:t>1,500,000</w:t>
            </w:r>
          </w:p>
        </w:tc>
        <w:tc>
          <w:tcPr>
            <w:tcW w:w="60" w:type="dxa"/>
            <w:vAlign w:val="bottom"/>
            <w:tcBorders>
              <w:right w:val="single" w:sz="8" w:color="E6E6E6"/>
            </w:tcBorders>
            <w:shd w:val="clear" w:color="auto" w:fill="E6E6E6"/>
          </w:tcPr>
          <w:p>
            <w:pPr>
              <w:spacing w:after="0"/>
              <w:rPr>
                <w:sz w:val="19"/>
                <w:szCs w:val="19"/>
                <w:color w:val="auto"/>
              </w:rPr>
            </w:pPr>
          </w:p>
        </w:tc>
        <w:tc>
          <w:tcPr>
            <w:tcW w:w="92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right w:val="single" w:sz="8" w:color="E6E6E6"/>
            </w:tcBorders>
            <w:shd w:val="clear" w:color="auto" w:fill="E6E6E6"/>
          </w:tcPr>
          <w:p>
            <w:pPr>
              <w:spacing w:after="0"/>
              <w:rPr>
                <w:sz w:val="19"/>
                <w:szCs w:val="19"/>
                <w:color w:val="auto"/>
              </w:rPr>
            </w:pPr>
          </w:p>
        </w:tc>
        <w:tc>
          <w:tcPr>
            <w:tcW w:w="1220" w:type="dxa"/>
            <w:vAlign w:val="bottom"/>
            <w:gridSpan w:val="2"/>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color w:val="auto"/>
              </w:rPr>
              <w:t>Ross Tennenbaum</w:t>
            </w:r>
          </w:p>
        </w:tc>
        <w:tc>
          <w:tcPr>
            <w:tcW w:w="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Timothy Regan</w:t>
            </w:r>
          </w:p>
        </w:tc>
        <w:tc>
          <w:tcPr>
            <w:tcW w:w="40" w:type="dxa"/>
            <w:vAlign w:val="bottom"/>
            <w:tcBorders>
              <w:left w:val="single" w:sz="8" w:color="E6E6E6"/>
            </w:tcBorders>
          </w:tcPr>
          <w:p>
            <w:pPr>
              <w:spacing w:after="0"/>
              <w:rPr>
                <w:sz w:val="19"/>
                <w:szCs w:val="19"/>
                <w:color w:val="auto"/>
              </w:rPr>
            </w:pPr>
          </w:p>
        </w:tc>
        <w:tc>
          <w:tcPr>
            <w:tcW w:w="104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right w:val="single" w:sz="8" w:color="E6E6E6"/>
            </w:tcBorders>
          </w:tcPr>
          <w:p>
            <w:pPr>
              <w:spacing w:after="0"/>
              <w:rPr>
                <w:sz w:val="19"/>
                <w:szCs w:val="19"/>
                <w:color w:val="auto"/>
              </w:rPr>
            </w:pPr>
          </w:p>
        </w:tc>
        <w:tc>
          <w:tcPr>
            <w:tcW w:w="10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119,000</w:t>
            </w:r>
          </w:p>
        </w:tc>
        <w:tc>
          <w:tcPr>
            <w:tcW w:w="20" w:type="dxa"/>
            <w:vAlign w:val="bottom"/>
          </w:tcPr>
          <w:p>
            <w:pPr>
              <w:spacing w:after="0"/>
              <w:rPr>
                <w:sz w:val="19"/>
                <w:szCs w:val="19"/>
                <w:color w:val="auto"/>
              </w:rPr>
            </w:pPr>
          </w:p>
        </w:tc>
        <w:tc>
          <w:tcPr>
            <w:tcW w:w="9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476,000</w:t>
            </w:r>
          </w:p>
        </w:tc>
        <w:tc>
          <w:tcPr>
            <w:tcW w:w="20" w:type="dxa"/>
            <w:vAlign w:val="bottom"/>
          </w:tcPr>
          <w:p>
            <w:pPr>
              <w:spacing w:after="0"/>
              <w:rPr>
                <w:sz w:val="19"/>
                <w:szCs w:val="19"/>
                <w:color w:val="auto"/>
              </w:rPr>
            </w:pPr>
          </w:p>
        </w:tc>
        <w:tc>
          <w:tcPr>
            <w:tcW w:w="94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892,500</w:t>
            </w:r>
          </w:p>
        </w:tc>
        <w:tc>
          <w:tcPr>
            <w:tcW w:w="60" w:type="dxa"/>
            <w:vAlign w:val="bottom"/>
            <w:tcBorders>
              <w:bottom w:val="single" w:sz="8" w:color="E6E6E6"/>
              <w:right w:val="single" w:sz="8" w:color="E6E6E6"/>
            </w:tcBorders>
            <w:shd w:val="clear" w:color="auto" w:fill="E6E6E6"/>
          </w:tcPr>
          <w:p>
            <w:pPr>
              <w:spacing w:after="0"/>
              <w:rPr>
                <w:sz w:val="19"/>
                <w:szCs w:val="19"/>
                <w:color w:val="auto"/>
              </w:rPr>
            </w:pPr>
          </w:p>
        </w:tc>
        <w:tc>
          <w:tcPr>
            <w:tcW w:w="92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E6E6E6"/>
              <w:right w:val="single" w:sz="8" w:color="E6E6E6"/>
            </w:tcBorders>
            <w:shd w:val="clear" w:color="auto" w:fill="E6E6E6"/>
          </w:tcPr>
          <w:p>
            <w:pPr>
              <w:spacing w:after="0"/>
              <w:rPr>
                <w:sz w:val="19"/>
                <w:szCs w:val="19"/>
                <w:color w:val="auto"/>
              </w:rPr>
            </w:pPr>
          </w:p>
        </w:tc>
        <w:tc>
          <w:tcPr>
            <w:tcW w:w="12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tcBorders>
              <w:bottom w:val="single" w:sz="8" w:color="E6E6E6"/>
            </w:tcBorders>
            <w:shd w:val="clear" w:color="auto" w:fill="E6E6E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4/1/2025</w:t>
            </w:r>
          </w:p>
        </w:tc>
        <w:tc>
          <w:tcPr>
            <w:tcW w:w="60" w:type="dxa"/>
            <w:vAlign w:val="bottom"/>
            <w:tcBorders>
              <w:right w:val="single" w:sz="8" w:color="E6E6E6"/>
            </w:tcBorders>
          </w:tcPr>
          <w:p>
            <w:pPr>
              <w:spacing w:after="0"/>
              <w:rPr>
                <w:sz w:val="19"/>
                <w:szCs w:val="19"/>
                <w:color w:val="auto"/>
              </w:rPr>
            </w:pPr>
          </w:p>
        </w:tc>
        <w:tc>
          <w:tcPr>
            <w:tcW w:w="10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3/5/2025</w:t>
            </w: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9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94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E6E6E6"/>
              <w:right w:val="single" w:sz="8" w:color="E6E6E6"/>
            </w:tcBorders>
            <w:shd w:val="clear" w:color="auto" w:fill="E6E6E6"/>
          </w:tcPr>
          <w:p>
            <w:pPr>
              <w:spacing w:after="0"/>
              <w:rPr>
                <w:sz w:val="19"/>
                <w:szCs w:val="19"/>
                <w:color w:val="auto"/>
              </w:rPr>
            </w:pPr>
          </w:p>
        </w:tc>
        <w:tc>
          <w:tcPr>
            <w:tcW w:w="92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209,777</w:t>
            </w:r>
          </w:p>
        </w:tc>
        <w:tc>
          <w:tcPr>
            <w:tcW w:w="60" w:type="dxa"/>
            <w:vAlign w:val="bottom"/>
            <w:tcBorders>
              <w:bottom w:val="single" w:sz="8" w:color="E6E6E6"/>
              <w:right w:val="single" w:sz="8" w:color="E6E6E6"/>
            </w:tcBorders>
            <w:shd w:val="clear" w:color="auto" w:fill="E6E6E6"/>
          </w:tcPr>
          <w:p>
            <w:pPr>
              <w:spacing w:after="0"/>
              <w:rPr>
                <w:sz w:val="19"/>
                <w:szCs w:val="19"/>
                <w:color w:val="auto"/>
              </w:rPr>
            </w:pPr>
          </w:p>
        </w:tc>
        <w:tc>
          <w:tcPr>
            <w:tcW w:w="12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5,603,144</w:t>
            </w:r>
          </w:p>
        </w:tc>
        <w:tc>
          <w:tcPr>
            <w:tcW w:w="20" w:type="dxa"/>
            <w:vAlign w:val="bottom"/>
            <w:tcBorders>
              <w:bottom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300" w:type="dxa"/>
            <w:vAlign w:val="bottom"/>
          </w:tcPr>
          <w:p>
            <w:pPr>
              <w:ind w:left="100"/>
              <w:spacing w:after="0"/>
              <w:rPr>
                <w:sz w:val="20"/>
                <w:szCs w:val="20"/>
                <w:color w:val="auto"/>
              </w:rPr>
            </w:pPr>
            <w:r>
              <w:rPr>
                <w:rFonts w:ascii="Arial" w:cs="Arial" w:eastAsia="Arial" w:hAnsi="Arial"/>
                <w:sz w:val="18"/>
                <w:szCs w:val="18"/>
                <w:color w:val="auto"/>
              </w:rPr>
              <w:t>William Yoon</w:t>
            </w:r>
          </w:p>
        </w:tc>
        <w:tc>
          <w:tcPr>
            <w:tcW w:w="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80,047</w:t>
            </w:r>
          </w:p>
        </w:tc>
        <w:tc>
          <w:tcPr>
            <w:tcW w:w="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320,188</w:t>
            </w:r>
          </w:p>
        </w:tc>
        <w:tc>
          <w:tcPr>
            <w:tcW w:w="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600,353</w:t>
            </w:r>
          </w:p>
        </w:tc>
        <w:tc>
          <w:tcPr>
            <w:tcW w:w="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4/1/2025</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6"/>
              </w:rPr>
              <w:t>3/6/2025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8"/>
              </w:rPr>
              <w:t>190,706</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7"/>
              </w:rPr>
              <w:t>5,093,757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Ali Dasdan</w:t>
            </w:r>
          </w:p>
        </w:tc>
        <w:tc>
          <w:tcPr>
            <w:tcW w:w="40" w:type="dxa"/>
            <w:vAlign w:val="bottom"/>
            <w:tcBorders>
              <w:left w:val="single" w:sz="8" w:color="E6E6E6"/>
              <w:bottom w:val="single" w:sz="8" w:color="E6E6E6"/>
            </w:tcBorders>
          </w:tcPr>
          <w:p>
            <w:pPr>
              <w:spacing w:after="0"/>
              <w:rPr>
                <w:sz w:val="19"/>
                <w:szCs w:val="19"/>
                <w:color w:val="auto"/>
              </w:rPr>
            </w:pPr>
          </w:p>
        </w:tc>
        <w:tc>
          <w:tcPr>
            <w:tcW w:w="104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E6E6E6"/>
              <w:right w:val="single" w:sz="8" w:color="E6E6E6"/>
            </w:tcBorders>
          </w:tcPr>
          <w:p>
            <w:pPr>
              <w:spacing w:after="0"/>
              <w:rPr>
                <w:sz w:val="19"/>
                <w:szCs w:val="19"/>
                <w:color w:val="auto"/>
              </w:rPr>
            </w:pPr>
          </w:p>
        </w:tc>
        <w:tc>
          <w:tcPr>
            <w:tcW w:w="10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104,110</w:t>
            </w:r>
          </w:p>
        </w:tc>
        <w:tc>
          <w:tcPr>
            <w:tcW w:w="980" w:type="dxa"/>
            <w:vAlign w:val="bottom"/>
            <w:tcBorders>
              <w:bottom w:val="single" w:sz="8" w:color="E6E6E6"/>
              <w:righ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8"/>
              </w:rPr>
              <w:t>416,438</w:t>
            </w:r>
          </w:p>
        </w:tc>
        <w:tc>
          <w:tcPr>
            <w:tcW w:w="960" w:type="dxa"/>
            <w:vAlign w:val="bottom"/>
            <w:tcBorders>
              <w:bottom w:val="single" w:sz="8" w:color="E6E6E6"/>
              <w:righ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8"/>
              </w:rPr>
              <w:t>780,821</w:t>
            </w:r>
          </w:p>
        </w:tc>
        <w:tc>
          <w:tcPr>
            <w:tcW w:w="60" w:type="dxa"/>
            <w:vAlign w:val="bottom"/>
            <w:tcBorders>
              <w:bottom w:val="single" w:sz="8" w:color="E6E6E6"/>
              <w:right w:val="single" w:sz="8" w:color="E6E6E6"/>
            </w:tcBorders>
            <w:shd w:val="clear" w:color="auto" w:fill="E6E6E6"/>
          </w:tcPr>
          <w:p>
            <w:pPr>
              <w:spacing w:after="0"/>
              <w:rPr>
                <w:sz w:val="19"/>
                <w:szCs w:val="19"/>
                <w:color w:val="auto"/>
              </w:rPr>
            </w:pPr>
          </w:p>
        </w:tc>
        <w:tc>
          <w:tcPr>
            <w:tcW w:w="92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E6E6E6"/>
              <w:right w:val="single" w:sz="8" w:color="E6E6E6"/>
            </w:tcBorders>
            <w:shd w:val="clear" w:color="auto" w:fill="E6E6E6"/>
          </w:tcPr>
          <w:p>
            <w:pPr>
              <w:spacing w:after="0"/>
              <w:rPr>
                <w:sz w:val="19"/>
                <w:szCs w:val="19"/>
                <w:color w:val="auto"/>
              </w:rPr>
            </w:pPr>
          </w:p>
        </w:tc>
        <w:tc>
          <w:tcPr>
            <w:tcW w:w="12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E6E6E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30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left w:val="single" w:sz="8" w:color="E6E6E6"/>
              <w:bottom w:val="single" w:sz="8" w:color="E6E6E6"/>
            </w:tcBorders>
            <w:shd w:val="clear" w:color="auto" w:fill="E6E6E6"/>
          </w:tcPr>
          <w:p>
            <w:pPr>
              <w:spacing w:after="0"/>
              <w:rPr>
                <w:sz w:val="20"/>
                <w:szCs w:val="20"/>
                <w:color w:val="auto"/>
              </w:rPr>
            </w:pPr>
          </w:p>
        </w:tc>
        <w:tc>
          <w:tcPr>
            <w:tcW w:w="104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4/1/2025</w:t>
            </w:r>
          </w:p>
        </w:tc>
        <w:tc>
          <w:tcPr>
            <w:tcW w:w="60" w:type="dxa"/>
            <w:vAlign w:val="bottom"/>
            <w:tcBorders>
              <w:bottom w:val="single" w:sz="8" w:color="E6E6E6"/>
              <w:right w:val="single" w:sz="8" w:color="E6E6E6"/>
            </w:tcBorders>
            <w:shd w:val="clear" w:color="auto" w:fill="E6E6E6"/>
          </w:tcPr>
          <w:p>
            <w:pPr>
              <w:spacing w:after="0"/>
              <w:rPr>
                <w:sz w:val="20"/>
                <w:szCs w:val="20"/>
                <w:color w:val="auto"/>
              </w:rPr>
            </w:pPr>
          </w:p>
        </w:tc>
        <w:tc>
          <w:tcPr>
            <w:tcW w:w="10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3/5/2025</w:t>
            </w:r>
          </w:p>
        </w:tc>
        <w:tc>
          <w:tcPr>
            <w:tcW w:w="20" w:type="dxa"/>
            <w:vAlign w:val="bottom"/>
            <w:tcBorders>
              <w:bottom w:val="single" w:sz="8" w:color="E6E6E6"/>
            </w:tcBorders>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9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94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E6E6E6"/>
              <w:right w:val="single" w:sz="8" w:color="E6E6E6"/>
            </w:tcBorders>
            <w:shd w:val="clear" w:color="auto" w:fill="E6E6E6"/>
          </w:tcPr>
          <w:p>
            <w:pPr>
              <w:spacing w:after="0"/>
              <w:rPr>
                <w:sz w:val="20"/>
                <w:szCs w:val="20"/>
                <w:color w:val="auto"/>
              </w:rPr>
            </w:pPr>
          </w:p>
        </w:tc>
        <w:tc>
          <w:tcPr>
            <w:tcW w:w="92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610,260</w:t>
            </w:r>
          </w:p>
        </w:tc>
        <w:tc>
          <w:tcPr>
            <w:tcW w:w="60" w:type="dxa"/>
            <w:vAlign w:val="bottom"/>
            <w:tcBorders>
              <w:bottom w:val="single" w:sz="8" w:color="E6E6E6"/>
              <w:right w:val="single" w:sz="8" w:color="E6E6E6"/>
            </w:tcBorders>
            <w:shd w:val="clear" w:color="auto" w:fill="E6E6E6"/>
          </w:tcPr>
          <w:p>
            <w:pPr>
              <w:spacing w:after="0"/>
              <w:rPr>
                <w:sz w:val="20"/>
                <w:szCs w:val="20"/>
                <w:color w:val="auto"/>
              </w:rPr>
            </w:pPr>
          </w:p>
        </w:tc>
        <w:tc>
          <w:tcPr>
            <w:tcW w:w="12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16,300,045</w:t>
            </w:r>
          </w:p>
        </w:tc>
        <w:tc>
          <w:tcPr>
            <w:tcW w:w="2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300" w:type="dxa"/>
            <w:vAlign w:val="bottom"/>
          </w:tcPr>
          <w:p>
            <w:pPr>
              <w:ind w:left="100"/>
              <w:spacing w:after="0"/>
              <w:rPr>
                <w:sz w:val="20"/>
                <w:szCs w:val="20"/>
                <w:color w:val="auto"/>
              </w:rPr>
            </w:pPr>
            <w:r>
              <w:rPr>
                <w:rFonts w:ascii="Arial" w:cs="Arial" w:eastAsia="Arial" w:hAnsi="Arial"/>
                <w:sz w:val="18"/>
                <w:szCs w:val="18"/>
                <w:color w:val="auto"/>
              </w:rPr>
              <w:t>Ashraf Alkarmi</w:t>
            </w:r>
          </w:p>
        </w:tc>
        <w:tc>
          <w:tcPr>
            <w:tcW w:w="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125,000</w:t>
            </w:r>
          </w:p>
        </w:tc>
        <w:tc>
          <w:tcPr>
            <w:tcW w:w="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500,000</w:t>
            </w:r>
          </w:p>
        </w:tc>
        <w:tc>
          <w:tcPr>
            <w:tcW w:w="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937,500</w:t>
            </w:r>
          </w:p>
        </w:tc>
        <w:tc>
          <w:tcPr>
            <w:tcW w:w="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1/1/2025</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9"/>
              </w:rPr>
              <w:t>12/9/2024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8"/>
              </w:rPr>
              <w:t>537,936</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7"/>
              </w:rPr>
              <w:t>16,159,597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1477010</wp:posOffset>
                </wp:positionH>
                <wp:positionV relativeFrom="paragraph">
                  <wp:posOffset>-2234565</wp:posOffset>
                </wp:positionV>
                <wp:extent cx="0" cy="657225"/>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722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3pt,-175.9499pt" to="116.3pt,-124.1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2154555</wp:posOffset>
                </wp:positionH>
                <wp:positionV relativeFrom="paragraph">
                  <wp:posOffset>-2234565</wp:posOffset>
                </wp:positionV>
                <wp:extent cx="0" cy="657225"/>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722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65pt,-175.9499pt" to="169.65pt,-124.1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2832100</wp:posOffset>
                </wp:positionH>
                <wp:positionV relativeFrom="paragraph">
                  <wp:posOffset>-2234565</wp:posOffset>
                </wp:positionV>
                <wp:extent cx="0" cy="657225"/>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722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175.9499pt" to="223pt,-124.1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4077335</wp:posOffset>
                </wp:positionH>
                <wp:positionV relativeFrom="paragraph">
                  <wp:posOffset>-1824355</wp:posOffset>
                </wp:positionV>
                <wp:extent cx="0" cy="247015"/>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0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05pt,-143.6499pt" to="321.05pt,-124.1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4698365</wp:posOffset>
                </wp:positionH>
                <wp:positionV relativeFrom="paragraph">
                  <wp:posOffset>-2234565</wp:posOffset>
                </wp:positionV>
                <wp:extent cx="0" cy="657225"/>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722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5pt,-175.9499pt" to="369.95pt,-124.1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5321935</wp:posOffset>
                </wp:positionH>
                <wp:positionV relativeFrom="paragraph">
                  <wp:posOffset>-2234565</wp:posOffset>
                </wp:positionV>
                <wp:extent cx="0" cy="657225"/>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722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05pt,-175.9499pt" to="419.05pt,-124.1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1477010</wp:posOffset>
                </wp:positionH>
                <wp:positionV relativeFrom="paragraph">
                  <wp:posOffset>-1541780</wp:posOffset>
                </wp:positionV>
                <wp:extent cx="0" cy="145415"/>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3pt,-121.3999pt" to="116.3pt,-109.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2154555</wp:posOffset>
                </wp:positionH>
                <wp:positionV relativeFrom="paragraph">
                  <wp:posOffset>-1541780</wp:posOffset>
                </wp:positionV>
                <wp:extent cx="0" cy="145415"/>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65pt,-121.3999pt" to="169.65pt,-109.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2832100</wp:posOffset>
                </wp:positionH>
                <wp:positionV relativeFrom="paragraph">
                  <wp:posOffset>-1541780</wp:posOffset>
                </wp:positionV>
                <wp:extent cx="0" cy="145415"/>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121.3999pt" to="223pt,-109.9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3446780</wp:posOffset>
                </wp:positionH>
                <wp:positionV relativeFrom="paragraph">
                  <wp:posOffset>-1577340</wp:posOffset>
                </wp:positionV>
                <wp:extent cx="17780" cy="3556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5560"/>
                        </a:xfrm>
                        <a:prstGeom prst="rect">
                          <a:avLst/>
                        </a:prstGeom>
                        <a:solidFill>
                          <a:srgbClr val="FFFFFF"/>
                        </a:solidFill>
                      </wps:spPr>
                      <wps:bodyPr/>
                    </wps:wsp>
                  </a:graphicData>
                </a:graphic>
              </wp:anchor>
            </w:drawing>
          </mc:Choice>
          <mc:Fallback>
            <w:pict>
              <v:rect id="Shape 196" o:spid="_x0000_s1221" style="position:absolute;margin-left:271.4pt;margin-top:-124.1999pt;width:1.4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3455670</wp:posOffset>
                </wp:positionH>
                <wp:positionV relativeFrom="paragraph">
                  <wp:posOffset>-1824355</wp:posOffset>
                </wp:positionV>
                <wp:extent cx="0" cy="42799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79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pt,-143.6499pt" to="272.1pt,-109.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4077335</wp:posOffset>
                </wp:positionH>
                <wp:positionV relativeFrom="paragraph">
                  <wp:posOffset>-1541780</wp:posOffset>
                </wp:positionV>
                <wp:extent cx="0" cy="14541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05pt,-121.3999pt" to="321.05pt,-109.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4698365</wp:posOffset>
                </wp:positionH>
                <wp:positionV relativeFrom="paragraph">
                  <wp:posOffset>-1541780</wp:posOffset>
                </wp:positionV>
                <wp:extent cx="0" cy="145415"/>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5pt,-121.3999pt" to="369.95pt,-109.9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5321935</wp:posOffset>
                </wp:positionH>
                <wp:positionV relativeFrom="paragraph">
                  <wp:posOffset>-1541780</wp:posOffset>
                </wp:positionV>
                <wp:extent cx="0" cy="145415"/>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05pt,-121.3999pt" to="419.05pt,-109.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1477010</wp:posOffset>
                </wp:positionH>
                <wp:positionV relativeFrom="paragraph">
                  <wp:posOffset>-1247775</wp:posOffset>
                </wp:positionV>
                <wp:extent cx="0" cy="31496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9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3pt,-98.2499pt" to="116.3pt,-73.4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2154555</wp:posOffset>
                </wp:positionH>
                <wp:positionV relativeFrom="paragraph">
                  <wp:posOffset>-1247775</wp:posOffset>
                </wp:positionV>
                <wp:extent cx="0" cy="31496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9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65pt,-98.2499pt" to="169.65pt,-73.4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2832100</wp:posOffset>
                </wp:positionH>
                <wp:positionV relativeFrom="paragraph">
                  <wp:posOffset>-1247775</wp:posOffset>
                </wp:positionV>
                <wp:extent cx="0" cy="31496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96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98.2499pt" to="223pt,-73.4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3455670</wp:posOffset>
                </wp:positionH>
                <wp:positionV relativeFrom="paragraph">
                  <wp:posOffset>-1247775</wp:posOffset>
                </wp:positionV>
                <wp:extent cx="0" cy="31496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9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pt,-98.2499pt" to="272.1pt,-73.4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4077335</wp:posOffset>
                </wp:positionH>
                <wp:positionV relativeFrom="paragraph">
                  <wp:posOffset>-1247775</wp:posOffset>
                </wp:positionV>
                <wp:extent cx="0" cy="31496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9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05pt,-98.2499pt" to="321.05pt,-73.4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4698365</wp:posOffset>
                </wp:positionH>
                <wp:positionV relativeFrom="paragraph">
                  <wp:posOffset>-1247775</wp:posOffset>
                </wp:positionV>
                <wp:extent cx="0" cy="31496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96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5pt,-98.2499pt" to="369.95pt,-73.4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5321935</wp:posOffset>
                </wp:positionH>
                <wp:positionV relativeFrom="paragraph">
                  <wp:posOffset>-1247775</wp:posOffset>
                </wp:positionV>
                <wp:extent cx="0" cy="31496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9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05pt,-98.2499pt" to="419.05pt,-73.4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1477010</wp:posOffset>
                </wp:positionH>
                <wp:positionV relativeFrom="paragraph">
                  <wp:posOffset>-614680</wp:posOffset>
                </wp:positionV>
                <wp:extent cx="0" cy="145415"/>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3pt,-48.3999pt" to="116.3pt,-36.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2154555</wp:posOffset>
                </wp:positionH>
                <wp:positionV relativeFrom="paragraph">
                  <wp:posOffset>-614680</wp:posOffset>
                </wp:positionV>
                <wp:extent cx="0" cy="145415"/>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65pt,-48.3999pt" to="169.65pt,-36.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5321935</wp:posOffset>
                </wp:positionH>
                <wp:positionV relativeFrom="paragraph">
                  <wp:posOffset>-614680</wp:posOffset>
                </wp:positionV>
                <wp:extent cx="0" cy="145415"/>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05pt,-48.3999pt" to="419.05pt,-36.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3455670</wp:posOffset>
                </wp:positionH>
                <wp:positionV relativeFrom="paragraph">
                  <wp:posOffset>-469265</wp:posOffset>
                </wp:positionV>
                <wp:extent cx="0" cy="17272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pt,-36.9499pt" to="272.1pt,-23.3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4077335</wp:posOffset>
                </wp:positionH>
                <wp:positionV relativeFrom="paragraph">
                  <wp:posOffset>-469265</wp:posOffset>
                </wp:positionV>
                <wp:extent cx="0" cy="17272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05pt,-36.9499pt" to="321.05pt,-23.3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2832100</wp:posOffset>
                </wp:positionH>
                <wp:positionV relativeFrom="paragraph">
                  <wp:posOffset>-614680</wp:posOffset>
                </wp:positionV>
                <wp:extent cx="0" cy="46355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355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48.3999pt" to="223pt,-11.8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4698365</wp:posOffset>
                </wp:positionH>
                <wp:positionV relativeFrom="paragraph">
                  <wp:posOffset>-614680</wp:posOffset>
                </wp:positionV>
                <wp:extent cx="0" cy="46355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355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5pt,-48.3999pt" to="369.95pt,-11.8999pt" o:allowincell="f" strokecolor="#FFFFFF" strokeweight="1.404pt"/>
            </w:pict>
          </mc:Fallback>
        </mc:AlternateContent>
      </w:r>
    </w:p>
    <w:p>
      <w:pPr>
        <w:ind w:left="347" w:right="680" w:hanging="347"/>
        <w:spacing w:after="0" w:line="249" w:lineRule="auto"/>
        <w:tabs>
          <w:tab w:leader="none" w:pos="347" w:val="left"/>
        </w:tabs>
        <w:numPr>
          <w:ilvl w:val="0"/>
          <w:numId w:val="74"/>
        </w:numPr>
        <w:rPr>
          <w:rFonts w:ascii="Arial" w:cs="Arial" w:eastAsia="Arial" w:hAnsi="Arial"/>
          <w:sz w:val="20"/>
          <w:szCs w:val="20"/>
          <w:color w:val="auto"/>
          <w:vertAlign w:val="superscript"/>
        </w:rPr>
      </w:pPr>
      <w:r>
        <w:rPr>
          <w:rFonts w:ascii="Arial" w:cs="Arial" w:eastAsia="Arial" w:hAnsi="Arial"/>
          <w:sz w:val="15"/>
          <w:szCs w:val="15"/>
          <w:color w:val="auto"/>
        </w:rPr>
        <w:t>Each of these grants was made pursuant to our 2025 Cash Bonus Plan, as described in greater detail under the section titled “</w:t>
      </w:r>
      <w:r>
        <w:rPr>
          <w:rFonts w:ascii="Arial" w:cs="Arial" w:eastAsia="Arial" w:hAnsi="Arial"/>
          <w:sz w:val="15"/>
          <w:szCs w:val="15"/>
          <w:i w:val="1"/>
          <w:iCs w:val="1"/>
          <w:color w:val="auto"/>
        </w:rPr>
        <w:t>Executive Compensation</w:t>
      </w:r>
      <w:r>
        <w:rPr>
          <w:rFonts w:ascii="Arial" w:cs="Arial" w:eastAsia="Arial" w:hAnsi="Arial"/>
          <w:sz w:val="15"/>
          <w:szCs w:val="15"/>
          <w:color w:val="auto"/>
        </w:rPr>
        <w:t>—</w:t>
      </w:r>
      <w:r>
        <w:rPr>
          <w:rFonts w:ascii="Arial" w:cs="Arial" w:eastAsia="Arial" w:hAnsi="Arial"/>
          <w:sz w:val="15"/>
          <w:szCs w:val="15"/>
          <w:i w:val="1"/>
          <w:iCs w:val="1"/>
          <w:color w:val="auto"/>
        </w:rPr>
        <w:t>Compensation Elements – Annual Cash Bonuses</w:t>
      </w:r>
      <w:r>
        <w:rPr>
          <w:rFonts w:ascii="Arial" w:cs="Arial" w:eastAsia="Arial" w:hAnsi="Arial"/>
          <w:sz w:val="15"/>
          <w:szCs w:val="15"/>
          <w:color w:val="auto"/>
        </w:rPr>
        <w:t>” above.</w:t>
      </w:r>
    </w:p>
    <w:p>
      <w:pPr>
        <w:spacing w:after="0" w:line="3" w:lineRule="exact"/>
        <w:rPr>
          <w:rFonts w:ascii="Arial" w:cs="Arial" w:eastAsia="Arial" w:hAnsi="Arial"/>
          <w:sz w:val="20"/>
          <w:szCs w:val="20"/>
          <w:color w:val="auto"/>
          <w:vertAlign w:val="superscript"/>
        </w:rPr>
      </w:pPr>
    </w:p>
    <w:p>
      <w:pPr>
        <w:ind w:left="347" w:right="60" w:hanging="347"/>
        <w:spacing w:after="0" w:line="259" w:lineRule="auto"/>
        <w:tabs>
          <w:tab w:leader="none" w:pos="347" w:val="left"/>
        </w:tabs>
        <w:numPr>
          <w:ilvl w:val="0"/>
          <w:numId w:val="74"/>
        </w:numPr>
        <w:rPr>
          <w:rFonts w:ascii="Arial" w:cs="Arial" w:eastAsia="Arial" w:hAnsi="Arial"/>
          <w:sz w:val="20"/>
          <w:szCs w:val="20"/>
          <w:color w:val="auto"/>
          <w:vertAlign w:val="superscript"/>
        </w:rPr>
      </w:pPr>
      <w:r>
        <w:rPr>
          <w:rFonts w:ascii="Arial" w:cs="Arial" w:eastAsia="Arial" w:hAnsi="Arial"/>
          <w:sz w:val="15"/>
          <w:szCs w:val="15"/>
          <w:color w:val="auto"/>
        </w:rPr>
        <w:t>Amounts reported represent the aggregate grant date fair value of the RSUs based on the closing price for a share of our Class A common stock as reported by Nasdaq on the day immediately preceding the grant date, calculated in accordance with ASC Topic 718.</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7" w:hanging="475"/>
        <w:spacing w:after="0"/>
        <w:tabs>
          <w:tab w:leader="none" w:pos="527"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68" w:name="page69"/>
    <w:bookmarkEnd w:id="68"/>
    <w:p>
      <w:pPr>
        <w:ind w:left="7"/>
        <w:spacing w:after="0"/>
        <w:rPr>
          <w:sz w:val="20"/>
          <w:szCs w:val="20"/>
          <w:color w:val="auto"/>
        </w:rPr>
      </w:pPr>
      <w:r>
        <w:rPr>
          <w:rFonts w:ascii="Arial" w:cs="Arial" w:eastAsia="Arial" w:hAnsi="Arial"/>
          <w:sz w:val="33"/>
          <w:szCs w:val="33"/>
          <w:color w:val="0A248E"/>
        </w:rPr>
        <w:t>EXECUTIVE COMPENSATION (continued)</w:t>
      </w:r>
    </w:p>
    <w:p>
      <w:pPr>
        <w:spacing w:after="0" w:line="273" w:lineRule="exact"/>
        <w:rPr>
          <w:sz w:val="20"/>
          <w:szCs w:val="20"/>
          <w:color w:val="auto"/>
        </w:rPr>
      </w:pPr>
    </w:p>
    <w:p>
      <w:pPr>
        <w:ind w:left="7"/>
        <w:spacing w:after="0"/>
        <w:rPr>
          <w:sz w:val="20"/>
          <w:szCs w:val="20"/>
          <w:color w:val="auto"/>
        </w:rPr>
      </w:pPr>
      <w:r>
        <w:rPr>
          <w:rFonts w:ascii="Arial" w:cs="Arial" w:eastAsia="Arial" w:hAnsi="Arial"/>
          <w:sz w:val="28"/>
          <w:szCs w:val="28"/>
          <w:color w:val="0A248E"/>
        </w:rPr>
        <w:t>Outstanding Equity Awards at 2025 Year-End</w:t>
      </w:r>
    </w:p>
    <w:p>
      <w:pPr>
        <w:spacing w:after="0" w:line="295" w:lineRule="exact"/>
        <w:rPr>
          <w:sz w:val="20"/>
          <w:szCs w:val="20"/>
          <w:color w:val="auto"/>
        </w:rPr>
      </w:pPr>
    </w:p>
    <w:p>
      <w:pPr>
        <w:ind w:left="7" w:right="300"/>
        <w:spacing w:after="0" w:line="299" w:lineRule="auto"/>
        <w:rPr>
          <w:sz w:val="20"/>
          <w:szCs w:val="20"/>
          <w:color w:val="auto"/>
        </w:rPr>
      </w:pPr>
      <w:r>
        <w:rPr>
          <w:rFonts w:ascii="Arial" w:cs="Arial" w:eastAsia="Arial" w:hAnsi="Arial"/>
          <w:sz w:val="18"/>
          <w:szCs w:val="18"/>
          <w:color w:val="auto"/>
        </w:rPr>
        <w:t>The following table sets forth information regarding outstanding equity awards held by our named executive officers as of December 31, 2025.</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61"/>
        </w:trPr>
        <w:tc>
          <w:tcPr>
            <w:tcW w:w="180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shd w:val="clear" w:color="auto" w:fill="0A248E"/>
          </w:tcPr>
          <w:p>
            <w:pPr>
              <w:spacing w:after="0"/>
              <w:rPr>
                <w:sz w:val="5"/>
                <w:szCs w:val="5"/>
                <w:color w:val="auto"/>
              </w:rPr>
            </w:pPr>
          </w:p>
        </w:tc>
        <w:tc>
          <w:tcPr>
            <w:tcW w:w="80" w:type="dxa"/>
            <w:vAlign w:val="bottom"/>
            <w:tcBorders>
              <w:left w:val="single" w:sz="8" w:color="0A248E"/>
              <w:right w:val="single" w:sz="8" w:color="0A248E"/>
            </w:tcBorders>
            <w:shd w:val="clear" w:color="auto" w:fill="0A248E"/>
          </w:tcPr>
          <w:p>
            <w:pPr>
              <w:spacing w:after="0"/>
              <w:rPr>
                <w:sz w:val="5"/>
                <w:szCs w:val="5"/>
                <w:color w:val="auto"/>
              </w:rPr>
            </w:pPr>
          </w:p>
        </w:tc>
        <w:tc>
          <w:tcPr>
            <w:tcW w:w="1100" w:type="dxa"/>
            <w:vAlign w:val="bottom"/>
            <w:tcBorders>
              <w:right w:val="single" w:sz="8" w:color="0A248E"/>
            </w:tcBorders>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r>
      <w:tr>
        <w:trPr>
          <w:trHeight w:val="277"/>
        </w:trPr>
        <w:tc>
          <w:tcPr>
            <w:tcW w:w="1800" w:type="dxa"/>
            <w:vAlign w:val="bottom"/>
            <w:shd w:val="clear" w:color="auto" w:fill="0A248E"/>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1140" w:type="dxa"/>
            <w:vAlign w:val="bottom"/>
            <w:shd w:val="clear" w:color="auto" w:fill="0A248E"/>
          </w:tcPr>
          <w:p>
            <w:pPr>
              <w:spacing w:after="0"/>
              <w:rPr>
                <w:sz w:val="24"/>
                <w:szCs w:val="24"/>
                <w:color w:val="auto"/>
              </w:rPr>
            </w:pPr>
          </w:p>
        </w:tc>
        <w:tc>
          <w:tcPr>
            <w:tcW w:w="40" w:type="dxa"/>
            <w:vAlign w:val="bottom"/>
            <w:tcBorders>
              <w:right w:val="single" w:sz="8" w:color="0A248E"/>
            </w:tcBorders>
          </w:tcPr>
          <w:p>
            <w:pPr>
              <w:spacing w:after="0"/>
              <w:rPr>
                <w:sz w:val="24"/>
                <w:szCs w:val="24"/>
                <w:color w:val="auto"/>
              </w:rPr>
            </w:pPr>
          </w:p>
        </w:tc>
        <w:tc>
          <w:tcPr>
            <w:tcW w:w="2200" w:type="dxa"/>
            <w:vAlign w:val="bottom"/>
            <w:tcBorders>
              <w:right w:val="single" w:sz="8" w:color="0A248E"/>
            </w:tcBorders>
            <w:gridSpan w:val="3"/>
            <w:shd w:val="clear" w:color="auto" w:fill="0A248E"/>
          </w:tcPr>
          <w:p>
            <w:pPr>
              <w:ind w:left="560"/>
              <w:spacing w:after="0"/>
              <w:rPr>
                <w:sz w:val="20"/>
                <w:szCs w:val="20"/>
                <w:color w:val="auto"/>
              </w:rPr>
            </w:pPr>
            <w:r>
              <w:rPr>
                <w:rFonts w:ascii="Arial" w:cs="Arial" w:eastAsia="Arial" w:hAnsi="Arial"/>
                <w:sz w:val="15"/>
                <w:szCs w:val="15"/>
                <w:b w:val="1"/>
                <w:bCs w:val="1"/>
                <w:color w:val="FFFFFF"/>
              </w:rPr>
              <w:t>Option awards</w:t>
            </w:r>
          </w:p>
        </w:tc>
        <w:tc>
          <w:tcPr>
            <w:tcW w:w="40" w:type="dxa"/>
            <w:vAlign w:val="bottom"/>
            <w:tcBorders>
              <w:left w:val="single" w:sz="8" w:color="0A248E"/>
            </w:tcBorders>
          </w:tcPr>
          <w:p>
            <w:pPr>
              <w:spacing w:after="0"/>
              <w:rPr>
                <w:sz w:val="24"/>
                <w:szCs w:val="24"/>
                <w:color w:val="auto"/>
              </w:rPr>
            </w:pPr>
          </w:p>
        </w:tc>
        <w:tc>
          <w:tcPr>
            <w:tcW w:w="840" w:type="dxa"/>
            <w:vAlign w:val="bottom"/>
            <w:shd w:val="clear" w:color="auto" w:fill="0A248E"/>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0A248E"/>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2660" w:type="dxa"/>
            <w:vAlign w:val="bottom"/>
            <w:gridSpan w:val="4"/>
            <w:shd w:val="clear" w:color="auto" w:fill="0A248E"/>
          </w:tcPr>
          <w:p>
            <w:pPr>
              <w:jc w:val="right"/>
              <w:ind w:right="741"/>
              <w:spacing w:after="0"/>
              <w:rPr>
                <w:sz w:val="20"/>
                <w:szCs w:val="20"/>
                <w:color w:val="auto"/>
              </w:rPr>
            </w:pPr>
            <w:r>
              <w:rPr>
                <w:rFonts w:ascii="Arial" w:cs="Arial" w:eastAsia="Arial" w:hAnsi="Arial"/>
                <w:sz w:val="15"/>
                <w:szCs w:val="15"/>
                <w:b w:val="1"/>
                <w:bCs w:val="1"/>
                <w:color w:val="FFFFFF"/>
              </w:rPr>
              <w:t>Stock Awards</w:t>
            </w:r>
          </w:p>
        </w:tc>
        <w:tc>
          <w:tcPr>
            <w:tcW w:w="20" w:type="dxa"/>
            <w:vAlign w:val="bottom"/>
          </w:tcPr>
          <w:p>
            <w:pPr>
              <w:spacing w:after="0"/>
              <w:rPr>
                <w:sz w:val="24"/>
                <w:szCs w:val="24"/>
                <w:color w:val="auto"/>
              </w:rPr>
            </w:pPr>
          </w:p>
        </w:tc>
      </w:tr>
      <w:tr>
        <w:trPr>
          <w:trHeight w:val="69"/>
        </w:trPr>
        <w:tc>
          <w:tcPr>
            <w:tcW w:w="1800" w:type="dxa"/>
            <w:vAlign w:val="bottom"/>
            <w:shd w:val="clear" w:color="auto" w:fill="0A248E"/>
          </w:tcPr>
          <w:p>
            <w:pPr>
              <w:spacing w:after="0"/>
              <w:rPr>
                <w:sz w:val="6"/>
                <w:szCs w:val="6"/>
                <w:color w:val="auto"/>
              </w:rPr>
            </w:pPr>
          </w:p>
        </w:tc>
        <w:tc>
          <w:tcPr>
            <w:tcW w:w="20" w:type="dxa"/>
            <w:vAlign w:val="bottom"/>
            <w:shd w:val="clear" w:color="auto" w:fill="0A248E"/>
          </w:tcPr>
          <w:p>
            <w:pPr>
              <w:spacing w:after="0"/>
              <w:rPr>
                <w:sz w:val="6"/>
                <w:szCs w:val="6"/>
                <w:color w:val="auto"/>
              </w:rPr>
            </w:pPr>
          </w:p>
        </w:tc>
        <w:tc>
          <w:tcPr>
            <w:tcW w:w="1140" w:type="dxa"/>
            <w:vAlign w:val="bottom"/>
            <w:shd w:val="clear" w:color="auto" w:fill="0A248E"/>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shd w:val="clear" w:color="auto" w:fill="0A248E"/>
          </w:tcPr>
          <w:p>
            <w:pPr>
              <w:spacing w:after="0"/>
              <w:rPr>
                <w:sz w:val="6"/>
                <w:szCs w:val="6"/>
                <w:color w:val="auto"/>
              </w:rPr>
            </w:pPr>
          </w:p>
        </w:tc>
        <w:tc>
          <w:tcPr>
            <w:tcW w:w="80" w:type="dxa"/>
            <w:vAlign w:val="bottom"/>
            <w:tcBorders>
              <w:left w:val="single" w:sz="8" w:color="0A248E"/>
              <w:right w:val="single" w:sz="8" w:color="0A248E"/>
            </w:tcBorders>
            <w:shd w:val="clear" w:color="auto" w:fill="0A248E"/>
          </w:tcPr>
          <w:p>
            <w:pPr>
              <w:spacing w:after="0"/>
              <w:rPr>
                <w:sz w:val="6"/>
                <w:szCs w:val="6"/>
                <w:color w:val="auto"/>
              </w:rPr>
            </w:pPr>
          </w:p>
        </w:tc>
        <w:tc>
          <w:tcPr>
            <w:tcW w:w="1100" w:type="dxa"/>
            <w:vAlign w:val="bottom"/>
            <w:tcBorders>
              <w:right w:val="single" w:sz="8" w:color="0A248E"/>
            </w:tcBorders>
            <w:shd w:val="clear" w:color="auto" w:fill="0A248E"/>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shd w:val="clear" w:color="auto" w:fill="0A248E"/>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shd w:val="clear" w:color="auto" w:fill="0A248E"/>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shd w:val="clear" w:color="auto" w:fill="0A248E"/>
          </w:tcPr>
          <w:p>
            <w:pPr>
              <w:spacing w:after="0"/>
              <w:rPr>
                <w:sz w:val="6"/>
                <w:szCs w:val="6"/>
                <w:color w:val="auto"/>
              </w:rPr>
            </w:pPr>
          </w:p>
        </w:tc>
        <w:tc>
          <w:tcPr>
            <w:tcW w:w="20" w:type="dxa"/>
            <w:vAlign w:val="bottom"/>
            <w:shd w:val="clear" w:color="auto" w:fill="0A248E"/>
          </w:tcPr>
          <w:p>
            <w:pPr>
              <w:spacing w:after="0"/>
              <w:rPr>
                <w:sz w:val="6"/>
                <w:szCs w:val="6"/>
                <w:color w:val="auto"/>
              </w:rPr>
            </w:pPr>
          </w:p>
        </w:tc>
        <w:tc>
          <w:tcPr>
            <w:tcW w:w="20" w:type="dxa"/>
            <w:vAlign w:val="bottom"/>
            <w:shd w:val="clear" w:color="auto" w:fill="0A248E"/>
          </w:tcPr>
          <w:p>
            <w:pPr>
              <w:spacing w:after="0"/>
              <w:rPr>
                <w:sz w:val="6"/>
                <w:szCs w:val="6"/>
                <w:color w:val="auto"/>
              </w:rPr>
            </w:pPr>
          </w:p>
        </w:tc>
        <w:tc>
          <w:tcPr>
            <w:tcW w:w="1140" w:type="dxa"/>
            <w:vAlign w:val="bottom"/>
            <w:shd w:val="clear" w:color="auto" w:fill="0A248E"/>
          </w:tcPr>
          <w:p>
            <w:pPr>
              <w:spacing w:after="0"/>
              <w:rPr>
                <w:sz w:val="6"/>
                <w:szCs w:val="6"/>
                <w:color w:val="auto"/>
              </w:rPr>
            </w:pPr>
          </w:p>
        </w:tc>
        <w:tc>
          <w:tcPr>
            <w:tcW w:w="20" w:type="dxa"/>
            <w:vAlign w:val="bottom"/>
          </w:tcPr>
          <w:p>
            <w:pPr>
              <w:spacing w:after="0"/>
              <w:rPr>
                <w:sz w:val="6"/>
                <w:szCs w:val="6"/>
                <w:color w:val="auto"/>
              </w:rPr>
            </w:pPr>
          </w:p>
        </w:tc>
      </w:tr>
      <w:tr>
        <w:trPr>
          <w:trHeight w:val="36"/>
        </w:trPr>
        <w:tc>
          <w:tcPr>
            <w:tcW w:w="1800" w:type="dxa"/>
            <w:vAlign w:val="bottom"/>
            <w:shd w:val="clear" w:color="auto" w:fill="0A248E"/>
          </w:tcPr>
          <w:p>
            <w:pPr>
              <w:spacing w:after="0"/>
              <w:rPr>
                <w:sz w:val="3"/>
                <w:szCs w:val="3"/>
                <w:color w:val="auto"/>
              </w:rPr>
            </w:pPr>
          </w:p>
        </w:tc>
        <w:tc>
          <w:tcPr>
            <w:tcW w:w="20" w:type="dxa"/>
            <w:vAlign w:val="bottom"/>
            <w:shd w:val="clear" w:color="auto" w:fill="0A248E"/>
          </w:tcPr>
          <w:p>
            <w:pPr>
              <w:spacing w:after="0"/>
              <w:rPr>
                <w:sz w:val="3"/>
                <w:szCs w:val="3"/>
                <w:color w:val="auto"/>
              </w:rPr>
            </w:pPr>
          </w:p>
        </w:tc>
        <w:tc>
          <w:tcPr>
            <w:tcW w:w="1140" w:type="dxa"/>
            <w:vAlign w:val="bottom"/>
            <w:shd w:val="clear" w:color="auto" w:fill="0A248E"/>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shd w:val="clear" w:color="auto" w:fill="0A248E"/>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shd w:val="clear" w:color="auto" w:fill="0A248E"/>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3"/>
        </w:trPr>
        <w:tc>
          <w:tcPr>
            <w:tcW w:w="1800" w:type="dxa"/>
            <w:vAlign w:val="bottom"/>
            <w:tcBorders>
              <w:top w:val="single" w:sz="8" w:color="0A248E"/>
            </w:tcBorders>
            <w:shd w:val="clear" w:color="auto" w:fill="0A248E"/>
          </w:tcPr>
          <w:p>
            <w:pPr>
              <w:spacing w:after="0"/>
              <w:rPr>
                <w:sz w:val="22"/>
                <w:szCs w:val="22"/>
                <w:color w:val="auto"/>
              </w:rPr>
            </w:pPr>
          </w:p>
        </w:tc>
        <w:tc>
          <w:tcPr>
            <w:tcW w:w="20" w:type="dxa"/>
            <w:vAlign w:val="bottom"/>
            <w:tcBorders>
              <w:top w:val="single" w:sz="8" w:color="0A248E"/>
            </w:tcBorders>
            <w:shd w:val="clear" w:color="auto" w:fill="0A248E"/>
          </w:tcPr>
          <w:p>
            <w:pPr>
              <w:spacing w:after="0"/>
              <w:rPr>
                <w:sz w:val="22"/>
                <w:szCs w:val="22"/>
                <w:color w:val="auto"/>
              </w:rPr>
            </w:pPr>
          </w:p>
        </w:tc>
        <w:tc>
          <w:tcPr>
            <w:tcW w:w="1140" w:type="dxa"/>
            <w:vAlign w:val="bottom"/>
            <w:tcBorders>
              <w:top w:val="single" w:sz="8" w:color="0A248E"/>
            </w:tcBorders>
            <w:shd w:val="clear" w:color="auto" w:fill="0A248E"/>
          </w:tcPr>
          <w:p>
            <w:pPr>
              <w:spacing w:after="0"/>
              <w:rPr>
                <w:sz w:val="22"/>
                <w:szCs w:val="22"/>
                <w:color w:val="auto"/>
              </w:rPr>
            </w:pPr>
          </w:p>
        </w:tc>
        <w:tc>
          <w:tcPr>
            <w:tcW w:w="40" w:type="dxa"/>
            <w:vAlign w:val="bottom"/>
            <w:tcBorders>
              <w:right w:val="single" w:sz="8" w:color="0A248E"/>
            </w:tcBorders>
          </w:tcPr>
          <w:p>
            <w:pPr>
              <w:spacing w:after="0"/>
              <w:rPr>
                <w:sz w:val="22"/>
                <w:szCs w:val="22"/>
                <w:color w:val="auto"/>
              </w:rPr>
            </w:pPr>
          </w:p>
        </w:tc>
        <w:tc>
          <w:tcPr>
            <w:tcW w:w="1020" w:type="dxa"/>
            <w:vAlign w:val="bottom"/>
            <w:tcBorders>
              <w:top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Number of</w:t>
            </w:r>
          </w:p>
        </w:tc>
        <w:tc>
          <w:tcPr>
            <w:tcW w:w="80" w:type="dxa"/>
            <w:vAlign w:val="bottom"/>
            <w:tcBorders>
              <w:left w:val="single" w:sz="8" w:color="0A248E"/>
              <w:right w:val="single" w:sz="8" w:color="0A248E"/>
            </w:tcBorders>
          </w:tcPr>
          <w:p>
            <w:pPr>
              <w:spacing w:after="0"/>
              <w:rPr>
                <w:sz w:val="22"/>
                <w:szCs w:val="22"/>
                <w:color w:val="auto"/>
              </w:rPr>
            </w:pPr>
          </w:p>
        </w:tc>
        <w:tc>
          <w:tcPr>
            <w:tcW w:w="1100" w:type="dxa"/>
            <w:vAlign w:val="bottom"/>
            <w:tcBorders>
              <w:top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Number of</w:t>
            </w:r>
          </w:p>
        </w:tc>
        <w:tc>
          <w:tcPr>
            <w:tcW w:w="40" w:type="dxa"/>
            <w:vAlign w:val="bottom"/>
            <w:tcBorders>
              <w:left w:val="single" w:sz="8" w:color="0A248E"/>
            </w:tcBorders>
          </w:tcPr>
          <w:p>
            <w:pPr>
              <w:spacing w:after="0"/>
              <w:rPr>
                <w:sz w:val="22"/>
                <w:szCs w:val="22"/>
                <w:color w:val="auto"/>
              </w:rPr>
            </w:pPr>
          </w:p>
        </w:tc>
        <w:tc>
          <w:tcPr>
            <w:tcW w:w="840" w:type="dxa"/>
            <w:vAlign w:val="bottom"/>
            <w:tcBorders>
              <w:top w:val="single" w:sz="8" w:color="0A248E"/>
            </w:tcBorders>
            <w:shd w:val="clear" w:color="auto" w:fill="0A248E"/>
          </w:tcPr>
          <w:p>
            <w:pPr>
              <w:spacing w:after="0"/>
              <w:rPr>
                <w:sz w:val="22"/>
                <w:szCs w:val="22"/>
                <w:color w:val="auto"/>
              </w:rPr>
            </w:pPr>
          </w:p>
        </w:tc>
        <w:tc>
          <w:tcPr>
            <w:tcW w:w="20" w:type="dxa"/>
            <w:vAlign w:val="bottom"/>
            <w:shd w:val="clear" w:color="auto" w:fill="0A248E"/>
          </w:tcPr>
          <w:p>
            <w:pPr>
              <w:spacing w:after="0"/>
              <w:rPr>
                <w:sz w:val="22"/>
                <w:szCs w:val="22"/>
                <w:color w:val="auto"/>
              </w:rPr>
            </w:pPr>
          </w:p>
        </w:tc>
        <w:tc>
          <w:tcPr>
            <w:tcW w:w="860" w:type="dxa"/>
            <w:vAlign w:val="bottom"/>
            <w:tcBorders>
              <w:top w:val="single" w:sz="8" w:color="0A248E"/>
            </w:tcBorders>
            <w:shd w:val="clear" w:color="auto" w:fill="0A248E"/>
          </w:tcPr>
          <w:p>
            <w:pPr>
              <w:spacing w:after="0"/>
              <w:rPr>
                <w:sz w:val="22"/>
                <w:szCs w:val="22"/>
                <w:color w:val="auto"/>
              </w:rPr>
            </w:pPr>
          </w:p>
        </w:tc>
        <w:tc>
          <w:tcPr>
            <w:tcW w:w="20" w:type="dxa"/>
            <w:vAlign w:val="bottom"/>
            <w:shd w:val="clear" w:color="auto" w:fill="0A248E"/>
          </w:tcPr>
          <w:p>
            <w:pPr>
              <w:spacing w:after="0"/>
              <w:rPr>
                <w:sz w:val="22"/>
                <w:szCs w:val="22"/>
                <w:color w:val="auto"/>
              </w:rPr>
            </w:pPr>
          </w:p>
        </w:tc>
        <w:tc>
          <w:tcPr>
            <w:tcW w:w="1480" w:type="dxa"/>
            <w:vAlign w:val="bottom"/>
            <w:tcBorders>
              <w:top w:val="single" w:sz="8" w:color="0A248E"/>
            </w:tcBorders>
            <w:shd w:val="clear" w:color="auto" w:fill="0A248E"/>
          </w:tcPr>
          <w:p>
            <w:pPr>
              <w:spacing w:after="0"/>
              <w:rPr>
                <w:sz w:val="22"/>
                <w:szCs w:val="22"/>
                <w:color w:val="auto"/>
              </w:rPr>
            </w:pPr>
          </w:p>
        </w:tc>
        <w:tc>
          <w:tcPr>
            <w:tcW w:w="20" w:type="dxa"/>
            <w:vAlign w:val="bottom"/>
            <w:shd w:val="clear" w:color="auto" w:fill="0A248E"/>
          </w:tcPr>
          <w:p>
            <w:pPr>
              <w:spacing w:after="0"/>
              <w:rPr>
                <w:sz w:val="22"/>
                <w:szCs w:val="22"/>
                <w:color w:val="auto"/>
              </w:rPr>
            </w:pPr>
          </w:p>
        </w:tc>
        <w:tc>
          <w:tcPr>
            <w:tcW w:w="20" w:type="dxa"/>
            <w:vAlign w:val="bottom"/>
            <w:shd w:val="clear" w:color="auto" w:fill="0A248E"/>
          </w:tcPr>
          <w:p>
            <w:pPr>
              <w:spacing w:after="0"/>
              <w:rPr>
                <w:sz w:val="22"/>
                <w:szCs w:val="22"/>
                <w:color w:val="auto"/>
              </w:rPr>
            </w:pPr>
          </w:p>
        </w:tc>
        <w:tc>
          <w:tcPr>
            <w:tcW w:w="1140" w:type="dxa"/>
            <w:vAlign w:val="bottom"/>
            <w:tcBorders>
              <w:top w:val="single" w:sz="8" w:color="0A248E"/>
            </w:tcBorders>
            <w:shd w:val="clear" w:color="auto" w:fill="0A248E"/>
          </w:tcPr>
          <w:p>
            <w:pPr>
              <w:spacing w:after="0"/>
              <w:rPr>
                <w:sz w:val="22"/>
                <w:szCs w:val="22"/>
                <w:color w:val="auto"/>
              </w:rPr>
            </w:pPr>
          </w:p>
        </w:tc>
        <w:tc>
          <w:tcPr>
            <w:tcW w:w="20" w:type="dxa"/>
            <w:vAlign w:val="bottom"/>
          </w:tcPr>
          <w:p>
            <w:pPr>
              <w:spacing w:after="0"/>
              <w:rPr>
                <w:sz w:val="22"/>
                <w:szCs w:val="22"/>
                <w:color w:val="auto"/>
              </w:rPr>
            </w:pPr>
          </w:p>
        </w:tc>
      </w:tr>
      <w:tr>
        <w:trPr>
          <w:trHeight w:val="206"/>
        </w:trPr>
        <w:tc>
          <w:tcPr>
            <w:tcW w:w="1800" w:type="dxa"/>
            <w:vAlign w:val="bottom"/>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1140" w:type="dxa"/>
            <w:vAlign w:val="bottom"/>
            <w:shd w:val="clear" w:color="auto" w:fill="0A248E"/>
          </w:tcPr>
          <w:p>
            <w:pPr>
              <w:spacing w:after="0"/>
              <w:rPr>
                <w:sz w:val="17"/>
                <w:szCs w:val="17"/>
                <w:color w:val="auto"/>
              </w:rPr>
            </w:pPr>
          </w:p>
        </w:tc>
        <w:tc>
          <w:tcPr>
            <w:tcW w:w="40" w:type="dxa"/>
            <w:vAlign w:val="bottom"/>
            <w:tcBorders>
              <w:right w:val="single" w:sz="8" w:color="0A248E"/>
            </w:tcBorders>
          </w:tcPr>
          <w:p>
            <w:pPr>
              <w:spacing w:after="0"/>
              <w:rPr>
                <w:sz w:val="17"/>
                <w:szCs w:val="17"/>
                <w:color w:val="auto"/>
              </w:rPr>
            </w:pPr>
          </w:p>
        </w:tc>
        <w:tc>
          <w:tcPr>
            <w:tcW w:w="10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Securities</w:t>
            </w:r>
          </w:p>
        </w:tc>
        <w:tc>
          <w:tcPr>
            <w:tcW w:w="80" w:type="dxa"/>
            <w:vAlign w:val="bottom"/>
            <w:tcBorders>
              <w:left w:val="single" w:sz="8" w:color="0A248E"/>
              <w:right w:val="single" w:sz="8" w:color="0A248E"/>
            </w:tcBorders>
          </w:tcPr>
          <w:p>
            <w:pPr>
              <w:spacing w:after="0"/>
              <w:rPr>
                <w:sz w:val="17"/>
                <w:szCs w:val="17"/>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Securities</w:t>
            </w:r>
          </w:p>
        </w:tc>
        <w:tc>
          <w:tcPr>
            <w:tcW w:w="40" w:type="dxa"/>
            <w:vAlign w:val="bottom"/>
            <w:tcBorders>
              <w:left w:val="single" w:sz="8" w:color="0A248E"/>
            </w:tcBorders>
          </w:tcPr>
          <w:p>
            <w:pPr>
              <w:spacing w:after="0"/>
              <w:rPr>
                <w:sz w:val="17"/>
                <w:szCs w:val="17"/>
                <w:color w:val="auto"/>
              </w:rPr>
            </w:pPr>
          </w:p>
        </w:tc>
        <w:tc>
          <w:tcPr>
            <w:tcW w:w="840" w:type="dxa"/>
            <w:vAlign w:val="bottom"/>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860" w:type="dxa"/>
            <w:vAlign w:val="bottom"/>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148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Number of</w:t>
            </w:r>
          </w:p>
        </w:tc>
        <w:tc>
          <w:tcPr>
            <w:tcW w:w="20" w:type="dxa"/>
            <w:vAlign w:val="bottom"/>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Market value</w:t>
            </w:r>
          </w:p>
        </w:tc>
        <w:tc>
          <w:tcPr>
            <w:tcW w:w="20" w:type="dxa"/>
            <w:vAlign w:val="bottom"/>
          </w:tcPr>
          <w:p>
            <w:pPr>
              <w:spacing w:after="0"/>
              <w:rPr>
                <w:sz w:val="17"/>
                <w:szCs w:val="17"/>
                <w:color w:val="auto"/>
              </w:rPr>
            </w:pPr>
          </w:p>
        </w:tc>
      </w:tr>
      <w:tr>
        <w:trPr>
          <w:trHeight w:val="163"/>
        </w:trPr>
        <w:tc>
          <w:tcPr>
            <w:tcW w:w="180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1140" w:type="dxa"/>
            <w:vAlign w:val="bottom"/>
            <w:shd w:val="clear" w:color="auto" w:fill="0A248E"/>
          </w:tcPr>
          <w:p>
            <w:pPr>
              <w:spacing w:after="0"/>
              <w:rPr>
                <w:sz w:val="14"/>
                <w:szCs w:val="14"/>
                <w:color w:val="auto"/>
              </w:rPr>
            </w:pPr>
          </w:p>
        </w:tc>
        <w:tc>
          <w:tcPr>
            <w:tcW w:w="40" w:type="dxa"/>
            <w:vAlign w:val="bottom"/>
            <w:tcBorders>
              <w:right w:val="single" w:sz="8" w:color="0A248E"/>
            </w:tcBorders>
          </w:tcPr>
          <w:p>
            <w:pPr>
              <w:spacing w:after="0"/>
              <w:rPr>
                <w:sz w:val="14"/>
                <w:szCs w:val="14"/>
                <w:color w:val="auto"/>
              </w:rPr>
            </w:pPr>
          </w:p>
        </w:tc>
        <w:tc>
          <w:tcPr>
            <w:tcW w:w="102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Underlying</w:t>
            </w:r>
          </w:p>
        </w:tc>
        <w:tc>
          <w:tcPr>
            <w:tcW w:w="80" w:type="dxa"/>
            <w:vAlign w:val="bottom"/>
            <w:tcBorders>
              <w:left w:val="single" w:sz="8" w:color="0A248E"/>
              <w:right w:val="single" w:sz="8" w:color="0A248E"/>
            </w:tcBorders>
          </w:tcPr>
          <w:p>
            <w:pPr>
              <w:spacing w:after="0"/>
              <w:rPr>
                <w:sz w:val="14"/>
                <w:szCs w:val="14"/>
                <w:color w:val="auto"/>
              </w:rPr>
            </w:pPr>
          </w:p>
        </w:tc>
        <w:tc>
          <w:tcPr>
            <w:tcW w:w="1100" w:type="dxa"/>
            <w:vAlign w:val="bottom"/>
            <w:tcBorders>
              <w:right w:val="single" w:sz="8" w:color="0A248E"/>
            </w:tcBorders>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Underlying</w:t>
            </w:r>
          </w:p>
        </w:tc>
        <w:tc>
          <w:tcPr>
            <w:tcW w:w="40" w:type="dxa"/>
            <w:vAlign w:val="bottom"/>
            <w:tcBorders>
              <w:left w:val="single" w:sz="8" w:color="0A248E"/>
            </w:tcBorders>
          </w:tcPr>
          <w:p>
            <w:pPr>
              <w:spacing w:after="0"/>
              <w:rPr>
                <w:sz w:val="14"/>
                <w:szCs w:val="14"/>
                <w:color w:val="auto"/>
              </w:rPr>
            </w:pPr>
          </w:p>
        </w:tc>
        <w:tc>
          <w:tcPr>
            <w:tcW w:w="84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86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148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shares or</w:t>
            </w:r>
          </w:p>
        </w:tc>
        <w:tc>
          <w:tcPr>
            <w:tcW w:w="2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11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of shares or</w:t>
            </w:r>
          </w:p>
        </w:tc>
        <w:tc>
          <w:tcPr>
            <w:tcW w:w="20" w:type="dxa"/>
            <w:vAlign w:val="bottom"/>
          </w:tcPr>
          <w:p>
            <w:pPr>
              <w:spacing w:after="0"/>
              <w:rPr>
                <w:sz w:val="14"/>
                <w:szCs w:val="14"/>
                <w:color w:val="auto"/>
              </w:rPr>
            </w:pPr>
          </w:p>
        </w:tc>
      </w:tr>
      <w:tr>
        <w:trPr>
          <w:trHeight w:val="249"/>
        </w:trPr>
        <w:tc>
          <w:tcPr>
            <w:tcW w:w="180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1140" w:type="dxa"/>
            <w:vAlign w:val="bottom"/>
            <w:shd w:val="clear" w:color="auto" w:fill="0A248E"/>
          </w:tcPr>
          <w:p>
            <w:pPr>
              <w:spacing w:after="0"/>
              <w:rPr>
                <w:sz w:val="21"/>
                <w:szCs w:val="21"/>
                <w:color w:val="auto"/>
              </w:rPr>
            </w:pPr>
          </w:p>
        </w:tc>
        <w:tc>
          <w:tcPr>
            <w:tcW w:w="40" w:type="dxa"/>
            <w:vAlign w:val="bottom"/>
            <w:tcBorders>
              <w:right w:val="single" w:sz="8" w:color="0A248E"/>
            </w:tcBorders>
          </w:tcPr>
          <w:p>
            <w:pPr>
              <w:spacing w:after="0"/>
              <w:rPr>
                <w:sz w:val="21"/>
                <w:szCs w:val="21"/>
                <w:color w:val="auto"/>
              </w:rPr>
            </w:pPr>
          </w:p>
        </w:tc>
        <w:tc>
          <w:tcPr>
            <w:tcW w:w="10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Unexercised</w:t>
            </w:r>
          </w:p>
        </w:tc>
        <w:tc>
          <w:tcPr>
            <w:tcW w:w="80" w:type="dxa"/>
            <w:vAlign w:val="bottom"/>
            <w:tcBorders>
              <w:left w:val="single" w:sz="8" w:color="0A248E"/>
              <w:right w:val="single" w:sz="8" w:color="0A248E"/>
            </w:tcBorders>
          </w:tcPr>
          <w:p>
            <w:pPr>
              <w:spacing w:after="0"/>
              <w:rPr>
                <w:sz w:val="21"/>
                <w:szCs w:val="21"/>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Unexercised</w:t>
            </w:r>
          </w:p>
        </w:tc>
        <w:tc>
          <w:tcPr>
            <w:tcW w:w="40" w:type="dxa"/>
            <w:vAlign w:val="bottom"/>
            <w:tcBorders>
              <w:left w:val="single" w:sz="8" w:color="0A248E"/>
            </w:tcBorders>
          </w:tcPr>
          <w:p>
            <w:pPr>
              <w:spacing w:after="0"/>
              <w:rPr>
                <w:sz w:val="21"/>
                <w:szCs w:val="21"/>
                <w:color w:val="auto"/>
              </w:rPr>
            </w:pPr>
          </w:p>
        </w:tc>
        <w:tc>
          <w:tcPr>
            <w:tcW w:w="8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Option</w:t>
            </w:r>
          </w:p>
        </w:tc>
        <w:tc>
          <w:tcPr>
            <w:tcW w:w="20" w:type="dxa"/>
            <w:vAlign w:val="bottom"/>
            <w:shd w:val="clear" w:color="auto" w:fill="0A248E"/>
          </w:tcPr>
          <w:p>
            <w:pPr>
              <w:spacing w:after="0"/>
              <w:rPr>
                <w:sz w:val="21"/>
                <w:szCs w:val="21"/>
                <w:color w:val="auto"/>
              </w:rPr>
            </w:pPr>
          </w:p>
        </w:tc>
        <w:tc>
          <w:tcPr>
            <w:tcW w:w="8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Option</w:t>
            </w:r>
          </w:p>
        </w:tc>
        <w:tc>
          <w:tcPr>
            <w:tcW w:w="20" w:type="dxa"/>
            <w:vAlign w:val="bottom"/>
            <w:shd w:val="clear" w:color="auto" w:fill="0A248E"/>
          </w:tcPr>
          <w:p>
            <w:pPr>
              <w:spacing w:after="0"/>
              <w:rPr>
                <w:sz w:val="21"/>
                <w:szCs w:val="21"/>
                <w:color w:val="auto"/>
              </w:rPr>
            </w:pPr>
          </w:p>
        </w:tc>
        <w:tc>
          <w:tcPr>
            <w:tcW w:w="148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units of stock</w:t>
            </w:r>
          </w:p>
        </w:tc>
        <w:tc>
          <w:tcPr>
            <w:tcW w:w="2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units of stock</w:t>
            </w:r>
          </w:p>
        </w:tc>
        <w:tc>
          <w:tcPr>
            <w:tcW w:w="20" w:type="dxa"/>
            <w:vAlign w:val="bottom"/>
          </w:tcPr>
          <w:p>
            <w:pPr>
              <w:spacing w:after="0"/>
              <w:rPr>
                <w:sz w:val="21"/>
                <w:szCs w:val="21"/>
                <w:color w:val="auto"/>
              </w:rPr>
            </w:pPr>
          </w:p>
        </w:tc>
      </w:tr>
      <w:tr>
        <w:trPr>
          <w:trHeight w:val="163"/>
        </w:trPr>
        <w:tc>
          <w:tcPr>
            <w:tcW w:w="180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1140" w:type="dxa"/>
            <w:vAlign w:val="bottom"/>
            <w:shd w:val="clear" w:color="auto" w:fill="0A248E"/>
          </w:tcPr>
          <w:p>
            <w:pPr>
              <w:spacing w:after="0"/>
              <w:rPr>
                <w:sz w:val="14"/>
                <w:szCs w:val="14"/>
                <w:color w:val="auto"/>
              </w:rPr>
            </w:pPr>
          </w:p>
        </w:tc>
        <w:tc>
          <w:tcPr>
            <w:tcW w:w="40" w:type="dxa"/>
            <w:vAlign w:val="bottom"/>
            <w:tcBorders>
              <w:right w:val="single" w:sz="8" w:color="0A248E"/>
            </w:tcBorders>
          </w:tcPr>
          <w:p>
            <w:pPr>
              <w:spacing w:after="0"/>
              <w:rPr>
                <w:sz w:val="14"/>
                <w:szCs w:val="14"/>
                <w:color w:val="auto"/>
              </w:rPr>
            </w:pPr>
          </w:p>
        </w:tc>
        <w:tc>
          <w:tcPr>
            <w:tcW w:w="102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Options</w:t>
            </w:r>
          </w:p>
        </w:tc>
        <w:tc>
          <w:tcPr>
            <w:tcW w:w="80" w:type="dxa"/>
            <w:vAlign w:val="bottom"/>
            <w:tcBorders>
              <w:left w:val="single" w:sz="8" w:color="0A248E"/>
              <w:right w:val="single" w:sz="8" w:color="0A248E"/>
            </w:tcBorders>
          </w:tcPr>
          <w:p>
            <w:pPr>
              <w:spacing w:after="0"/>
              <w:rPr>
                <w:sz w:val="14"/>
                <w:szCs w:val="14"/>
                <w:color w:val="auto"/>
              </w:rPr>
            </w:pPr>
          </w:p>
        </w:tc>
        <w:tc>
          <w:tcPr>
            <w:tcW w:w="1100" w:type="dxa"/>
            <w:vAlign w:val="bottom"/>
            <w:tcBorders>
              <w:right w:val="single" w:sz="8" w:color="0A248E"/>
            </w:tcBorders>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Options</w:t>
            </w:r>
          </w:p>
        </w:tc>
        <w:tc>
          <w:tcPr>
            <w:tcW w:w="40" w:type="dxa"/>
            <w:vAlign w:val="bottom"/>
            <w:tcBorders>
              <w:left w:val="single" w:sz="8" w:color="0A248E"/>
            </w:tcBorders>
          </w:tcPr>
          <w:p>
            <w:pPr>
              <w:spacing w:after="0"/>
              <w:rPr>
                <w:sz w:val="14"/>
                <w:szCs w:val="14"/>
                <w:color w:val="auto"/>
              </w:rPr>
            </w:pPr>
          </w:p>
        </w:tc>
        <w:tc>
          <w:tcPr>
            <w:tcW w:w="8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Exercise</w:t>
            </w:r>
          </w:p>
        </w:tc>
        <w:tc>
          <w:tcPr>
            <w:tcW w:w="20" w:type="dxa"/>
            <w:vAlign w:val="bottom"/>
            <w:shd w:val="clear" w:color="auto" w:fill="0A248E"/>
          </w:tcPr>
          <w:p>
            <w:pPr>
              <w:spacing w:after="0"/>
              <w:rPr>
                <w:sz w:val="14"/>
                <w:szCs w:val="14"/>
                <w:color w:val="auto"/>
              </w:rPr>
            </w:pPr>
          </w:p>
        </w:tc>
        <w:tc>
          <w:tcPr>
            <w:tcW w:w="86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Expiration</w:t>
            </w:r>
          </w:p>
        </w:tc>
        <w:tc>
          <w:tcPr>
            <w:tcW w:w="20" w:type="dxa"/>
            <w:vAlign w:val="bottom"/>
            <w:shd w:val="clear" w:color="auto" w:fill="0A248E"/>
          </w:tcPr>
          <w:p>
            <w:pPr>
              <w:spacing w:after="0"/>
              <w:rPr>
                <w:sz w:val="14"/>
                <w:szCs w:val="14"/>
                <w:color w:val="auto"/>
              </w:rPr>
            </w:pPr>
          </w:p>
        </w:tc>
        <w:tc>
          <w:tcPr>
            <w:tcW w:w="148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that have not</w:t>
            </w:r>
          </w:p>
        </w:tc>
        <w:tc>
          <w:tcPr>
            <w:tcW w:w="2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11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that have not</w:t>
            </w:r>
          </w:p>
        </w:tc>
        <w:tc>
          <w:tcPr>
            <w:tcW w:w="20" w:type="dxa"/>
            <w:vAlign w:val="bottom"/>
          </w:tcPr>
          <w:p>
            <w:pPr>
              <w:spacing w:after="0"/>
              <w:rPr>
                <w:sz w:val="14"/>
                <w:szCs w:val="14"/>
                <w:color w:val="auto"/>
              </w:rPr>
            </w:pPr>
          </w:p>
        </w:tc>
      </w:tr>
      <w:tr>
        <w:trPr>
          <w:trHeight w:val="285"/>
        </w:trPr>
        <w:tc>
          <w:tcPr>
            <w:tcW w:w="1800" w:type="dxa"/>
            <w:vAlign w:val="bottom"/>
            <w:shd w:val="clear" w:color="auto" w:fill="0A248E"/>
          </w:tcPr>
          <w:p>
            <w:pPr>
              <w:ind w:left="680"/>
              <w:spacing w:after="0"/>
              <w:rPr>
                <w:sz w:val="20"/>
                <w:szCs w:val="20"/>
                <w:color w:val="auto"/>
              </w:rPr>
            </w:pPr>
            <w:r>
              <w:rPr>
                <w:rFonts w:ascii="Arial" w:cs="Arial" w:eastAsia="Arial" w:hAnsi="Arial"/>
                <w:sz w:val="15"/>
                <w:szCs w:val="15"/>
                <w:b w:val="1"/>
                <w:bCs w:val="1"/>
                <w:color w:val="FFFFFF"/>
              </w:rPr>
              <w:t>Name</w:t>
            </w:r>
          </w:p>
        </w:tc>
        <w:tc>
          <w:tcPr>
            <w:tcW w:w="20" w:type="dxa"/>
            <w:vAlign w:val="bottom"/>
            <w:shd w:val="clear" w:color="auto" w:fill="0A248E"/>
          </w:tcPr>
          <w:p>
            <w:pPr>
              <w:spacing w:after="0"/>
              <w:rPr>
                <w:sz w:val="24"/>
                <w:szCs w:val="24"/>
                <w:color w:val="auto"/>
              </w:rPr>
            </w:pPr>
          </w:p>
        </w:tc>
        <w:tc>
          <w:tcPr>
            <w:tcW w:w="1140" w:type="dxa"/>
            <w:vAlign w:val="bottom"/>
            <w:shd w:val="clear" w:color="auto" w:fill="0A248E"/>
          </w:tcPr>
          <w:p>
            <w:pPr>
              <w:jc w:val="right"/>
              <w:ind w:right="93"/>
              <w:spacing w:after="0"/>
              <w:rPr>
                <w:sz w:val="20"/>
                <w:szCs w:val="20"/>
                <w:color w:val="auto"/>
              </w:rPr>
            </w:pPr>
            <w:r>
              <w:rPr>
                <w:rFonts w:ascii="Arial" w:cs="Arial" w:eastAsia="Arial" w:hAnsi="Arial"/>
                <w:sz w:val="15"/>
                <w:szCs w:val="15"/>
                <w:b w:val="1"/>
                <w:bCs w:val="1"/>
                <w:color w:val="FFFFFF"/>
              </w:rPr>
              <w:t>Grant date</w:t>
            </w:r>
          </w:p>
        </w:tc>
        <w:tc>
          <w:tcPr>
            <w:tcW w:w="40" w:type="dxa"/>
            <w:vAlign w:val="bottom"/>
            <w:tcBorders>
              <w:right w:val="single" w:sz="8" w:color="0A248E"/>
            </w:tcBorders>
          </w:tcPr>
          <w:p>
            <w:pPr>
              <w:spacing w:after="0"/>
              <w:rPr>
                <w:sz w:val="24"/>
                <w:szCs w:val="24"/>
                <w:color w:val="auto"/>
              </w:rPr>
            </w:pPr>
          </w:p>
        </w:tc>
        <w:tc>
          <w:tcPr>
            <w:tcW w:w="10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Exercisable</w:t>
            </w:r>
          </w:p>
        </w:tc>
        <w:tc>
          <w:tcPr>
            <w:tcW w:w="80" w:type="dxa"/>
            <w:vAlign w:val="bottom"/>
            <w:tcBorders>
              <w:left w:val="single" w:sz="8" w:color="0A248E"/>
              <w:right w:val="single" w:sz="8" w:color="0A248E"/>
            </w:tcBorders>
          </w:tcPr>
          <w:p>
            <w:pPr>
              <w:spacing w:after="0"/>
              <w:rPr>
                <w:sz w:val="24"/>
                <w:szCs w:val="24"/>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Unexercisable</w:t>
            </w:r>
          </w:p>
        </w:tc>
        <w:tc>
          <w:tcPr>
            <w:tcW w:w="40" w:type="dxa"/>
            <w:vAlign w:val="bottom"/>
            <w:tcBorders>
              <w:left w:val="single" w:sz="8" w:color="0A248E"/>
            </w:tcBorders>
          </w:tcPr>
          <w:p>
            <w:pPr>
              <w:spacing w:after="0"/>
              <w:rPr>
                <w:sz w:val="24"/>
                <w:szCs w:val="24"/>
                <w:color w:val="auto"/>
              </w:rPr>
            </w:pPr>
          </w:p>
        </w:tc>
        <w:tc>
          <w:tcPr>
            <w:tcW w:w="8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Price ($)</w:t>
            </w:r>
          </w:p>
        </w:tc>
        <w:tc>
          <w:tcPr>
            <w:tcW w:w="20" w:type="dxa"/>
            <w:vAlign w:val="bottom"/>
            <w:shd w:val="clear" w:color="auto" w:fill="0A248E"/>
          </w:tcPr>
          <w:p>
            <w:pPr>
              <w:spacing w:after="0"/>
              <w:rPr>
                <w:sz w:val="24"/>
                <w:szCs w:val="24"/>
                <w:color w:val="auto"/>
              </w:rPr>
            </w:pPr>
          </w:p>
        </w:tc>
        <w:tc>
          <w:tcPr>
            <w:tcW w:w="8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Date</w:t>
            </w:r>
          </w:p>
        </w:tc>
        <w:tc>
          <w:tcPr>
            <w:tcW w:w="20" w:type="dxa"/>
            <w:vAlign w:val="bottom"/>
            <w:shd w:val="clear" w:color="auto" w:fill="0A248E"/>
          </w:tcPr>
          <w:p>
            <w:pPr>
              <w:spacing w:after="0"/>
              <w:rPr>
                <w:sz w:val="24"/>
                <w:szCs w:val="24"/>
                <w:color w:val="auto"/>
              </w:rPr>
            </w:pPr>
          </w:p>
        </w:tc>
        <w:tc>
          <w:tcPr>
            <w:tcW w:w="148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vested (#)</w:t>
            </w:r>
          </w:p>
        </w:tc>
        <w:tc>
          <w:tcPr>
            <w:tcW w:w="20" w:type="dxa"/>
            <w:vAlign w:val="bottom"/>
            <w:shd w:val="clear" w:color="auto" w:fill="0A248E"/>
          </w:tcPr>
          <w:p>
            <w:pPr>
              <w:spacing w:after="0"/>
              <w:rPr>
                <w:sz w:val="24"/>
                <w:szCs w:val="24"/>
                <w:color w:val="auto"/>
              </w:rPr>
            </w:pPr>
          </w:p>
        </w:tc>
        <w:tc>
          <w:tcPr>
            <w:tcW w:w="20" w:type="dxa"/>
            <w:vAlign w:val="bottom"/>
            <w:shd w:val="clear" w:color="auto" w:fill="0A248E"/>
          </w:tcPr>
          <w:p>
            <w:pPr>
              <w:spacing w:after="0"/>
              <w:rPr>
                <w:sz w:val="24"/>
                <w:szCs w:val="24"/>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vested ($)</w:t>
            </w:r>
            <w:r>
              <w:rPr>
                <w:rFonts w:ascii="Arial" w:cs="Arial" w:eastAsia="Arial" w:hAnsi="Arial"/>
                <w:sz w:val="19"/>
                <w:szCs w:val="19"/>
                <w:b w:val="1"/>
                <w:bCs w:val="1"/>
                <w:color w:val="FFFFFF"/>
                <w:w w:val="98"/>
                <w:vertAlign w:val="superscript"/>
              </w:rPr>
              <w:t>(1)</w:t>
            </w:r>
          </w:p>
        </w:tc>
        <w:tc>
          <w:tcPr>
            <w:tcW w:w="20" w:type="dxa"/>
            <w:vAlign w:val="bottom"/>
          </w:tcPr>
          <w:p>
            <w:pPr>
              <w:spacing w:after="0"/>
              <w:rPr>
                <w:sz w:val="24"/>
                <w:szCs w:val="24"/>
                <w:color w:val="auto"/>
              </w:rPr>
            </w:pPr>
          </w:p>
        </w:tc>
      </w:tr>
      <w:tr>
        <w:trPr>
          <w:trHeight w:val="69"/>
        </w:trPr>
        <w:tc>
          <w:tcPr>
            <w:tcW w:w="180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40" w:type="dxa"/>
            <w:vAlign w:val="bottom"/>
            <w:tcBorders>
              <w:right w:val="single" w:sz="8" w:color="0A248E"/>
            </w:tcBorders>
          </w:tcPr>
          <w:p>
            <w:pPr>
              <w:spacing w:after="0"/>
              <w:rPr>
                <w:sz w:val="5"/>
                <w:szCs w:val="5"/>
                <w:color w:val="auto"/>
              </w:rPr>
            </w:pPr>
          </w:p>
        </w:tc>
        <w:tc>
          <w:tcPr>
            <w:tcW w:w="1020" w:type="dxa"/>
            <w:vAlign w:val="bottom"/>
            <w:tcBorders>
              <w:bottom w:val="single" w:sz="8" w:color="E6E6E6"/>
            </w:tcBorders>
            <w:shd w:val="clear" w:color="auto" w:fill="0A248E"/>
          </w:tcPr>
          <w:p>
            <w:pPr>
              <w:spacing w:after="0"/>
              <w:rPr>
                <w:sz w:val="5"/>
                <w:szCs w:val="5"/>
                <w:color w:val="auto"/>
              </w:rPr>
            </w:pPr>
          </w:p>
        </w:tc>
        <w:tc>
          <w:tcPr>
            <w:tcW w:w="80" w:type="dxa"/>
            <w:vAlign w:val="bottom"/>
            <w:tcBorders>
              <w:right w:val="single" w:sz="8" w:color="0A248E"/>
            </w:tcBorders>
          </w:tcPr>
          <w:p>
            <w:pPr>
              <w:spacing w:after="0"/>
              <w:rPr>
                <w:sz w:val="5"/>
                <w:szCs w:val="5"/>
                <w:color w:val="auto"/>
              </w:rPr>
            </w:pPr>
          </w:p>
        </w:tc>
        <w:tc>
          <w:tcPr>
            <w:tcW w:w="1100" w:type="dxa"/>
            <w:vAlign w:val="bottom"/>
            <w:tcBorders>
              <w:right w:val="single" w:sz="8" w:color="0A248E"/>
            </w:tcBorders>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shd w:val="clear" w:color="auto" w:fill="0A248E"/>
          </w:tcPr>
          <w:p>
            <w:pPr>
              <w:spacing w:after="0"/>
              <w:rPr>
                <w:sz w:val="5"/>
                <w:szCs w:val="5"/>
                <w:color w:val="auto"/>
              </w:rPr>
            </w:pPr>
          </w:p>
        </w:tc>
        <w:tc>
          <w:tcPr>
            <w:tcW w:w="20" w:type="dxa"/>
            <w:vAlign w:val="bottom"/>
          </w:tcPr>
          <w:p>
            <w:pPr>
              <w:spacing w:after="0"/>
              <w:rPr>
                <w:sz w:val="5"/>
                <w:szCs w:val="5"/>
                <w:color w:val="auto"/>
              </w:rPr>
            </w:pPr>
          </w:p>
        </w:tc>
      </w:tr>
      <w:tr>
        <w:trPr>
          <w:trHeight w:val="251"/>
        </w:trPr>
        <w:tc>
          <w:tcPr>
            <w:tcW w:w="18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Andrew W. Houston</w:t>
            </w:r>
          </w:p>
        </w:tc>
        <w:tc>
          <w:tcPr>
            <w:tcW w:w="20" w:type="dxa"/>
            <w:vAlign w:val="bottom"/>
            <w:tcBorders>
              <w:bottom w:val="single" w:sz="8" w:color="E6E6E6"/>
            </w:tcBorders>
            <w:shd w:val="clear" w:color="auto" w:fill="E6E6E6"/>
          </w:tcPr>
          <w:p>
            <w:pPr>
              <w:spacing w:after="0"/>
              <w:rPr>
                <w:sz w:val="21"/>
                <w:szCs w:val="21"/>
                <w:color w:val="auto"/>
              </w:rPr>
            </w:pPr>
          </w:p>
        </w:tc>
        <w:tc>
          <w:tcPr>
            <w:tcW w:w="1140" w:type="dxa"/>
            <w:vAlign w:val="bottom"/>
            <w:tcBorders>
              <w:bottom w:val="single" w:sz="8" w:color="E6E6E6"/>
            </w:tcBorders>
            <w:shd w:val="clear" w:color="auto" w:fill="E6E6E6"/>
          </w:tcPr>
          <w:p>
            <w:pPr>
              <w:jc w:val="right"/>
              <w:spacing w:after="0" w:line="224" w:lineRule="exact"/>
              <w:rPr>
                <w:sz w:val="20"/>
                <w:szCs w:val="20"/>
                <w:color w:val="auto"/>
              </w:rPr>
            </w:pPr>
            <w:r>
              <w:rPr>
                <w:rFonts w:ascii="Arial" w:cs="Arial" w:eastAsia="Arial" w:hAnsi="Arial"/>
                <w:sz w:val="18"/>
                <w:szCs w:val="18"/>
                <w:color w:val="auto"/>
                <w:shd w:val="clear" w:color="auto" w:fill="E6E6E6"/>
              </w:rPr>
              <w:t>12/12/17</w:t>
            </w:r>
            <w:r>
              <w:rPr>
                <w:rFonts w:ascii="Arial" w:cs="Arial" w:eastAsia="Arial" w:hAnsi="Arial"/>
                <w:sz w:val="23"/>
                <w:szCs w:val="23"/>
                <w:color w:val="auto"/>
                <w:vertAlign w:val="superscript"/>
                <w:shd w:val="clear" w:color="auto" w:fill="E6E6E6"/>
              </w:rPr>
              <w:t>(2)</w:t>
            </w:r>
          </w:p>
        </w:tc>
        <w:tc>
          <w:tcPr>
            <w:tcW w:w="40" w:type="dxa"/>
            <w:vAlign w:val="bottom"/>
            <w:tcBorders>
              <w:bottom w:val="single" w:sz="8" w:color="E6E6E6"/>
              <w:right w:val="single" w:sz="8" w:color="E6E6E6"/>
            </w:tcBorders>
            <w:shd w:val="clear" w:color="auto" w:fill="E6E6E6"/>
          </w:tcPr>
          <w:p>
            <w:pPr>
              <w:spacing w:after="0"/>
              <w:rPr>
                <w:sz w:val="21"/>
                <w:szCs w:val="21"/>
                <w:color w:val="auto"/>
              </w:rPr>
            </w:pPr>
          </w:p>
        </w:tc>
        <w:tc>
          <w:tcPr>
            <w:tcW w:w="10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left w:val="single" w:sz="8" w:color="E6E6E6"/>
              <w:right w:val="single" w:sz="8" w:color="E6E6E6"/>
            </w:tcBorders>
          </w:tcPr>
          <w:p>
            <w:pPr>
              <w:spacing w:after="0"/>
              <w:rPr>
                <w:sz w:val="21"/>
                <w:szCs w:val="21"/>
                <w:color w:val="auto"/>
              </w:rPr>
            </w:pPr>
          </w:p>
        </w:tc>
        <w:tc>
          <w:tcPr>
            <w:tcW w:w="11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21"/>
                <w:szCs w:val="21"/>
                <w:color w:val="auto"/>
              </w:rPr>
            </w:pPr>
          </w:p>
        </w:tc>
        <w:tc>
          <w:tcPr>
            <w:tcW w:w="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E6E6E6"/>
            </w:tcBorders>
            <w:shd w:val="clear" w:color="auto" w:fill="E6E6E6"/>
          </w:tcPr>
          <w:p>
            <w:pPr>
              <w:spacing w:after="0"/>
              <w:rPr>
                <w:sz w:val="21"/>
                <w:szCs w:val="21"/>
                <w:color w:val="auto"/>
              </w:rPr>
            </w:pPr>
          </w:p>
        </w:tc>
        <w:tc>
          <w:tcPr>
            <w:tcW w:w="8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480" w:type="dxa"/>
            <w:vAlign w:val="bottom"/>
            <w:tcBorders>
              <w:bottom w:val="single" w:sz="8" w:color="E6E6E6"/>
            </w:tcBorders>
            <w:shd w:val="clear" w:color="auto" w:fill="E6E6E6"/>
          </w:tcPr>
          <w:p>
            <w:pPr>
              <w:jc w:val="right"/>
              <w:ind w:right="176"/>
              <w:spacing w:after="0"/>
              <w:rPr>
                <w:sz w:val="20"/>
                <w:szCs w:val="20"/>
                <w:color w:val="auto"/>
              </w:rPr>
            </w:pPr>
            <w:r>
              <w:rPr>
                <w:rFonts w:ascii="Arial" w:cs="Arial" w:eastAsia="Arial" w:hAnsi="Arial"/>
                <w:sz w:val="18"/>
                <w:szCs w:val="18"/>
                <w:color w:val="auto"/>
              </w:rPr>
              <w:t>8,266,666</w:t>
            </w:r>
          </w:p>
        </w:tc>
        <w:tc>
          <w:tcPr>
            <w:tcW w:w="20" w:type="dxa"/>
            <w:vAlign w:val="bottom"/>
          </w:tcPr>
          <w:p>
            <w:pPr>
              <w:spacing w:after="0"/>
              <w:rPr>
                <w:sz w:val="21"/>
                <w:szCs w:val="21"/>
                <w:color w:val="auto"/>
              </w:rPr>
            </w:pPr>
          </w:p>
        </w:tc>
        <w:tc>
          <w:tcPr>
            <w:tcW w:w="11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shd w:val="clear" w:color="auto" w:fill="E6E6E6"/>
              </w:rPr>
              <w:t>229,813,315</w:t>
            </w:r>
          </w:p>
        </w:tc>
        <w:tc>
          <w:tcPr>
            <w:tcW w:w="20" w:type="dxa"/>
            <w:vAlign w:val="bottom"/>
            <w:tcBorders>
              <w:bottom w:val="single" w:sz="8" w:color="E6E6E6"/>
            </w:tcBorders>
            <w:shd w:val="clear" w:color="auto" w:fill="E6E6E6"/>
          </w:tcPr>
          <w:p>
            <w:pPr>
              <w:spacing w:after="0"/>
              <w:rPr>
                <w:sz w:val="21"/>
                <w:szCs w:val="21"/>
                <w:color w:val="auto"/>
              </w:rPr>
            </w:pPr>
          </w:p>
        </w:tc>
      </w:tr>
      <w:tr>
        <w:trPr>
          <w:trHeight w:val="241"/>
        </w:trPr>
        <w:tc>
          <w:tcPr>
            <w:tcW w:w="1800" w:type="dxa"/>
            <w:vAlign w:val="bottom"/>
          </w:tcPr>
          <w:p>
            <w:pPr>
              <w:ind w:left="40"/>
              <w:spacing w:after="0"/>
              <w:rPr>
                <w:sz w:val="20"/>
                <w:szCs w:val="20"/>
                <w:color w:val="auto"/>
              </w:rPr>
            </w:pPr>
            <w:r>
              <w:rPr>
                <w:rFonts w:ascii="Arial" w:cs="Arial" w:eastAsia="Arial" w:hAnsi="Arial"/>
                <w:sz w:val="18"/>
                <w:szCs w:val="18"/>
                <w:color w:val="auto"/>
              </w:rPr>
              <w:t>Ross Tennenbaum</w:t>
            </w:r>
          </w:p>
        </w:tc>
        <w:tc>
          <w:tcPr>
            <w:tcW w:w="20" w:type="dxa"/>
            <w:vAlign w:val="bottom"/>
          </w:tcPr>
          <w:p>
            <w:pPr>
              <w:spacing w:after="0"/>
              <w:rPr>
                <w:sz w:val="20"/>
                <w:szCs w:val="20"/>
                <w:color w:val="auto"/>
              </w:rPr>
            </w:pPr>
          </w:p>
        </w:tc>
        <w:tc>
          <w:tcPr>
            <w:tcW w:w="114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148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r>
      <w:tr>
        <w:trPr>
          <w:trHeight w:val="26"/>
        </w:trPr>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18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Timothy Regan</w:t>
            </w:r>
          </w:p>
        </w:tc>
        <w:tc>
          <w:tcPr>
            <w:tcW w:w="20" w:type="dxa"/>
            <w:vAlign w:val="bottom"/>
            <w:tcBorders>
              <w:bottom w:val="single" w:sz="8" w:color="E6E6E6"/>
            </w:tcBorders>
            <w:shd w:val="clear" w:color="auto" w:fill="E6E6E6"/>
          </w:tcPr>
          <w:p>
            <w:pPr>
              <w:spacing w:after="0"/>
              <w:rPr>
                <w:sz w:val="24"/>
                <w:szCs w:val="24"/>
                <w:color w:val="auto"/>
              </w:rPr>
            </w:pP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4/1/2022</w:t>
            </w:r>
            <w:r>
              <w:rPr>
                <w:rFonts w:ascii="Arial" w:cs="Arial" w:eastAsia="Arial" w:hAnsi="Arial"/>
                <w:sz w:val="23"/>
                <w:szCs w:val="23"/>
                <w:color w:val="auto"/>
                <w:vertAlign w:val="superscript"/>
              </w:rPr>
              <w:t>(3)</w:t>
            </w:r>
          </w:p>
        </w:tc>
        <w:tc>
          <w:tcPr>
            <w:tcW w:w="40" w:type="dxa"/>
            <w:vAlign w:val="bottom"/>
            <w:tcBorders>
              <w:bottom w:val="single" w:sz="8" w:color="E6E6E6"/>
              <w:right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left w:val="single" w:sz="8" w:color="E6E6E6"/>
              <w:right w:val="single" w:sz="8" w:color="E6E6E6"/>
            </w:tcBorders>
          </w:tcPr>
          <w:p>
            <w:pPr>
              <w:spacing w:after="0"/>
              <w:rPr>
                <w:sz w:val="24"/>
                <w:szCs w:val="24"/>
                <w:color w:val="auto"/>
              </w:rPr>
            </w:pPr>
          </w:p>
        </w:tc>
        <w:tc>
          <w:tcPr>
            <w:tcW w:w="11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24"/>
                <w:szCs w:val="24"/>
                <w:color w:val="auto"/>
              </w:rPr>
            </w:pPr>
          </w:p>
        </w:tc>
        <w:tc>
          <w:tcPr>
            <w:tcW w:w="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480" w:type="dxa"/>
            <w:vAlign w:val="bottom"/>
            <w:tcBorders>
              <w:bottom w:val="single" w:sz="8" w:color="E6E6E6"/>
            </w:tcBorders>
            <w:shd w:val="clear" w:color="auto" w:fill="E6E6E6"/>
          </w:tcPr>
          <w:p>
            <w:pPr>
              <w:jc w:val="right"/>
              <w:ind w:right="176"/>
              <w:spacing w:after="0"/>
              <w:rPr>
                <w:sz w:val="20"/>
                <w:szCs w:val="20"/>
                <w:color w:val="auto"/>
              </w:rPr>
            </w:pPr>
            <w:r>
              <w:rPr>
                <w:rFonts w:ascii="Arial" w:cs="Arial" w:eastAsia="Arial" w:hAnsi="Arial"/>
                <w:sz w:val="18"/>
                <w:szCs w:val="18"/>
                <w:color w:val="auto"/>
              </w:rPr>
              <w:t>12,615</w:t>
            </w:r>
          </w:p>
        </w:tc>
        <w:tc>
          <w:tcPr>
            <w:tcW w:w="20" w:type="dxa"/>
            <w:vAlign w:val="bottom"/>
            <w:tcBorders>
              <w:bottom w:val="single" w:sz="8" w:color="E6E6E6"/>
            </w:tcBorders>
            <w:shd w:val="clear" w:color="auto" w:fill="E6E6E6"/>
          </w:tcPr>
          <w:p>
            <w:pPr>
              <w:spacing w:after="0"/>
              <w:rPr>
                <w:sz w:val="24"/>
                <w:szCs w:val="24"/>
                <w:color w:val="auto"/>
              </w:rPr>
            </w:pPr>
          </w:p>
        </w:tc>
        <w:tc>
          <w:tcPr>
            <w:tcW w:w="11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350,697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48"/>
        </w:trPr>
        <w:tc>
          <w:tcPr>
            <w:tcW w:w="1800" w:type="dxa"/>
            <w:vAlign w:val="bottom"/>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6E6E6"/>
          </w:tcPr>
          <w:p>
            <w:pPr>
              <w:jc w:val="right"/>
              <w:spacing w:after="0" w:line="248" w:lineRule="exact"/>
              <w:rPr>
                <w:sz w:val="20"/>
                <w:szCs w:val="20"/>
                <w:color w:val="auto"/>
              </w:rPr>
            </w:pPr>
            <w:r>
              <w:rPr>
                <w:rFonts w:ascii="Arial" w:cs="Arial" w:eastAsia="Arial" w:hAnsi="Arial"/>
                <w:sz w:val="18"/>
                <w:szCs w:val="18"/>
                <w:color w:val="auto"/>
              </w:rPr>
              <w:t>4/1/2023</w:t>
            </w:r>
            <w:r>
              <w:rPr>
                <w:rFonts w:ascii="Arial" w:cs="Arial" w:eastAsia="Arial" w:hAnsi="Arial"/>
                <w:sz w:val="23"/>
                <w:szCs w:val="23"/>
                <w:color w:val="auto"/>
                <w:vertAlign w:val="superscript"/>
              </w:rPr>
              <w:t>(3)</w:t>
            </w:r>
          </w:p>
        </w:tc>
        <w:tc>
          <w:tcPr>
            <w:tcW w:w="40" w:type="dxa"/>
            <w:vAlign w:val="bottom"/>
            <w:tcBorders>
              <w:right w:val="single" w:sz="8" w:color="E6E6E6"/>
            </w:tcBorders>
            <w:shd w:val="clear" w:color="auto" w:fill="E6E6E6"/>
          </w:tcPr>
          <w:p>
            <w:pPr>
              <w:spacing w:after="0"/>
              <w:rPr>
                <w:sz w:val="21"/>
                <w:szCs w:val="21"/>
                <w:color w:val="auto"/>
              </w:rPr>
            </w:pPr>
          </w:p>
        </w:tc>
        <w:tc>
          <w:tcPr>
            <w:tcW w:w="10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left w:val="single" w:sz="8" w:color="E6E6E6"/>
              <w:right w:val="single" w:sz="8" w:color="E6E6E6"/>
            </w:tcBorders>
          </w:tcPr>
          <w:p>
            <w:pPr>
              <w:spacing w:after="0"/>
              <w:rPr>
                <w:sz w:val="21"/>
                <w:szCs w:val="21"/>
                <w:color w:val="auto"/>
              </w:rPr>
            </w:pPr>
          </w:p>
        </w:tc>
        <w:tc>
          <w:tcPr>
            <w:tcW w:w="11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21"/>
                <w:szCs w:val="21"/>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6E6E6"/>
          </w:tcPr>
          <w:p>
            <w:pPr>
              <w:spacing w:after="0"/>
              <w:rPr>
                <w:sz w:val="21"/>
                <w:szCs w:val="21"/>
                <w:color w:val="auto"/>
              </w:rPr>
            </w:pPr>
          </w:p>
        </w:tc>
        <w:tc>
          <w:tcPr>
            <w:tcW w:w="8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480" w:type="dxa"/>
            <w:vAlign w:val="bottom"/>
            <w:shd w:val="clear" w:color="auto" w:fill="E6E6E6"/>
          </w:tcPr>
          <w:p>
            <w:pPr>
              <w:jc w:val="right"/>
              <w:ind w:right="176"/>
              <w:spacing w:after="0"/>
              <w:rPr>
                <w:sz w:val="20"/>
                <w:szCs w:val="20"/>
                <w:color w:val="auto"/>
              </w:rPr>
            </w:pPr>
            <w:r>
              <w:rPr>
                <w:rFonts w:ascii="Arial" w:cs="Arial" w:eastAsia="Arial" w:hAnsi="Arial"/>
                <w:sz w:val="18"/>
                <w:szCs w:val="18"/>
                <w:color w:val="auto"/>
              </w:rPr>
              <w:t>68,819</w:t>
            </w:r>
          </w:p>
        </w:tc>
        <w:tc>
          <w:tcPr>
            <w:tcW w:w="20" w:type="dxa"/>
            <w:vAlign w:val="bottom"/>
          </w:tcPr>
          <w:p>
            <w:pPr>
              <w:spacing w:after="0"/>
              <w:rPr>
                <w:sz w:val="21"/>
                <w:szCs w:val="21"/>
                <w:color w:val="auto"/>
              </w:rPr>
            </w:pP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1,913,168</w:t>
            </w:r>
          </w:p>
        </w:tc>
        <w:tc>
          <w:tcPr>
            <w:tcW w:w="20" w:type="dxa"/>
            <w:vAlign w:val="bottom"/>
            <w:shd w:val="clear" w:color="auto" w:fill="E6E6E6"/>
          </w:tcPr>
          <w:p>
            <w:pPr>
              <w:spacing w:after="0"/>
              <w:rPr>
                <w:sz w:val="21"/>
                <w:szCs w:val="21"/>
                <w:color w:val="auto"/>
              </w:rPr>
            </w:pPr>
          </w:p>
        </w:tc>
      </w:tr>
      <w:tr>
        <w:trPr>
          <w:trHeight w:val="271"/>
        </w:trPr>
        <w:tc>
          <w:tcPr>
            <w:tcW w:w="1800" w:type="dxa"/>
            <w:vAlign w:val="bottom"/>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4/1/2024</w:t>
            </w:r>
            <w:r>
              <w:rPr>
                <w:rFonts w:ascii="Arial" w:cs="Arial" w:eastAsia="Arial" w:hAnsi="Arial"/>
                <w:sz w:val="23"/>
                <w:szCs w:val="23"/>
                <w:color w:val="auto"/>
                <w:vertAlign w:val="superscript"/>
              </w:rPr>
              <w:t>(3)</w:t>
            </w:r>
          </w:p>
        </w:tc>
        <w:tc>
          <w:tcPr>
            <w:tcW w:w="40" w:type="dxa"/>
            <w:vAlign w:val="bottom"/>
            <w:tcBorders>
              <w:right w:val="single" w:sz="8" w:color="E6E6E6"/>
            </w:tcBorders>
            <w:shd w:val="clear" w:color="auto" w:fill="E6E6E6"/>
          </w:tcPr>
          <w:p>
            <w:pPr>
              <w:spacing w:after="0"/>
              <w:rPr>
                <w:sz w:val="23"/>
                <w:szCs w:val="23"/>
                <w:color w:val="auto"/>
              </w:rPr>
            </w:pPr>
          </w:p>
        </w:tc>
        <w:tc>
          <w:tcPr>
            <w:tcW w:w="10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left w:val="single" w:sz="8" w:color="E6E6E6"/>
              <w:right w:val="single" w:sz="8" w:color="E6E6E6"/>
            </w:tcBorders>
          </w:tcPr>
          <w:p>
            <w:pPr>
              <w:spacing w:after="0"/>
              <w:rPr>
                <w:sz w:val="23"/>
                <w:szCs w:val="23"/>
                <w:color w:val="auto"/>
              </w:rPr>
            </w:pPr>
          </w:p>
        </w:tc>
        <w:tc>
          <w:tcPr>
            <w:tcW w:w="11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23"/>
                <w:szCs w:val="23"/>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6E6E6"/>
          </w:tcPr>
          <w:p>
            <w:pPr>
              <w:spacing w:after="0"/>
              <w:rPr>
                <w:sz w:val="23"/>
                <w:szCs w:val="23"/>
                <w:color w:val="auto"/>
              </w:rPr>
            </w:pPr>
          </w:p>
        </w:tc>
        <w:tc>
          <w:tcPr>
            <w:tcW w:w="8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1480" w:type="dxa"/>
            <w:vAlign w:val="bottom"/>
            <w:shd w:val="clear" w:color="auto" w:fill="E6E6E6"/>
          </w:tcPr>
          <w:p>
            <w:pPr>
              <w:jc w:val="right"/>
              <w:ind w:right="176"/>
              <w:spacing w:after="0"/>
              <w:rPr>
                <w:sz w:val="20"/>
                <w:szCs w:val="20"/>
                <w:color w:val="auto"/>
              </w:rPr>
            </w:pPr>
            <w:r>
              <w:rPr>
                <w:rFonts w:ascii="Arial" w:cs="Arial" w:eastAsia="Arial" w:hAnsi="Arial"/>
                <w:sz w:val="18"/>
                <w:szCs w:val="18"/>
                <w:color w:val="auto"/>
              </w:rPr>
              <w:t>116,539</w:t>
            </w:r>
          </w:p>
        </w:tc>
        <w:tc>
          <w:tcPr>
            <w:tcW w:w="20" w:type="dxa"/>
            <w:vAlign w:val="bottom"/>
          </w:tcPr>
          <w:p>
            <w:pPr>
              <w:spacing w:after="0"/>
              <w:rPr>
                <w:sz w:val="23"/>
                <w:szCs w:val="23"/>
                <w:color w:val="auto"/>
              </w:rPr>
            </w:pP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3,239,784</w:t>
            </w:r>
          </w:p>
        </w:tc>
        <w:tc>
          <w:tcPr>
            <w:tcW w:w="20" w:type="dxa"/>
            <w:vAlign w:val="bottom"/>
            <w:shd w:val="clear" w:color="auto" w:fill="E6E6E6"/>
          </w:tcPr>
          <w:p>
            <w:pPr>
              <w:spacing w:after="0"/>
              <w:rPr>
                <w:sz w:val="23"/>
                <w:szCs w:val="23"/>
                <w:color w:val="auto"/>
              </w:rPr>
            </w:pPr>
          </w:p>
        </w:tc>
      </w:tr>
      <w:tr>
        <w:trPr>
          <w:trHeight w:val="285"/>
        </w:trPr>
        <w:tc>
          <w:tcPr>
            <w:tcW w:w="1800" w:type="dxa"/>
            <w:vAlign w:val="bottom"/>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4/1/2025</w:t>
            </w:r>
            <w:r>
              <w:rPr>
                <w:rFonts w:ascii="Arial" w:cs="Arial" w:eastAsia="Arial" w:hAnsi="Arial"/>
                <w:sz w:val="23"/>
                <w:szCs w:val="23"/>
                <w:color w:val="auto"/>
                <w:vertAlign w:val="superscript"/>
              </w:rPr>
              <w:t>(3)</w:t>
            </w:r>
          </w:p>
        </w:tc>
        <w:tc>
          <w:tcPr>
            <w:tcW w:w="40" w:type="dxa"/>
            <w:vAlign w:val="bottom"/>
            <w:tcBorders>
              <w:right w:val="single" w:sz="8" w:color="E6E6E6"/>
            </w:tcBorders>
            <w:shd w:val="clear" w:color="auto" w:fill="E6E6E6"/>
          </w:tcPr>
          <w:p>
            <w:pPr>
              <w:spacing w:after="0"/>
              <w:rPr>
                <w:sz w:val="24"/>
                <w:szCs w:val="24"/>
                <w:color w:val="auto"/>
              </w:rPr>
            </w:pPr>
          </w:p>
        </w:tc>
        <w:tc>
          <w:tcPr>
            <w:tcW w:w="10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left w:val="single" w:sz="8" w:color="E6E6E6"/>
              <w:right w:val="single" w:sz="8" w:color="E6E6E6"/>
            </w:tcBorders>
          </w:tcPr>
          <w:p>
            <w:pPr>
              <w:spacing w:after="0"/>
              <w:rPr>
                <w:sz w:val="24"/>
                <w:szCs w:val="24"/>
                <w:color w:val="auto"/>
              </w:rPr>
            </w:pPr>
          </w:p>
        </w:tc>
        <w:tc>
          <w:tcPr>
            <w:tcW w:w="11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24"/>
                <w:szCs w:val="24"/>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6E6E6"/>
          </w:tcPr>
          <w:p>
            <w:pPr>
              <w:spacing w:after="0"/>
              <w:rPr>
                <w:sz w:val="24"/>
                <w:szCs w:val="24"/>
                <w:color w:val="auto"/>
              </w:rPr>
            </w:pPr>
          </w:p>
        </w:tc>
        <w:tc>
          <w:tcPr>
            <w:tcW w:w="8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480" w:type="dxa"/>
            <w:vAlign w:val="bottom"/>
            <w:shd w:val="clear" w:color="auto" w:fill="E6E6E6"/>
          </w:tcPr>
          <w:p>
            <w:pPr>
              <w:jc w:val="right"/>
              <w:ind w:right="176"/>
              <w:spacing w:after="0"/>
              <w:rPr>
                <w:sz w:val="20"/>
                <w:szCs w:val="20"/>
                <w:color w:val="auto"/>
              </w:rPr>
            </w:pPr>
            <w:r>
              <w:rPr>
                <w:rFonts w:ascii="Arial" w:cs="Arial" w:eastAsia="Arial" w:hAnsi="Arial"/>
                <w:sz w:val="18"/>
                <w:szCs w:val="18"/>
                <w:color w:val="auto"/>
              </w:rPr>
              <w:t>170,444</w:t>
            </w:r>
          </w:p>
        </w:tc>
        <w:tc>
          <w:tcPr>
            <w:tcW w:w="20" w:type="dxa"/>
            <w:vAlign w:val="bottom"/>
          </w:tcPr>
          <w:p>
            <w:pPr>
              <w:spacing w:after="0"/>
              <w:rPr>
                <w:sz w:val="24"/>
                <w:szCs w:val="24"/>
                <w:color w:val="auto"/>
              </w:rPr>
            </w:pP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4,738,343</w:t>
            </w:r>
          </w:p>
        </w:tc>
        <w:tc>
          <w:tcPr>
            <w:tcW w:w="20" w:type="dxa"/>
            <w:vAlign w:val="bottom"/>
            <w:shd w:val="clear" w:color="auto" w:fill="E6E6E6"/>
          </w:tcPr>
          <w:p>
            <w:pPr>
              <w:spacing w:after="0"/>
              <w:rPr>
                <w:sz w:val="24"/>
                <w:szCs w:val="24"/>
                <w:color w:val="auto"/>
              </w:rPr>
            </w:pPr>
          </w:p>
        </w:tc>
      </w:tr>
      <w:tr>
        <w:trPr>
          <w:trHeight w:val="270"/>
        </w:trPr>
        <w:tc>
          <w:tcPr>
            <w:tcW w:w="1800" w:type="dxa"/>
            <w:vAlign w:val="bottom"/>
          </w:tcPr>
          <w:p>
            <w:pPr>
              <w:ind w:left="40"/>
              <w:spacing w:after="0"/>
              <w:rPr>
                <w:sz w:val="20"/>
                <w:szCs w:val="20"/>
                <w:color w:val="auto"/>
              </w:rPr>
            </w:pPr>
            <w:r>
              <w:rPr>
                <w:rFonts w:ascii="Arial" w:cs="Arial" w:eastAsia="Arial" w:hAnsi="Arial"/>
                <w:sz w:val="18"/>
                <w:szCs w:val="18"/>
                <w:color w:val="auto"/>
              </w:rPr>
              <w:t>William Yoon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4/1/2022</w:t>
            </w:r>
            <w:r>
              <w:rPr>
                <w:rFonts w:ascii="Arial" w:cs="Arial" w:eastAsia="Arial" w:hAnsi="Arial"/>
                <w:sz w:val="23"/>
                <w:szCs w:val="23"/>
                <w:color w:val="auto"/>
                <w:vertAlign w:val="superscript"/>
              </w:rPr>
              <w:t>(3)</w:t>
            </w:r>
          </w:p>
        </w:tc>
        <w:tc>
          <w:tcPr>
            <w:tcW w:w="4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1480" w:type="dxa"/>
            <w:vAlign w:val="bottom"/>
          </w:tcPr>
          <w:p>
            <w:pPr>
              <w:jc w:val="right"/>
              <w:ind w:right="176"/>
              <w:spacing w:after="0"/>
              <w:rPr>
                <w:sz w:val="20"/>
                <w:szCs w:val="20"/>
                <w:color w:val="auto"/>
              </w:rPr>
            </w:pPr>
            <w:r>
              <w:rPr>
                <w:rFonts w:ascii="Arial" w:cs="Arial" w:eastAsia="Arial" w:hAnsi="Arial"/>
                <w:sz w:val="18"/>
                <w:szCs w:val="18"/>
                <w:color w:val="auto"/>
              </w:rPr>
              <w:t>2,803</w:t>
            </w:r>
          </w:p>
        </w:tc>
        <w:tc>
          <w:tcPr>
            <w:tcW w:w="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77,923</w:t>
            </w:r>
          </w:p>
        </w:tc>
        <w:tc>
          <w:tcPr>
            <w:tcW w:w="20" w:type="dxa"/>
            <w:vAlign w:val="bottom"/>
          </w:tcPr>
          <w:p>
            <w:pPr>
              <w:spacing w:after="0"/>
              <w:rPr>
                <w:sz w:val="23"/>
                <w:szCs w:val="23"/>
                <w:color w:val="auto"/>
              </w:rPr>
            </w:pPr>
          </w:p>
        </w:tc>
      </w:tr>
      <w:tr>
        <w:trPr>
          <w:trHeight w:val="266"/>
        </w:trPr>
        <w:tc>
          <w:tcPr>
            <w:tcW w:w="18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4/1/2023</w:t>
            </w:r>
            <w:r>
              <w:rPr>
                <w:rFonts w:ascii="Arial" w:cs="Arial" w:eastAsia="Arial" w:hAnsi="Arial"/>
                <w:sz w:val="23"/>
                <w:szCs w:val="23"/>
                <w:color w:val="auto"/>
                <w:vertAlign w:val="superscript"/>
              </w:rPr>
              <w:t>(3)</w:t>
            </w:r>
          </w:p>
        </w:tc>
        <w:tc>
          <w:tcPr>
            <w:tcW w:w="4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96"/>
              <w:spacing w:after="0"/>
              <w:rPr>
                <w:sz w:val="20"/>
                <w:szCs w:val="20"/>
                <w:color w:val="auto"/>
              </w:rPr>
            </w:pPr>
            <w:r>
              <w:rPr>
                <w:rFonts w:ascii="Arial" w:cs="Arial" w:eastAsia="Arial" w:hAnsi="Arial"/>
                <w:sz w:val="18"/>
                <w:szCs w:val="18"/>
                <w:color w:val="auto"/>
              </w:rPr>
              <w:t>15,293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425,145</w:t>
            </w:r>
          </w:p>
        </w:tc>
        <w:tc>
          <w:tcPr>
            <w:tcW w:w="20" w:type="dxa"/>
            <w:vAlign w:val="bottom"/>
          </w:tcPr>
          <w:p>
            <w:pPr>
              <w:spacing w:after="0"/>
              <w:rPr>
                <w:sz w:val="23"/>
                <w:szCs w:val="23"/>
                <w:color w:val="auto"/>
              </w:rPr>
            </w:pPr>
          </w:p>
        </w:tc>
      </w:tr>
      <w:tr>
        <w:trPr>
          <w:trHeight w:val="271"/>
        </w:trPr>
        <w:tc>
          <w:tcPr>
            <w:tcW w:w="18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4/1/2024</w:t>
            </w:r>
            <w:r>
              <w:rPr>
                <w:rFonts w:ascii="Arial" w:cs="Arial" w:eastAsia="Arial" w:hAnsi="Arial"/>
                <w:sz w:val="23"/>
                <w:szCs w:val="23"/>
                <w:color w:val="auto"/>
                <w:vertAlign w:val="superscript"/>
              </w:rPr>
              <w:t>(3)</w:t>
            </w:r>
          </w:p>
        </w:tc>
        <w:tc>
          <w:tcPr>
            <w:tcW w:w="4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96"/>
              <w:spacing w:after="0"/>
              <w:rPr>
                <w:sz w:val="20"/>
                <w:szCs w:val="20"/>
                <w:color w:val="auto"/>
              </w:rPr>
            </w:pPr>
            <w:r>
              <w:rPr>
                <w:rFonts w:ascii="Arial" w:cs="Arial" w:eastAsia="Arial" w:hAnsi="Arial"/>
                <w:sz w:val="18"/>
                <w:szCs w:val="18"/>
                <w:color w:val="auto"/>
              </w:rPr>
              <w:t>23,436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651,521</w:t>
            </w:r>
          </w:p>
        </w:tc>
        <w:tc>
          <w:tcPr>
            <w:tcW w:w="20" w:type="dxa"/>
            <w:vAlign w:val="bottom"/>
          </w:tcPr>
          <w:p>
            <w:pPr>
              <w:spacing w:after="0"/>
              <w:rPr>
                <w:sz w:val="23"/>
                <w:szCs w:val="23"/>
                <w:color w:val="auto"/>
              </w:rPr>
            </w:pPr>
          </w:p>
        </w:tc>
      </w:tr>
      <w:tr>
        <w:trPr>
          <w:trHeight w:val="269"/>
        </w:trPr>
        <w:tc>
          <w:tcPr>
            <w:tcW w:w="18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4/1/2025</w:t>
            </w:r>
            <w:r>
              <w:rPr>
                <w:rFonts w:ascii="Arial" w:cs="Arial" w:eastAsia="Arial" w:hAnsi="Arial"/>
                <w:sz w:val="23"/>
                <w:szCs w:val="23"/>
                <w:color w:val="auto"/>
                <w:vertAlign w:val="superscript"/>
              </w:rPr>
              <w:t>(3)</w:t>
            </w:r>
          </w:p>
        </w:tc>
        <w:tc>
          <w:tcPr>
            <w:tcW w:w="4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96"/>
              <w:spacing w:after="0"/>
              <w:rPr>
                <w:sz w:val="20"/>
                <w:szCs w:val="20"/>
                <w:color w:val="auto"/>
              </w:rPr>
            </w:pPr>
            <w:r>
              <w:rPr>
                <w:rFonts w:ascii="Arial" w:cs="Arial" w:eastAsia="Arial" w:hAnsi="Arial"/>
                <w:sz w:val="18"/>
                <w:szCs w:val="18"/>
                <w:color w:val="auto"/>
              </w:rPr>
              <w:t>154,949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4,307,582</w:t>
            </w:r>
          </w:p>
        </w:tc>
        <w:tc>
          <w:tcPr>
            <w:tcW w:w="20" w:type="dxa"/>
            <w:vAlign w:val="bottom"/>
          </w:tcPr>
          <w:p>
            <w:pPr>
              <w:spacing w:after="0"/>
              <w:rPr>
                <w:sz w:val="23"/>
                <w:szCs w:val="23"/>
                <w:color w:val="auto"/>
              </w:rPr>
            </w:pPr>
          </w:p>
        </w:tc>
      </w:tr>
      <w:tr>
        <w:trPr>
          <w:trHeight w:val="271"/>
        </w:trPr>
        <w:tc>
          <w:tcPr>
            <w:tcW w:w="1800" w:type="dxa"/>
            <w:vAlign w:val="bottom"/>
            <w:shd w:val="clear" w:color="auto" w:fill="E6E6E6"/>
          </w:tcPr>
          <w:p>
            <w:pPr>
              <w:ind w:left="40"/>
              <w:spacing w:after="0"/>
              <w:rPr>
                <w:sz w:val="20"/>
                <w:szCs w:val="20"/>
                <w:color w:val="auto"/>
              </w:rPr>
            </w:pPr>
            <w:r>
              <w:rPr>
                <w:rFonts w:ascii="Arial" w:cs="Arial" w:eastAsia="Arial" w:hAnsi="Arial"/>
                <w:sz w:val="18"/>
                <w:szCs w:val="18"/>
                <w:color w:val="auto"/>
              </w:rPr>
              <w:t>Ali Dasdan</w:t>
            </w:r>
          </w:p>
        </w:tc>
        <w:tc>
          <w:tcPr>
            <w:tcW w:w="20" w:type="dxa"/>
            <w:vAlign w:val="bottom"/>
            <w:shd w:val="clear" w:color="auto" w:fill="E6E6E6"/>
          </w:tcPr>
          <w:p>
            <w:pPr>
              <w:spacing w:after="0"/>
              <w:rPr>
                <w:sz w:val="23"/>
                <w:szCs w:val="23"/>
                <w:color w:val="auto"/>
              </w:rPr>
            </w:pPr>
          </w:p>
        </w:tc>
        <w:tc>
          <w:tcPr>
            <w:tcW w:w="1140" w:type="dxa"/>
            <w:vAlign w:val="bottom"/>
            <w:shd w:val="clear" w:color="auto" w:fill="E6E6E6"/>
          </w:tcPr>
          <w:p>
            <w:pPr>
              <w:jc w:val="right"/>
              <w:spacing w:after="0" w:line="253" w:lineRule="exact"/>
              <w:rPr>
                <w:sz w:val="20"/>
                <w:szCs w:val="20"/>
                <w:color w:val="auto"/>
              </w:rPr>
            </w:pPr>
            <w:r>
              <w:rPr>
                <w:rFonts w:ascii="Arial" w:cs="Arial" w:eastAsia="Arial" w:hAnsi="Arial"/>
                <w:sz w:val="18"/>
                <w:szCs w:val="18"/>
                <w:color w:val="auto"/>
              </w:rPr>
              <w:t>4/1/2025</w:t>
            </w:r>
            <w:r>
              <w:rPr>
                <w:rFonts w:ascii="Arial" w:cs="Arial" w:eastAsia="Arial" w:hAnsi="Arial"/>
                <w:sz w:val="23"/>
                <w:szCs w:val="23"/>
                <w:color w:val="auto"/>
                <w:vertAlign w:val="superscript"/>
              </w:rPr>
              <w:t>(3)</w:t>
            </w:r>
          </w:p>
        </w:tc>
        <w:tc>
          <w:tcPr>
            <w:tcW w:w="40" w:type="dxa"/>
            <w:vAlign w:val="bottom"/>
            <w:tcBorders>
              <w:right w:val="single" w:sz="8" w:color="E6E6E6"/>
            </w:tcBorders>
            <w:shd w:val="clear" w:color="auto" w:fill="E6E6E6"/>
          </w:tcPr>
          <w:p>
            <w:pPr>
              <w:spacing w:after="0"/>
              <w:rPr>
                <w:sz w:val="23"/>
                <w:szCs w:val="23"/>
                <w:color w:val="auto"/>
              </w:rPr>
            </w:pPr>
          </w:p>
        </w:tc>
        <w:tc>
          <w:tcPr>
            <w:tcW w:w="10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left w:val="single" w:sz="8" w:color="E6E6E6"/>
              <w:right w:val="single" w:sz="8" w:color="E6E6E6"/>
            </w:tcBorders>
          </w:tcPr>
          <w:p>
            <w:pPr>
              <w:spacing w:after="0"/>
              <w:rPr>
                <w:sz w:val="23"/>
                <w:szCs w:val="23"/>
                <w:color w:val="auto"/>
              </w:rPr>
            </w:pPr>
          </w:p>
        </w:tc>
        <w:tc>
          <w:tcPr>
            <w:tcW w:w="11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23"/>
                <w:szCs w:val="23"/>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6E6E6"/>
          </w:tcPr>
          <w:p>
            <w:pPr>
              <w:spacing w:after="0"/>
              <w:rPr>
                <w:sz w:val="23"/>
                <w:szCs w:val="23"/>
                <w:color w:val="auto"/>
              </w:rPr>
            </w:pPr>
          </w:p>
        </w:tc>
        <w:tc>
          <w:tcPr>
            <w:tcW w:w="8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1480" w:type="dxa"/>
            <w:vAlign w:val="bottom"/>
            <w:shd w:val="clear" w:color="auto" w:fill="E6E6E6"/>
          </w:tcPr>
          <w:p>
            <w:pPr>
              <w:jc w:val="right"/>
              <w:ind w:right="196"/>
              <w:spacing w:after="0"/>
              <w:rPr>
                <w:sz w:val="20"/>
                <w:szCs w:val="20"/>
                <w:color w:val="auto"/>
              </w:rPr>
            </w:pPr>
            <w:r>
              <w:rPr>
                <w:rFonts w:ascii="Arial" w:cs="Arial" w:eastAsia="Arial" w:hAnsi="Arial"/>
                <w:sz w:val="18"/>
                <w:szCs w:val="18"/>
                <w:color w:val="auto"/>
              </w:rPr>
              <w:t>495,836</w:t>
            </w:r>
          </w:p>
        </w:tc>
        <w:tc>
          <w:tcPr>
            <w:tcW w:w="20" w:type="dxa"/>
            <w:vAlign w:val="bottom"/>
            <w:shd w:val="clear" w:color="auto" w:fill="E6E6E6"/>
          </w:tcPr>
          <w:p>
            <w:pPr>
              <w:spacing w:after="0"/>
              <w:rPr>
                <w:sz w:val="23"/>
                <w:szCs w:val="23"/>
                <w:color w:val="auto"/>
              </w:rPr>
            </w:pP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13,784,241</w:t>
            </w:r>
          </w:p>
        </w:tc>
        <w:tc>
          <w:tcPr>
            <w:tcW w:w="20" w:type="dxa"/>
            <w:vAlign w:val="bottom"/>
          </w:tcPr>
          <w:p>
            <w:pPr>
              <w:spacing w:after="0"/>
              <w:rPr>
                <w:sz w:val="23"/>
                <w:szCs w:val="23"/>
                <w:color w:val="auto"/>
              </w:rPr>
            </w:pPr>
          </w:p>
        </w:tc>
      </w:tr>
      <w:tr>
        <w:trPr>
          <w:trHeight w:val="268"/>
        </w:trPr>
        <w:tc>
          <w:tcPr>
            <w:tcW w:w="1800" w:type="dxa"/>
            <w:vAlign w:val="bottom"/>
          </w:tcPr>
          <w:p>
            <w:pPr>
              <w:ind w:left="40"/>
              <w:spacing w:after="0"/>
              <w:rPr>
                <w:sz w:val="20"/>
                <w:szCs w:val="20"/>
                <w:color w:val="auto"/>
              </w:rPr>
            </w:pPr>
            <w:r>
              <w:rPr>
                <w:rFonts w:ascii="Arial" w:cs="Arial" w:eastAsia="Arial" w:hAnsi="Arial"/>
                <w:sz w:val="18"/>
                <w:szCs w:val="18"/>
                <w:color w:val="auto"/>
              </w:rPr>
              <w:t>Ashraf Alkarmi</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1/1/2025</w:t>
            </w:r>
            <w:r>
              <w:rPr>
                <w:rFonts w:ascii="Arial" w:cs="Arial" w:eastAsia="Arial" w:hAnsi="Arial"/>
                <w:sz w:val="23"/>
                <w:szCs w:val="23"/>
                <w:color w:val="auto"/>
                <w:vertAlign w:val="superscript"/>
              </w:rPr>
              <w:t>(3)</w:t>
            </w:r>
          </w:p>
        </w:tc>
        <w:tc>
          <w:tcPr>
            <w:tcW w:w="4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403,452</w:t>
            </w:r>
          </w:p>
        </w:tc>
        <w:tc>
          <w:tcPr>
            <w:tcW w:w="20" w:type="dxa"/>
            <w:vAlign w:val="bottom"/>
          </w:tcPr>
          <w:p>
            <w:pPr>
              <w:spacing w:after="0"/>
              <w:rPr>
                <w:sz w:val="23"/>
                <w:szCs w:val="23"/>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11,215,966</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1895475</wp:posOffset>
                </wp:positionH>
                <wp:positionV relativeFrom="paragraph">
                  <wp:posOffset>-3224530</wp:posOffset>
                </wp:positionV>
                <wp:extent cx="0" cy="180975"/>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25pt,-253.8999pt" to="149.25pt,-239.6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3315970</wp:posOffset>
                </wp:positionH>
                <wp:positionV relativeFrom="paragraph">
                  <wp:posOffset>-3224530</wp:posOffset>
                </wp:positionV>
                <wp:extent cx="0" cy="180975"/>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pt,-253.8999pt" to="261.1pt,-239.6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4430395</wp:posOffset>
                </wp:positionH>
                <wp:positionV relativeFrom="paragraph">
                  <wp:posOffset>-3224530</wp:posOffset>
                </wp:positionV>
                <wp:extent cx="0" cy="180975"/>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85pt,-253.8999pt" to="348.85pt,-239.6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5378450</wp:posOffset>
                </wp:positionH>
                <wp:positionV relativeFrom="paragraph">
                  <wp:posOffset>-2987040</wp:posOffset>
                </wp:positionV>
                <wp:extent cx="17780" cy="1778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7780"/>
                        </a:xfrm>
                        <a:prstGeom prst="rect">
                          <a:avLst/>
                        </a:prstGeom>
                        <a:solidFill>
                          <a:srgbClr val="FFFFFF"/>
                        </a:solidFill>
                      </wps:spPr>
                      <wps:bodyPr/>
                    </wps:wsp>
                  </a:graphicData>
                </a:graphic>
              </wp:anchor>
            </w:drawing>
          </mc:Choice>
          <mc:Fallback>
            <w:pict>
              <v:rect id="Shape 218" o:spid="_x0000_s1243" style="position:absolute;margin-left:423.5pt;margin-top:-235.1999pt;width:1.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1152525</wp:posOffset>
                </wp:positionH>
                <wp:positionV relativeFrom="paragraph">
                  <wp:posOffset>-3224530</wp:posOffset>
                </wp:positionV>
                <wp:extent cx="0" cy="2199005"/>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990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75pt,-253.8999pt" to="90.75pt,-80.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1895475</wp:posOffset>
                </wp:positionH>
                <wp:positionV relativeFrom="paragraph">
                  <wp:posOffset>-2969260</wp:posOffset>
                </wp:positionV>
                <wp:extent cx="0" cy="1943735"/>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437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25pt,-233.7999pt" to="149.25pt,-80.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2573020</wp:posOffset>
                </wp:positionH>
                <wp:positionV relativeFrom="paragraph">
                  <wp:posOffset>-2969260</wp:posOffset>
                </wp:positionV>
                <wp:extent cx="0" cy="1943735"/>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4373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233.7999pt" to="202.6pt,-80.7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3315970</wp:posOffset>
                </wp:positionH>
                <wp:positionV relativeFrom="paragraph">
                  <wp:posOffset>-2969260</wp:posOffset>
                </wp:positionV>
                <wp:extent cx="0" cy="1943735"/>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4373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pt,-233.7999pt" to="261.1pt,-80.7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3872230</wp:posOffset>
                </wp:positionH>
                <wp:positionV relativeFrom="paragraph">
                  <wp:posOffset>-2969260</wp:posOffset>
                </wp:positionV>
                <wp:extent cx="0" cy="1943735"/>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4373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pt,-233.7999pt" to="304.9pt,-80.7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4430395</wp:posOffset>
                </wp:positionH>
                <wp:positionV relativeFrom="paragraph">
                  <wp:posOffset>-2969260</wp:posOffset>
                </wp:positionV>
                <wp:extent cx="0" cy="1943735"/>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4373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85pt,-233.7999pt" to="348.85pt,-80.7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-2969260</wp:posOffset>
                </wp:positionV>
                <wp:extent cx="0" cy="1943735"/>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437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233.7999pt" to="424.2pt,-80.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1895475</wp:posOffset>
                </wp:positionH>
                <wp:positionV relativeFrom="paragraph">
                  <wp:posOffset>-341630</wp:posOffset>
                </wp:positionV>
                <wp:extent cx="0" cy="172085"/>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25pt,-26.8999pt" to="149.25pt,-13.3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2573020</wp:posOffset>
                </wp:positionH>
                <wp:positionV relativeFrom="paragraph">
                  <wp:posOffset>-341630</wp:posOffset>
                </wp:positionV>
                <wp:extent cx="0" cy="172085"/>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26.8999pt" to="202.6pt,-13.3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3315970</wp:posOffset>
                </wp:positionH>
                <wp:positionV relativeFrom="paragraph">
                  <wp:posOffset>-341630</wp:posOffset>
                </wp:positionV>
                <wp:extent cx="0" cy="172085"/>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pt,-26.8999pt" to="261.1pt,-13.3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3872230</wp:posOffset>
                </wp:positionH>
                <wp:positionV relativeFrom="paragraph">
                  <wp:posOffset>-341630</wp:posOffset>
                </wp:positionV>
                <wp:extent cx="0" cy="172085"/>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pt,-26.8999pt" to="304.9pt,-13.3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4430395</wp:posOffset>
                </wp:positionH>
                <wp:positionV relativeFrom="paragraph">
                  <wp:posOffset>-341630</wp:posOffset>
                </wp:positionV>
                <wp:extent cx="0" cy="172085"/>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85pt,-26.8999pt" to="348.85pt,-13.3499pt" o:allowincell="f" strokecolor="#FFFFFF" strokeweight="1.404pt"/>
            </w:pict>
          </mc:Fallback>
        </mc:AlternateContent>
      </w:r>
    </w:p>
    <w:p>
      <w:pPr>
        <w:ind w:left="347" w:hanging="347"/>
        <w:spacing w:after="0" w:line="212" w:lineRule="auto"/>
        <w:tabs>
          <w:tab w:leader="none" w:pos="347" w:val="left"/>
        </w:tabs>
        <w:numPr>
          <w:ilvl w:val="0"/>
          <w:numId w:val="76"/>
        </w:numPr>
        <w:rPr>
          <w:rFonts w:ascii="Arial" w:cs="Arial" w:eastAsia="Arial" w:hAnsi="Arial"/>
          <w:sz w:val="20"/>
          <w:szCs w:val="20"/>
          <w:color w:val="auto"/>
          <w:vertAlign w:val="superscript"/>
        </w:rPr>
      </w:pPr>
      <w:r>
        <w:rPr>
          <w:rFonts w:ascii="Arial" w:cs="Arial" w:eastAsia="Arial" w:hAnsi="Arial"/>
          <w:sz w:val="15"/>
          <w:szCs w:val="15"/>
          <w:color w:val="auto"/>
        </w:rPr>
        <w:t>The closing price of our Class A common stock on December 31, 2025, the last trading day of the year, was $27.80 per share.</w:t>
      </w:r>
    </w:p>
    <w:p>
      <w:pPr>
        <w:ind w:left="347" w:right="440" w:hanging="347"/>
        <w:spacing w:after="0" w:line="263" w:lineRule="auto"/>
        <w:tabs>
          <w:tab w:leader="none" w:pos="347" w:val="left"/>
        </w:tabs>
        <w:numPr>
          <w:ilvl w:val="0"/>
          <w:numId w:val="76"/>
        </w:numPr>
        <w:rPr>
          <w:rFonts w:ascii="Arial" w:cs="Arial" w:eastAsia="Arial" w:hAnsi="Arial"/>
          <w:sz w:val="20"/>
          <w:szCs w:val="20"/>
          <w:color w:val="auto"/>
          <w:vertAlign w:val="superscript"/>
        </w:rPr>
      </w:pPr>
      <w:r>
        <w:rPr>
          <w:rFonts w:ascii="Arial" w:cs="Arial" w:eastAsia="Arial" w:hAnsi="Arial"/>
          <w:sz w:val="15"/>
          <w:szCs w:val="15"/>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the section titled “</w:t>
      </w:r>
      <w:r>
        <w:rPr>
          <w:rFonts w:ascii="Arial" w:cs="Arial" w:eastAsia="Arial" w:hAnsi="Arial"/>
          <w:sz w:val="15"/>
          <w:szCs w:val="15"/>
          <w:i w:val="1"/>
          <w:iCs w:val="1"/>
          <w:color w:val="auto"/>
        </w:rPr>
        <w:t>Executive Compensation—Co-Founder Grant</w:t>
      </w:r>
      <w:r>
        <w:rPr>
          <w:rFonts w:ascii="Arial" w:cs="Arial" w:eastAsia="Arial" w:hAnsi="Arial"/>
          <w:sz w:val="15"/>
          <w:szCs w:val="15"/>
          <w:color w:val="auto"/>
        </w:rPr>
        <w:t>” below.</w:t>
      </w:r>
    </w:p>
    <w:p>
      <w:pPr>
        <w:spacing w:after="0" w:line="4" w:lineRule="exact"/>
        <w:rPr>
          <w:rFonts w:ascii="Arial" w:cs="Arial" w:eastAsia="Arial" w:hAnsi="Arial"/>
          <w:sz w:val="20"/>
          <w:szCs w:val="20"/>
          <w:color w:val="auto"/>
          <w:vertAlign w:val="superscript"/>
        </w:rPr>
      </w:pPr>
    </w:p>
    <w:p>
      <w:pPr>
        <w:ind w:left="347" w:right="340" w:hanging="347"/>
        <w:spacing w:after="0" w:line="253" w:lineRule="auto"/>
        <w:tabs>
          <w:tab w:leader="none" w:pos="347" w:val="left"/>
        </w:tabs>
        <w:numPr>
          <w:ilvl w:val="0"/>
          <w:numId w:val="76"/>
        </w:numPr>
        <w:rPr>
          <w:rFonts w:ascii="Arial" w:cs="Arial" w:eastAsia="Arial" w:hAnsi="Arial"/>
          <w:sz w:val="20"/>
          <w:szCs w:val="20"/>
          <w:color w:val="auto"/>
          <w:vertAlign w:val="superscript"/>
        </w:rPr>
      </w:pPr>
      <w:r>
        <w:rPr>
          <w:rFonts w:ascii="Arial" w:cs="Arial" w:eastAsia="Arial" w:hAnsi="Arial"/>
          <w:sz w:val="15"/>
          <w:szCs w:val="15"/>
          <w:color w:val="auto"/>
        </w:rPr>
        <w:t>1/16th of the total number of shares of our Class A common stock underlying the RSUs vests in equal quarterly installments on the Quarterly Vesting Dates, subject to continued service through each such vesting date.</w:t>
      </w:r>
    </w:p>
    <w:p>
      <w:pPr>
        <w:spacing w:after="0" w:line="399" w:lineRule="exact"/>
        <w:rPr>
          <w:sz w:val="20"/>
          <w:szCs w:val="20"/>
          <w:color w:val="auto"/>
        </w:rPr>
      </w:pPr>
    </w:p>
    <w:p>
      <w:pPr>
        <w:ind w:left="7"/>
        <w:spacing w:after="0"/>
        <w:rPr>
          <w:sz w:val="20"/>
          <w:szCs w:val="20"/>
          <w:color w:val="auto"/>
        </w:rPr>
      </w:pPr>
      <w:r>
        <w:rPr>
          <w:rFonts w:ascii="Arial" w:cs="Arial" w:eastAsia="Arial" w:hAnsi="Arial"/>
          <w:sz w:val="28"/>
          <w:szCs w:val="28"/>
          <w:color w:val="0A248E"/>
        </w:rPr>
        <w:t>Co-Founder Grant</w:t>
      </w:r>
    </w:p>
    <w:p>
      <w:pPr>
        <w:spacing w:after="0" w:line="295" w:lineRule="exact"/>
        <w:rPr>
          <w:sz w:val="20"/>
          <w:szCs w:val="20"/>
          <w:color w:val="auto"/>
        </w:rPr>
      </w:pPr>
    </w:p>
    <w:p>
      <w:pPr>
        <w:ind w:left="7" w:right="520"/>
        <w:spacing w:after="0" w:line="288" w:lineRule="auto"/>
        <w:rPr>
          <w:sz w:val="20"/>
          <w:szCs w:val="20"/>
          <w:color w:val="auto"/>
        </w:rPr>
      </w:pPr>
      <w:r>
        <w:rPr>
          <w:rFonts w:ascii="Arial" w:cs="Arial" w:eastAsia="Arial" w:hAnsi="Arial"/>
          <w:sz w:val="18"/>
          <w:szCs w:val="18"/>
          <w:color w:val="auto"/>
        </w:rPr>
        <w:t>In December 2017, our board of directors approved the Co-Founder Grant. The Co-Founder Grant has service-based, market-based, and performance-based vesting conditions as described above in the section 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Compensation—“Performance Achievement of Mr. Houston’s Co-Founder Grant.</w:t>
      </w:r>
      <w:r>
        <w:rPr>
          <w:rFonts w:ascii="Arial" w:cs="Arial" w:eastAsia="Arial" w:hAnsi="Arial"/>
          <w:sz w:val="18"/>
          <w:szCs w:val="18"/>
          <w:color w:val="auto"/>
        </w:rPr>
        <w:t>”</w:t>
      </w:r>
    </w:p>
    <w:p>
      <w:pPr>
        <w:sectPr>
          <w:pgSz w:w="11880" w:h="15480" w:orient="portrait"/>
          <w:cols w:equalWidth="0" w:num="1">
            <w:col w:w="9667"/>
          </w:cols>
          <w:pgMar w:left="1133" w:top="3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61</w:t>
      </w:r>
    </w:p>
    <w:p>
      <w:pPr>
        <w:sectPr>
          <w:pgSz w:w="11880" w:h="15480" w:orient="portrait"/>
          <w:cols w:equalWidth="0" w:num="1">
            <w:col w:w="9667"/>
          </w:cols>
          <w:pgMar w:left="1133" w:top="340" w:right="1080" w:bottom="0" w:gutter="0" w:footer="0" w:header="0"/>
          <w:type w:val="continuous"/>
        </w:sectPr>
      </w:pPr>
    </w:p>
    <w:bookmarkStart w:id="69" w:name="page70"/>
    <w:bookmarkEnd w:id="69"/>
    <w:p>
      <w:pPr>
        <w:ind w:left="7"/>
        <w:spacing w:after="0"/>
        <w:rPr>
          <w:sz w:val="20"/>
          <w:szCs w:val="20"/>
          <w:color w:val="auto"/>
        </w:rPr>
      </w:pPr>
      <w:r>
        <w:rPr>
          <w:rFonts w:ascii="Arial" w:cs="Arial" w:eastAsia="Arial" w:hAnsi="Arial"/>
          <w:sz w:val="33"/>
          <w:szCs w:val="33"/>
          <w:color w:val="0A248E"/>
        </w:rPr>
        <w:t>EXECUTIVE COMPENSATION (continued)</w:t>
      </w:r>
    </w:p>
    <w:p>
      <w:pPr>
        <w:spacing w:after="0" w:line="200" w:lineRule="exact"/>
        <w:rPr>
          <w:sz w:val="20"/>
          <w:szCs w:val="20"/>
          <w:color w:val="auto"/>
        </w:rPr>
      </w:pPr>
    </w:p>
    <w:p>
      <w:pPr>
        <w:spacing w:after="0" w:line="251" w:lineRule="exact"/>
        <w:rPr>
          <w:sz w:val="20"/>
          <w:szCs w:val="20"/>
          <w:color w:val="auto"/>
        </w:rPr>
      </w:pPr>
    </w:p>
    <w:p>
      <w:pPr>
        <w:ind w:left="7"/>
        <w:spacing w:after="0"/>
        <w:rPr>
          <w:sz w:val="20"/>
          <w:szCs w:val="20"/>
          <w:color w:val="auto"/>
        </w:rPr>
      </w:pPr>
      <w:r>
        <w:rPr>
          <w:rFonts w:ascii="Arial" w:cs="Arial" w:eastAsia="Arial" w:hAnsi="Arial"/>
          <w:sz w:val="28"/>
          <w:szCs w:val="28"/>
          <w:color w:val="0A248E"/>
        </w:rPr>
        <w:t>Option Exercises and Stock Vested in 2025</w:t>
      </w:r>
    </w:p>
    <w:p>
      <w:pPr>
        <w:spacing w:after="0" w:line="291" w:lineRule="exact"/>
        <w:rPr>
          <w:sz w:val="20"/>
          <w:szCs w:val="20"/>
          <w:color w:val="auto"/>
        </w:rPr>
      </w:pPr>
    </w:p>
    <w:p>
      <w:pPr>
        <w:ind w:left="7" w:right="100"/>
        <w:spacing w:after="0" w:line="305" w:lineRule="auto"/>
        <w:rPr>
          <w:sz w:val="20"/>
          <w:szCs w:val="20"/>
          <w:color w:val="auto"/>
        </w:rPr>
      </w:pPr>
      <w:r>
        <w:rPr>
          <w:rFonts w:ascii="Arial" w:cs="Arial" w:eastAsia="Arial" w:hAnsi="Arial"/>
          <w:sz w:val="18"/>
          <w:szCs w:val="18"/>
          <w:color w:val="auto"/>
        </w:rPr>
        <w:t>The following table shows all stock awards vested, and value realized upon vesting, by our named executive officers during fiscal 2025.</w:t>
      </w:r>
    </w:p>
    <w:p>
      <w:pPr>
        <w:spacing w:after="0" w:line="132" w:lineRule="exact"/>
        <w:rPr>
          <w:sz w:val="20"/>
          <w:szCs w:val="20"/>
          <w:color w:val="auto"/>
        </w:rPr>
      </w:pPr>
    </w:p>
    <w:tbl>
      <w:tblPr>
        <w:tblLayout w:type="fixed"/>
        <w:tblInd w:w="7" w:type="dxa"/>
        <w:tblCellMar>
          <w:top w:w="0" w:type="dxa"/>
          <w:left w:w="0" w:type="dxa"/>
          <w:bottom w:w="0" w:type="dxa"/>
          <w:right w:w="0" w:type="dxa"/>
        </w:tblCellMar>
      </w:tblPr>
      <w:tr>
        <w:trPr>
          <w:trHeight w:val="56"/>
        </w:trPr>
        <w:tc>
          <w:tcPr>
            <w:tcW w:w="318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3300" w:type="dxa"/>
            <w:vAlign w:val="bottom"/>
            <w:gridSpan w:val="3"/>
            <w:vMerge w:val="restart"/>
            <w:shd w:val="clear" w:color="auto" w:fill="0A248E"/>
          </w:tcPr>
          <w:p>
            <w:pPr>
              <w:ind w:left="1100"/>
              <w:spacing w:after="0"/>
              <w:rPr>
                <w:sz w:val="20"/>
                <w:szCs w:val="20"/>
                <w:color w:val="auto"/>
              </w:rPr>
            </w:pPr>
            <w:r>
              <w:rPr>
                <w:rFonts w:ascii="Arial" w:cs="Arial" w:eastAsia="Arial" w:hAnsi="Arial"/>
                <w:sz w:val="15"/>
                <w:szCs w:val="15"/>
                <w:b w:val="1"/>
                <w:bCs w:val="1"/>
                <w:color w:val="FFFFFF"/>
              </w:rPr>
              <w:t>Option Awards</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100" w:type="dxa"/>
            <w:vAlign w:val="bottom"/>
            <w:gridSpan w:val="3"/>
            <w:vMerge w:val="restart"/>
            <w:shd w:val="clear" w:color="auto" w:fill="0A248E"/>
          </w:tcPr>
          <w:p>
            <w:pPr>
              <w:ind w:left="1040"/>
              <w:spacing w:after="0"/>
              <w:rPr>
                <w:sz w:val="20"/>
                <w:szCs w:val="20"/>
                <w:color w:val="auto"/>
              </w:rPr>
            </w:pPr>
            <w:r>
              <w:rPr>
                <w:rFonts w:ascii="Arial" w:cs="Arial" w:eastAsia="Arial" w:hAnsi="Arial"/>
                <w:sz w:val="15"/>
                <w:szCs w:val="15"/>
                <w:b w:val="1"/>
                <w:bCs w:val="1"/>
                <w:color w:val="FFFFFF"/>
              </w:rPr>
              <w:t>Stock Awards</w:t>
            </w:r>
          </w:p>
        </w:tc>
        <w:tc>
          <w:tcPr>
            <w:tcW w:w="0" w:type="dxa"/>
            <w:vAlign w:val="bottom"/>
          </w:tcPr>
          <w:p>
            <w:pPr>
              <w:spacing w:after="0"/>
              <w:rPr>
                <w:sz w:val="1"/>
                <w:szCs w:val="1"/>
                <w:color w:val="auto"/>
              </w:rPr>
            </w:pPr>
          </w:p>
        </w:tc>
      </w:tr>
      <w:tr>
        <w:trPr>
          <w:trHeight w:val="326"/>
        </w:trPr>
        <w:tc>
          <w:tcPr>
            <w:tcW w:w="3180" w:type="dxa"/>
            <w:vAlign w:val="bottom"/>
            <w:tcBorders>
              <w:bottom w:val="single" w:sz="8" w:color="0A248E"/>
            </w:tcBorders>
            <w:shd w:val="clear" w:color="auto" w:fill="0A248E"/>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Borders>
              <w:bottom w:val="single" w:sz="8" w:color="0A248E"/>
            </w:tcBorders>
            <w:gridSpan w:val="3"/>
            <w:vMerge w:val="continue"/>
            <w:shd w:val="clear" w:color="auto" w:fill="0A248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A248E"/>
            </w:tcBorders>
            <w:shd w:val="clear" w:color="auto" w:fill="0A248E"/>
          </w:tcPr>
          <w:p>
            <w:pPr>
              <w:spacing w:after="0"/>
              <w:rPr>
                <w:sz w:val="24"/>
                <w:szCs w:val="24"/>
                <w:color w:val="auto"/>
              </w:rPr>
            </w:pPr>
          </w:p>
        </w:tc>
        <w:tc>
          <w:tcPr>
            <w:tcW w:w="3100" w:type="dxa"/>
            <w:vAlign w:val="bottom"/>
            <w:tcBorders>
              <w:bottom w:val="single" w:sz="8" w:color="0A248E"/>
            </w:tcBorders>
            <w:gridSpan w:val="3"/>
            <w:vMerge w:val="continue"/>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180" w:type="dxa"/>
            <w:vAlign w:val="bottom"/>
            <w:shd w:val="clear" w:color="auto" w:fill="0A248E"/>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180" w:type="dxa"/>
            <w:vAlign w:val="bottom"/>
            <w:shd w:val="clear" w:color="auto" w:fill="0A248E"/>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Option Awards –</w:t>
            </w:r>
          </w:p>
        </w:tc>
        <w:tc>
          <w:tcPr>
            <w:tcW w:w="20" w:type="dxa"/>
            <w:vAlign w:val="bottom"/>
          </w:tcPr>
          <w:p>
            <w:pPr>
              <w:spacing w:after="0"/>
              <w:rPr>
                <w:sz w:val="2"/>
                <w:szCs w:val="2"/>
                <w:color w:val="auto"/>
              </w:rPr>
            </w:pPr>
          </w:p>
        </w:tc>
        <w:tc>
          <w:tcPr>
            <w:tcW w:w="154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Option Awards –</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Number of Shares</w:t>
            </w:r>
          </w:p>
        </w:tc>
        <w:tc>
          <w:tcPr>
            <w:tcW w:w="40" w:type="dxa"/>
            <w:vAlign w:val="bottom"/>
          </w:tcPr>
          <w:p>
            <w:pPr>
              <w:spacing w:after="0"/>
              <w:rPr>
                <w:sz w:val="2"/>
                <w:szCs w:val="2"/>
                <w:color w:val="auto"/>
              </w:rPr>
            </w:pPr>
          </w:p>
        </w:tc>
        <w:tc>
          <w:tcPr>
            <w:tcW w:w="154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w w:val="99"/>
              </w:rPr>
              <w:t>Value</w:t>
            </w:r>
          </w:p>
        </w:tc>
        <w:tc>
          <w:tcPr>
            <w:tcW w:w="0" w:type="dxa"/>
            <w:vAlign w:val="bottom"/>
          </w:tcPr>
          <w:p>
            <w:pPr>
              <w:spacing w:after="0" w:line="20" w:lineRule="exact"/>
              <w:rPr>
                <w:sz w:val="1"/>
                <w:szCs w:val="1"/>
                <w:color w:val="auto"/>
              </w:rPr>
            </w:pPr>
          </w:p>
        </w:tc>
      </w:tr>
      <w:tr>
        <w:trPr>
          <w:trHeight w:val="249"/>
        </w:trPr>
        <w:tc>
          <w:tcPr>
            <w:tcW w:w="318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1740" w:type="dxa"/>
            <w:vAlign w:val="bottom"/>
            <w:vMerge w:val="continue"/>
            <w:shd w:val="clear" w:color="auto" w:fill="0A248E"/>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vMerge w:val="continue"/>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vMerge w:val="continue"/>
            <w:shd w:val="clear" w:color="auto" w:fill="0A248E"/>
          </w:tcPr>
          <w:p>
            <w:pPr>
              <w:spacing w:after="0"/>
              <w:rPr>
                <w:sz w:val="21"/>
                <w:szCs w:val="21"/>
                <w:color w:val="auto"/>
              </w:rPr>
            </w:pPr>
          </w:p>
        </w:tc>
        <w:tc>
          <w:tcPr>
            <w:tcW w:w="40" w:type="dxa"/>
            <w:vAlign w:val="bottom"/>
            <w:tcBorders>
              <w:left w:val="single" w:sz="8" w:color="0A248E"/>
            </w:tcBorders>
          </w:tcPr>
          <w:p>
            <w:pPr>
              <w:spacing w:after="0"/>
              <w:rPr>
                <w:sz w:val="21"/>
                <w:szCs w:val="21"/>
                <w:color w:val="auto"/>
              </w:rPr>
            </w:pPr>
          </w:p>
        </w:tc>
        <w:tc>
          <w:tcPr>
            <w:tcW w:w="1540" w:type="dxa"/>
            <w:vAlign w:val="bottom"/>
            <w:vMerge w:val="continue"/>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180" w:type="dxa"/>
            <w:vAlign w:val="bottom"/>
            <w:shd w:val="clear" w:color="auto" w:fill="0A248E"/>
          </w:tcPr>
          <w:p>
            <w:pPr>
              <w:spacing w:after="0"/>
              <w:rPr>
                <w:sz w:val="14"/>
                <w:szCs w:val="14"/>
                <w:color w:val="auto"/>
              </w:rPr>
            </w:pPr>
          </w:p>
        </w:tc>
        <w:tc>
          <w:tcPr>
            <w:tcW w:w="20" w:type="dxa"/>
            <w:vAlign w:val="bottom"/>
            <w:shd w:val="clear" w:color="auto" w:fill="0A248E"/>
          </w:tcPr>
          <w:p>
            <w:pPr>
              <w:spacing w:after="0"/>
              <w:rPr>
                <w:sz w:val="14"/>
                <w:szCs w:val="14"/>
                <w:color w:val="auto"/>
              </w:rPr>
            </w:pPr>
          </w:p>
        </w:tc>
        <w:tc>
          <w:tcPr>
            <w:tcW w:w="17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Shares Acquired on</w:t>
            </w:r>
          </w:p>
        </w:tc>
        <w:tc>
          <w:tcPr>
            <w:tcW w:w="20" w:type="dxa"/>
            <w:vAlign w:val="bottom"/>
          </w:tcPr>
          <w:p>
            <w:pPr>
              <w:spacing w:after="0"/>
              <w:rPr>
                <w:sz w:val="14"/>
                <w:szCs w:val="14"/>
                <w:color w:val="auto"/>
              </w:rPr>
            </w:pPr>
          </w:p>
        </w:tc>
        <w:tc>
          <w:tcPr>
            <w:tcW w:w="15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Value Realized on</w:t>
            </w:r>
          </w:p>
        </w:tc>
        <w:tc>
          <w:tcPr>
            <w:tcW w:w="20" w:type="dxa"/>
            <w:vAlign w:val="bottom"/>
            <w:shd w:val="clear" w:color="auto" w:fill="0A248E"/>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Acquired on</w:t>
            </w:r>
          </w:p>
        </w:tc>
        <w:tc>
          <w:tcPr>
            <w:tcW w:w="40" w:type="dxa"/>
            <w:vAlign w:val="bottom"/>
            <w:tcBorders>
              <w:left w:val="single" w:sz="8" w:color="0A248E"/>
            </w:tcBorders>
          </w:tcPr>
          <w:p>
            <w:pPr>
              <w:spacing w:after="0"/>
              <w:rPr>
                <w:sz w:val="14"/>
                <w:szCs w:val="14"/>
                <w:color w:val="auto"/>
              </w:rPr>
            </w:pPr>
          </w:p>
        </w:tc>
        <w:tc>
          <w:tcPr>
            <w:tcW w:w="15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Realized on</w:t>
            </w:r>
          </w:p>
        </w:tc>
        <w:tc>
          <w:tcPr>
            <w:tcW w:w="0" w:type="dxa"/>
            <w:vAlign w:val="bottom"/>
          </w:tcPr>
          <w:p>
            <w:pPr>
              <w:spacing w:after="0"/>
              <w:rPr>
                <w:sz w:val="1"/>
                <w:szCs w:val="1"/>
                <w:color w:val="auto"/>
              </w:rPr>
            </w:pPr>
          </w:p>
        </w:tc>
      </w:tr>
      <w:tr>
        <w:trPr>
          <w:trHeight w:val="326"/>
        </w:trPr>
        <w:tc>
          <w:tcPr>
            <w:tcW w:w="3180" w:type="dxa"/>
            <w:vAlign w:val="bottom"/>
            <w:tcBorders>
              <w:bottom w:val="single" w:sz="8" w:color="0A248E"/>
            </w:tcBorders>
            <w:shd w:val="clear" w:color="auto" w:fill="0A248E"/>
          </w:tcPr>
          <w:p>
            <w:pPr>
              <w:ind w:left="100"/>
              <w:spacing w:after="0"/>
              <w:rPr>
                <w:sz w:val="20"/>
                <w:szCs w:val="20"/>
                <w:color w:val="auto"/>
              </w:rPr>
            </w:pPr>
            <w:r>
              <w:rPr>
                <w:rFonts w:ascii="Arial" w:cs="Arial" w:eastAsia="Arial" w:hAnsi="Arial"/>
                <w:sz w:val="15"/>
                <w:szCs w:val="15"/>
                <w:b w:val="1"/>
                <w:bCs w:val="1"/>
                <w:color w:val="FFFFFF"/>
              </w:rPr>
              <w:t>Name</w:t>
            </w:r>
          </w:p>
        </w:tc>
        <w:tc>
          <w:tcPr>
            <w:tcW w:w="20" w:type="dxa"/>
            <w:vAlign w:val="bottom"/>
            <w:shd w:val="clear" w:color="auto" w:fill="0A248E"/>
          </w:tcPr>
          <w:p>
            <w:pPr>
              <w:spacing w:after="0"/>
              <w:rPr>
                <w:sz w:val="24"/>
                <w:szCs w:val="24"/>
                <w:color w:val="auto"/>
              </w:rPr>
            </w:pPr>
          </w:p>
        </w:tc>
        <w:tc>
          <w:tcPr>
            <w:tcW w:w="17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Exercise (#)</w:t>
            </w:r>
          </w:p>
        </w:tc>
        <w:tc>
          <w:tcPr>
            <w:tcW w:w="20" w:type="dxa"/>
            <w:vAlign w:val="bottom"/>
          </w:tcPr>
          <w:p>
            <w:pPr>
              <w:spacing w:after="0"/>
              <w:rPr>
                <w:sz w:val="24"/>
                <w:szCs w:val="24"/>
                <w:color w:val="auto"/>
              </w:rPr>
            </w:pPr>
          </w:p>
        </w:tc>
        <w:tc>
          <w:tcPr>
            <w:tcW w:w="15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Exercise ($)</w:t>
            </w:r>
          </w:p>
        </w:tc>
        <w:tc>
          <w:tcPr>
            <w:tcW w:w="20" w:type="dxa"/>
            <w:vAlign w:val="bottom"/>
            <w:shd w:val="clear" w:color="auto" w:fill="0A248E"/>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Vesting (#)</w:t>
            </w:r>
          </w:p>
        </w:tc>
        <w:tc>
          <w:tcPr>
            <w:tcW w:w="40" w:type="dxa"/>
            <w:vAlign w:val="bottom"/>
            <w:tcBorders>
              <w:left w:val="single" w:sz="8" w:color="0A248E"/>
            </w:tcBorders>
          </w:tcPr>
          <w:p>
            <w:pPr>
              <w:spacing w:after="0"/>
              <w:rPr>
                <w:sz w:val="24"/>
                <w:szCs w:val="24"/>
                <w:color w:val="auto"/>
              </w:rPr>
            </w:pPr>
          </w:p>
        </w:tc>
        <w:tc>
          <w:tcPr>
            <w:tcW w:w="15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9"/>
              </w:rPr>
              <w:t>Vesting ($)</w:t>
            </w:r>
            <w:r>
              <w:rPr>
                <w:rFonts w:ascii="Arial" w:cs="Arial" w:eastAsia="Arial" w:hAnsi="Arial"/>
                <w:sz w:val="19"/>
                <w:szCs w:val="19"/>
                <w:b w:val="1"/>
                <w:bCs w:val="1"/>
                <w:color w:val="FFFFFF"/>
                <w:w w:val="99"/>
                <w:vertAlign w:val="superscript"/>
              </w:rPr>
              <w:t>(1)</w:t>
            </w:r>
          </w:p>
        </w:tc>
        <w:tc>
          <w:tcPr>
            <w:tcW w:w="0" w:type="dxa"/>
            <w:vAlign w:val="bottom"/>
          </w:tcPr>
          <w:p>
            <w:pPr>
              <w:spacing w:after="0"/>
              <w:rPr>
                <w:sz w:val="1"/>
                <w:szCs w:val="1"/>
                <w:color w:val="auto"/>
              </w:rPr>
            </w:pPr>
          </w:p>
        </w:tc>
      </w:tr>
      <w:tr>
        <w:trPr>
          <w:trHeight w:val="229"/>
        </w:trPr>
        <w:tc>
          <w:tcPr>
            <w:tcW w:w="3180" w:type="dxa"/>
            <w:vAlign w:val="bottom"/>
            <w:shd w:val="clear" w:color="auto" w:fill="E6E6E6"/>
          </w:tcPr>
          <w:p>
            <w:pPr>
              <w:ind w:left="100"/>
              <w:spacing w:after="0"/>
              <w:rPr>
                <w:sz w:val="20"/>
                <w:szCs w:val="20"/>
                <w:color w:val="auto"/>
              </w:rPr>
            </w:pPr>
            <w:r>
              <w:rPr>
                <w:rFonts w:ascii="Arial" w:cs="Arial" w:eastAsia="Arial" w:hAnsi="Arial"/>
                <w:sz w:val="18"/>
                <w:szCs w:val="18"/>
                <w:color w:val="auto"/>
              </w:rPr>
              <w:t>Andrew W. Houston</w:t>
            </w:r>
          </w:p>
        </w:tc>
        <w:tc>
          <w:tcPr>
            <w:tcW w:w="20" w:type="dxa"/>
            <w:vAlign w:val="bottom"/>
            <w:shd w:val="clear" w:color="auto" w:fill="E6E6E6"/>
          </w:tcPr>
          <w:p>
            <w:pPr>
              <w:spacing w:after="0"/>
              <w:rPr>
                <w:sz w:val="19"/>
                <w:szCs w:val="19"/>
                <w:color w:val="auto"/>
              </w:rPr>
            </w:pPr>
          </w:p>
        </w:tc>
        <w:tc>
          <w:tcPr>
            <w:tcW w:w="17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Borders>
              <w:left w:val="single" w:sz="8" w:color="E6E6E6"/>
            </w:tcBorders>
          </w:tcPr>
          <w:p>
            <w:pPr>
              <w:spacing w:after="0"/>
              <w:rPr>
                <w:sz w:val="19"/>
                <w:szCs w:val="19"/>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4"/>
        </w:trPr>
        <w:tc>
          <w:tcPr>
            <w:tcW w:w="3180" w:type="dxa"/>
            <w:vAlign w:val="bottom"/>
          </w:tcPr>
          <w:p>
            <w:pPr>
              <w:ind w:left="100"/>
              <w:spacing w:after="0"/>
              <w:rPr>
                <w:sz w:val="20"/>
                <w:szCs w:val="20"/>
                <w:color w:val="auto"/>
              </w:rPr>
            </w:pPr>
            <w:r>
              <w:rPr>
                <w:rFonts w:ascii="Arial" w:cs="Arial" w:eastAsia="Arial" w:hAnsi="Arial"/>
                <w:sz w:val="18"/>
                <w:szCs w:val="18"/>
                <w:color w:val="auto"/>
              </w:rPr>
              <w:t>Ross Tennenbaum</w:t>
            </w:r>
          </w:p>
        </w:tc>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180" w:type="dxa"/>
            <w:vAlign w:val="bottom"/>
            <w:shd w:val="clear" w:color="auto" w:fill="E6E6E6"/>
          </w:tcPr>
          <w:p>
            <w:pPr>
              <w:ind w:left="100"/>
              <w:spacing w:after="0"/>
              <w:rPr>
                <w:sz w:val="20"/>
                <w:szCs w:val="20"/>
                <w:color w:val="auto"/>
              </w:rPr>
            </w:pPr>
            <w:r>
              <w:rPr>
                <w:rFonts w:ascii="Arial" w:cs="Arial" w:eastAsia="Arial" w:hAnsi="Arial"/>
                <w:sz w:val="18"/>
                <w:szCs w:val="18"/>
                <w:color w:val="auto"/>
              </w:rPr>
              <w:t>Timothy Regan</w:t>
            </w:r>
          </w:p>
        </w:tc>
        <w:tc>
          <w:tcPr>
            <w:tcW w:w="20" w:type="dxa"/>
            <w:vAlign w:val="bottom"/>
            <w:shd w:val="clear" w:color="auto" w:fill="E6E6E6"/>
          </w:tcPr>
          <w:p>
            <w:pPr>
              <w:spacing w:after="0"/>
              <w:rPr>
                <w:sz w:val="19"/>
                <w:szCs w:val="19"/>
                <w:color w:val="auto"/>
              </w:rPr>
            </w:pPr>
          </w:p>
        </w:tc>
        <w:tc>
          <w:tcPr>
            <w:tcW w:w="17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207,593</w:t>
            </w:r>
          </w:p>
        </w:tc>
        <w:tc>
          <w:tcPr>
            <w:tcW w:w="40" w:type="dxa"/>
            <w:vAlign w:val="bottom"/>
            <w:tcBorders>
              <w:left w:val="single" w:sz="8" w:color="E6E6E6"/>
            </w:tcBorders>
          </w:tcPr>
          <w:p>
            <w:pPr>
              <w:spacing w:after="0"/>
              <w:rPr>
                <w:sz w:val="19"/>
                <w:szCs w:val="19"/>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6,246,955</w:t>
            </w:r>
          </w:p>
        </w:tc>
        <w:tc>
          <w:tcPr>
            <w:tcW w:w="0" w:type="dxa"/>
            <w:vAlign w:val="bottom"/>
          </w:tcPr>
          <w:p>
            <w:pPr>
              <w:spacing w:after="0"/>
              <w:rPr>
                <w:sz w:val="1"/>
                <w:szCs w:val="1"/>
                <w:color w:val="auto"/>
              </w:rPr>
            </w:pPr>
          </w:p>
        </w:tc>
      </w:tr>
      <w:tr>
        <w:trPr>
          <w:trHeight w:val="229"/>
        </w:trPr>
        <w:tc>
          <w:tcPr>
            <w:tcW w:w="3180" w:type="dxa"/>
            <w:vAlign w:val="bottom"/>
          </w:tcPr>
          <w:p>
            <w:pPr>
              <w:ind w:left="100"/>
              <w:spacing w:after="0"/>
              <w:rPr>
                <w:sz w:val="20"/>
                <w:szCs w:val="20"/>
                <w:color w:val="auto"/>
              </w:rPr>
            </w:pPr>
            <w:r>
              <w:rPr>
                <w:rFonts w:ascii="Arial" w:cs="Arial" w:eastAsia="Arial" w:hAnsi="Arial"/>
                <w:sz w:val="18"/>
                <w:szCs w:val="18"/>
                <w:color w:val="auto"/>
              </w:rPr>
              <w:t>William Yoon</w:t>
            </w:r>
          </w:p>
        </w:tc>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73,147</w:t>
            </w:r>
          </w:p>
        </w:tc>
        <w:tc>
          <w:tcPr>
            <w:tcW w:w="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7"/>
              </w:rPr>
              <w:t>2,173,500</w:t>
            </w:r>
          </w:p>
        </w:tc>
        <w:tc>
          <w:tcPr>
            <w:tcW w:w="0" w:type="dxa"/>
            <w:vAlign w:val="bottom"/>
          </w:tcPr>
          <w:p>
            <w:pPr>
              <w:spacing w:after="0"/>
              <w:rPr>
                <w:sz w:val="1"/>
                <w:szCs w:val="1"/>
                <w:color w:val="auto"/>
              </w:rPr>
            </w:pPr>
          </w:p>
        </w:tc>
      </w:tr>
      <w:tr>
        <w:trPr>
          <w:trHeight w:val="229"/>
        </w:trPr>
        <w:tc>
          <w:tcPr>
            <w:tcW w:w="3180" w:type="dxa"/>
            <w:vAlign w:val="bottom"/>
            <w:shd w:val="clear" w:color="auto" w:fill="E6E6E6"/>
          </w:tcPr>
          <w:p>
            <w:pPr>
              <w:ind w:left="100"/>
              <w:spacing w:after="0"/>
              <w:rPr>
                <w:sz w:val="20"/>
                <w:szCs w:val="20"/>
                <w:color w:val="auto"/>
              </w:rPr>
            </w:pPr>
            <w:r>
              <w:rPr>
                <w:rFonts w:ascii="Arial" w:cs="Arial" w:eastAsia="Arial" w:hAnsi="Arial"/>
                <w:sz w:val="18"/>
                <w:szCs w:val="18"/>
                <w:color w:val="auto"/>
              </w:rPr>
              <w:t>Ali Dasdan</w:t>
            </w:r>
          </w:p>
        </w:tc>
        <w:tc>
          <w:tcPr>
            <w:tcW w:w="20" w:type="dxa"/>
            <w:vAlign w:val="bottom"/>
            <w:shd w:val="clear" w:color="auto" w:fill="E6E6E6"/>
          </w:tcPr>
          <w:p>
            <w:pPr>
              <w:spacing w:after="0"/>
              <w:rPr>
                <w:sz w:val="19"/>
                <w:szCs w:val="19"/>
                <w:color w:val="auto"/>
              </w:rPr>
            </w:pPr>
          </w:p>
        </w:tc>
        <w:tc>
          <w:tcPr>
            <w:tcW w:w="17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114,424</w:t>
            </w:r>
          </w:p>
        </w:tc>
        <w:tc>
          <w:tcPr>
            <w:tcW w:w="1580" w:type="dxa"/>
            <w:vAlign w:val="bottom"/>
            <w:tcBorders>
              <w:lef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7"/>
              </w:rPr>
              <w:t>3,344,993</w:t>
            </w:r>
          </w:p>
        </w:tc>
        <w:tc>
          <w:tcPr>
            <w:tcW w:w="0" w:type="dxa"/>
            <w:vAlign w:val="bottom"/>
          </w:tcPr>
          <w:p>
            <w:pPr>
              <w:spacing w:after="0"/>
              <w:rPr>
                <w:sz w:val="1"/>
                <w:szCs w:val="1"/>
                <w:color w:val="auto"/>
              </w:rPr>
            </w:pPr>
          </w:p>
        </w:tc>
      </w:tr>
      <w:tr>
        <w:trPr>
          <w:trHeight w:val="235"/>
        </w:trPr>
        <w:tc>
          <w:tcPr>
            <w:tcW w:w="3180" w:type="dxa"/>
            <w:vAlign w:val="bottom"/>
          </w:tcPr>
          <w:p>
            <w:pPr>
              <w:ind w:left="100"/>
              <w:spacing w:after="0"/>
              <w:rPr>
                <w:sz w:val="20"/>
                <w:szCs w:val="20"/>
                <w:color w:val="auto"/>
              </w:rPr>
            </w:pPr>
            <w:r>
              <w:rPr>
                <w:rFonts w:ascii="Arial" w:cs="Arial" w:eastAsia="Arial" w:hAnsi="Arial"/>
                <w:sz w:val="18"/>
                <w:szCs w:val="18"/>
                <w:color w:val="auto"/>
              </w:rPr>
              <w:t>Ashraf Alkarmi</w:t>
            </w:r>
          </w:p>
        </w:tc>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134,484</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7"/>
              </w:rPr>
              <w:t>4,050,658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2032635</wp:posOffset>
                </wp:positionH>
                <wp:positionV relativeFrom="paragraph">
                  <wp:posOffset>-1619885</wp:posOffset>
                </wp:positionV>
                <wp:extent cx="0" cy="704215"/>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42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05pt,-127.5499pt" to="160.05pt,-72.0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3147060</wp:posOffset>
                </wp:positionH>
                <wp:positionV relativeFrom="paragraph">
                  <wp:posOffset>-1381760</wp:posOffset>
                </wp:positionV>
                <wp:extent cx="0" cy="46609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60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8pt,-108.7999pt" to="247.8pt,-72.0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4142105</wp:posOffset>
                </wp:positionH>
                <wp:positionV relativeFrom="paragraph">
                  <wp:posOffset>-1619885</wp:posOffset>
                </wp:positionV>
                <wp:extent cx="0" cy="704215"/>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42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15pt,-127.5499pt" to="326.15pt,-72.0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5135245</wp:posOffset>
                </wp:positionH>
                <wp:positionV relativeFrom="paragraph">
                  <wp:posOffset>-1381760</wp:posOffset>
                </wp:positionV>
                <wp:extent cx="0" cy="46609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60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35pt,-108.7999pt" to="404.35pt,-72.0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2032635</wp:posOffset>
                </wp:positionH>
                <wp:positionV relativeFrom="paragraph">
                  <wp:posOffset>-880110</wp:posOffset>
                </wp:positionV>
                <wp:extent cx="0" cy="14605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05pt,-69.2999pt" to="160.05pt,-57.7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3147060</wp:posOffset>
                </wp:positionH>
                <wp:positionV relativeFrom="paragraph">
                  <wp:posOffset>-880110</wp:posOffset>
                </wp:positionV>
                <wp:extent cx="0" cy="14605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8pt,-69.2999pt" to="247.8pt,-57.7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4142105</wp:posOffset>
                </wp:positionH>
                <wp:positionV relativeFrom="paragraph">
                  <wp:posOffset>-880110</wp:posOffset>
                </wp:positionV>
                <wp:extent cx="0" cy="14605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15pt,-69.2999pt" to="326.15pt,-57.7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5135245</wp:posOffset>
                </wp:positionH>
                <wp:positionV relativeFrom="paragraph">
                  <wp:posOffset>-880110</wp:posOffset>
                </wp:positionV>
                <wp:extent cx="0" cy="14605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35pt,-69.2999pt" to="404.35pt,-57.7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2032635</wp:posOffset>
                </wp:positionH>
                <wp:positionV relativeFrom="paragraph">
                  <wp:posOffset>-585470</wp:posOffset>
                </wp:positionV>
                <wp:extent cx="0" cy="145415"/>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05pt,-46.0999pt" to="160.05pt,-34.6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3147060</wp:posOffset>
                </wp:positionH>
                <wp:positionV relativeFrom="paragraph">
                  <wp:posOffset>-585470</wp:posOffset>
                </wp:positionV>
                <wp:extent cx="0" cy="145415"/>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8pt,-46.0999pt" to="247.8pt,-34.6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4142105</wp:posOffset>
                </wp:positionH>
                <wp:positionV relativeFrom="paragraph">
                  <wp:posOffset>-585470</wp:posOffset>
                </wp:positionV>
                <wp:extent cx="0" cy="145415"/>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15pt,-46.0999pt" to="326.15pt,-34.6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5135245</wp:posOffset>
                </wp:positionH>
                <wp:positionV relativeFrom="paragraph">
                  <wp:posOffset>-585470</wp:posOffset>
                </wp:positionV>
                <wp:extent cx="0" cy="145415"/>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35pt,-46.0999pt" to="404.35pt,-34.6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2032635</wp:posOffset>
                </wp:positionH>
                <wp:positionV relativeFrom="paragraph">
                  <wp:posOffset>-294640</wp:posOffset>
                </wp:positionV>
                <wp:extent cx="0" cy="14605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05pt,-23.1999pt" to="160.05pt,-11.6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3147060</wp:posOffset>
                </wp:positionH>
                <wp:positionV relativeFrom="paragraph">
                  <wp:posOffset>-294640</wp:posOffset>
                </wp:positionV>
                <wp:extent cx="0" cy="14605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8pt,-23.1999pt" to="247.8pt,-11.6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4142105</wp:posOffset>
                </wp:positionH>
                <wp:positionV relativeFrom="paragraph">
                  <wp:posOffset>-294640</wp:posOffset>
                </wp:positionV>
                <wp:extent cx="0" cy="14605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15pt,-23.1999pt" to="326.15pt,-11.6999pt" o:allowincell="f" strokecolor="#FFFFFF" strokeweight="1.404pt"/>
            </w:pict>
          </mc:Fallback>
        </mc:AlternateContent>
      </w:r>
    </w:p>
    <w:p>
      <w:pPr>
        <w:ind w:left="347" w:right="420" w:hanging="347"/>
        <w:spacing w:after="0" w:line="253" w:lineRule="auto"/>
        <w:tabs>
          <w:tab w:leader="none" w:pos="347" w:val="left"/>
        </w:tabs>
        <w:numPr>
          <w:ilvl w:val="0"/>
          <w:numId w:val="77"/>
        </w:numPr>
        <w:rPr>
          <w:rFonts w:ascii="Arial" w:cs="Arial" w:eastAsia="Arial" w:hAnsi="Arial"/>
          <w:sz w:val="20"/>
          <w:szCs w:val="20"/>
          <w:color w:val="auto"/>
          <w:vertAlign w:val="superscript"/>
        </w:rPr>
      </w:pPr>
      <w:r>
        <w:rPr>
          <w:rFonts w:ascii="Arial" w:cs="Arial" w:eastAsia="Arial" w:hAnsi="Arial"/>
          <w:sz w:val="15"/>
          <w:szCs w:val="15"/>
          <w:color w:val="auto"/>
        </w:rPr>
        <w:t>The value realized upon vesting of RSAs or RSUs, as applicable, is calculated by multiplying the number of shares vested by the closing price for a share of our Class A common stock on the trading day immediately preceding the vesting date.</w:t>
      </w:r>
    </w:p>
    <w:p>
      <w:pPr>
        <w:spacing w:after="0" w:line="399" w:lineRule="exact"/>
        <w:rPr>
          <w:sz w:val="20"/>
          <w:szCs w:val="20"/>
          <w:color w:val="auto"/>
        </w:rPr>
      </w:pPr>
    </w:p>
    <w:p>
      <w:pPr>
        <w:ind w:left="7"/>
        <w:spacing w:after="0"/>
        <w:rPr>
          <w:sz w:val="20"/>
          <w:szCs w:val="20"/>
          <w:color w:val="auto"/>
        </w:rPr>
      </w:pPr>
      <w:r>
        <w:rPr>
          <w:rFonts w:ascii="Arial" w:cs="Arial" w:eastAsia="Arial" w:hAnsi="Arial"/>
          <w:sz w:val="28"/>
          <w:szCs w:val="28"/>
          <w:color w:val="0A248E"/>
        </w:rPr>
        <w:t>Potential Payments on Termination or Change in Control</w:t>
      </w:r>
    </w:p>
    <w:p>
      <w:pPr>
        <w:spacing w:after="0" w:line="28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Change in Control and Severance Agreements</w:t>
      </w:r>
    </w:p>
    <w:p>
      <w:pPr>
        <w:spacing w:after="0" w:line="203" w:lineRule="exact"/>
        <w:rPr>
          <w:sz w:val="20"/>
          <w:szCs w:val="20"/>
          <w:color w:val="auto"/>
        </w:rPr>
      </w:pPr>
    </w:p>
    <w:p>
      <w:pPr>
        <w:ind w:left="7" w:right="20"/>
        <w:spacing w:after="0" w:line="279" w:lineRule="auto"/>
        <w:rPr>
          <w:sz w:val="20"/>
          <w:szCs w:val="20"/>
          <w:color w:val="auto"/>
        </w:rPr>
      </w:pPr>
      <w:r>
        <w:rPr>
          <w:rFonts w:ascii="Arial" w:cs="Arial" w:eastAsia="Arial" w:hAnsi="Arial"/>
          <w:sz w:val="18"/>
          <w:szCs w:val="18"/>
          <w:color w:val="auto"/>
        </w:rPr>
        <w:t>In order to recruit and maintain a stable and effective management team, the talent and compensation committee believes it is appropriate and necessary to provide assurance of certain severance and change in control benefits approved by the talent and compensation committee, in consultation with its compensation consultant. We entered into change in control and severance agreements with each of our named executive officers that provide for the severance and change in control payments and benefits described below.</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Basic Severance</w:t>
      </w:r>
    </w:p>
    <w:p>
      <w:pPr>
        <w:spacing w:after="0" w:line="203" w:lineRule="exact"/>
        <w:rPr>
          <w:sz w:val="20"/>
          <w:szCs w:val="20"/>
          <w:color w:val="auto"/>
        </w:rPr>
      </w:pPr>
    </w:p>
    <w:p>
      <w:pPr>
        <w:ind w:left="7" w:right="120"/>
        <w:spacing w:after="0" w:line="315" w:lineRule="auto"/>
        <w:rPr>
          <w:sz w:val="20"/>
          <w:szCs w:val="20"/>
          <w:color w:val="auto"/>
        </w:rPr>
      </w:pPr>
      <w:r>
        <w:rPr>
          <w:rFonts w:ascii="Arial" w:cs="Arial" w:eastAsia="Arial" w:hAnsi="Arial"/>
          <w:sz w:val="17"/>
          <w:szCs w:val="17"/>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101" w:lineRule="exact"/>
        <w:rPr>
          <w:sz w:val="20"/>
          <w:szCs w:val="20"/>
          <w:color w:val="auto"/>
        </w:rPr>
      </w:pPr>
    </w:p>
    <w:p>
      <w:pPr>
        <w:ind w:left="347" w:right="40" w:hanging="347"/>
        <w:spacing w:after="0" w:line="291" w:lineRule="auto"/>
        <w:tabs>
          <w:tab w:leader="none" w:pos="347" w:val="left"/>
        </w:tabs>
        <w:numPr>
          <w:ilvl w:val="0"/>
          <w:numId w:val="78"/>
        </w:numPr>
        <w:rPr>
          <w:rFonts w:ascii="Arial" w:cs="Arial" w:eastAsia="Arial" w:hAnsi="Arial"/>
          <w:sz w:val="18"/>
          <w:szCs w:val="18"/>
          <w:color w:val="0A248E"/>
        </w:rPr>
      </w:pPr>
      <w:r>
        <w:rPr>
          <w:rFonts w:ascii="Arial" w:cs="Arial" w:eastAsia="Arial" w:hAnsi="Arial"/>
          <w:sz w:val="18"/>
          <w:szCs w:val="18"/>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117" w:lineRule="exact"/>
        <w:rPr>
          <w:rFonts w:ascii="Arial" w:cs="Arial" w:eastAsia="Arial" w:hAnsi="Arial"/>
          <w:sz w:val="18"/>
          <w:szCs w:val="18"/>
          <w:color w:val="0A248E"/>
        </w:rPr>
      </w:pPr>
    </w:p>
    <w:p>
      <w:pPr>
        <w:ind w:left="347" w:right="380" w:hanging="347"/>
        <w:spacing w:after="0" w:line="291" w:lineRule="auto"/>
        <w:tabs>
          <w:tab w:leader="none" w:pos="347" w:val="left"/>
        </w:tabs>
        <w:numPr>
          <w:ilvl w:val="0"/>
          <w:numId w:val="78"/>
        </w:numPr>
        <w:rPr>
          <w:rFonts w:ascii="Arial" w:cs="Arial" w:eastAsia="Arial" w:hAnsi="Arial"/>
          <w:sz w:val="18"/>
          <w:szCs w:val="18"/>
          <w:color w:val="0A248E"/>
        </w:rPr>
      </w:pPr>
      <w:r>
        <w:rPr>
          <w:rFonts w:ascii="Arial" w:cs="Arial" w:eastAsia="Arial" w:hAnsi="Arial"/>
          <w:sz w:val="18"/>
          <w:szCs w:val="18"/>
          <w:color w:val="auto"/>
        </w:rPr>
        <w:t>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 and</w:t>
      </w:r>
    </w:p>
    <w:p>
      <w:pPr>
        <w:spacing w:after="0" w:line="122" w:lineRule="exact"/>
        <w:rPr>
          <w:rFonts w:ascii="Arial" w:cs="Arial" w:eastAsia="Arial" w:hAnsi="Arial"/>
          <w:sz w:val="18"/>
          <w:szCs w:val="18"/>
          <w:color w:val="0A248E"/>
        </w:rPr>
      </w:pPr>
    </w:p>
    <w:p>
      <w:pPr>
        <w:ind w:left="347" w:right="40" w:hanging="347"/>
        <w:spacing w:after="0" w:line="310" w:lineRule="auto"/>
        <w:tabs>
          <w:tab w:leader="none" w:pos="347" w:val="left"/>
        </w:tabs>
        <w:numPr>
          <w:ilvl w:val="0"/>
          <w:numId w:val="78"/>
        </w:numPr>
        <w:rPr>
          <w:rFonts w:ascii="Arial" w:cs="Arial" w:eastAsia="Arial" w:hAnsi="Arial"/>
          <w:sz w:val="18"/>
          <w:szCs w:val="18"/>
          <w:color w:val="0A248E"/>
        </w:rPr>
      </w:pPr>
      <w:r>
        <w:rPr>
          <w:rFonts w:ascii="Arial" w:cs="Arial" w:eastAsia="Arial" w:hAnsi="Arial"/>
          <w:sz w:val="18"/>
          <w:szCs w:val="18"/>
          <w:color w:val="auto"/>
        </w:rPr>
        <w:t>in the case of Messrs. Alkarmi, Dasdan, and Yoon, 3 months' accelerated vesting of the unvested portion of outstanding time-based equity awards.</w:t>
      </w:r>
    </w:p>
    <w:p>
      <w:pPr>
        <w:spacing w:after="0" w:line="102"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 Mr. Regan voluntarily terminated his employment and therefore was not eligible for accelerated vesting of his unvested awards</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7" w:hanging="475"/>
        <w:spacing w:after="0"/>
        <w:tabs>
          <w:tab w:leader="none" w:pos="527"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70" w:name="page71"/>
    <w:bookmarkEnd w:id="70"/>
    <w:p>
      <w:pPr>
        <w:ind w:left="7"/>
        <w:spacing w:after="0"/>
        <w:rPr>
          <w:sz w:val="20"/>
          <w:szCs w:val="20"/>
          <w:color w:val="auto"/>
        </w:rPr>
      </w:pPr>
      <w:r>
        <w:rPr>
          <w:rFonts w:ascii="Arial" w:cs="Arial" w:eastAsia="Arial" w:hAnsi="Arial"/>
          <w:sz w:val="33"/>
          <w:szCs w:val="33"/>
          <w:color w:val="0A248E"/>
        </w:rPr>
        <w:t>EXECUTIVE COMPENSATION (continued)</w:t>
      </w:r>
    </w:p>
    <w:p>
      <w:pPr>
        <w:spacing w:after="0" w:line="27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Change in Control Severance</w:t>
      </w:r>
    </w:p>
    <w:p>
      <w:pPr>
        <w:spacing w:after="0" w:line="198" w:lineRule="exact"/>
        <w:rPr>
          <w:sz w:val="20"/>
          <w:szCs w:val="20"/>
          <w:color w:val="auto"/>
        </w:rPr>
      </w:pPr>
    </w:p>
    <w:p>
      <w:pPr>
        <w:ind w:left="7" w:right="120"/>
        <w:spacing w:after="0" w:line="284" w:lineRule="auto"/>
        <w:rPr>
          <w:sz w:val="20"/>
          <w:szCs w:val="20"/>
          <w:color w:val="auto"/>
        </w:rPr>
      </w:pPr>
      <w:r>
        <w:rPr>
          <w:rFonts w:ascii="Arial" w:cs="Arial" w:eastAsia="Arial" w:hAnsi="Arial"/>
          <w:sz w:val="18"/>
          <w:szCs w:val="18"/>
          <w:color w:val="auto"/>
        </w:rPr>
        <w:t>If, within the three-month period prior to a change in control or during the 12-month period following a change in control (such period, the “</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a named executive officer’s employment is terminated by us other than for cause, death, or disability or they resign for “good reason” (as defined in their change in control and severance agreement), they will be entitled to the following benefits:</w:t>
      </w:r>
    </w:p>
    <w:p>
      <w:pPr>
        <w:spacing w:after="0" w:line="125" w:lineRule="exact"/>
        <w:rPr>
          <w:sz w:val="20"/>
          <w:szCs w:val="20"/>
          <w:color w:val="auto"/>
        </w:rPr>
      </w:pPr>
    </w:p>
    <w:p>
      <w:pPr>
        <w:ind w:left="347" w:right="60" w:hanging="347"/>
        <w:spacing w:after="0" w:line="291" w:lineRule="auto"/>
        <w:tabs>
          <w:tab w:leader="none" w:pos="347" w:val="left"/>
        </w:tabs>
        <w:numPr>
          <w:ilvl w:val="0"/>
          <w:numId w:val="80"/>
        </w:numPr>
        <w:rPr>
          <w:rFonts w:ascii="Arial" w:cs="Arial" w:eastAsia="Arial" w:hAnsi="Arial"/>
          <w:sz w:val="18"/>
          <w:szCs w:val="18"/>
          <w:color w:val="0A248E"/>
        </w:rPr>
      </w:pPr>
      <w:r>
        <w:rPr>
          <w:rFonts w:ascii="Arial" w:cs="Arial" w:eastAsia="Arial" w:hAnsi="Arial"/>
          <w:sz w:val="18"/>
          <w:szCs w:val="18"/>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117" w:lineRule="exact"/>
        <w:rPr>
          <w:rFonts w:ascii="Arial" w:cs="Arial" w:eastAsia="Arial" w:hAnsi="Arial"/>
          <w:sz w:val="18"/>
          <w:szCs w:val="18"/>
          <w:color w:val="0A248E"/>
        </w:rPr>
      </w:pPr>
    </w:p>
    <w:p>
      <w:pPr>
        <w:ind w:left="347" w:hanging="347"/>
        <w:spacing w:after="0"/>
        <w:tabs>
          <w:tab w:leader="none" w:pos="347" w:val="left"/>
        </w:tabs>
        <w:numPr>
          <w:ilvl w:val="0"/>
          <w:numId w:val="80"/>
        </w:numPr>
        <w:rPr>
          <w:rFonts w:ascii="Arial" w:cs="Arial" w:eastAsia="Arial" w:hAnsi="Arial"/>
          <w:sz w:val="18"/>
          <w:szCs w:val="18"/>
          <w:color w:val="0A248E"/>
        </w:rPr>
      </w:pPr>
      <w:r>
        <w:rPr>
          <w:rFonts w:ascii="Arial" w:cs="Arial" w:eastAsia="Arial" w:hAnsi="Arial"/>
          <w:sz w:val="18"/>
          <w:szCs w:val="18"/>
          <w:color w:val="auto"/>
        </w:rPr>
        <w:t>a lump-sum payment equal to 100% of their target annual cash bonus opportunity (for the year of their termination);</w:t>
      </w:r>
    </w:p>
    <w:p>
      <w:pPr>
        <w:spacing w:after="0" w:line="204" w:lineRule="exact"/>
        <w:rPr>
          <w:rFonts w:ascii="Arial" w:cs="Arial" w:eastAsia="Arial" w:hAnsi="Arial"/>
          <w:sz w:val="18"/>
          <w:szCs w:val="18"/>
          <w:color w:val="0A248E"/>
        </w:rPr>
      </w:pPr>
    </w:p>
    <w:p>
      <w:pPr>
        <w:ind w:left="347" w:right="400" w:hanging="347"/>
        <w:spacing w:after="0" w:line="288" w:lineRule="auto"/>
        <w:tabs>
          <w:tab w:leader="none" w:pos="347" w:val="left"/>
        </w:tabs>
        <w:numPr>
          <w:ilvl w:val="0"/>
          <w:numId w:val="80"/>
        </w:numPr>
        <w:rPr>
          <w:rFonts w:ascii="Arial" w:cs="Arial" w:eastAsia="Arial" w:hAnsi="Arial"/>
          <w:sz w:val="18"/>
          <w:szCs w:val="18"/>
          <w:color w:val="0A248E"/>
        </w:rPr>
      </w:pPr>
      <w:r>
        <w:rPr>
          <w:rFonts w:ascii="Arial" w:cs="Arial" w:eastAsia="Arial" w:hAnsi="Arial"/>
          <w:sz w:val="18"/>
          <w:szCs w:val="18"/>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125" w:lineRule="exact"/>
        <w:rPr>
          <w:rFonts w:ascii="Arial" w:cs="Arial" w:eastAsia="Arial" w:hAnsi="Arial"/>
          <w:sz w:val="18"/>
          <w:szCs w:val="18"/>
          <w:color w:val="0A248E"/>
        </w:rPr>
      </w:pPr>
    </w:p>
    <w:p>
      <w:pPr>
        <w:ind w:left="347" w:right="120" w:hanging="347"/>
        <w:spacing w:after="0" w:line="291" w:lineRule="auto"/>
        <w:tabs>
          <w:tab w:leader="none" w:pos="347" w:val="left"/>
        </w:tabs>
        <w:numPr>
          <w:ilvl w:val="0"/>
          <w:numId w:val="80"/>
        </w:numPr>
        <w:rPr>
          <w:rFonts w:ascii="Arial" w:cs="Arial" w:eastAsia="Arial" w:hAnsi="Arial"/>
          <w:sz w:val="18"/>
          <w:szCs w:val="18"/>
          <w:color w:val="0A248E"/>
        </w:rPr>
      </w:pPr>
      <w:r>
        <w:rPr>
          <w:rFonts w:ascii="Arial" w:cs="Arial" w:eastAsia="Arial" w:hAnsi="Arial"/>
          <w:sz w:val="18"/>
          <w:szCs w:val="18"/>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18" w:lineRule="exact"/>
        <w:rPr>
          <w:sz w:val="20"/>
          <w:szCs w:val="20"/>
          <w:color w:val="auto"/>
        </w:rPr>
      </w:pPr>
    </w:p>
    <w:p>
      <w:pPr>
        <w:ind w:left="7" w:right="20"/>
        <w:spacing w:after="0" w:line="291" w:lineRule="auto"/>
        <w:rPr>
          <w:sz w:val="20"/>
          <w:szCs w:val="20"/>
          <w:color w:val="auto"/>
        </w:rPr>
      </w:pPr>
      <w:r>
        <w:rPr>
          <w:rFonts w:ascii="Arial" w:cs="Arial" w:eastAsia="Arial" w:hAnsi="Arial"/>
          <w:sz w:val="18"/>
          <w:szCs w:val="18"/>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18" w:lineRule="exact"/>
        <w:rPr>
          <w:sz w:val="20"/>
          <w:szCs w:val="20"/>
          <w:color w:val="auto"/>
        </w:rPr>
      </w:pPr>
    </w:p>
    <w:p>
      <w:pPr>
        <w:ind w:left="7" w:right="80"/>
        <w:spacing w:after="0" w:line="276" w:lineRule="auto"/>
        <w:rPr>
          <w:sz w:val="20"/>
          <w:szCs w:val="20"/>
          <w:color w:val="auto"/>
        </w:rPr>
      </w:pPr>
      <w:r>
        <w:rPr>
          <w:rFonts w:ascii="Arial" w:cs="Arial" w:eastAsia="Arial" w:hAnsi="Arial"/>
          <w:sz w:val="18"/>
          <w:szCs w:val="18"/>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Andrew Houston Co-Founder Grant</w:t>
      </w:r>
    </w:p>
    <w:p>
      <w:pPr>
        <w:spacing w:after="0" w:line="203" w:lineRule="exact"/>
        <w:rPr>
          <w:sz w:val="20"/>
          <w:szCs w:val="20"/>
          <w:color w:val="auto"/>
        </w:rPr>
      </w:pPr>
    </w:p>
    <w:p>
      <w:pPr>
        <w:ind w:left="7" w:right="80"/>
        <w:spacing w:after="0" w:line="296" w:lineRule="auto"/>
        <w:rPr>
          <w:sz w:val="20"/>
          <w:szCs w:val="20"/>
          <w:color w:val="auto"/>
        </w:rPr>
      </w:pPr>
      <w:r>
        <w:rPr>
          <w:rFonts w:ascii="Arial" w:cs="Arial" w:eastAsia="Arial" w:hAnsi="Arial"/>
          <w:sz w:val="17"/>
          <w:szCs w:val="17"/>
          <w:color w:val="auto"/>
        </w:rPr>
        <w:t>In the event of an acquisition of the company before the end of the Performance Period, Mr. Houston’s Co-Founder Grant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the section titled “</w:t>
      </w:r>
      <w:r>
        <w:rPr>
          <w:rFonts w:ascii="Arial" w:cs="Arial" w:eastAsia="Arial" w:hAnsi="Arial"/>
          <w:sz w:val="17"/>
          <w:szCs w:val="17"/>
          <w:i w:val="1"/>
          <w:iCs w:val="1"/>
          <w:color w:val="auto"/>
        </w:rPr>
        <w:t>Executive Compensation</w:t>
      </w:r>
      <w:r>
        <w:rPr>
          <w:rFonts w:ascii="Arial" w:cs="Arial" w:eastAsia="Arial" w:hAnsi="Arial"/>
          <w:sz w:val="14"/>
          <w:szCs w:val="14"/>
          <w:color w:val="auto"/>
        </w:rPr>
        <w:t>—</w:t>
      </w:r>
      <w:r>
        <w:rPr>
          <w:rFonts w:ascii="Arial" w:cs="Arial" w:eastAsia="Arial" w:hAnsi="Arial"/>
          <w:sz w:val="17"/>
          <w:szCs w:val="17"/>
          <w:i w:val="1"/>
          <w:iCs w:val="1"/>
          <w:color w:val="auto"/>
        </w:rPr>
        <w:t>Co-Founder Grant</w:t>
      </w:r>
      <w:r>
        <w:rPr>
          <w:rFonts w:ascii="Arial" w:cs="Arial" w:eastAsia="Arial" w:hAnsi="Arial"/>
          <w:sz w:val="17"/>
          <w:szCs w:val="17"/>
          <w:color w:val="auto"/>
        </w:rPr>
        <w:t>” above.</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Amount of Payments Upon Termination at 2025 Year-End</w:t>
      </w:r>
    </w:p>
    <w:p>
      <w:pPr>
        <w:spacing w:after="0" w:line="198" w:lineRule="exact"/>
        <w:rPr>
          <w:sz w:val="20"/>
          <w:szCs w:val="20"/>
          <w:color w:val="auto"/>
        </w:rPr>
      </w:pPr>
    </w:p>
    <w:p>
      <w:pPr>
        <w:ind w:left="7" w:right="60"/>
        <w:spacing w:after="0" w:line="280" w:lineRule="auto"/>
        <w:rPr>
          <w:sz w:val="20"/>
          <w:szCs w:val="20"/>
          <w:color w:val="auto"/>
        </w:rPr>
      </w:pPr>
      <w:r>
        <w:rPr>
          <w:rFonts w:ascii="Arial" w:cs="Arial" w:eastAsia="Arial" w:hAnsi="Arial"/>
          <w:sz w:val="18"/>
          <w:szCs w:val="18"/>
          <w:color w:val="auto"/>
        </w:rPr>
        <w:t>The following table describes the payments that would have been provided to each of our named executive officers in the event that they were involuntarily terminated by Dropbox without cause or resigned for good reason outside of a change in control context, assuming such termination occurred on December 31, 2025. Mr. Regan is not included in this table since he voluntarily terminated his employment with the company prior to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4401185</wp:posOffset>
                </wp:positionH>
                <wp:positionV relativeFrom="paragraph">
                  <wp:posOffset>100965</wp:posOffset>
                </wp:positionV>
                <wp:extent cx="0" cy="981075"/>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10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55pt,7.95pt" to="346.55pt,85.2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1809750</wp:posOffset>
                </wp:positionH>
                <wp:positionV relativeFrom="paragraph">
                  <wp:posOffset>100965</wp:posOffset>
                </wp:positionV>
                <wp:extent cx="0" cy="1473835"/>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38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7.95pt" to="142.5pt,124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2674620</wp:posOffset>
                </wp:positionH>
                <wp:positionV relativeFrom="paragraph">
                  <wp:posOffset>100965</wp:posOffset>
                </wp:positionV>
                <wp:extent cx="0" cy="1473835"/>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38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pt,7.95pt" to="210.6pt,124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3538855</wp:posOffset>
                </wp:positionH>
                <wp:positionV relativeFrom="paragraph">
                  <wp:posOffset>100965</wp:posOffset>
                </wp:positionV>
                <wp:extent cx="0" cy="1473835"/>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38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65pt,7.95pt" to="278.65pt,124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100965</wp:posOffset>
                </wp:positionV>
                <wp:extent cx="0" cy="1473835"/>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383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7.95pt" to="414.65pt,124pt" o:allowincell="f" strokecolor="#FFFFFF" strokeweight="1.404pt"/>
            </w:pict>
          </mc:Fallback>
        </mc:AlternateConten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56"/>
        </w:trPr>
        <w:tc>
          <w:tcPr>
            <w:tcW w:w="282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Borders>
              <w:right w:val="single" w:sz="8" w:color="0A248E"/>
            </w:tcBorders>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right w:val="single" w:sz="8" w:color="0A248E"/>
            </w:tcBorders>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right w:val="single" w:sz="8" w:color="0A248E"/>
            </w:tcBorders>
            <w:shd w:val="clear" w:color="auto" w:fill="0A248E"/>
          </w:tcPr>
          <w:p>
            <w:pPr>
              <w:spacing w:after="0"/>
              <w:rPr>
                <w:sz w:val="4"/>
                <w:szCs w:val="4"/>
                <w:color w:val="auto"/>
              </w:rPr>
            </w:pPr>
          </w:p>
        </w:tc>
        <w:tc>
          <w:tcPr>
            <w:tcW w:w="20" w:type="dxa"/>
            <w:vAlign w:val="bottom"/>
          </w:tcPr>
          <w:p>
            <w:pPr>
              <w:spacing w:after="0"/>
              <w:rPr>
                <w:sz w:val="4"/>
                <w:szCs w:val="4"/>
                <w:color w:val="auto"/>
              </w:rPr>
            </w:pPr>
          </w:p>
        </w:tc>
      </w:tr>
      <w:tr>
        <w:trPr>
          <w:trHeight w:val="253"/>
        </w:trPr>
        <w:tc>
          <w:tcPr>
            <w:tcW w:w="2820" w:type="dxa"/>
            <w:vAlign w:val="bottom"/>
            <w:shd w:val="clear" w:color="auto" w:fill="0A248E"/>
          </w:tcPr>
          <w:p>
            <w:pPr>
              <w:spacing w:after="0"/>
              <w:rPr>
                <w:sz w:val="22"/>
                <w:szCs w:val="22"/>
                <w:color w:val="auto"/>
              </w:rPr>
            </w:pPr>
          </w:p>
        </w:tc>
        <w:tc>
          <w:tcPr>
            <w:tcW w:w="40" w:type="dxa"/>
            <w:vAlign w:val="bottom"/>
            <w:tcBorders>
              <w:left w:val="single" w:sz="8" w:color="0A248E"/>
            </w:tcBorders>
          </w:tcPr>
          <w:p>
            <w:pPr>
              <w:spacing w:after="0"/>
              <w:rPr>
                <w:sz w:val="22"/>
                <w:szCs w:val="22"/>
                <w:color w:val="auto"/>
              </w:rPr>
            </w:pPr>
          </w:p>
        </w:tc>
        <w:tc>
          <w:tcPr>
            <w:tcW w:w="1340" w:type="dxa"/>
            <w:vAlign w:val="bottom"/>
            <w:tcBorders>
              <w:right w:val="single" w:sz="8" w:color="0A248E"/>
            </w:tcBorders>
            <w:shd w:val="clear" w:color="auto" w:fill="0A248E"/>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shd w:val="clear" w:color="auto" w:fill="0A248E"/>
          </w:tcPr>
          <w:p>
            <w:pPr>
              <w:spacing w:after="0"/>
              <w:rPr>
                <w:sz w:val="22"/>
                <w:szCs w:val="22"/>
                <w:color w:val="auto"/>
              </w:rPr>
            </w:pPr>
          </w:p>
        </w:tc>
        <w:tc>
          <w:tcPr>
            <w:tcW w:w="40" w:type="dxa"/>
            <w:vAlign w:val="bottom"/>
            <w:tcBorders>
              <w:left w:val="single" w:sz="8" w:color="0A248E"/>
            </w:tcBorders>
          </w:tcPr>
          <w:p>
            <w:pPr>
              <w:spacing w:after="0"/>
              <w:rPr>
                <w:sz w:val="22"/>
                <w:szCs w:val="22"/>
                <w:color w:val="auto"/>
              </w:rPr>
            </w:pPr>
          </w:p>
        </w:tc>
        <w:tc>
          <w:tcPr>
            <w:tcW w:w="13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Value of</w:t>
            </w:r>
          </w:p>
        </w:tc>
        <w:tc>
          <w:tcPr>
            <w:tcW w:w="20" w:type="dxa"/>
            <w:vAlign w:val="bottom"/>
          </w:tcPr>
          <w:p>
            <w:pPr>
              <w:spacing w:after="0"/>
              <w:rPr>
                <w:sz w:val="22"/>
                <w:szCs w:val="22"/>
                <w:color w:val="auto"/>
              </w:rPr>
            </w:pPr>
          </w:p>
        </w:tc>
        <w:tc>
          <w:tcPr>
            <w:tcW w:w="1340" w:type="dxa"/>
            <w:vAlign w:val="bottom"/>
            <w:tcBorders>
              <w:right w:val="single" w:sz="8" w:color="0A248E"/>
            </w:tcBorders>
            <w:shd w:val="clear" w:color="auto" w:fill="0A248E"/>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Borders>
              <w:right w:val="single" w:sz="8" w:color="0A248E"/>
            </w:tcBorders>
            <w:shd w:val="clear" w:color="auto" w:fill="0A248E"/>
          </w:tcPr>
          <w:p>
            <w:pPr>
              <w:spacing w:after="0"/>
              <w:rPr>
                <w:sz w:val="22"/>
                <w:szCs w:val="22"/>
                <w:color w:val="auto"/>
              </w:rPr>
            </w:pPr>
          </w:p>
        </w:tc>
        <w:tc>
          <w:tcPr>
            <w:tcW w:w="20" w:type="dxa"/>
            <w:vAlign w:val="bottom"/>
          </w:tcPr>
          <w:p>
            <w:pPr>
              <w:spacing w:after="0"/>
              <w:rPr>
                <w:sz w:val="22"/>
                <w:szCs w:val="22"/>
                <w:color w:val="auto"/>
              </w:rPr>
            </w:pPr>
          </w:p>
        </w:tc>
      </w:tr>
      <w:tr>
        <w:trPr>
          <w:trHeight w:val="206"/>
        </w:trPr>
        <w:tc>
          <w:tcPr>
            <w:tcW w:w="2820" w:type="dxa"/>
            <w:vAlign w:val="bottom"/>
            <w:shd w:val="clear" w:color="auto" w:fill="0A248E"/>
          </w:tcPr>
          <w:p>
            <w:pPr>
              <w:spacing w:after="0"/>
              <w:rPr>
                <w:sz w:val="17"/>
                <w:szCs w:val="17"/>
                <w:color w:val="auto"/>
              </w:rPr>
            </w:pPr>
          </w:p>
        </w:tc>
        <w:tc>
          <w:tcPr>
            <w:tcW w:w="40" w:type="dxa"/>
            <w:vAlign w:val="bottom"/>
            <w:tcBorders>
              <w:left w:val="single" w:sz="8" w:color="0A248E"/>
            </w:tcBorders>
          </w:tcPr>
          <w:p>
            <w:pPr>
              <w:spacing w:after="0"/>
              <w:rPr>
                <w:sz w:val="17"/>
                <w:szCs w:val="17"/>
                <w:color w:val="auto"/>
              </w:rPr>
            </w:pPr>
          </w:p>
        </w:tc>
        <w:tc>
          <w:tcPr>
            <w:tcW w:w="134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Base Salary</w:t>
            </w:r>
          </w:p>
        </w:tc>
        <w:tc>
          <w:tcPr>
            <w:tcW w:w="20" w:type="dxa"/>
            <w:vAlign w:val="bottom"/>
          </w:tcPr>
          <w:p>
            <w:pPr>
              <w:spacing w:after="0"/>
              <w:rPr>
                <w:sz w:val="17"/>
                <w:szCs w:val="17"/>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Cash Bonus</w:t>
            </w:r>
          </w:p>
        </w:tc>
        <w:tc>
          <w:tcPr>
            <w:tcW w:w="40" w:type="dxa"/>
            <w:vAlign w:val="bottom"/>
            <w:tcBorders>
              <w:left w:val="single" w:sz="8" w:color="0A248E"/>
            </w:tcBorders>
          </w:tcPr>
          <w:p>
            <w:pPr>
              <w:spacing w:after="0"/>
              <w:rPr>
                <w:sz w:val="17"/>
                <w:szCs w:val="17"/>
                <w:color w:val="auto"/>
              </w:rPr>
            </w:pPr>
          </w:p>
        </w:tc>
        <w:tc>
          <w:tcPr>
            <w:tcW w:w="13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Accelerated</w:t>
            </w:r>
          </w:p>
        </w:tc>
        <w:tc>
          <w:tcPr>
            <w:tcW w:w="20" w:type="dxa"/>
            <w:vAlign w:val="bottom"/>
          </w:tcPr>
          <w:p>
            <w:pPr>
              <w:spacing w:after="0"/>
              <w:rPr>
                <w:sz w:val="17"/>
                <w:szCs w:val="17"/>
                <w:color w:val="auto"/>
              </w:rPr>
            </w:pPr>
          </w:p>
        </w:tc>
        <w:tc>
          <w:tcPr>
            <w:tcW w:w="134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Value of</w:t>
            </w:r>
          </w:p>
        </w:tc>
        <w:tc>
          <w:tcPr>
            <w:tcW w:w="20" w:type="dxa"/>
            <w:vAlign w:val="bottom"/>
          </w:tcPr>
          <w:p>
            <w:pPr>
              <w:spacing w:after="0"/>
              <w:rPr>
                <w:sz w:val="17"/>
                <w:szCs w:val="17"/>
                <w:color w:val="auto"/>
              </w:rPr>
            </w:pPr>
          </w:p>
        </w:tc>
        <w:tc>
          <w:tcPr>
            <w:tcW w:w="1340" w:type="dxa"/>
            <w:vAlign w:val="bottom"/>
            <w:tcBorders>
              <w:right w:val="single" w:sz="8" w:color="0A248E"/>
            </w:tcBorders>
            <w:shd w:val="clear" w:color="auto" w:fill="0A248E"/>
          </w:tcPr>
          <w:p>
            <w:pPr>
              <w:spacing w:after="0"/>
              <w:rPr>
                <w:sz w:val="17"/>
                <w:szCs w:val="17"/>
                <w:color w:val="auto"/>
              </w:rPr>
            </w:pPr>
          </w:p>
        </w:tc>
        <w:tc>
          <w:tcPr>
            <w:tcW w:w="20" w:type="dxa"/>
            <w:vAlign w:val="bottom"/>
          </w:tcPr>
          <w:p>
            <w:pPr>
              <w:spacing w:after="0"/>
              <w:rPr>
                <w:sz w:val="17"/>
                <w:szCs w:val="17"/>
                <w:color w:val="auto"/>
              </w:rPr>
            </w:pPr>
          </w:p>
        </w:tc>
      </w:tr>
      <w:tr>
        <w:trPr>
          <w:trHeight w:val="163"/>
        </w:trPr>
        <w:tc>
          <w:tcPr>
            <w:tcW w:w="2820" w:type="dxa"/>
            <w:vAlign w:val="bottom"/>
            <w:shd w:val="clear" w:color="auto" w:fill="0A248E"/>
          </w:tcPr>
          <w:p>
            <w:pPr>
              <w:spacing w:after="0"/>
              <w:rPr>
                <w:sz w:val="14"/>
                <w:szCs w:val="14"/>
                <w:color w:val="auto"/>
              </w:rPr>
            </w:pPr>
          </w:p>
        </w:tc>
        <w:tc>
          <w:tcPr>
            <w:tcW w:w="40" w:type="dxa"/>
            <w:vAlign w:val="bottom"/>
            <w:tcBorders>
              <w:left w:val="single" w:sz="8" w:color="0A248E"/>
            </w:tcBorders>
          </w:tcPr>
          <w:p>
            <w:pPr>
              <w:spacing w:after="0"/>
              <w:rPr>
                <w:sz w:val="14"/>
                <w:szCs w:val="14"/>
                <w:color w:val="auto"/>
              </w:rPr>
            </w:pPr>
          </w:p>
        </w:tc>
        <w:tc>
          <w:tcPr>
            <w:tcW w:w="1340" w:type="dxa"/>
            <w:vAlign w:val="bottom"/>
            <w:tcBorders>
              <w:right w:val="single" w:sz="8" w:color="0A248E"/>
            </w:tcBorders>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Component</w:t>
            </w:r>
          </w:p>
        </w:tc>
        <w:tc>
          <w:tcPr>
            <w:tcW w:w="20" w:type="dxa"/>
            <w:vAlign w:val="bottom"/>
          </w:tcPr>
          <w:p>
            <w:pPr>
              <w:spacing w:after="0"/>
              <w:rPr>
                <w:sz w:val="14"/>
                <w:szCs w:val="14"/>
                <w:color w:val="auto"/>
              </w:rPr>
            </w:pPr>
          </w:p>
        </w:tc>
        <w:tc>
          <w:tcPr>
            <w:tcW w:w="132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Component</w:t>
            </w:r>
          </w:p>
        </w:tc>
        <w:tc>
          <w:tcPr>
            <w:tcW w:w="40" w:type="dxa"/>
            <w:vAlign w:val="bottom"/>
            <w:tcBorders>
              <w:left w:val="single" w:sz="8" w:color="0A248E"/>
            </w:tcBorders>
          </w:tcPr>
          <w:p>
            <w:pPr>
              <w:spacing w:after="0"/>
              <w:rPr>
                <w:sz w:val="14"/>
                <w:szCs w:val="14"/>
                <w:color w:val="auto"/>
              </w:rPr>
            </w:pPr>
          </w:p>
        </w:tc>
        <w:tc>
          <w:tcPr>
            <w:tcW w:w="13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Equity Awards</w:t>
            </w:r>
          </w:p>
        </w:tc>
        <w:tc>
          <w:tcPr>
            <w:tcW w:w="20" w:type="dxa"/>
            <w:vAlign w:val="bottom"/>
          </w:tcPr>
          <w:p>
            <w:pPr>
              <w:spacing w:after="0"/>
              <w:rPr>
                <w:sz w:val="14"/>
                <w:szCs w:val="14"/>
                <w:color w:val="auto"/>
              </w:rPr>
            </w:pPr>
          </w:p>
        </w:tc>
        <w:tc>
          <w:tcPr>
            <w:tcW w:w="1340" w:type="dxa"/>
            <w:vAlign w:val="bottom"/>
            <w:tcBorders>
              <w:right w:val="single" w:sz="8" w:color="0A248E"/>
            </w:tcBorders>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Benefits</w:t>
            </w:r>
          </w:p>
        </w:tc>
        <w:tc>
          <w:tcPr>
            <w:tcW w:w="20" w:type="dxa"/>
            <w:vAlign w:val="bottom"/>
          </w:tcPr>
          <w:p>
            <w:pPr>
              <w:spacing w:after="0"/>
              <w:rPr>
                <w:sz w:val="14"/>
                <w:szCs w:val="14"/>
                <w:color w:val="auto"/>
              </w:rPr>
            </w:pPr>
          </w:p>
        </w:tc>
        <w:tc>
          <w:tcPr>
            <w:tcW w:w="1340" w:type="dxa"/>
            <w:vAlign w:val="bottom"/>
            <w:tcBorders>
              <w:right w:val="single" w:sz="8" w:color="0A248E"/>
            </w:tcBorders>
            <w:shd w:val="clear" w:color="auto" w:fill="0A248E"/>
          </w:tcPr>
          <w:p>
            <w:pPr>
              <w:spacing w:after="0"/>
              <w:rPr>
                <w:sz w:val="14"/>
                <w:szCs w:val="14"/>
                <w:color w:val="auto"/>
              </w:rPr>
            </w:pPr>
          </w:p>
        </w:tc>
        <w:tc>
          <w:tcPr>
            <w:tcW w:w="20" w:type="dxa"/>
            <w:vAlign w:val="bottom"/>
          </w:tcPr>
          <w:p>
            <w:pPr>
              <w:spacing w:after="0"/>
              <w:rPr>
                <w:sz w:val="14"/>
                <w:szCs w:val="14"/>
                <w:color w:val="auto"/>
              </w:rPr>
            </w:pPr>
          </w:p>
        </w:tc>
      </w:tr>
      <w:tr>
        <w:trPr>
          <w:trHeight w:val="285"/>
        </w:trPr>
        <w:tc>
          <w:tcPr>
            <w:tcW w:w="2820" w:type="dxa"/>
            <w:vAlign w:val="bottom"/>
            <w:shd w:val="clear" w:color="auto" w:fill="0A248E"/>
          </w:tcPr>
          <w:p>
            <w:pPr>
              <w:ind w:left="40"/>
              <w:spacing w:after="0"/>
              <w:rPr>
                <w:sz w:val="20"/>
                <w:szCs w:val="20"/>
                <w:color w:val="auto"/>
              </w:rPr>
            </w:pPr>
            <w:r>
              <w:rPr>
                <w:rFonts w:ascii="Arial" w:cs="Arial" w:eastAsia="Arial" w:hAnsi="Arial"/>
                <w:sz w:val="15"/>
                <w:szCs w:val="15"/>
                <w:b w:val="1"/>
                <w:bCs w:val="1"/>
                <w:color w:val="FFFFFF"/>
              </w:rPr>
              <w:t>Name</w:t>
            </w:r>
          </w:p>
        </w:tc>
        <w:tc>
          <w:tcPr>
            <w:tcW w:w="40" w:type="dxa"/>
            <w:vAlign w:val="bottom"/>
            <w:tcBorders>
              <w:left w:val="single" w:sz="8" w:color="0A248E"/>
            </w:tcBorders>
          </w:tcPr>
          <w:p>
            <w:pPr>
              <w:spacing w:after="0"/>
              <w:rPr>
                <w:sz w:val="24"/>
                <w:szCs w:val="24"/>
                <w:color w:val="auto"/>
              </w:rPr>
            </w:pPr>
          </w:p>
        </w:tc>
        <w:tc>
          <w:tcPr>
            <w:tcW w:w="134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w:t>
            </w:r>
          </w:p>
        </w:tc>
        <w:tc>
          <w:tcPr>
            <w:tcW w:w="20" w:type="dxa"/>
            <w:vAlign w:val="bottom"/>
          </w:tcPr>
          <w:p>
            <w:pPr>
              <w:spacing w:after="0"/>
              <w:rPr>
                <w:sz w:val="24"/>
                <w:szCs w:val="24"/>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w:t>
            </w:r>
          </w:p>
        </w:tc>
        <w:tc>
          <w:tcPr>
            <w:tcW w:w="40" w:type="dxa"/>
            <w:vAlign w:val="bottom"/>
            <w:tcBorders>
              <w:left w:val="single" w:sz="8" w:color="0A248E"/>
            </w:tcBorders>
          </w:tcPr>
          <w:p>
            <w:pPr>
              <w:spacing w:after="0"/>
              <w:rPr>
                <w:sz w:val="24"/>
                <w:szCs w:val="24"/>
                <w:color w:val="auto"/>
              </w:rPr>
            </w:pPr>
          </w:p>
        </w:tc>
        <w:tc>
          <w:tcPr>
            <w:tcW w:w="13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4"/>
              </w:rPr>
              <w:t>($)</w:t>
            </w:r>
            <w:r>
              <w:rPr>
                <w:rFonts w:ascii="Arial" w:cs="Arial" w:eastAsia="Arial" w:hAnsi="Arial"/>
                <w:sz w:val="19"/>
                <w:szCs w:val="19"/>
                <w:b w:val="1"/>
                <w:bCs w:val="1"/>
                <w:color w:val="FFFFFF"/>
                <w:w w:val="94"/>
                <w:vertAlign w:val="superscript"/>
              </w:rPr>
              <w:t>(1)</w:t>
            </w:r>
          </w:p>
        </w:tc>
        <w:tc>
          <w:tcPr>
            <w:tcW w:w="20" w:type="dxa"/>
            <w:vAlign w:val="bottom"/>
          </w:tcPr>
          <w:p>
            <w:pPr>
              <w:spacing w:after="0"/>
              <w:rPr>
                <w:sz w:val="24"/>
                <w:szCs w:val="24"/>
                <w:color w:val="auto"/>
              </w:rPr>
            </w:pPr>
          </w:p>
        </w:tc>
        <w:tc>
          <w:tcPr>
            <w:tcW w:w="134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w:t>
            </w:r>
          </w:p>
        </w:tc>
        <w:tc>
          <w:tcPr>
            <w:tcW w:w="20" w:type="dxa"/>
            <w:vAlign w:val="bottom"/>
          </w:tcPr>
          <w:p>
            <w:pPr>
              <w:spacing w:after="0"/>
              <w:rPr>
                <w:sz w:val="24"/>
                <w:szCs w:val="24"/>
                <w:color w:val="auto"/>
              </w:rPr>
            </w:pPr>
          </w:p>
        </w:tc>
        <w:tc>
          <w:tcPr>
            <w:tcW w:w="1340" w:type="dxa"/>
            <w:vAlign w:val="bottom"/>
            <w:tcBorders>
              <w:right w:val="single" w:sz="8" w:color="0A248E"/>
            </w:tcBorders>
            <w:shd w:val="clear" w:color="auto" w:fill="0A248E"/>
          </w:tcPr>
          <w:p>
            <w:pPr>
              <w:jc w:val="right"/>
              <w:ind w:right="293"/>
              <w:spacing w:after="0"/>
              <w:rPr>
                <w:sz w:val="20"/>
                <w:szCs w:val="20"/>
                <w:color w:val="auto"/>
              </w:rPr>
            </w:pPr>
            <w:r>
              <w:rPr>
                <w:rFonts w:ascii="Arial" w:cs="Arial" w:eastAsia="Arial" w:hAnsi="Arial"/>
                <w:sz w:val="15"/>
                <w:szCs w:val="15"/>
                <w:b w:val="1"/>
                <w:bCs w:val="1"/>
                <w:color w:val="FFFFFF"/>
              </w:rPr>
              <w:t>Total ($)</w:t>
            </w:r>
          </w:p>
        </w:tc>
        <w:tc>
          <w:tcPr>
            <w:tcW w:w="20" w:type="dxa"/>
            <w:vAlign w:val="bottom"/>
          </w:tcPr>
          <w:p>
            <w:pPr>
              <w:spacing w:after="0"/>
              <w:rPr>
                <w:sz w:val="24"/>
                <w:szCs w:val="24"/>
                <w:color w:val="auto"/>
              </w:rPr>
            </w:pPr>
          </w:p>
        </w:tc>
      </w:tr>
      <w:tr>
        <w:trPr>
          <w:trHeight w:val="69"/>
        </w:trPr>
        <w:tc>
          <w:tcPr>
            <w:tcW w:w="2820" w:type="dxa"/>
            <w:vAlign w:val="bottom"/>
            <w:tcBorders>
              <w:bottom w:val="single" w:sz="8" w:color="E6E6E6"/>
            </w:tcBorders>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r>
      <w:tr>
        <w:trPr>
          <w:trHeight w:val="229"/>
        </w:trPr>
        <w:tc>
          <w:tcPr>
            <w:tcW w:w="2820" w:type="dxa"/>
            <w:vAlign w:val="bottom"/>
            <w:shd w:val="clear" w:color="auto" w:fill="E6E6E6"/>
          </w:tcPr>
          <w:p>
            <w:pPr>
              <w:ind w:left="100"/>
              <w:spacing w:after="0"/>
              <w:rPr>
                <w:sz w:val="20"/>
                <w:szCs w:val="20"/>
                <w:color w:val="auto"/>
              </w:rPr>
            </w:pPr>
            <w:r>
              <w:rPr>
                <w:rFonts w:ascii="Arial" w:cs="Arial" w:eastAsia="Arial" w:hAnsi="Arial"/>
                <w:sz w:val="18"/>
                <w:szCs w:val="18"/>
                <w:color w:val="auto"/>
              </w:rPr>
              <w:t>Andrew W. Houston</w:t>
            </w:r>
          </w:p>
        </w:tc>
        <w:tc>
          <w:tcPr>
            <w:tcW w:w="40" w:type="dxa"/>
            <w:vAlign w:val="bottom"/>
            <w:tcBorders>
              <w:left w:val="single" w:sz="8" w:color="E6E6E6"/>
            </w:tcBorders>
          </w:tcPr>
          <w:p>
            <w:pPr>
              <w:spacing w:after="0"/>
              <w:rPr>
                <w:sz w:val="19"/>
                <w:szCs w:val="19"/>
                <w:color w:val="auto"/>
              </w:rPr>
            </w:pPr>
          </w:p>
        </w:tc>
        <w:tc>
          <w:tcPr>
            <w:tcW w:w="134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400,000</w:t>
            </w:r>
          </w:p>
        </w:tc>
        <w:tc>
          <w:tcPr>
            <w:tcW w:w="20" w:type="dxa"/>
            <w:vAlign w:val="bottom"/>
          </w:tcPr>
          <w:p>
            <w:pPr>
              <w:spacing w:after="0"/>
              <w:rPr>
                <w:sz w:val="19"/>
                <w:szCs w:val="19"/>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34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17,511</w:t>
            </w:r>
          </w:p>
        </w:tc>
        <w:tc>
          <w:tcPr>
            <w:tcW w:w="20" w:type="dxa"/>
            <w:vAlign w:val="bottom"/>
          </w:tcPr>
          <w:p>
            <w:pPr>
              <w:spacing w:after="0"/>
              <w:rPr>
                <w:sz w:val="19"/>
                <w:szCs w:val="19"/>
                <w:color w:val="auto"/>
              </w:rPr>
            </w:pPr>
          </w:p>
        </w:tc>
        <w:tc>
          <w:tcPr>
            <w:tcW w:w="13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417,511</w:t>
            </w:r>
          </w:p>
        </w:tc>
        <w:tc>
          <w:tcPr>
            <w:tcW w:w="20" w:type="dxa"/>
            <w:vAlign w:val="bottom"/>
            <w:shd w:val="clear" w:color="auto" w:fill="E6E6E6"/>
          </w:tcPr>
          <w:p>
            <w:pPr>
              <w:spacing w:after="0"/>
              <w:rPr>
                <w:sz w:val="19"/>
                <w:szCs w:val="19"/>
                <w:color w:val="auto"/>
              </w:rPr>
            </w:pPr>
          </w:p>
        </w:tc>
      </w:tr>
      <w:tr>
        <w:trPr>
          <w:trHeight w:val="270"/>
        </w:trPr>
        <w:tc>
          <w:tcPr>
            <w:tcW w:w="2820" w:type="dxa"/>
            <w:vAlign w:val="bottom"/>
            <w:tcBorders>
              <w:bottom w:val="single" w:sz="8" w:color="E6E6E6"/>
            </w:tcBorders>
          </w:tcPr>
          <w:p>
            <w:pPr>
              <w:ind w:left="100"/>
              <w:spacing w:after="0"/>
              <w:rPr>
                <w:sz w:val="20"/>
                <w:szCs w:val="20"/>
                <w:color w:val="auto"/>
              </w:rPr>
            </w:pPr>
            <w:r>
              <w:rPr>
                <w:rFonts w:ascii="Arial" w:cs="Arial" w:eastAsia="Arial" w:hAnsi="Arial"/>
                <w:sz w:val="18"/>
                <w:szCs w:val="18"/>
                <w:color w:val="auto"/>
              </w:rPr>
              <w:t>Ross Tennenbaum</w:t>
            </w:r>
          </w:p>
        </w:tc>
        <w:tc>
          <w:tcPr>
            <w:tcW w:w="40" w:type="dxa"/>
            <w:vAlign w:val="bottom"/>
          </w:tcPr>
          <w:p>
            <w:pPr>
              <w:spacing w:after="0"/>
              <w:rPr>
                <w:sz w:val="23"/>
                <w:szCs w:val="23"/>
                <w:color w:val="auto"/>
              </w:rPr>
            </w:pPr>
          </w:p>
        </w:tc>
        <w:tc>
          <w:tcPr>
            <w:tcW w:w="134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w w:val="98"/>
              </w:rPr>
              <w:t>275,000</w:t>
            </w:r>
          </w:p>
        </w:tc>
        <w:tc>
          <w:tcPr>
            <w:tcW w:w="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134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6E6E6"/>
            </w:tcBorders>
            <w:gridSpan w:val="2"/>
          </w:tcPr>
          <w:p>
            <w:pPr>
              <w:jc w:val="center"/>
              <w:spacing w:after="0"/>
              <w:rPr>
                <w:sz w:val="20"/>
                <w:szCs w:val="20"/>
                <w:color w:val="auto"/>
              </w:rPr>
            </w:pPr>
            <w:r>
              <w:rPr>
                <w:rFonts w:ascii="Arial" w:cs="Arial" w:eastAsia="Arial" w:hAnsi="Arial"/>
                <w:sz w:val="18"/>
                <w:szCs w:val="18"/>
                <w:color w:val="auto"/>
                <w:w w:val="98"/>
              </w:rPr>
              <w:t>14,129</w:t>
            </w:r>
          </w:p>
        </w:tc>
        <w:tc>
          <w:tcPr>
            <w:tcW w:w="20" w:type="dxa"/>
            <w:vAlign w:val="bottom"/>
          </w:tcPr>
          <w:p>
            <w:pPr>
              <w:spacing w:after="0"/>
              <w:rPr>
                <w:sz w:val="23"/>
                <w:szCs w:val="23"/>
                <w:color w:val="auto"/>
              </w:rPr>
            </w:pPr>
          </w:p>
        </w:tc>
        <w:tc>
          <w:tcPr>
            <w:tcW w:w="134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289,129</w:t>
            </w:r>
          </w:p>
        </w:tc>
        <w:tc>
          <w:tcPr>
            <w:tcW w:w="20" w:type="dxa"/>
            <w:vAlign w:val="bottom"/>
          </w:tcPr>
          <w:p>
            <w:pPr>
              <w:spacing w:after="0"/>
              <w:rPr>
                <w:sz w:val="23"/>
                <w:szCs w:val="23"/>
                <w:color w:val="auto"/>
              </w:rPr>
            </w:pPr>
          </w:p>
        </w:tc>
      </w:tr>
      <w:tr>
        <w:trPr>
          <w:trHeight w:val="229"/>
        </w:trPr>
        <w:tc>
          <w:tcPr>
            <w:tcW w:w="2820" w:type="dxa"/>
            <w:vAlign w:val="bottom"/>
            <w:shd w:val="clear" w:color="auto" w:fill="E6E6E6"/>
          </w:tcPr>
          <w:p>
            <w:pPr>
              <w:ind w:left="100"/>
              <w:spacing w:after="0"/>
              <w:rPr>
                <w:sz w:val="20"/>
                <w:szCs w:val="20"/>
                <w:color w:val="auto"/>
              </w:rPr>
            </w:pPr>
            <w:r>
              <w:rPr>
                <w:rFonts w:ascii="Arial" w:cs="Arial" w:eastAsia="Arial" w:hAnsi="Arial"/>
                <w:sz w:val="18"/>
                <w:szCs w:val="18"/>
                <w:color w:val="auto"/>
              </w:rPr>
              <w:t>William Yoon</w:t>
            </w:r>
          </w:p>
        </w:tc>
        <w:tc>
          <w:tcPr>
            <w:tcW w:w="40" w:type="dxa"/>
            <w:vAlign w:val="bottom"/>
            <w:tcBorders>
              <w:left w:val="single" w:sz="8" w:color="E6E6E6"/>
            </w:tcBorders>
          </w:tcPr>
          <w:p>
            <w:pPr>
              <w:spacing w:after="0"/>
              <w:rPr>
                <w:sz w:val="19"/>
                <w:szCs w:val="19"/>
                <w:color w:val="auto"/>
              </w:rPr>
            </w:pPr>
          </w:p>
        </w:tc>
        <w:tc>
          <w:tcPr>
            <w:tcW w:w="134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237,500</w:t>
            </w:r>
          </w:p>
        </w:tc>
        <w:tc>
          <w:tcPr>
            <w:tcW w:w="20" w:type="dxa"/>
            <w:vAlign w:val="bottom"/>
          </w:tcPr>
          <w:p>
            <w:pPr>
              <w:spacing w:after="0"/>
              <w:rPr>
                <w:sz w:val="19"/>
                <w:szCs w:val="19"/>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566,731</w:t>
            </w:r>
          </w:p>
        </w:tc>
        <w:tc>
          <w:tcPr>
            <w:tcW w:w="1360" w:type="dxa"/>
            <w:vAlign w:val="bottom"/>
            <w:tcBorders>
              <w:righ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8"/>
              </w:rPr>
              <w:t>17,578</w:t>
            </w:r>
          </w:p>
        </w:tc>
        <w:tc>
          <w:tcPr>
            <w:tcW w:w="20" w:type="dxa"/>
            <w:vAlign w:val="bottom"/>
          </w:tcPr>
          <w:p>
            <w:pPr>
              <w:spacing w:after="0"/>
              <w:rPr>
                <w:sz w:val="19"/>
                <w:szCs w:val="19"/>
                <w:color w:val="auto"/>
              </w:rPr>
            </w:pPr>
          </w:p>
        </w:tc>
        <w:tc>
          <w:tcPr>
            <w:tcW w:w="13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821,809</w:t>
            </w:r>
          </w:p>
        </w:tc>
        <w:tc>
          <w:tcPr>
            <w:tcW w:w="20" w:type="dxa"/>
            <w:vAlign w:val="bottom"/>
            <w:shd w:val="clear" w:color="auto" w:fill="E6E6E6"/>
          </w:tcPr>
          <w:p>
            <w:pPr>
              <w:spacing w:after="0"/>
              <w:rPr>
                <w:sz w:val="19"/>
                <w:szCs w:val="19"/>
                <w:color w:val="auto"/>
              </w:rPr>
            </w:pPr>
          </w:p>
        </w:tc>
      </w:tr>
      <w:tr>
        <w:trPr>
          <w:trHeight w:val="270"/>
        </w:trPr>
        <w:tc>
          <w:tcPr>
            <w:tcW w:w="2820" w:type="dxa"/>
            <w:vAlign w:val="bottom"/>
            <w:tcBorders>
              <w:bottom w:val="single" w:sz="8" w:color="E6E6E6"/>
            </w:tcBorders>
          </w:tcPr>
          <w:p>
            <w:pPr>
              <w:ind w:left="100"/>
              <w:spacing w:after="0"/>
              <w:rPr>
                <w:sz w:val="20"/>
                <w:szCs w:val="20"/>
                <w:color w:val="auto"/>
              </w:rPr>
            </w:pPr>
            <w:r>
              <w:rPr>
                <w:rFonts w:ascii="Arial" w:cs="Arial" w:eastAsia="Arial" w:hAnsi="Arial"/>
                <w:sz w:val="18"/>
                <w:szCs w:val="18"/>
                <w:color w:val="auto"/>
              </w:rPr>
              <w:t>Ali Dasdan</w:t>
            </w:r>
          </w:p>
        </w:tc>
        <w:tc>
          <w:tcPr>
            <w:tcW w:w="40" w:type="dxa"/>
            <w:vAlign w:val="bottom"/>
          </w:tcPr>
          <w:p>
            <w:pPr>
              <w:spacing w:after="0"/>
              <w:rPr>
                <w:sz w:val="23"/>
                <w:szCs w:val="23"/>
                <w:color w:val="auto"/>
              </w:rPr>
            </w:pPr>
          </w:p>
        </w:tc>
        <w:tc>
          <w:tcPr>
            <w:tcW w:w="134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w w:val="98"/>
              </w:rPr>
              <w:t>250,000</w:t>
            </w:r>
          </w:p>
        </w:tc>
        <w:tc>
          <w:tcPr>
            <w:tcW w:w="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134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w w:val="97"/>
              </w:rPr>
              <w:t>1,060,320</w:t>
            </w:r>
          </w:p>
        </w:tc>
        <w:tc>
          <w:tcPr>
            <w:tcW w:w="1360" w:type="dxa"/>
            <w:vAlign w:val="bottom"/>
            <w:tcBorders>
              <w:bottom w:val="single" w:sz="8" w:color="E6E6E6"/>
            </w:tcBorders>
            <w:gridSpan w:val="2"/>
          </w:tcPr>
          <w:p>
            <w:pPr>
              <w:jc w:val="center"/>
              <w:spacing w:after="0"/>
              <w:rPr>
                <w:sz w:val="20"/>
                <w:szCs w:val="20"/>
                <w:color w:val="auto"/>
              </w:rPr>
            </w:pPr>
            <w:r>
              <w:rPr>
                <w:rFonts w:ascii="Arial" w:cs="Arial" w:eastAsia="Arial" w:hAnsi="Arial"/>
                <w:sz w:val="18"/>
                <w:szCs w:val="18"/>
                <w:color w:val="auto"/>
                <w:w w:val="98"/>
              </w:rPr>
              <w:t>17,578</w:t>
            </w:r>
          </w:p>
        </w:tc>
        <w:tc>
          <w:tcPr>
            <w:tcW w:w="20" w:type="dxa"/>
            <w:vAlign w:val="bottom"/>
          </w:tcPr>
          <w:p>
            <w:pPr>
              <w:spacing w:after="0"/>
              <w:rPr>
                <w:sz w:val="23"/>
                <w:szCs w:val="23"/>
                <w:color w:val="auto"/>
              </w:rPr>
            </w:pPr>
          </w:p>
        </w:tc>
        <w:tc>
          <w:tcPr>
            <w:tcW w:w="134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1,327,898</w:t>
            </w:r>
          </w:p>
        </w:tc>
        <w:tc>
          <w:tcPr>
            <w:tcW w:w="20" w:type="dxa"/>
            <w:vAlign w:val="bottom"/>
          </w:tcPr>
          <w:p>
            <w:pPr>
              <w:spacing w:after="0"/>
              <w:rPr>
                <w:sz w:val="23"/>
                <w:szCs w:val="23"/>
                <w:color w:val="auto"/>
              </w:rPr>
            </w:pPr>
          </w:p>
        </w:tc>
      </w:tr>
      <w:tr>
        <w:trPr>
          <w:trHeight w:val="229"/>
        </w:trPr>
        <w:tc>
          <w:tcPr>
            <w:tcW w:w="2820" w:type="dxa"/>
            <w:vAlign w:val="bottom"/>
            <w:shd w:val="clear" w:color="auto" w:fill="E6E6E6"/>
          </w:tcPr>
          <w:p>
            <w:pPr>
              <w:ind w:left="100"/>
              <w:spacing w:after="0"/>
              <w:rPr>
                <w:sz w:val="20"/>
                <w:szCs w:val="20"/>
                <w:color w:val="auto"/>
              </w:rPr>
            </w:pPr>
            <w:r>
              <w:rPr>
                <w:rFonts w:ascii="Arial" w:cs="Arial" w:eastAsia="Arial" w:hAnsi="Arial"/>
                <w:sz w:val="18"/>
                <w:szCs w:val="18"/>
                <w:color w:val="auto"/>
              </w:rPr>
              <w:t>Ashraf Alkarmi</w:t>
            </w:r>
          </w:p>
        </w:tc>
        <w:tc>
          <w:tcPr>
            <w:tcW w:w="40" w:type="dxa"/>
            <w:vAlign w:val="bottom"/>
            <w:tcBorders>
              <w:left w:val="single" w:sz="8" w:color="E6E6E6"/>
            </w:tcBorders>
          </w:tcPr>
          <w:p>
            <w:pPr>
              <w:spacing w:after="0"/>
              <w:rPr>
                <w:sz w:val="19"/>
                <w:szCs w:val="19"/>
                <w:color w:val="auto"/>
              </w:rPr>
            </w:pPr>
          </w:p>
        </w:tc>
        <w:tc>
          <w:tcPr>
            <w:tcW w:w="134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250,000</w:t>
            </w:r>
          </w:p>
        </w:tc>
        <w:tc>
          <w:tcPr>
            <w:tcW w:w="20" w:type="dxa"/>
            <w:vAlign w:val="bottom"/>
          </w:tcPr>
          <w:p>
            <w:pPr>
              <w:spacing w:after="0"/>
              <w:rPr>
                <w:sz w:val="19"/>
                <w:szCs w:val="19"/>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934,664</w:t>
            </w:r>
          </w:p>
        </w:tc>
        <w:tc>
          <w:tcPr>
            <w:tcW w:w="1360" w:type="dxa"/>
            <w:vAlign w:val="bottom"/>
            <w:tcBorders>
              <w:righ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8"/>
              </w:rPr>
              <w:t>17,578</w:t>
            </w:r>
          </w:p>
        </w:tc>
        <w:tc>
          <w:tcPr>
            <w:tcW w:w="20" w:type="dxa"/>
            <w:vAlign w:val="bottom"/>
          </w:tcPr>
          <w:p>
            <w:pPr>
              <w:spacing w:after="0"/>
              <w:rPr>
                <w:sz w:val="19"/>
                <w:szCs w:val="19"/>
                <w:color w:val="auto"/>
              </w:rPr>
            </w:pPr>
          </w:p>
        </w:tc>
        <w:tc>
          <w:tcPr>
            <w:tcW w:w="13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1,202,242</w:t>
            </w:r>
          </w:p>
        </w:tc>
        <w:tc>
          <w:tcPr>
            <w:tcW w:w="20" w:type="dxa"/>
            <w:vAlign w:val="bottom"/>
            <w:shd w:val="clear" w:color="auto" w:fill="E6E6E6"/>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9667"/>
          </w:cols>
          <w:pgMar w:left="1133" w:top="340" w:right="1080"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63</w:t>
      </w:r>
    </w:p>
    <w:p>
      <w:pPr>
        <w:sectPr>
          <w:pgSz w:w="11880" w:h="15480" w:orient="portrait"/>
          <w:cols w:equalWidth="0" w:num="1">
            <w:col w:w="9667"/>
          </w:cols>
          <w:pgMar w:left="1133" w:top="340" w:right="1080" w:bottom="0" w:gutter="0" w:footer="0" w:header="0"/>
          <w:type w:val="continuous"/>
        </w:sectPr>
      </w:pPr>
    </w:p>
    <w:bookmarkStart w:id="71" w:name="page72"/>
    <w:bookmarkEnd w:id="71"/>
    <w:p>
      <w:pPr>
        <w:ind w:left="7"/>
        <w:spacing w:after="0"/>
        <w:rPr>
          <w:sz w:val="20"/>
          <w:szCs w:val="20"/>
          <w:color w:val="auto"/>
        </w:rPr>
      </w:pPr>
      <w:r>
        <w:rPr>
          <w:rFonts w:ascii="Arial" w:cs="Arial" w:eastAsia="Arial" w:hAnsi="Arial"/>
          <w:sz w:val="33"/>
          <w:szCs w:val="33"/>
          <w:color w:val="0A248E"/>
        </w:rPr>
        <w:t>EXECUTIVE COMPENSATION (continued)</w:t>
      </w:r>
    </w:p>
    <w:p>
      <w:pPr>
        <w:spacing w:after="0" w:line="288" w:lineRule="exact"/>
        <w:rPr>
          <w:sz w:val="20"/>
          <w:szCs w:val="20"/>
          <w:color w:val="auto"/>
        </w:rPr>
      </w:pPr>
    </w:p>
    <w:p>
      <w:pPr>
        <w:ind w:left="347" w:right="60" w:hanging="347"/>
        <w:spacing w:after="0" w:line="326" w:lineRule="auto"/>
        <w:tabs>
          <w:tab w:leader="none" w:pos="347" w:val="left"/>
        </w:tabs>
        <w:numPr>
          <w:ilvl w:val="0"/>
          <w:numId w:val="81"/>
        </w:numPr>
        <w:rPr>
          <w:rFonts w:ascii="Calibri" w:cs="Calibri" w:eastAsia="Calibri" w:hAnsi="Calibri"/>
          <w:sz w:val="10"/>
          <w:szCs w:val="10"/>
          <w:color w:val="auto"/>
        </w:rPr>
      </w:pPr>
      <w:r>
        <w:rPr>
          <w:rFonts w:ascii="Arial" w:cs="Arial" w:eastAsia="Arial" w:hAnsi="Arial"/>
          <w:sz w:val="15"/>
          <w:szCs w:val="15"/>
          <w:color w:val="auto"/>
        </w:rPr>
        <w:t>Value based on a per share price of $27.80, which was the closing price for a share of our Class A common stock, as reported on December 31, 2025, the last trading day of the year.</w:t>
      </w:r>
    </w:p>
    <w:p>
      <w:pPr>
        <w:sectPr>
          <w:pgSz w:w="11880" w:h="15480" w:orient="portrait"/>
          <w:cols w:equalWidth="0" w:num="1">
            <w:col w:w="9307"/>
          </w:cols>
          <w:pgMar w:left="1133" w:top="3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7" w:hanging="475"/>
        <w:spacing w:after="0"/>
        <w:tabs>
          <w:tab w:leader="none" w:pos="527"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307"/>
          </w:cols>
          <w:pgMar w:left="1133" w:top="340" w:right="1440" w:bottom="0" w:gutter="0" w:footer="0" w:header="0"/>
          <w:type w:val="continuous"/>
        </w:sectPr>
      </w:pPr>
    </w:p>
    <w:bookmarkStart w:id="72" w:name="page73"/>
    <w:bookmarkEnd w:id="72"/>
    <w:p>
      <w:pPr>
        <w:ind w:left="7"/>
        <w:spacing w:after="0"/>
        <w:rPr>
          <w:sz w:val="20"/>
          <w:szCs w:val="20"/>
          <w:color w:val="auto"/>
        </w:rPr>
      </w:pPr>
      <w:r>
        <w:rPr>
          <w:rFonts w:ascii="Arial" w:cs="Arial" w:eastAsia="Arial" w:hAnsi="Arial"/>
          <w:sz w:val="33"/>
          <w:szCs w:val="33"/>
          <w:color w:val="0A248E"/>
        </w:rPr>
        <w:t>EXECUTIVE COMPENSATION (continued)</w:t>
      </w:r>
    </w:p>
    <w:p>
      <w:pPr>
        <w:spacing w:after="0" w:line="282" w:lineRule="exact"/>
        <w:rPr>
          <w:sz w:val="20"/>
          <w:szCs w:val="20"/>
          <w:color w:val="auto"/>
        </w:rPr>
      </w:pPr>
    </w:p>
    <w:p>
      <w:pPr>
        <w:ind w:left="7" w:right="420"/>
        <w:spacing w:after="0" w:line="302" w:lineRule="auto"/>
        <w:rPr>
          <w:sz w:val="20"/>
          <w:szCs w:val="20"/>
          <w:color w:val="auto"/>
        </w:rPr>
      </w:pPr>
      <w:r>
        <w:rPr>
          <w:rFonts w:ascii="Arial" w:cs="Arial" w:eastAsia="Arial" w:hAnsi="Arial"/>
          <w:sz w:val="17"/>
          <w:szCs w:val="17"/>
          <w:color w:val="auto"/>
        </w:rPr>
        <w:t>The following table describes the payments that would have been provided to each of our named executive officers that remained employed by the company as of December 31, 2025, upon termination of employment in connection with a change in control of Dropbox as described above, assuming such termination had occurred on December 31, 2025. Mr. Regan is not included in this table since he resigned as our Chief Financial Officer prior to December 31, 2025.</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56"/>
        </w:trPr>
        <w:tc>
          <w:tcPr>
            <w:tcW w:w="196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48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shd w:val="clear" w:color="auto" w:fill="0A248E"/>
          </w:tcPr>
          <w:p>
            <w:pPr>
              <w:spacing w:after="0"/>
              <w:rPr>
                <w:sz w:val="4"/>
                <w:szCs w:val="4"/>
                <w:color w:val="auto"/>
              </w:rPr>
            </w:pPr>
          </w:p>
        </w:tc>
      </w:tr>
      <w:tr>
        <w:trPr>
          <w:trHeight w:val="253"/>
        </w:trPr>
        <w:tc>
          <w:tcPr>
            <w:tcW w:w="1960" w:type="dxa"/>
            <w:vAlign w:val="bottom"/>
            <w:shd w:val="clear" w:color="auto" w:fill="0A248E"/>
          </w:tcPr>
          <w:p>
            <w:pPr>
              <w:spacing w:after="0"/>
              <w:rPr>
                <w:sz w:val="22"/>
                <w:szCs w:val="22"/>
                <w:color w:val="auto"/>
              </w:rPr>
            </w:pPr>
          </w:p>
        </w:tc>
        <w:tc>
          <w:tcPr>
            <w:tcW w:w="40" w:type="dxa"/>
            <w:vAlign w:val="bottom"/>
            <w:tcBorders>
              <w:left w:val="single" w:sz="8" w:color="0A248E"/>
            </w:tcBorders>
          </w:tcPr>
          <w:p>
            <w:pPr>
              <w:spacing w:after="0"/>
              <w:rPr>
                <w:sz w:val="22"/>
                <w:szCs w:val="22"/>
                <w:color w:val="auto"/>
              </w:rPr>
            </w:pPr>
          </w:p>
        </w:tc>
        <w:tc>
          <w:tcPr>
            <w:tcW w:w="1240" w:type="dxa"/>
            <w:vAlign w:val="bottom"/>
            <w:shd w:val="clear" w:color="auto" w:fill="0A248E"/>
          </w:tcPr>
          <w:p>
            <w:pPr>
              <w:spacing w:after="0"/>
              <w:rPr>
                <w:sz w:val="22"/>
                <w:szCs w:val="22"/>
                <w:color w:val="auto"/>
              </w:rPr>
            </w:pPr>
          </w:p>
        </w:tc>
        <w:tc>
          <w:tcPr>
            <w:tcW w:w="20" w:type="dxa"/>
            <w:vAlign w:val="bottom"/>
            <w:shd w:val="clear" w:color="auto" w:fill="0A248E"/>
          </w:tcPr>
          <w:p>
            <w:pPr>
              <w:spacing w:after="0"/>
              <w:rPr>
                <w:sz w:val="22"/>
                <w:szCs w:val="22"/>
                <w:color w:val="auto"/>
              </w:rPr>
            </w:pPr>
          </w:p>
        </w:tc>
        <w:tc>
          <w:tcPr>
            <w:tcW w:w="1240" w:type="dxa"/>
            <w:vAlign w:val="bottom"/>
            <w:shd w:val="clear" w:color="auto" w:fill="0A248E"/>
          </w:tcPr>
          <w:p>
            <w:pPr>
              <w:spacing w:after="0"/>
              <w:rPr>
                <w:sz w:val="22"/>
                <w:szCs w:val="22"/>
                <w:color w:val="auto"/>
              </w:rPr>
            </w:pPr>
          </w:p>
        </w:tc>
        <w:tc>
          <w:tcPr>
            <w:tcW w:w="40" w:type="dxa"/>
            <w:vAlign w:val="bottom"/>
            <w:tcBorders>
              <w:right w:val="single" w:sz="8" w:color="0A248E"/>
            </w:tcBorders>
          </w:tcPr>
          <w:p>
            <w:pPr>
              <w:spacing w:after="0"/>
              <w:rPr>
                <w:sz w:val="22"/>
                <w:szCs w:val="22"/>
                <w:color w:val="auto"/>
              </w:rPr>
            </w:pPr>
          </w:p>
        </w:tc>
        <w:tc>
          <w:tcPr>
            <w:tcW w:w="1500" w:type="dxa"/>
            <w:vAlign w:val="bottom"/>
            <w:gridSpan w:val="2"/>
            <w:shd w:val="clear" w:color="auto" w:fill="0A248E"/>
          </w:tcPr>
          <w:p>
            <w:pPr>
              <w:jc w:val="center"/>
              <w:ind w:right="20"/>
              <w:spacing w:after="0"/>
              <w:rPr>
                <w:sz w:val="20"/>
                <w:szCs w:val="20"/>
                <w:color w:val="auto"/>
              </w:rPr>
            </w:pPr>
            <w:r>
              <w:rPr>
                <w:rFonts w:ascii="Arial" w:cs="Arial" w:eastAsia="Arial" w:hAnsi="Arial"/>
                <w:sz w:val="15"/>
                <w:szCs w:val="15"/>
                <w:b w:val="1"/>
                <w:bCs w:val="1"/>
                <w:color w:val="FFFFFF"/>
              </w:rPr>
              <w:t>Value of</w:t>
            </w:r>
          </w:p>
        </w:tc>
        <w:tc>
          <w:tcPr>
            <w:tcW w:w="1140" w:type="dxa"/>
            <w:vAlign w:val="bottom"/>
            <w:shd w:val="clear" w:color="auto" w:fill="0A248E"/>
          </w:tcPr>
          <w:p>
            <w:pPr>
              <w:spacing w:after="0"/>
              <w:rPr>
                <w:sz w:val="22"/>
                <w:szCs w:val="22"/>
                <w:color w:val="auto"/>
              </w:rPr>
            </w:pPr>
          </w:p>
        </w:tc>
        <w:tc>
          <w:tcPr>
            <w:tcW w:w="40" w:type="dxa"/>
            <w:vAlign w:val="bottom"/>
            <w:tcBorders>
              <w:left w:val="single" w:sz="8" w:color="0A248E"/>
            </w:tcBorders>
          </w:tcPr>
          <w:p>
            <w:pPr>
              <w:spacing w:after="0"/>
              <w:rPr>
                <w:sz w:val="22"/>
                <w:szCs w:val="22"/>
                <w:color w:val="auto"/>
              </w:rPr>
            </w:pPr>
          </w:p>
        </w:tc>
        <w:tc>
          <w:tcPr>
            <w:tcW w:w="1140" w:type="dxa"/>
            <w:vAlign w:val="bottom"/>
            <w:shd w:val="clear" w:color="auto" w:fill="0A248E"/>
          </w:tcPr>
          <w:p>
            <w:pPr>
              <w:spacing w:after="0"/>
              <w:rPr>
                <w:sz w:val="22"/>
                <w:szCs w:val="22"/>
                <w:color w:val="auto"/>
              </w:rPr>
            </w:pPr>
          </w:p>
        </w:tc>
        <w:tc>
          <w:tcPr>
            <w:tcW w:w="20" w:type="dxa"/>
            <w:vAlign w:val="bottom"/>
            <w:shd w:val="clear" w:color="auto" w:fill="0A248E"/>
          </w:tcPr>
          <w:p>
            <w:pPr>
              <w:spacing w:after="0"/>
              <w:rPr>
                <w:sz w:val="22"/>
                <w:szCs w:val="22"/>
                <w:color w:val="auto"/>
              </w:rPr>
            </w:pPr>
          </w:p>
        </w:tc>
        <w:tc>
          <w:tcPr>
            <w:tcW w:w="1260" w:type="dxa"/>
            <w:vAlign w:val="bottom"/>
            <w:shd w:val="clear" w:color="auto" w:fill="0A248E"/>
          </w:tcPr>
          <w:p>
            <w:pPr>
              <w:spacing w:after="0"/>
              <w:rPr>
                <w:sz w:val="22"/>
                <w:szCs w:val="22"/>
                <w:color w:val="auto"/>
              </w:rPr>
            </w:pPr>
          </w:p>
        </w:tc>
      </w:tr>
      <w:tr>
        <w:trPr>
          <w:trHeight w:val="206"/>
        </w:trPr>
        <w:tc>
          <w:tcPr>
            <w:tcW w:w="1960" w:type="dxa"/>
            <w:vAlign w:val="bottom"/>
            <w:shd w:val="clear" w:color="auto" w:fill="0A248E"/>
          </w:tcPr>
          <w:p>
            <w:pPr>
              <w:spacing w:after="0"/>
              <w:rPr>
                <w:sz w:val="17"/>
                <w:szCs w:val="17"/>
                <w:color w:val="auto"/>
              </w:rPr>
            </w:pPr>
          </w:p>
        </w:tc>
        <w:tc>
          <w:tcPr>
            <w:tcW w:w="40" w:type="dxa"/>
            <w:vAlign w:val="bottom"/>
            <w:tcBorders>
              <w:left w:val="single" w:sz="8" w:color="0A248E"/>
            </w:tcBorders>
          </w:tcPr>
          <w:p>
            <w:pPr>
              <w:spacing w:after="0"/>
              <w:rPr>
                <w:sz w:val="17"/>
                <w:szCs w:val="17"/>
                <w:color w:val="auto"/>
              </w:rPr>
            </w:pPr>
          </w:p>
        </w:tc>
        <w:tc>
          <w:tcPr>
            <w:tcW w:w="12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Base Salary</w:t>
            </w:r>
          </w:p>
        </w:tc>
        <w:tc>
          <w:tcPr>
            <w:tcW w:w="20" w:type="dxa"/>
            <w:vAlign w:val="bottom"/>
            <w:shd w:val="clear" w:color="auto" w:fill="0A248E"/>
          </w:tcPr>
          <w:p>
            <w:pPr>
              <w:spacing w:after="0"/>
              <w:rPr>
                <w:sz w:val="17"/>
                <w:szCs w:val="17"/>
                <w:color w:val="auto"/>
              </w:rPr>
            </w:pPr>
          </w:p>
        </w:tc>
        <w:tc>
          <w:tcPr>
            <w:tcW w:w="12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Cash Bonus</w:t>
            </w:r>
          </w:p>
        </w:tc>
        <w:tc>
          <w:tcPr>
            <w:tcW w:w="40" w:type="dxa"/>
            <w:vAlign w:val="bottom"/>
            <w:tcBorders>
              <w:right w:val="single" w:sz="8" w:color="0A248E"/>
            </w:tcBorders>
          </w:tcPr>
          <w:p>
            <w:pPr>
              <w:spacing w:after="0"/>
              <w:rPr>
                <w:sz w:val="17"/>
                <w:szCs w:val="17"/>
                <w:color w:val="auto"/>
              </w:rPr>
            </w:pPr>
          </w:p>
        </w:tc>
        <w:tc>
          <w:tcPr>
            <w:tcW w:w="1500" w:type="dxa"/>
            <w:vAlign w:val="bottom"/>
            <w:gridSpan w:val="2"/>
            <w:shd w:val="clear" w:color="auto" w:fill="0A248E"/>
          </w:tcPr>
          <w:p>
            <w:pPr>
              <w:jc w:val="center"/>
              <w:ind w:right="20"/>
              <w:spacing w:after="0"/>
              <w:rPr>
                <w:sz w:val="20"/>
                <w:szCs w:val="20"/>
                <w:color w:val="auto"/>
              </w:rPr>
            </w:pPr>
            <w:r>
              <w:rPr>
                <w:rFonts w:ascii="Arial" w:cs="Arial" w:eastAsia="Arial" w:hAnsi="Arial"/>
                <w:sz w:val="15"/>
                <w:szCs w:val="15"/>
                <w:b w:val="1"/>
                <w:bCs w:val="1"/>
                <w:color w:val="FFFFFF"/>
              </w:rPr>
              <w:t>Accelerated</w:t>
            </w: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280G</w:t>
            </w:r>
          </w:p>
        </w:tc>
        <w:tc>
          <w:tcPr>
            <w:tcW w:w="40" w:type="dxa"/>
            <w:vAlign w:val="bottom"/>
            <w:tcBorders>
              <w:left w:val="single" w:sz="8" w:color="0A248E"/>
            </w:tcBorders>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Value of</w:t>
            </w:r>
          </w:p>
        </w:tc>
        <w:tc>
          <w:tcPr>
            <w:tcW w:w="20" w:type="dxa"/>
            <w:vAlign w:val="bottom"/>
            <w:shd w:val="clear" w:color="auto" w:fill="0A248E"/>
          </w:tcPr>
          <w:p>
            <w:pPr>
              <w:spacing w:after="0"/>
              <w:rPr>
                <w:sz w:val="17"/>
                <w:szCs w:val="17"/>
                <w:color w:val="auto"/>
              </w:rPr>
            </w:pPr>
          </w:p>
        </w:tc>
        <w:tc>
          <w:tcPr>
            <w:tcW w:w="1260" w:type="dxa"/>
            <w:vAlign w:val="bottom"/>
            <w:shd w:val="clear" w:color="auto" w:fill="0A248E"/>
          </w:tcPr>
          <w:p>
            <w:pPr>
              <w:spacing w:after="0"/>
              <w:rPr>
                <w:sz w:val="17"/>
                <w:szCs w:val="17"/>
                <w:color w:val="auto"/>
              </w:rPr>
            </w:pPr>
          </w:p>
        </w:tc>
      </w:tr>
      <w:tr>
        <w:trPr>
          <w:trHeight w:val="163"/>
        </w:trPr>
        <w:tc>
          <w:tcPr>
            <w:tcW w:w="1960" w:type="dxa"/>
            <w:vAlign w:val="bottom"/>
            <w:shd w:val="clear" w:color="auto" w:fill="0A248E"/>
          </w:tcPr>
          <w:p>
            <w:pPr>
              <w:spacing w:after="0"/>
              <w:rPr>
                <w:sz w:val="14"/>
                <w:szCs w:val="14"/>
                <w:color w:val="auto"/>
              </w:rPr>
            </w:pPr>
          </w:p>
        </w:tc>
        <w:tc>
          <w:tcPr>
            <w:tcW w:w="40" w:type="dxa"/>
            <w:vAlign w:val="bottom"/>
            <w:tcBorders>
              <w:left w:val="single" w:sz="8" w:color="0A248E"/>
            </w:tcBorders>
          </w:tcPr>
          <w:p>
            <w:pPr>
              <w:spacing w:after="0"/>
              <w:rPr>
                <w:sz w:val="14"/>
                <w:szCs w:val="14"/>
                <w:color w:val="auto"/>
              </w:rPr>
            </w:pPr>
          </w:p>
        </w:tc>
        <w:tc>
          <w:tcPr>
            <w:tcW w:w="12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Component</w:t>
            </w:r>
          </w:p>
        </w:tc>
        <w:tc>
          <w:tcPr>
            <w:tcW w:w="20" w:type="dxa"/>
            <w:vAlign w:val="bottom"/>
            <w:shd w:val="clear" w:color="auto" w:fill="0A248E"/>
          </w:tcPr>
          <w:p>
            <w:pPr>
              <w:spacing w:after="0"/>
              <w:rPr>
                <w:sz w:val="14"/>
                <w:szCs w:val="14"/>
                <w:color w:val="auto"/>
              </w:rPr>
            </w:pPr>
          </w:p>
        </w:tc>
        <w:tc>
          <w:tcPr>
            <w:tcW w:w="12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Component</w:t>
            </w:r>
          </w:p>
        </w:tc>
        <w:tc>
          <w:tcPr>
            <w:tcW w:w="40" w:type="dxa"/>
            <w:vAlign w:val="bottom"/>
            <w:tcBorders>
              <w:right w:val="single" w:sz="8" w:color="0A248E"/>
            </w:tcBorders>
          </w:tcPr>
          <w:p>
            <w:pPr>
              <w:spacing w:after="0"/>
              <w:rPr>
                <w:sz w:val="14"/>
                <w:szCs w:val="14"/>
                <w:color w:val="auto"/>
              </w:rPr>
            </w:pPr>
          </w:p>
        </w:tc>
        <w:tc>
          <w:tcPr>
            <w:tcW w:w="1500" w:type="dxa"/>
            <w:vAlign w:val="bottom"/>
            <w:gridSpan w:val="2"/>
            <w:shd w:val="clear" w:color="auto" w:fill="0A248E"/>
          </w:tcPr>
          <w:p>
            <w:pPr>
              <w:jc w:val="center"/>
              <w:ind w:right="20"/>
              <w:spacing w:after="0" w:line="163" w:lineRule="exact"/>
              <w:rPr>
                <w:sz w:val="20"/>
                <w:szCs w:val="20"/>
                <w:color w:val="auto"/>
              </w:rPr>
            </w:pPr>
            <w:r>
              <w:rPr>
                <w:rFonts w:ascii="Arial" w:cs="Arial" w:eastAsia="Arial" w:hAnsi="Arial"/>
                <w:sz w:val="15"/>
                <w:szCs w:val="15"/>
                <w:b w:val="1"/>
                <w:bCs w:val="1"/>
                <w:color w:val="FFFFFF"/>
              </w:rPr>
              <w:t>Equity Awards</w:t>
            </w:r>
          </w:p>
        </w:tc>
        <w:tc>
          <w:tcPr>
            <w:tcW w:w="1140" w:type="dxa"/>
            <w:vAlign w:val="bottom"/>
            <w:shd w:val="clear" w:color="auto" w:fill="0A248E"/>
          </w:tcPr>
          <w:p>
            <w:pPr>
              <w:ind w:left="220"/>
              <w:spacing w:after="0" w:line="163" w:lineRule="exact"/>
              <w:rPr>
                <w:sz w:val="20"/>
                <w:szCs w:val="20"/>
                <w:color w:val="auto"/>
              </w:rPr>
            </w:pPr>
            <w:r>
              <w:rPr>
                <w:rFonts w:ascii="Arial" w:cs="Arial" w:eastAsia="Arial" w:hAnsi="Arial"/>
                <w:sz w:val="15"/>
                <w:szCs w:val="15"/>
                <w:b w:val="1"/>
                <w:bCs w:val="1"/>
                <w:color w:val="FFFFFF"/>
              </w:rPr>
              <w:t>Gross - up</w:t>
            </w:r>
          </w:p>
        </w:tc>
        <w:tc>
          <w:tcPr>
            <w:tcW w:w="40" w:type="dxa"/>
            <w:vAlign w:val="bottom"/>
            <w:tcBorders>
              <w:left w:val="single" w:sz="8" w:color="0A248E"/>
            </w:tcBorders>
          </w:tcPr>
          <w:p>
            <w:pPr>
              <w:spacing w:after="0"/>
              <w:rPr>
                <w:sz w:val="14"/>
                <w:szCs w:val="14"/>
                <w:color w:val="auto"/>
              </w:rPr>
            </w:pPr>
          </w:p>
        </w:tc>
        <w:tc>
          <w:tcPr>
            <w:tcW w:w="1140" w:type="dxa"/>
            <w:vAlign w:val="bottom"/>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Benefits</w:t>
            </w:r>
          </w:p>
        </w:tc>
        <w:tc>
          <w:tcPr>
            <w:tcW w:w="20" w:type="dxa"/>
            <w:vAlign w:val="bottom"/>
            <w:shd w:val="clear" w:color="auto" w:fill="0A248E"/>
          </w:tcPr>
          <w:p>
            <w:pPr>
              <w:spacing w:after="0"/>
              <w:rPr>
                <w:sz w:val="14"/>
                <w:szCs w:val="14"/>
                <w:color w:val="auto"/>
              </w:rPr>
            </w:pPr>
          </w:p>
        </w:tc>
        <w:tc>
          <w:tcPr>
            <w:tcW w:w="1260" w:type="dxa"/>
            <w:vAlign w:val="bottom"/>
            <w:shd w:val="clear" w:color="auto" w:fill="0A248E"/>
          </w:tcPr>
          <w:p>
            <w:pPr>
              <w:spacing w:after="0"/>
              <w:rPr>
                <w:sz w:val="14"/>
                <w:szCs w:val="14"/>
                <w:color w:val="auto"/>
              </w:rPr>
            </w:pPr>
          </w:p>
        </w:tc>
      </w:tr>
      <w:tr>
        <w:trPr>
          <w:trHeight w:val="285"/>
        </w:trPr>
        <w:tc>
          <w:tcPr>
            <w:tcW w:w="1960" w:type="dxa"/>
            <w:vAlign w:val="bottom"/>
            <w:shd w:val="clear" w:color="auto" w:fill="0A248E"/>
          </w:tcPr>
          <w:p>
            <w:pPr>
              <w:ind w:left="100"/>
              <w:spacing w:after="0"/>
              <w:rPr>
                <w:sz w:val="20"/>
                <w:szCs w:val="20"/>
                <w:color w:val="auto"/>
              </w:rPr>
            </w:pPr>
            <w:r>
              <w:rPr>
                <w:rFonts w:ascii="Arial" w:cs="Arial" w:eastAsia="Arial" w:hAnsi="Arial"/>
                <w:sz w:val="15"/>
                <w:szCs w:val="15"/>
                <w:b w:val="1"/>
                <w:bCs w:val="1"/>
                <w:color w:val="FFFFFF"/>
              </w:rPr>
              <w:t>Name</w:t>
            </w:r>
            <w:r>
              <w:rPr>
                <w:rFonts w:ascii="Arial" w:cs="Arial" w:eastAsia="Arial" w:hAnsi="Arial"/>
                <w:sz w:val="19"/>
                <w:szCs w:val="19"/>
                <w:b w:val="1"/>
                <w:bCs w:val="1"/>
                <w:color w:val="FFFFFF"/>
                <w:vertAlign w:val="superscript"/>
              </w:rPr>
              <w:t>(1)</w:t>
            </w:r>
          </w:p>
        </w:tc>
        <w:tc>
          <w:tcPr>
            <w:tcW w:w="40" w:type="dxa"/>
            <w:vAlign w:val="bottom"/>
            <w:tcBorders>
              <w:left w:val="single" w:sz="8" w:color="0A248E"/>
            </w:tcBorders>
          </w:tcPr>
          <w:p>
            <w:pPr>
              <w:spacing w:after="0"/>
              <w:rPr>
                <w:sz w:val="24"/>
                <w:szCs w:val="24"/>
                <w:color w:val="auto"/>
              </w:rPr>
            </w:pPr>
          </w:p>
        </w:tc>
        <w:tc>
          <w:tcPr>
            <w:tcW w:w="12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w:t>
            </w:r>
          </w:p>
        </w:tc>
        <w:tc>
          <w:tcPr>
            <w:tcW w:w="20" w:type="dxa"/>
            <w:vAlign w:val="bottom"/>
            <w:shd w:val="clear" w:color="auto" w:fill="0A248E"/>
          </w:tcPr>
          <w:p>
            <w:pPr>
              <w:spacing w:after="0"/>
              <w:rPr>
                <w:sz w:val="24"/>
                <w:szCs w:val="24"/>
                <w:color w:val="auto"/>
              </w:rPr>
            </w:pPr>
          </w:p>
        </w:tc>
        <w:tc>
          <w:tcPr>
            <w:tcW w:w="12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w:t>
            </w:r>
          </w:p>
        </w:tc>
        <w:tc>
          <w:tcPr>
            <w:tcW w:w="40" w:type="dxa"/>
            <w:vAlign w:val="bottom"/>
            <w:tcBorders>
              <w:right w:val="single" w:sz="8" w:color="0A248E"/>
            </w:tcBorders>
          </w:tcPr>
          <w:p>
            <w:pPr>
              <w:spacing w:after="0"/>
              <w:rPr>
                <w:sz w:val="24"/>
                <w:szCs w:val="24"/>
                <w:color w:val="auto"/>
              </w:rPr>
            </w:pPr>
          </w:p>
        </w:tc>
        <w:tc>
          <w:tcPr>
            <w:tcW w:w="148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4"/>
              </w:rPr>
              <w:t>($)</w:t>
            </w:r>
            <w:r>
              <w:rPr>
                <w:rFonts w:ascii="Arial" w:cs="Arial" w:eastAsia="Arial" w:hAnsi="Arial"/>
                <w:sz w:val="19"/>
                <w:szCs w:val="19"/>
                <w:b w:val="1"/>
                <w:bCs w:val="1"/>
                <w:color w:val="FFFFFF"/>
                <w:w w:val="94"/>
                <w:vertAlign w:val="superscript"/>
              </w:rPr>
              <w:t>(2)</w:t>
            </w:r>
          </w:p>
        </w:tc>
        <w:tc>
          <w:tcPr>
            <w:tcW w:w="20" w:type="dxa"/>
            <w:vAlign w:val="bottom"/>
            <w:shd w:val="clear" w:color="auto" w:fill="0A248E"/>
          </w:tcPr>
          <w:p>
            <w:pPr>
              <w:spacing w:after="0"/>
              <w:rPr>
                <w:sz w:val="24"/>
                <w:szCs w:val="24"/>
                <w:color w:val="auto"/>
              </w:rPr>
            </w:pPr>
          </w:p>
        </w:tc>
        <w:tc>
          <w:tcPr>
            <w:tcW w:w="1140" w:type="dxa"/>
            <w:vAlign w:val="bottom"/>
            <w:shd w:val="clear" w:color="auto" w:fill="0A248E"/>
          </w:tcPr>
          <w:p>
            <w:pPr>
              <w:jc w:val="right"/>
              <w:ind w:right="383"/>
              <w:spacing w:after="0"/>
              <w:rPr>
                <w:sz w:val="20"/>
                <w:szCs w:val="20"/>
                <w:color w:val="auto"/>
              </w:rPr>
            </w:pPr>
            <w:r>
              <w:rPr>
                <w:rFonts w:ascii="Arial" w:cs="Arial" w:eastAsia="Arial" w:hAnsi="Arial"/>
                <w:sz w:val="15"/>
                <w:szCs w:val="15"/>
                <w:b w:val="1"/>
                <w:bCs w:val="1"/>
                <w:color w:val="FFFFFF"/>
              </w:rPr>
              <w:t>($)</w:t>
            </w:r>
          </w:p>
        </w:tc>
        <w:tc>
          <w:tcPr>
            <w:tcW w:w="40" w:type="dxa"/>
            <w:vAlign w:val="bottom"/>
            <w:tcBorders>
              <w:left w:val="single" w:sz="8" w:color="0A248E"/>
            </w:tcBorders>
          </w:tcPr>
          <w:p>
            <w:pPr>
              <w:spacing w:after="0"/>
              <w:rPr>
                <w:sz w:val="24"/>
                <w:szCs w:val="24"/>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w:t>
            </w:r>
          </w:p>
        </w:tc>
        <w:tc>
          <w:tcPr>
            <w:tcW w:w="20" w:type="dxa"/>
            <w:vAlign w:val="bottom"/>
            <w:shd w:val="clear" w:color="auto" w:fill="0A248E"/>
          </w:tcPr>
          <w:p>
            <w:pPr>
              <w:spacing w:after="0"/>
              <w:rPr>
                <w:sz w:val="24"/>
                <w:szCs w:val="24"/>
                <w:color w:val="auto"/>
              </w:rPr>
            </w:pPr>
          </w:p>
        </w:tc>
        <w:tc>
          <w:tcPr>
            <w:tcW w:w="1260" w:type="dxa"/>
            <w:vAlign w:val="bottom"/>
            <w:shd w:val="clear" w:color="auto" w:fill="0A248E"/>
          </w:tcPr>
          <w:p>
            <w:pPr>
              <w:ind w:left="320"/>
              <w:spacing w:after="0"/>
              <w:rPr>
                <w:sz w:val="20"/>
                <w:szCs w:val="20"/>
                <w:color w:val="auto"/>
              </w:rPr>
            </w:pPr>
            <w:r>
              <w:rPr>
                <w:rFonts w:ascii="Arial" w:cs="Arial" w:eastAsia="Arial" w:hAnsi="Arial"/>
                <w:sz w:val="15"/>
                <w:szCs w:val="15"/>
                <w:b w:val="1"/>
                <w:bCs w:val="1"/>
                <w:color w:val="FFFFFF"/>
              </w:rPr>
              <w:t>Total ($)</w:t>
            </w:r>
          </w:p>
        </w:tc>
      </w:tr>
      <w:tr>
        <w:trPr>
          <w:trHeight w:val="61"/>
        </w:trPr>
        <w:tc>
          <w:tcPr>
            <w:tcW w:w="196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shd w:val="clear" w:color="auto" w:fill="0A248E"/>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2879090</wp:posOffset>
                </wp:positionH>
                <wp:positionV relativeFrom="paragraph">
                  <wp:posOffset>-614680</wp:posOffset>
                </wp:positionV>
                <wp:extent cx="0" cy="777875"/>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78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7pt,-48.3999pt" to="226.7pt,12.8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3836035</wp:posOffset>
                </wp:positionH>
                <wp:positionV relativeFrom="paragraph">
                  <wp:posOffset>-614680</wp:posOffset>
                </wp:positionV>
                <wp:extent cx="0" cy="94996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499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05pt,-48.3999pt" to="302.05pt,26.4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1263015</wp:posOffset>
                </wp:positionH>
                <wp:positionV relativeFrom="paragraph">
                  <wp:posOffset>-614680</wp:posOffset>
                </wp:positionV>
                <wp:extent cx="0" cy="1119505"/>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195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45pt,-48.3999pt" to="99.45pt,39.7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1271905</wp:posOffset>
                </wp:positionH>
                <wp:positionV relativeFrom="paragraph">
                  <wp:posOffset>695325</wp:posOffset>
                </wp:positionV>
                <wp:extent cx="799465" cy="17272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172720"/>
                        </a:xfrm>
                        <a:prstGeom prst="rect">
                          <a:avLst/>
                        </a:prstGeom>
                        <a:solidFill>
                          <a:srgbClr val="E6E6E6"/>
                        </a:solidFill>
                      </wps:spPr>
                      <wps:bodyPr/>
                    </wps:wsp>
                  </a:graphicData>
                </a:graphic>
              </wp:anchor>
            </w:drawing>
          </mc:Choice>
          <mc:Fallback>
            <w:pict>
              <v:rect id="Shape 254" o:spid="_x0000_s1279" style="position:absolute;margin-left:100.15pt;margin-top:54.75pt;width:62.9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2071370</wp:posOffset>
                </wp:positionH>
                <wp:positionV relativeFrom="paragraph">
                  <wp:posOffset>-614680</wp:posOffset>
                </wp:positionV>
                <wp:extent cx="0" cy="148209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20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3.1pt,-48.3999pt" to="163.1pt,68.3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3845560</wp:posOffset>
                </wp:positionH>
                <wp:positionV relativeFrom="paragraph">
                  <wp:posOffset>695325</wp:posOffset>
                </wp:positionV>
                <wp:extent cx="730885" cy="17272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0885" cy="172720"/>
                        </a:xfrm>
                        <a:prstGeom prst="rect">
                          <a:avLst/>
                        </a:prstGeom>
                        <a:solidFill>
                          <a:srgbClr val="E6E6E6"/>
                        </a:solidFill>
                      </wps:spPr>
                      <wps:bodyPr/>
                    </wps:wsp>
                  </a:graphicData>
                </a:graphic>
              </wp:anchor>
            </w:drawing>
          </mc:Choice>
          <mc:Fallback>
            <w:pict>
              <v:rect id="Shape 256" o:spid="_x0000_s1281" style="position:absolute;margin-left:302.8pt;margin-top:54.75pt;width:57.5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4578985</wp:posOffset>
                </wp:positionH>
                <wp:positionV relativeFrom="paragraph">
                  <wp:posOffset>-614680</wp:posOffset>
                </wp:positionV>
                <wp:extent cx="0" cy="148209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20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48.3999pt" to="360.55pt,68.3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4588510</wp:posOffset>
                </wp:positionH>
                <wp:positionV relativeFrom="paragraph">
                  <wp:posOffset>695325</wp:posOffset>
                </wp:positionV>
                <wp:extent cx="730885" cy="17272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0885" cy="172720"/>
                        </a:xfrm>
                        <a:prstGeom prst="rect">
                          <a:avLst/>
                        </a:prstGeom>
                        <a:solidFill>
                          <a:srgbClr val="E6E6E6"/>
                        </a:solidFill>
                      </wps:spPr>
                      <wps:bodyPr/>
                    </wps:wsp>
                  </a:graphicData>
                </a:graphic>
              </wp:anchor>
            </w:drawing>
          </mc:Choice>
          <mc:Fallback>
            <w:pict>
              <v:rect id="Shape 258" o:spid="_x0000_s1283" style="position:absolute;margin-left:361.3pt;margin-top:54.75pt;width:57.5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5321935</wp:posOffset>
                </wp:positionH>
                <wp:positionV relativeFrom="paragraph">
                  <wp:posOffset>-614680</wp:posOffset>
                </wp:positionV>
                <wp:extent cx="0" cy="148209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20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05pt,-48.3999pt" to="419.05pt,68.3pt" o:allowincell="f" strokecolor="#FFFFFF" strokeweight="1.4039pt"/>
            </w:pict>
          </mc:Fallback>
        </mc:AlternateContent>
      </w:r>
    </w:p>
    <w:tbl>
      <w:tblPr>
        <w:tblLayout w:type="fixed"/>
        <w:tblInd w:w="7" w:type="dxa"/>
        <w:tblCellMar>
          <w:top w:w="0" w:type="dxa"/>
          <w:left w:w="0" w:type="dxa"/>
          <w:bottom w:w="0" w:type="dxa"/>
          <w:right w:w="0" w:type="dxa"/>
        </w:tblCellMar>
      </w:tblPr>
      <w:tr>
        <w:trPr>
          <w:trHeight w:val="56"/>
        </w:trPr>
        <w:tc>
          <w:tcPr>
            <w:tcW w:w="40" w:type="dxa"/>
            <w:vAlign w:val="bottom"/>
            <w:shd w:val="clear" w:color="auto" w:fill="E6E6E6"/>
          </w:tcPr>
          <w:p>
            <w:pPr>
              <w:spacing w:after="0"/>
              <w:rPr>
                <w:sz w:val="4"/>
                <w:szCs w:val="4"/>
                <w:color w:val="auto"/>
              </w:rPr>
            </w:pPr>
          </w:p>
        </w:tc>
        <w:tc>
          <w:tcPr>
            <w:tcW w:w="1940" w:type="dxa"/>
            <w:vAlign w:val="bottom"/>
            <w:gridSpan w:val="2"/>
            <w:shd w:val="clear" w:color="auto" w:fill="E6E6E6"/>
          </w:tcPr>
          <w:p>
            <w:pPr>
              <w:ind w:left="60"/>
              <w:spacing w:after="0" w:line="57" w:lineRule="exact"/>
              <w:rPr>
                <w:sz w:val="20"/>
                <w:szCs w:val="20"/>
                <w:color w:val="auto"/>
              </w:rPr>
            </w:pPr>
            <w:r>
              <w:rPr>
                <w:rFonts w:ascii="Arial" w:cs="Arial" w:eastAsia="Arial" w:hAnsi="Arial"/>
                <w:sz w:val="6"/>
                <w:szCs w:val="6"/>
                <w:color w:val="auto"/>
              </w:rPr>
              <w:t>Andrew W. Houston</w:t>
            </w:r>
          </w:p>
        </w:tc>
        <w:tc>
          <w:tcPr>
            <w:tcW w:w="20" w:type="dxa"/>
            <w:vAlign w:val="bottom"/>
          </w:tcPr>
          <w:p>
            <w:pPr>
              <w:spacing w:after="0"/>
              <w:rPr>
                <w:sz w:val="4"/>
                <w:szCs w:val="4"/>
                <w:color w:val="auto"/>
              </w:rPr>
            </w:pPr>
          </w:p>
        </w:tc>
        <w:tc>
          <w:tcPr>
            <w:tcW w:w="1240" w:type="dxa"/>
            <w:vAlign w:val="bottom"/>
            <w:gridSpan w:val="2"/>
            <w:shd w:val="clear" w:color="auto" w:fill="E6E6E6"/>
          </w:tcPr>
          <w:p>
            <w:pPr>
              <w:jc w:val="right"/>
              <w:ind w:right="191"/>
              <w:spacing w:after="0" w:line="57" w:lineRule="exact"/>
              <w:rPr>
                <w:sz w:val="20"/>
                <w:szCs w:val="20"/>
                <w:color w:val="auto"/>
              </w:rPr>
            </w:pPr>
            <w:r>
              <w:rPr>
                <w:rFonts w:ascii="Arial" w:cs="Arial" w:eastAsia="Arial" w:hAnsi="Arial"/>
                <w:sz w:val="6"/>
                <w:szCs w:val="6"/>
                <w:color w:val="auto"/>
              </w:rPr>
              <w:t>800,000</w:t>
            </w:r>
          </w:p>
        </w:tc>
        <w:tc>
          <w:tcPr>
            <w:tcW w:w="20" w:type="dxa"/>
            <w:vAlign w:val="bottom"/>
            <w:shd w:val="clear" w:color="auto" w:fill="E6E6E6"/>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shd w:val="clear" w:color="auto" w:fill="E6E6E6"/>
          </w:tcPr>
          <w:p>
            <w:pPr>
              <w:jc w:val="center"/>
              <w:ind w:left="12"/>
              <w:spacing w:after="0" w:line="57" w:lineRule="exact"/>
              <w:rPr>
                <w:sz w:val="20"/>
                <w:szCs w:val="20"/>
                <w:color w:val="auto"/>
              </w:rPr>
            </w:pPr>
            <w:r>
              <w:rPr>
                <w:rFonts w:ascii="Arial" w:cs="Arial" w:eastAsia="Arial" w:hAnsi="Arial"/>
                <w:sz w:val="6"/>
                <w:szCs w:val="6"/>
                <w:color w:val="auto"/>
              </w:rPr>
              <w:t>800,000</w:t>
            </w:r>
          </w:p>
        </w:tc>
        <w:tc>
          <w:tcPr>
            <w:tcW w:w="20" w:type="dxa"/>
            <w:vAlign w:val="bottom"/>
            <w:shd w:val="clear" w:color="auto" w:fill="E6E6E6"/>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shd w:val="clear" w:color="auto" w:fill="E6E6E6"/>
          </w:tcPr>
          <w:p>
            <w:pPr>
              <w:spacing w:after="0"/>
              <w:rPr>
                <w:sz w:val="4"/>
                <w:szCs w:val="4"/>
                <w:color w:val="auto"/>
              </w:rPr>
            </w:pPr>
          </w:p>
        </w:tc>
        <w:tc>
          <w:tcPr>
            <w:tcW w:w="1200" w:type="dxa"/>
            <w:vAlign w:val="bottom"/>
            <w:shd w:val="clear" w:color="auto" w:fill="E6E6E6"/>
          </w:tcPr>
          <w:p>
            <w:pPr>
              <w:jc w:val="center"/>
              <w:spacing w:after="0" w:line="57" w:lineRule="exact"/>
              <w:rPr>
                <w:sz w:val="20"/>
                <w:szCs w:val="20"/>
                <w:color w:val="auto"/>
              </w:rPr>
            </w:pPr>
            <w:r>
              <w:rPr>
                <w:rFonts w:ascii="Arial" w:cs="Arial" w:eastAsia="Arial" w:hAnsi="Arial"/>
                <w:sz w:val="6"/>
                <w:szCs w:val="6"/>
                <w:color w:val="auto"/>
              </w:rPr>
              <w:t>—</w:t>
            </w:r>
          </w:p>
        </w:tc>
        <w:tc>
          <w:tcPr>
            <w:tcW w:w="40" w:type="dxa"/>
            <w:vAlign w:val="bottom"/>
            <w:tcBorders>
              <w:left w:val="single" w:sz="8" w:color="E6E6E6"/>
            </w:tcBorders>
            <w:shd w:val="clear" w:color="auto" w:fill="E6E6E6"/>
          </w:tcPr>
          <w:p>
            <w:pPr>
              <w:spacing w:after="0"/>
              <w:rPr>
                <w:sz w:val="4"/>
                <w:szCs w:val="4"/>
                <w:color w:val="auto"/>
              </w:rPr>
            </w:pPr>
          </w:p>
        </w:tc>
        <w:tc>
          <w:tcPr>
            <w:tcW w:w="200" w:type="dxa"/>
            <w:vAlign w:val="bottom"/>
            <w:tcBorders>
              <w:right w:val="single" w:sz="8" w:color="E6E6E6"/>
            </w:tcBorders>
            <w:vMerge w:val="restart"/>
            <w:shd w:val="clear" w:color="auto" w:fill="E6E6E6"/>
          </w:tcPr>
          <w:p>
            <w:pPr>
              <w:jc w:val="right"/>
              <w:spacing w:after="0"/>
              <w:rPr>
                <w:sz w:val="20"/>
                <w:szCs w:val="20"/>
                <w:color w:val="auto"/>
              </w:rPr>
            </w:pPr>
            <w:r>
              <w:rPr>
                <w:rFonts w:ascii="Arial" w:cs="Arial" w:eastAsia="Arial" w:hAnsi="Arial"/>
                <w:sz w:val="10"/>
                <w:szCs w:val="10"/>
                <w:color w:val="auto"/>
              </w:rPr>
              <w:t>(3)</w:t>
            </w:r>
          </w:p>
        </w:tc>
        <w:tc>
          <w:tcPr>
            <w:tcW w:w="60" w:type="dxa"/>
            <w:vAlign w:val="bottom"/>
            <w:tcBorders>
              <w:right w:val="single" w:sz="8" w:color="E6E6E6"/>
            </w:tcBorders>
            <w:shd w:val="clear" w:color="auto" w:fill="E6E6E6"/>
          </w:tcPr>
          <w:p>
            <w:pPr>
              <w:spacing w:after="0"/>
              <w:rPr>
                <w:sz w:val="4"/>
                <w:szCs w:val="4"/>
                <w:color w:val="auto"/>
              </w:rPr>
            </w:pPr>
          </w:p>
        </w:tc>
        <w:tc>
          <w:tcPr>
            <w:tcW w:w="1120" w:type="dxa"/>
            <w:vAlign w:val="bottom"/>
            <w:gridSpan w:val="2"/>
            <w:shd w:val="clear" w:color="auto" w:fill="E6E6E6"/>
          </w:tcPr>
          <w:p>
            <w:pPr>
              <w:ind w:left="460"/>
              <w:spacing w:after="0" w:line="57"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4"/>
                <w:szCs w:val="4"/>
                <w:color w:val="auto"/>
              </w:rPr>
            </w:pPr>
          </w:p>
        </w:tc>
        <w:tc>
          <w:tcPr>
            <w:tcW w:w="1140" w:type="dxa"/>
            <w:vAlign w:val="bottom"/>
            <w:gridSpan w:val="2"/>
            <w:shd w:val="clear" w:color="auto" w:fill="E6E6E6"/>
          </w:tcPr>
          <w:p>
            <w:pPr>
              <w:jc w:val="right"/>
              <w:ind w:right="191"/>
              <w:spacing w:after="0" w:line="57" w:lineRule="exact"/>
              <w:rPr>
                <w:sz w:val="20"/>
                <w:szCs w:val="20"/>
                <w:color w:val="auto"/>
              </w:rPr>
            </w:pPr>
            <w:r>
              <w:rPr>
                <w:rFonts w:ascii="Arial" w:cs="Arial" w:eastAsia="Arial" w:hAnsi="Arial"/>
                <w:sz w:val="6"/>
                <w:szCs w:val="6"/>
                <w:color w:val="auto"/>
              </w:rPr>
              <w:t>35,021</w:t>
            </w:r>
          </w:p>
        </w:tc>
        <w:tc>
          <w:tcPr>
            <w:tcW w:w="20" w:type="dxa"/>
            <w:vAlign w:val="bottom"/>
            <w:shd w:val="clear" w:color="auto" w:fill="E6E6E6"/>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shd w:val="clear" w:color="auto" w:fill="E6E6E6"/>
          </w:tcPr>
          <w:p>
            <w:pPr>
              <w:jc w:val="right"/>
              <w:spacing w:after="0" w:line="57" w:lineRule="exact"/>
              <w:rPr>
                <w:sz w:val="20"/>
                <w:szCs w:val="20"/>
                <w:color w:val="auto"/>
              </w:rPr>
            </w:pPr>
            <w:r>
              <w:rPr>
                <w:rFonts w:ascii="Arial" w:cs="Arial" w:eastAsia="Arial" w:hAnsi="Arial"/>
                <w:sz w:val="6"/>
                <w:szCs w:val="6"/>
                <w:color w:val="auto"/>
              </w:rPr>
              <w:t>1,635,021</w:t>
            </w:r>
          </w:p>
        </w:tc>
        <w:tc>
          <w:tcPr>
            <w:tcW w:w="2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40" w:type="dxa"/>
            <w:vAlign w:val="bottom"/>
            <w:shd w:val="clear" w:color="auto" w:fill="E6E6E6"/>
          </w:tcPr>
          <w:p>
            <w:pPr>
              <w:spacing w:after="0"/>
              <w:rPr>
                <w:sz w:val="9"/>
                <w:szCs w:val="9"/>
                <w:color w:val="auto"/>
              </w:rPr>
            </w:pPr>
          </w:p>
        </w:tc>
        <w:tc>
          <w:tcPr>
            <w:tcW w:w="1900" w:type="dxa"/>
            <w:vAlign w:val="bottom"/>
            <w:shd w:val="clear" w:color="auto" w:fill="E6E6E6"/>
          </w:tcPr>
          <w:p>
            <w:pPr>
              <w:spacing w:after="0"/>
              <w:rPr>
                <w:sz w:val="9"/>
                <w:szCs w:val="9"/>
                <w:color w:val="auto"/>
              </w:rPr>
            </w:pPr>
          </w:p>
        </w:tc>
        <w:tc>
          <w:tcPr>
            <w:tcW w:w="40" w:type="dxa"/>
            <w:vAlign w:val="bottom"/>
            <w:shd w:val="clear" w:color="auto" w:fill="E6E6E6"/>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shd w:val="clear" w:color="auto" w:fill="E6E6E6"/>
          </w:tcPr>
          <w:p>
            <w:pPr>
              <w:spacing w:after="0"/>
              <w:rPr>
                <w:sz w:val="9"/>
                <w:szCs w:val="9"/>
                <w:color w:val="auto"/>
              </w:rPr>
            </w:pPr>
          </w:p>
        </w:tc>
        <w:tc>
          <w:tcPr>
            <w:tcW w:w="120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120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shd w:val="clear" w:color="auto" w:fill="E6E6E6"/>
          </w:tcPr>
          <w:p>
            <w:pPr>
              <w:spacing w:after="0"/>
              <w:rPr>
                <w:sz w:val="9"/>
                <w:szCs w:val="9"/>
                <w:color w:val="auto"/>
              </w:rPr>
            </w:pPr>
          </w:p>
        </w:tc>
        <w:tc>
          <w:tcPr>
            <w:tcW w:w="1200" w:type="dxa"/>
            <w:vAlign w:val="bottom"/>
            <w:shd w:val="clear" w:color="auto" w:fill="E6E6E6"/>
          </w:tcPr>
          <w:p>
            <w:pPr>
              <w:spacing w:after="0"/>
              <w:rPr>
                <w:sz w:val="9"/>
                <w:szCs w:val="9"/>
                <w:color w:val="auto"/>
              </w:rPr>
            </w:pPr>
          </w:p>
        </w:tc>
        <w:tc>
          <w:tcPr>
            <w:tcW w:w="40" w:type="dxa"/>
            <w:vAlign w:val="bottom"/>
            <w:tcBorders>
              <w:left w:val="single" w:sz="8" w:color="E6E6E6"/>
            </w:tcBorders>
            <w:shd w:val="clear" w:color="auto" w:fill="E6E6E6"/>
          </w:tcPr>
          <w:p>
            <w:pPr>
              <w:spacing w:after="0"/>
              <w:rPr>
                <w:sz w:val="9"/>
                <w:szCs w:val="9"/>
                <w:color w:val="auto"/>
              </w:rPr>
            </w:pPr>
          </w:p>
        </w:tc>
        <w:tc>
          <w:tcPr>
            <w:tcW w:w="200" w:type="dxa"/>
            <w:vAlign w:val="bottom"/>
            <w:tcBorders>
              <w:right w:val="single" w:sz="8" w:color="E6E6E6"/>
            </w:tcBorders>
            <w:vMerge w:val="continue"/>
            <w:shd w:val="clear" w:color="auto" w:fill="E6E6E6"/>
          </w:tcPr>
          <w:p>
            <w:pPr>
              <w:spacing w:after="0"/>
              <w:rPr>
                <w:sz w:val="9"/>
                <w:szCs w:val="9"/>
                <w:color w:val="auto"/>
              </w:rPr>
            </w:pPr>
          </w:p>
        </w:tc>
        <w:tc>
          <w:tcPr>
            <w:tcW w:w="60" w:type="dxa"/>
            <w:vAlign w:val="bottom"/>
            <w:tcBorders>
              <w:right w:val="single" w:sz="8" w:color="E6E6E6"/>
            </w:tcBorders>
            <w:shd w:val="clear" w:color="auto" w:fill="E6E6E6"/>
          </w:tcPr>
          <w:p>
            <w:pPr>
              <w:spacing w:after="0"/>
              <w:rPr>
                <w:sz w:val="9"/>
                <w:szCs w:val="9"/>
                <w:color w:val="auto"/>
              </w:rPr>
            </w:pPr>
          </w:p>
        </w:tc>
        <w:tc>
          <w:tcPr>
            <w:tcW w:w="110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shd w:val="clear" w:color="auto" w:fill="E6E6E6"/>
          </w:tcPr>
          <w:p>
            <w:pPr>
              <w:spacing w:after="0"/>
              <w:rPr>
                <w:sz w:val="9"/>
                <w:szCs w:val="9"/>
                <w:color w:val="auto"/>
              </w:rPr>
            </w:pPr>
          </w:p>
        </w:tc>
        <w:tc>
          <w:tcPr>
            <w:tcW w:w="110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0" w:type="dxa"/>
            <w:vAlign w:val="bottom"/>
            <w:shd w:val="clear" w:color="auto" w:fill="E6E6E6"/>
          </w:tcPr>
          <w:p>
            <w:pPr>
              <w:spacing w:after="0"/>
              <w:rPr>
                <w:sz w:val="7"/>
                <w:szCs w:val="7"/>
                <w:color w:val="auto"/>
              </w:rPr>
            </w:pPr>
          </w:p>
        </w:tc>
        <w:tc>
          <w:tcPr>
            <w:tcW w:w="1900" w:type="dxa"/>
            <w:vAlign w:val="bottom"/>
            <w:shd w:val="clear" w:color="auto" w:fill="E6E6E6"/>
          </w:tcPr>
          <w:p>
            <w:pPr>
              <w:spacing w:after="0"/>
              <w:rPr>
                <w:sz w:val="7"/>
                <w:szCs w:val="7"/>
                <w:color w:val="auto"/>
              </w:rPr>
            </w:pPr>
          </w:p>
        </w:tc>
        <w:tc>
          <w:tcPr>
            <w:tcW w:w="4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shd w:val="clear" w:color="auto" w:fill="E6E6E6"/>
          </w:tcPr>
          <w:p>
            <w:pPr>
              <w:spacing w:after="0"/>
              <w:rPr>
                <w:sz w:val="7"/>
                <w:szCs w:val="7"/>
                <w:color w:val="auto"/>
              </w:rPr>
            </w:pPr>
          </w:p>
        </w:tc>
        <w:tc>
          <w:tcPr>
            <w:tcW w:w="1200" w:type="dxa"/>
            <w:vAlign w:val="bottom"/>
            <w:shd w:val="clear" w:color="auto" w:fill="E6E6E6"/>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1200" w:type="dxa"/>
            <w:vAlign w:val="bottom"/>
            <w:shd w:val="clear" w:color="auto" w:fill="E6E6E6"/>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shd w:val="clear" w:color="auto" w:fill="E6E6E6"/>
          </w:tcPr>
          <w:p>
            <w:pPr>
              <w:spacing w:after="0"/>
              <w:rPr>
                <w:sz w:val="7"/>
                <w:szCs w:val="7"/>
                <w:color w:val="auto"/>
              </w:rPr>
            </w:pPr>
          </w:p>
        </w:tc>
        <w:tc>
          <w:tcPr>
            <w:tcW w:w="1200" w:type="dxa"/>
            <w:vAlign w:val="bottom"/>
            <w:shd w:val="clear" w:color="auto" w:fill="E6E6E6"/>
          </w:tcPr>
          <w:p>
            <w:pPr>
              <w:spacing w:after="0"/>
              <w:rPr>
                <w:sz w:val="7"/>
                <w:szCs w:val="7"/>
                <w:color w:val="auto"/>
              </w:rPr>
            </w:pPr>
          </w:p>
        </w:tc>
        <w:tc>
          <w:tcPr>
            <w:tcW w:w="40" w:type="dxa"/>
            <w:vAlign w:val="bottom"/>
            <w:tcBorders>
              <w:left w:val="single" w:sz="8" w:color="E6E6E6"/>
            </w:tcBorders>
            <w:shd w:val="clear" w:color="auto" w:fill="E6E6E6"/>
          </w:tcPr>
          <w:p>
            <w:pPr>
              <w:spacing w:after="0"/>
              <w:rPr>
                <w:sz w:val="7"/>
                <w:szCs w:val="7"/>
                <w:color w:val="auto"/>
              </w:rPr>
            </w:pPr>
          </w:p>
        </w:tc>
        <w:tc>
          <w:tcPr>
            <w:tcW w:w="200" w:type="dxa"/>
            <w:vAlign w:val="bottom"/>
            <w:tcBorders>
              <w:right w:val="single" w:sz="8" w:color="E6E6E6"/>
            </w:tcBorders>
            <w:shd w:val="clear" w:color="auto" w:fill="E6E6E6"/>
          </w:tcPr>
          <w:p>
            <w:pPr>
              <w:spacing w:after="0"/>
              <w:rPr>
                <w:sz w:val="7"/>
                <w:szCs w:val="7"/>
                <w:color w:val="auto"/>
              </w:rPr>
            </w:pPr>
          </w:p>
        </w:tc>
        <w:tc>
          <w:tcPr>
            <w:tcW w:w="60" w:type="dxa"/>
            <w:vAlign w:val="bottom"/>
            <w:tcBorders>
              <w:right w:val="single" w:sz="8" w:color="E6E6E6"/>
            </w:tcBorders>
            <w:shd w:val="clear" w:color="auto" w:fill="E6E6E6"/>
          </w:tcPr>
          <w:p>
            <w:pPr>
              <w:spacing w:after="0"/>
              <w:rPr>
                <w:sz w:val="7"/>
                <w:szCs w:val="7"/>
                <w:color w:val="auto"/>
              </w:rPr>
            </w:pPr>
          </w:p>
        </w:tc>
        <w:tc>
          <w:tcPr>
            <w:tcW w:w="1100" w:type="dxa"/>
            <w:vAlign w:val="bottom"/>
            <w:shd w:val="clear" w:color="auto" w:fill="E6E6E6"/>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shd w:val="clear" w:color="auto" w:fill="E6E6E6"/>
          </w:tcPr>
          <w:p>
            <w:pPr>
              <w:spacing w:after="0"/>
              <w:rPr>
                <w:sz w:val="7"/>
                <w:szCs w:val="7"/>
                <w:color w:val="auto"/>
              </w:rPr>
            </w:pPr>
          </w:p>
        </w:tc>
        <w:tc>
          <w:tcPr>
            <w:tcW w:w="1100" w:type="dxa"/>
            <w:vAlign w:val="bottom"/>
            <w:shd w:val="clear" w:color="auto" w:fill="E6E6E6"/>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E6E6E6"/>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Ross Tennenbaum</w:t>
            </w:r>
          </w:p>
        </w:tc>
        <w:tc>
          <w:tcPr>
            <w:tcW w:w="1260" w:type="dxa"/>
            <w:vAlign w:val="bottom"/>
            <w:gridSpan w:val="3"/>
          </w:tcPr>
          <w:p>
            <w:pPr>
              <w:jc w:val="right"/>
              <w:ind w:right="191"/>
              <w:spacing w:after="0"/>
              <w:rPr>
                <w:sz w:val="20"/>
                <w:szCs w:val="20"/>
                <w:color w:val="auto"/>
              </w:rPr>
            </w:pPr>
            <w:r>
              <w:rPr>
                <w:rFonts w:ascii="Arial" w:cs="Arial" w:eastAsia="Arial" w:hAnsi="Arial"/>
                <w:sz w:val="18"/>
                <w:szCs w:val="18"/>
                <w:color w:val="auto"/>
              </w:rPr>
              <w:t>550,000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91"/>
              <w:spacing w:after="0"/>
              <w:rPr>
                <w:sz w:val="20"/>
                <w:szCs w:val="20"/>
                <w:color w:val="auto"/>
              </w:rPr>
            </w:pPr>
            <w:r>
              <w:rPr>
                <w:rFonts w:ascii="Arial" w:cs="Arial" w:eastAsia="Arial" w:hAnsi="Arial"/>
                <w:sz w:val="18"/>
                <w:szCs w:val="18"/>
                <w:color w:val="auto"/>
              </w:rPr>
              <w:t>28,259</w:t>
            </w:r>
          </w:p>
        </w:tc>
        <w:tc>
          <w:tcPr>
            <w:tcW w:w="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578,259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Borders>
              <w:bottom w:val="single" w:sz="8" w:color="E6E6E6"/>
            </w:tcBorders>
            <w:shd w:val="clear" w:color="auto" w:fill="E6E6E6"/>
          </w:tcPr>
          <w:p>
            <w:pPr>
              <w:spacing w:after="0"/>
              <w:rPr>
                <w:sz w:val="21"/>
                <w:szCs w:val="21"/>
                <w:color w:val="auto"/>
              </w:rPr>
            </w:pPr>
          </w:p>
        </w:tc>
        <w:tc>
          <w:tcPr>
            <w:tcW w:w="1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William Yoon</w:t>
            </w: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vMerge w:val="continue"/>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1200" w:type="dxa"/>
            <w:vAlign w:val="bottom"/>
            <w:tcBorders>
              <w:bottom w:val="single" w:sz="8" w:color="E6E6E6"/>
            </w:tcBorders>
            <w:shd w:val="clear" w:color="auto" w:fill="E6E6E6"/>
          </w:tcPr>
          <w:p>
            <w:pPr>
              <w:jc w:val="right"/>
              <w:ind w:right="191"/>
              <w:spacing w:after="0"/>
              <w:rPr>
                <w:sz w:val="20"/>
                <w:szCs w:val="20"/>
                <w:color w:val="auto"/>
              </w:rPr>
            </w:pPr>
            <w:r>
              <w:rPr>
                <w:rFonts w:ascii="Arial" w:cs="Arial" w:eastAsia="Arial" w:hAnsi="Arial"/>
                <w:sz w:val="18"/>
                <w:szCs w:val="18"/>
                <w:color w:val="auto"/>
              </w:rPr>
              <w:t>475,000</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vMerge w:val="continue"/>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2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320,188</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vMerge w:val="continue"/>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12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5,462,172</w:t>
            </w:r>
          </w:p>
        </w:tc>
        <w:tc>
          <w:tcPr>
            <w:tcW w:w="40" w:type="dxa"/>
            <w:vAlign w:val="bottom"/>
            <w:tcBorders>
              <w:left w:val="single" w:sz="8" w:color="E6E6E6"/>
            </w:tcBorders>
          </w:tcPr>
          <w:p>
            <w:pPr>
              <w:spacing w:after="0"/>
              <w:rPr>
                <w:sz w:val="21"/>
                <w:szCs w:val="21"/>
                <w:color w:val="auto"/>
              </w:rPr>
            </w:pPr>
          </w:p>
        </w:tc>
        <w:tc>
          <w:tcPr>
            <w:tcW w:w="200" w:type="dxa"/>
            <w:vAlign w:val="bottom"/>
            <w:tcBorders>
              <w:bottom w:val="single" w:sz="8" w:color="E6E6E6"/>
              <w:right w:val="single" w:sz="8" w:color="E6E6E6"/>
            </w:tcBorders>
            <w:shd w:val="clear" w:color="auto" w:fill="E6E6E6"/>
          </w:tcPr>
          <w:p>
            <w:pPr>
              <w:spacing w:after="0"/>
              <w:rPr>
                <w:sz w:val="21"/>
                <w:szCs w:val="21"/>
                <w:color w:val="auto"/>
              </w:rPr>
            </w:pPr>
          </w:p>
        </w:tc>
        <w:tc>
          <w:tcPr>
            <w:tcW w:w="60" w:type="dxa"/>
            <w:vAlign w:val="bottom"/>
            <w:tcBorders>
              <w:right w:val="single" w:sz="8" w:color="E6E6E6"/>
            </w:tcBorders>
          </w:tcPr>
          <w:p>
            <w:pPr>
              <w:spacing w:after="0"/>
              <w:rPr>
                <w:sz w:val="21"/>
                <w:szCs w:val="21"/>
                <w:color w:val="auto"/>
              </w:rPr>
            </w:pPr>
          </w:p>
        </w:tc>
        <w:tc>
          <w:tcPr>
            <w:tcW w:w="1100" w:type="dxa"/>
            <w:vAlign w:val="bottom"/>
            <w:tcBorders>
              <w:bottom w:val="single" w:sz="8" w:color="E6E6E6"/>
            </w:tcBorders>
            <w:shd w:val="clear" w:color="auto" w:fill="E6E6E6"/>
          </w:tcPr>
          <w:p>
            <w:pPr>
              <w:ind w:left="4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vMerge w:val="continue"/>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1100" w:type="dxa"/>
            <w:vAlign w:val="bottom"/>
            <w:tcBorders>
              <w:bottom w:val="single" w:sz="8" w:color="E6E6E6"/>
            </w:tcBorders>
            <w:shd w:val="clear" w:color="auto" w:fill="E6E6E6"/>
          </w:tcPr>
          <w:p>
            <w:pPr>
              <w:jc w:val="right"/>
              <w:ind w:right="191"/>
              <w:spacing w:after="0"/>
              <w:rPr>
                <w:sz w:val="20"/>
                <w:szCs w:val="20"/>
                <w:color w:val="auto"/>
              </w:rPr>
            </w:pPr>
            <w:r>
              <w:rPr>
                <w:rFonts w:ascii="Arial" w:cs="Arial" w:eastAsia="Arial" w:hAnsi="Arial"/>
                <w:sz w:val="18"/>
                <w:szCs w:val="18"/>
                <w:color w:val="auto"/>
              </w:rPr>
              <w:t>35,156</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vMerge w:val="continue"/>
          </w:tcPr>
          <w:p>
            <w:pPr>
              <w:spacing w:after="0"/>
              <w:rPr>
                <w:sz w:val="21"/>
                <w:szCs w:val="21"/>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6,292,516</w:t>
            </w: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Ali Dasdan</w:t>
            </w:r>
          </w:p>
        </w:tc>
        <w:tc>
          <w:tcPr>
            <w:tcW w:w="1260" w:type="dxa"/>
            <w:vAlign w:val="bottom"/>
            <w:gridSpan w:val="3"/>
          </w:tcPr>
          <w:p>
            <w:pPr>
              <w:jc w:val="right"/>
              <w:ind w:right="191"/>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5"/>
              </w:rPr>
              <w:t>416,438</w:t>
            </w:r>
          </w:p>
        </w:tc>
        <w:tc>
          <w:tcPr>
            <w:tcW w:w="2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7"/>
              </w:rPr>
              <w:t>13,784,241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91"/>
              <w:spacing w:after="0"/>
              <w:rPr>
                <w:sz w:val="20"/>
                <w:szCs w:val="20"/>
                <w:color w:val="auto"/>
              </w:rPr>
            </w:pPr>
            <w:r>
              <w:rPr>
                <w:rFonts w:ascii="Arial" w:cs="Arial" w:eastAsia="Arial" w:hAnsi="Arial"/>
                <w:sz w:val="18"/>
                <w:szCs w:val="18"/>
                <w:color w:val="auto"/>
              </w:rPr>
              <w:t>35,156</w:t>
            </w:r>
          </w:p>
        </w:tc>
        <w:tc>
          <w:tcPr>
            <w:tcW w:w="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14,735,835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gridSpan w:val="2"/>
            <w:vMerge w:val="restart"/>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2"/>
            <w:vMerge w:val="restart"/>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gridSpan w:val="2"/>
            <w:vMerge w:val="restart"/>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00" w:type="dxa"/>
            <w:vAlign w:val="bottom"/>
            <w:shd w:val="clear" w:color="auto" w:fill="E6E6E6"/>
          </w:tcPr>
          <w:p>
            <w:pPr>
              <w:spacing w:after="0"/>
              <w:rPr>
                <w:sz w:val="20"/>
                <w:szCs w:val="20"/>
                <w:color w:val="auto"/>
              </w:rPr>
            </w:pPr>
            <w:r>
              <w:rPr>
                <w:rFonts w:ascii="Arial" w:cs="Arial" w:eastAsia="Arial" w:hAnsi="Arial"/>
                <w:sz w:val="18"/>
                <w:szCs w:val="18"/>
                <w:color w:val="auto"/>
              </w:rPr>
              <w:t>Ashraf Alkarmi</w:t>
            </w:r>
          </w:p>
        </w:tc>
        <w:tc>
          <w:tcPr>
            <w:tcW w:w="40" w:type="dxa"/>
            <w:vAlign w:val="bottom"/>
            <w:vMerge w:val="continue"/>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1200" w:type="dxa"/>
            <w:vAlign w:val="bottom"/>
            <w:shd w:val="clear" w:color="auto" w:fill="E6E6E6"/>
          </w:tcPr>
          <w:p>
            <w:pPr>
              <w:jc w:val="right"/>
              <w:ind w:right="191"/>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0"/>
                <w:szCs w:val="20"/>
                <w:color w:val="auto"/>
              </w:rPr>
            </w:pPr>
          </w:p>
        </w:tc>
        <w:tc>
          <w:tcPr>
            <w:tcW w:w="40" w:type="dxa"/>
            <w:vAlign w:val="bottom"/>
            <w:gridSpan w:val="2"/>
            <w:vMerge w:val="continue"/>
          </w:tcPr>
          <w:p>
            <w:pPr>
              <w:spacing w:after="0"/>
              <w:rPr>
                <w:sz w:val="20"/>
                <w:szCs w:val="20"/>
                <w:color w:val="auto"/>
              </w:rPr>
            </w:pPr>
          </w:p>
        </w:tc>
        <w:tc>
          <w:tcPr>
            <w:tcW w:w="12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5"/>
              </w:rPr>
              <w:t>500,000</w:t>
            </w:r>
          </w:p>
        </w:tc>
        <w:tc>
          <w:tcPr>
            <w:tcW w:w="20" w:type="dxa"/>
            <w:vAlign w:val="bottom"/>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12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5"/>
              </w:rPr>
              <w:t>11,215,966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shd w:val="clear" w:color="auto" w:fill="E6E6E6"/>
          </w:tcPr>
          <w:p>
            <w:pPr>
              <w:ind w:left="4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1100" w:type="dxa"/>
            <w:vAlign w:val="bottom"/>
            <w:shd w:val="clear" w:color="auto" w:fill="E6E6E6"/>
          </w:tcPr>
          <w:p>
            <w:pPr>
              <w:jc w:val="right"/>
              <w:ind w:right="191"/>
              <w:spacing w:after="0"/>
              <w:rPr>
                <w:sz w:val="20"/>
                <w:szCs w:val="20"/>
                <w:color w:val="auto"/>
              </w:rPr>
            </w:pPr>
            <w:r>
              <w:rPr>
                <w:rFonts w:ascii="Arial" w:cs="Arial" w:eastAsia="Arial" w:hAnsi="Arial"/>
                <w:sz w:val="18"/>
                <w:szCs w:val="18"/>
                <w:color w:val="auto"/>
              </w:rPr>
              <w:t>35,156</w:t>
            </w:r>
          </w:p>
        </w:tc>
        <w:tc>
          <w:tcPr>
            <w:tcW w:w="2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12,251,122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3687445</wp:posOffset>
                </wp:positionH>
                <wp:positionV relativeFrom="paragraph">
                  <wp:posOffset>-519430</wp:posOffset>
                </wp:positionV>
                <wp:extent cx="0" cy="16891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91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35pt,-40.8999pt" to="290.35pt,-27.5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3696335</wp:posOffset>
                </wp:positionH>
                <wp:positionV relativeFrom="paragraph">
                  <wp:posOffset>-160020</wp:posOffset>
                </wp:positionV>
                <wp:extent cx="128270" cy="17145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171450"/>
                        </a:xfrm>
                        <a:prstGeom prst="rect">
                          <a:avLst/>
                        </a:prstGeom>
                        <a:solidFill>
                          <a:srgbClr val="E6E6E6"/>
                        </a:solidFill>
                      </wps:spPr>
                      <wps:bodyPr/>
                    </wps:wsp>
                  </a:graphicData>
                </a:graphic>
              </wp:anchor>
            </w:drawing>
          </mc:Choice>
          <mc:Fallback>
            <w:pict>
              <v:rect id="Shape 261" o:spid="_x0000_s1286" style="position:absolute;margin-left:291.05pt;margin-top:-12.5999pt;width:10.1pt;height: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5331460</wp:posOffset>
                </wp:positionH>
                <wp:positionV relativeFrom="paragraph">
                  <wp:posOffset>-160020</wp:posOffset>
                </wp:positionV>
                <wp:extent cx="805180" cy="172085"/>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172085"/>
                        </a:xfrm>
                        <a:prstGeom prst="rect">
                          <a:avLst/>
                        </a:prstGeom>
                        <a:solidFill>
                          <a:srgbClr val="E6E6E6"/>
                        </a:solidFill>
                      </wps:spPr>
                      <wps:bodyPr/>
                    </wps:wsp>
                  </a:graphicData>
                </a:graphic>
              </wp:anchor>
            </w:drawing>
          </mc:Choice>
          <mc:Fallback>
            <w:pict>
              <v:rect id="Shape 262" o:spid="_x0000_s1287" style="position:absolute;margin-left:419.8pt;margin-top:-12.5999pt;width:63.4pt;height:1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-160020</wp:posOffset>
                </wp:positionV>
                <wp:extent cx="1263015" cy="172085"/>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015" cy="172085"/>
                        </a:xfrm>
                        <a:prstGeom prst="rect">
                          <a:avLst/>
                        </a:prstGeom>
                        <a:solidFill>
                          <a:srgbClr val="E6E6E6"/>
                        </a:solidFill>
                      </wps:spPr>
                      <wps:bodyPr/>
                    </wps:wsp>
                  </a:graphicData>
                </a:graphic>
              </wp:anchor>
            </w:drawing>
          </mc:Choice>
          <mc:Fallback>
            <w:pict>
              <v:rect id="Shape 263" o:spid="_x0000_s1288" style="position:absolute;margin-left:0pt;margin-top:-12.5999pt;width:99.45pt;height:1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1263015</wp:posOffset>
                </wp:positionH>
                <wp:positionV relativeFrom="paragraph">
                  <wp:posOffset>-160020</wp:posOffset>
                </wp:positionV>
                <wp:extent cx="0" cy="17145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45pt,-12.5999pt" to="99.45pt,0.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2080260</wp:posOffset>
                </wp:positionH>
                <wp:positionV relativeFrom="paragraph">
                  <wp:posOffset>-160020</wp:posOffset>
                </wp:positionV>
                <wp:extent cx="799465" cy="172085"/>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172085"/>
                        </a:xfrm>
                        <a:prstGeom prst="rect">
                          <a:avLst/>
                        </a:prstGeom>
                        <a:solidFill>
                          <a:srgbClr val="E6E6E6"/>
                        </a:solidFill>
                      </wps:spPr>
                      <wps:bodyPr/>
                    </wps:wsp>
                  </a:graphicData>
                </a:graphic>
              </wp:anchor>
            </w:drawing>
          </mc:Choice>
          <mc:Fallback>
            <w:pict>
              <v:rect id="Shape 265" o:spid="_x0000_s1290" style="position:absolute;margin-left:163.8pt;margin-top:-12.5999pt;width:62.95pt;height:1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2879090</wp:posOffset>
                </wp:positionH>
                <wp:positionV relativeFrom="paragraph">
                  <wp:posOffset>-519430</wp:posOffset>
                </wp:positionV>
                <wp:extent cx="0" cy="53086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08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7pt,-40.8999pt" to="226.7pt,0.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2888615</wp:posOffset>
                </wp:positionH>
                <wp:positionV relativeFrom="paragraph">
                  <wp:posOffset>-160020</wp:posOffset>
                </wp:positionV>
                <wp:extent cx="796290" cy="172085"/>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290" cy="172085"/>
                        </a:xfrm>
                        <a:prstGeom prst="rect">
                          <a:avLst/>
                        </a:prstGeom>
                        <a:solidFill>
                          <a:srgbClr val="E6E6E6"/>
                        </a:solidFill>
                      </wps:spPr>
                      <wps:bodyPr/>
                    </wps:wsp>
                  </a:graphicData>
                </a:graphic>
              </wp:anchor>
            </w:drawing>
          </mc:Choice>
          <mc:Fallback>
            <w:pict>
              <v:rect id="Shape 267" o:spid="_x0000_s1292" style="position:absolute;margin-left:227.45pt;margin-top:-12.5999pt;width:62.7pt;height:1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3687445</wp:posOffset>
                </wp:positionH>
                <wp:positionV relativeFrom="paragraph">
                  <wp:posOffset>-160020</wp:posOffset>
                </wp:positionV>
                <wp:extent cx="0" cy="17145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35pt,-12.5999pt" to="290.35pt,0.9pt" o:allowincell="f" strokecolor="#FFFFFF" strokeweight="1.404pt"/>
            </w:pict>
          </mc:Fallback>
        </mc:AlternateContent>
      </w:r>
    </w:p>
    <w:p>
      <w:pPr>
        <w:ind w:left="347" w:right="60" w:hanging="347"/>
        <w:spacing w:after="0" w:line="258" w:lineRule="auto"/>
        <w:tabs>
          <w:tab w:leader="none" w:pos="347" w:val="left"/>
        </w:tabs>
        <w:numPr>
          <w:ilvl w:val="0"/>
          <w:numId w:val="83"/>
        </w:numPr>
        <w:rPr>
          <w:rFonts w:ascii="Arial" w:cs="Arial" w:eastAsia="Arial" w:hAnsi="Arial"/>
          <w:sz w:val="20"/>
          <w:szCs w:val="20"/>
          <w:color w:val="auto"/>
          <w:vertAlign w:val="superscript"/>
        </w:rPr>
      </w:pPr>
      <w:r>
        <w:rPr>
          <w:rFonts w:ascii="Arial" w:cs="Arial" w:eastAsia="Arial" w:hAnsi="Arial"/>
          <w:sz w:val="15"/>
          <w:szCs w:val="15"/>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spacing w:after="0" w:line="1" w:lineRule="exact"/>
        <w:rPr>
          <w:rFonts w:ascii="Arial" w:cs="Arial" w:eastAsia="Arial" w:hAnsi="Arial"/>
          <w:sz w:val="20"/>
          <w:szCs w:val="20"/>
          <w:color w:val="auto"/>
          <w:vertAlign w:val="superscript"/>
        </w:rPr>
      </w:pPr>
    </w:p>
    <w:p>
      <w:pPr>
        <w:ind w:left="347" w:right="460" w:hanging="347"/>
        <w:spacing w:after="0" w:line="237" w:lineRule="auto"/>
        <w:tabs>
          <w:tab w:leader="none" w:pos="347" w:val="left"/>
        </w:tabs>
        <w:numPr>
          <w:ilvl w:val="0"/>
          <w:numId w:val="83"/>
        </w:numPr>
        <w:rPr>
          <w:rFonts w:ascii="Arial" w:cs="Arial" w:eastAsia="Arial" w:hAnsi="Arial"/>
          <w:sz w:val="20"/>
          <w:szCs w:val="20"/>
          <w:color w:val="auto"/>
          <w:vertAlign w:val="superscript"/>
        </w:rPr>
      </w:pPr>
      <w:r>
        <w:rPr>
          <w:rFonts w:ascii="Arial" w:cs="Arial" w:eastAsia="Arial" w:hAnsi="Arial"/>
          <w:sz w:val="15"/>
          <w:szCs w:val="15"/>
          <w:color w:val="auto"/>
        </w:rPr>
        <w:t>Unless otherwise noted, the value is based on a per share price of $27.80, which was the closing price for a share of our Class A common stock as reported on December 31, 2025, the last trading day of the year.</w:t>
      </w:r>
    </w:p>
    <w:p>
      <w:pPr>
        <w:ind w:left="347" w:right="260" w:hanging="347"/>
        <w:spacing w:after="0" w:line="262" w:lineRule="auto"/>
        <w:tabs>
          <w:tab w:leader="none" w:pos="347" w:val="left"/>
        </w:tabs>
        <w:numPr>
          <w:ilvl w:val="0"/>
          <w:numId w:val="83"/>
        </w:numPr>
        <w:rPr>
          <w:rFonts w:ascii="Arial" w:cs="Arial" w:eastAsia="Arial" w:hAnsi="Arial"/>
          <w:sz w:val="20"/>
          <w:szCs w:val="20"/>
          <w:color w:val="auto"/>
          <w:vertAlign w:val="superscript"/>
        </w:rPr>
      </w:pPr>
      <w:r>
        <w:rPr>
          <w:rFonts w:ascii="Arial" w:cs="Arial" w:eastAsia="Arial" w:hAnsi="Arial"/>
          <w:sz w:val="15"/>
          <w:szCs w:val="15"/>
          <w:color w:val="auto"/>
        </w:rPr>
        <w:t>Excludes 8,266,666 shares of Class A common stock underlying RSAs subject to Mr. Houston’s Co-Founder Grant. See the section titled “</w:t>
      </w:r>
      <w:r>
        <w:rPr>
          <w:rFonts w:ascii="Arial" w:cs="Arial" w:eastAsia="Arial" w:hAnsi="Arial"/>
          <w:sz w:val="15"/>
          <w:szCs w:val="15"/>
          <w:i w:val="1"/>
          <w:iCs w:val="1"/>
          <w:color w:val="auto"/>
        </w:rPr>
        <w:t>Executive Compensation</w:t>
      </w:r>
      <w:r>
        <w:rPr>
          <w:rFonts w:ascii="Arial" w:cs="Arial" w:eastAsia="Arial" w:hAnsi="Arial"/>
          <w:sz w:val="15"/>
          <w:szCs w:val="15"/>
          <w:color w:val="auto"/>
        </w:rPr>
        <w:t>—</w:t>
      </w:r>
      <w:r>
        <w:rPr>
          <w:rFonts w:ascii="Arial" w:cs="Arial" w:eastAsia="Arial" w:hAnsi="Arial"/>
          <w:sz w:val="15"/>
          <w:szCs w:val="15"/>
          <w:i w:val="1"/>
          <w:iCs w:val="1"/>
          <w:color w:val="auto"/>
        </w:rPr>
        <w:t>Potential Payments on Termination or Change in Control—Certain Equity Awards</w:t>
      </w:r>
      <w:r>
        <w:rPr>
          <w:rFonts w:ascii="Arial" w:cs="Arial" w:eastAsia="Arial" w:hAnsi="Arial"/>
          <w:sz w:val="15"/>
          <w:szCs w:val="15"/>
          <w:color w:val="auto"/>
        </w:rPr>
        <w:t>” above for additional information regarding the terms of Mr. Houston’s Co-Founder Grant in connection with a change in control.</w:t>
      </w:r>
    </w:p>
    <w:p>
      <w:pPr>
        <w:sectPr>
          <w:pgSz w:w="11880" w:h="15480" w:orient="portrait"/>
          <w:cols w:equalWidth="0" w:num="1">
            <w:col w:w="9667"/>
          </w:cols>
          <w:pgMar w:left="1133" w:top="3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65</w:t>
      </w:r>
    </w:p>
    <w:p>
      <w:pPr>
        <w:sectPr>
          <w:pgSz w:w="11880" w:h="15480" w:orient="portrait"/>
          <w:cols w:equalWidth="0" w:num="1">
            <w:col w:w="9667"/>
          </w:cols>
          <w:pgMar w:left="1133" w:top="340" w:right="1080" w:bottom="0" w:gutter="0" w:footer="0" w:header="0"/>
          <w:type w:val="continuous"/>
        </w:sectPr>
      </w:pPr>
    </w:p>
    <w:bookmarkStart w:id="73" w:name="page74"/>
    <w:bookmarkEnd w:id="73"/>
    <w:p>
      <w:pPr>
        <w:spacing w:after="0"/>
        <w:rPr>
          <w:sz w:val="20"/>
          <w:szCs w:val="20"/>
          <w:color w:val="auto"/>
        </w:rPr>
      </w:pPr>
      <w:r>
        <w:rPr>
          <w:rFonts w:ascii="Arial" w:cs="Arial" w:eastAsia="Arial" w:hAnsi="Arial"/>
          <w:sz w:val="33"/>
          <w:szCs w:val="33"/>
          <w:color w:val="0A248E"/>
        </w:rPr>
        <w:t>EXECUTIVE COMPENSATION (continued)</w:t>
      </w: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color w:val="0A248E"/>
        </w:rPr>
        <w:t>CEO Pay Ratio</w:t>
      </w:r>
    </w:p>
    <w:p>
      <w:pPr>
        <w:spacing w:after="0" w:line="295"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In accordance with Item 402 of Regulation S-K under the Securities Act (“</w:t>
      </w:r>
      <w:r>
        <w:rPr>
          <w:rFonts w:ascii="Arial" w:cs="Arial" w:eastAsia="Arial" w:hAnsi="Arial"/>
          <w:sz w:val="18"/>
          <w:szCs w:val="18"/>
          <w:b w:val="1"/>
          <w:bCs w:val="1"/>
          <w:i w:val="1"/>
          <w:iCs w:val="1"/>
          <w:color w:val="auto"/>
        </w:rPr>
        <w:t>Item 402</w:t>
      </w:r>
      <w:r>
        <w:rPr>
          <w:rFonts w:ascii="Arial" w:cs="Arial" w:eastAsia="Arial" w:hAnsi="Arial"/>
          <w:sz w:val="18"/>
          <w:szCs w:val="18"/>
          <w:color w:val="auto"/>
        </w:rPr>
        <w:t>”), below is the ratio of the annual total compensation of the median employee of the company to the annual total compensation of the CEO (the “</w:t>
      </w:r>
      <w:r>
        <w:rPr>
          <w:rFonts w:ascii="Arial" w:cs="Arial" w:eastAsia="Arial" w:hAnsi="Arial"/>
          <w:sz w:val="18"/>
          <w:szCs w:val="18"/>
          <w:b w:val="1"/>
          <w:bCs w:val="1"/>
          <w:i w:val="1"/>
          <w:iCs w:val="1"/>
          <w:color w:val="auto"/>
        </w:rPr>
        <w:t>Pay Ratio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w:t>
      </w:r>
      <w:r>
        <w:rPr>
          <w:rFonts w:ascii="Arial" w:cs="Arial" w:eastAsia="Arial" w:hAnsi="Arial"/>
          <w:sz w:val="18"/>
          <w:szCs w:val="18"/>
          <w:color w:val="auto"/>
        </w:rPr>
        <w:t>”).</w:t>
      </w:r>
    </w:p>
    <w:p>
      <w:pPr>
        <w:spacing w:after="0" w:line="134" w:lineRule="exact"/>
        <w:rPr>
          <w:sz w:val="20"/>
          <w:szCs w:val="20"/>
          <w:color w:val="auto"/>
        </w:rPr>
      </w:pPr>
    </w:p>
    <w:tbl>
      <w:tblPr>
        <w:tblLayout w:type="fixed"/>
        <w:tblInd w:w="480" w:type="dxa"/>
        <w:tblCellMar>
          <w:top w:w="0" w:type="dxa"/>
          <w:left w:w="0" w:type="dxa"/>
          <w:bottom w:w="0" w:type="dxa"/>
          <w:right w:w="0" w:type="dxa"/>
        </w:tblCellMar>
      </w:tblPr>
      <w:tr>
        <w:trPr>
          <w:trHeight w:val="711"/>
        </w:trPr>
        <w:tc>
          <w:tcPr>
            <w:tcW w:w="2240" w:type="dxa"/>
            <w:vAlign w:val="bottom"/>
            <w:shd w:val="clear" w:color="auto" w:fill="0A248E"/>
          </w:tcPr>
          <w:p>
            <w:pPr>
              <w:jc w:val="center"/>
              <w:spacing w:after="0"/>
              <w:rPr>
                <w:sz w:val="20"/>
                <w:szCs w:val="20"/>
                <w:color w:val="auto"/>
              </w:rPr>
            </w:pPr>
            <w:r>
              <w:rPr>
                <w:rFonts w:ascii="Arial" w:cs="Arial" w:eastAsia="Arial" w:hAnsi="Arial"/>
                <w:sz w:val="31"/>
                <w:szCs w:val="31"/>
                <w:color w:val="FFFFFF"/>
              </w:rPr>
              <w:t>$2,166,622</w:t>
            </w:r>
          </w:p>
        </w:tc>
        <w:tc>
          <w:tcPr>
            <w:tcW w:w="1040" w:type="dxa"/>
            <w:vAlign w:val="bottom"/>
            <w:tcBorders>
              <w:right w:val="single" w:sz="8" w:color="0A248E"/>
            </w:tcBorders>
          </w:tcPr>
          <w:p>
            <w:pPr>
              <w:spacing w:after="0"/>
              <w:rPr>
                <w:sz w:val="24"/>
                <w:szCs w:val="24"/>
                <w:color w:val="auto"/>
              </w:rPr>
            </w:pPr>
          </w:p>
        </w:tc>
        <w:tc>
          <w:tcPr>
            <w:tcW w:w="218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31"/>
                <w:szCs w:val="31"/>
                <w:color w:val="FFFFFF"/>
              </w:rPr>
              <w:t>$286,151</w:t>
            </w:r>
          </w:p>
        </w:tc>
        <w:tc>
          <w:tcPr>
            <w:tcW w:w="1020" w:type="dxa"/>
            <w:vAlign w:val="bottom"/>
            <w:tcBorders>
              <w:right w:val="single" w:sz="8" w:color="0A248E"/>
            </w:tcBorders>
          </w:tcPr>
          <w:p>
            <w:pPr>
              <w:spacing w:after="0"/>
              <w:rPr>
                <w:sz w:val="24"/>
                <w:szCs w:val="24"/>
                <w:color w:val="auto"/>
              </w:rPr>
            </w:pPr>
          </w:p>
        </w:tc>
        <w:tc>
          <w:tcPr>
            <w:tcW w:w="2140" w:type="dxa"/>
            <w:vAlign w:val="bottom"/>
            <w:shd w:val="clear" w:color="auto" w:fill="0A248E"/>
          </w:tcPr>
          <w:p>
            <w:pPr>
              <w:jc w:val="right"/>
              <w:ind w:right="712"/>
              <w:spacing w:after="0"/>
              <w:rPr>
                <w:sz w:val="20"/>
                <w:szCs w:val="20"/>
                <w:color w:val="auto"/>
              </w:rPr>
            </w:pPr>
            <w:r>
              <w:rPr>
                <w:rFonts w:ascii="Arial" w:cs="Arial" w:eastAsia="Arial" w:hAnsi="Arial"/>
                <w:sz w:val="31"/>
                <w:szCs w:val="31"/>
                <w:color w:val="FFFFFF"/>
              </w:rPr>
              <w:t>8:1</w:t>
            </w:r>
          </w:p>
        </w:tc>
        <w:tc>
          <w:tcPr>
            <w:tcW w:w="60" w:type="dxa"/>
            <w:vAlign w:val="bottom"/>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0A248E"/>
          </w:tcPr>
          <w:p>
            <w:pPr>
              <w:jc w:val="center"/>
              <w:spacing w:after="0"/>
              <w:rPr>
                <w:sz w:val="20"/>
                <w:szCs w:val="20"/>
                <w:color w:val="auto"/>
              </w:rPr>
            </w:pPr>
            <w:r>
              <w:rPr>
                <w:rFonts w:ascii="Arial" w:cs="Arial" w:eastAsia="Arial" w:hAnsi="Arial"/>
                <w:sz w:val="20"/>
                <w:szCs w:val="20"/>
                <w:color w:val="FFFFFF"/>
                <w:w w:val="94"/>
              </w:rPr>
              <w:t>CEO Total Annual</w:t>
            </w:r>
          </w:p>
        </w:tc>
        <w:tc>
          <w:tcPr>
            <w:tcW w:w="1040" w:type="dxa"/>
            <w:vAlign w:val="bottom"/>
            <w:tcBorders>
              <w:right w:val="single" w:sz="8" w:color="0A248E"/>
            </w:tcBorders>
          </w:tcPr>
          <w:p>
            <w:pPr>
              <w:spacing w:after="0"/>
              <w:rPr>
                <w:sz w:val="22"/>
                <w:szCs w:val="22"/>
                <w:color w:val="auto"/>
              </w:rPr>
            </w:pPr>
          </w:p>
        </w:tc>
        <w:tc>
          <w:tcPr>
            <w:tcW w:w="218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20"/>
                <w:szCs w:val="20"/>
                <w:color w:val="FFFFFF"/>
                <w:w w:val="96"/>
                <w:shd w:val="clear" w:color="auto" w:fill="0A248E"/>
              </w:rPr>
              <w:t>Median Employee Total</w:t>
            </w:r>
          </w:p>
        </w:tc>
        <w:tc>
          <w:tcPr>
            <w:tcW w:w="1020" w:type="dxa"/>
            <w:vAlign w:val="bottom"/>
            <w:tcBorders>
              <w:right w:val="single" w:sz="8" w:color="0A248E"/>
            </w:tcBorders>
          </w:tcPr>
          <w:p>
            <w:pPr>
              <w:spacing w:after="0"/>
              <w:rPr>
                <w:sz w:val="22"/>
                <w:szCs w:val="22"/>
                <w:color w:val="auto"/>
              </w:rPr>
            </w:pPr>
          </w:p>
        </w:tc>
        <w:tc>
          <w:tcPr>
            <w:tcW w:w="2140" w:type="dxa"/>
            <w:vAlign w:val="bottom"/>
            <w:vMerge w:val="restart"/>
            <w:shd w:val="clear" w:color="auto" w:fill="0A248E"/>
          </w:tcPr>
          <w:p>
            <w:pPr>
              <w:jc w:val="center"/>
              <w:spacing w:after="0"/>
              <w:rPr>
                <w:sz w:val="20"/>
                <w:szCs w:val="20"/>
                <w:color w:val="auto"/>
              </w:rPr>
            </w:pPr>
            <w:r>
              <w:rPr>
                <w:rFonts w:ascii="Arial" w:cs="Arial" w:eastAsia="Arial" w:hAnsi="Arial"/>
                <w:sz w:val="20"/>
                <w:szCs w:val="20"/>
                <w:color w:val="FFFFFF"/>
                <w:w w:val="97"/>
              </w:rPr>
              <w:t>CEO Pay Ratio</w:t>
            </w:r>
          </w:p>
        </w:tc>
        <w:tc>
          <w:tcPr>
            <w:tcW w:w="60" w:type="dxa"/>
            <w:vAlign w:val="bottom"/>
            <w:shd w:val="clear" w:color="auto" w:fill="0A248E"/>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240" w:type="dxa"/>
            <w:vAlign w:val="bottom"/>
            <w:vMerge w:val="restart"/>
            <w:shd w:val="clear" w:color="auto" w:fill="0A248E"/>
          </w:tcPr>
          <w:p>
            <w:pPr>
              <w:jc w:val="center"/>
              <w:spacing w:after="0"/>
              <w:rPr>
                <w:sz w:val="20"/>
                <w:szCs w:val="20"/>
                <w:color w:val="auto"/>
              </w:rPr>
            </w:pPr>
            <w:r>
              <w:rPr>
                <w:rFonts w:ascii="Arial" w:cs="Arial" w:eastAsia="Arial" w:hAnsi="Arial"/>
                <w:sz w:val="20"/>
                <w:szCs w:val="20"/>
                <w:color w:val="FFFFFF"/>
                <w:w w:val="96"/>
              </w:rPr>
              <w:t>Compensation</w:t>
            </w:r>
          </w:p>
        </w:tc>
        <w:tc>
          <w:tcPr>
            <w:tcW w:w="1040" w:type="dxa"/>
            <w:vAlign w:val="bottom"/>
            <w:tcBorders>
              <w:right w:val="single" w:sz="8" w:color="0A248E"/>
            </w:tcBorders>
          </w:tcPr>
          <w:p>
            <w:pPr>
              <w:spacing w:after="0"/>
              <w:rPr>
                <w:sz w:val="10"/>
                <w:szCs w:val="10"/>
                <w:color w:val="auto"/>
              </w:rPr>
            </w:pPr>
          </w:p>
        </w:tc>
        <w:tc>
          <w:tcPr>
            <w:tcW w:w="218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20"/>
                <w:szCs w:val="20"/>
                <w:color w:val="FFFFFF"/>
                <w:w w:val="96"/>
              </w:rPr>
              <w:t>Compensation</w:t>
            </w:r>
          </w:p>
        </w:tc>
        <w:tc>
          <w:tcPr>
            <w:tcW w:w="1020" w:type="dxa"/>
            <w:vAlign w:val="bottom"/>
            <w:tcBorders>
              <w:right w:val="single" w:sz="8" w:color="0A248E"/>
            </w:tcBorders>
          </w:tcPr>
          <w:p>
            <w:pPr>
              <w:spacing w:after="0"/>
              <w:rPr>
                <w:sz w:val="10"/>
                <w:szCs w:val="10"/>
                <w:color w:val="auto"/>
              </w:rPr>
            </w:pPr>
          </w:p>
        </w:tc>
        <w:tc>
          <w:tcPr>
            <w:tcW w:w="2140" w:type="dxa"/>
            <w:vAlign w:val="bottom"/>
            <w:vMerge w:val="continue"/>
            <w:shd w:val="clear" w:color="auto" w:fill="0A248E"/>
          </w:tcPr>
          <w:p>
            <w:pPr>
              <w:spacing w:after="0"/>
              <w:rPr>
                <w:sz w:val="10"/>
                <w:szCs w:val="10"/>
                <w:color w:val="auto"/>
              </w:rPr>
            </w:pPr>
          </w:p>
        </w:tc>
        <w:tc>
          <w:tcPr>
            <w:tcW w:w="60" w:type="dxa"/>
            <w:vAlign w:val="bottom"/>
            <w:shd w:val="clear" w:color="auto" w:fill="0A248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240" w:type="dxa"/>
            <w:vAlign w:val="bottom"/>
            <w:vMerge w:val="continue"/>
            <w:shd w:val="clear" w:color="auto" w:fill="0A248E"/>
          </w:tcPr>
          <w:p>
            <w:pPr>
              <w:spacing w:after="0"/>
              <w:rPr>
                <w:sz w:val="13"/>
                <w:szCs w:val="13"/>
                <w:color w:val="auto"/>
              </w:rPr>
            </w:pPr>
          </w:p>
        </w:tc>
        <w:tc>
          <w:tcPr>
            <w:tcW w:w="1040" w:type="dxa"/>
            <w:vAlign w:val="bottom"/>
            <w:tcBorders>
              <w:right w:val="single" w:sz="8" w:color="0A248E"/>
            </w:tcBorders>
          </w:tcPr>
          <w:p>
            <w:pPr>
              <w:spacing w:after="0"/>
              <w:rPr>
                <w:sz w:val="13"/>
                <w:szCs w:val="13"/>
                <w:color w:val="auto"/>
              </w:rPr>
            </w:pPr>
          </w:p>
        </w:tc>
        <w:tc>
          <w:tcPr>
            <w:tcW w:w="2180" w:type="dxa"/>
            <w:vAlign w:val="bottom"/>
            <w:tcBorders>
              <w:right w:val="single" w:sz="8" w:color="0A248E"/>
            </w:tcBorders>
            <w:vMerge w:val="continue"/>
            <w:shd w:val="clear" w:color="auto" w:fill="0A248E"/>
          </w:tcPr>
          <w:p>
            <w:pPr>
              <w:spacing w:after="0"/>
              <w:rPr>
                <w:sz w:val="13"/>
                <w:szCs w:val="13"/>
                <w:color w:val="auto"/>
              </w:rPr>
            </w:pPr>
          </w:p>
        </w:tc>
        <w:tc>
          <w:tcPr>
            <w:tcW w:w="1020" w:type="dxa"/>
            <w:vAlign w:val="bottom"/>
            <w:tcBorders>
              <w:right w:val="single" w:sz="8" w:color="0A248E"/>
            </w:tcBorders>
          </w:tcPr>
          <w:p>
            <w:pPr>
              <w:spacing w:after="0"/>
              <w:rPr>
                <w:sz w:val="13"/>
                <w:szCs w:val="13"/>
                <w:color w:val="auto"/>
              </w:rPr>
            </w:pPr>
          </w:p>
        </w:tc>
        <w:tc>
          <w:tcPr>
            <w:tcW w:w="2140" w:type="dxa"/>
            <w:vAlign w:val="bottom"/>
            <w:shd w:val="clear" w:color="auto" w:fill="0A248E"/>
          </w:tcPr>
          <w:p>
            <w:pPr>
              <w:spacing w:after="0"/>
              <w:rPr>
                <w:sz w:val="13"/>
                <w:szCs w:val="13"/>
                <w:color w:val="auto"/>
              </w:rPr>
            </w:pPr>
          </w:p>
        </w:tc>
        <w:tc>
          <w:tcPr>
            <w:tcW w:w="60" w:type="dxa"/>
            <w:vAlign w:val="bottom"/>
            <w:shd w:val="clear" w:color="auto" w:fill="0A248E"/>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240" w:type="dxa"/>
            <w:vAlign w:val="bottom"/>
            <w:shd w:val="clear" w:color="auto" w:fill="0A248E"/>
          </w:tcPr>
          <w:p>
            <w:pPr>
              <w:spacing w:after="0"/>
              <w:rPr>
                <w:sz w:val="23"/>
                <w:szCs w:val="23"/>
                <w:color w:val="auto"/>
              </w:rPr>
            </w:pPr>
          </w:p>
        </w:tc>
        <w:tc>
          <w:tcPr>
            <w:tcW w:w="1040" w:type="dxa"/>
            <w:vAlign w:val="bottom"/>
            <w:tcBorders>
              <w:right w:val="single" w:sz="8" w:color="0A248E"/>
            </w:tcBorders>
          </w:tcPr>
          <w:p>
            <w:pPr>
              <w:spacing w:after="0"/>
              <w:rPr>
                <w:sz w:val="23"/>
                <w:szCs w:val="23"/>
                <w:color w:val="auto"/>
              </w:rPr>
            </w:pPr>
          </w:p>
        </w:tc>
        <w:tc>
          <w:tcPr>
            <w:tcW w:w="2180" w:type="dxa"/>
            <w:vAlign w:val="bottom"/>
            <w:tcBorders>
              <w:right w:val="single" w:sz="8" w:color="0A248E"/>
            </w:tcBorders>
            <w:shd w:val="clear" w:color="auto" w:fill="0A248E"/>
          </w:tcPr>
          <w:p>
            <w:pPr>
              <w:spacing w:after="0"/>
              <w:rPr>
                <w:sz w:val="23"/>
                <w:szCs w:val="23"/>
                <w:color w:val="auto"/>
              </w:rPr>
            </w:pPr>
          </w:p>
        </w:tc>
        <w:tc>
          <w:tcPr>
            <w:tcW w:w="1020" w:type="dxa"/>
            <w:vAlign w:val="bottom"/>
            <w:tcBorders>
              <w:right w:val="single" w:sz="8" w:color="0A248E"/>
            </w:tcBorders>
          </w:tcPr>
          <w:p>
            <w:pPr>
              <w:spacing w:after="0"/>
              <w:rPr>
                <w:sz w:val="23"/>
                <w:szCs w:val="23"/>
                <w:color w:val="auto"/>
              </w:rPr>
            </w:pPr>
          </w:p>
        </w:tc>
        <w:tc>
          <w:tcPr>
            <w:tcW w:w="2140" w:type="dxa"/>
            <w:vAlign w:val="bottom"/>
            <w:shd w:val="clear" w:color="auto" w:fill="0A248E"/>
          </w:tcPr>
          <w:p>
            <w:pPr>
              <w:spacing w:after="0"/>
              <w:rPr>
                <w:sz w:val="23"/>
                <w:szCs w:val="23"/>
                <w:color w:val="auto"/>
              </w:rPr>
            </w:pPr>
          </w:p>
        </w:tc>
        <w:tc>
          <w:tcPr>
            <w:tcW w:w="60" w:type="dxa"/>
            <w:vAlign w:val="bottom"/>
            <w:shd w:val="clear" w:color="auto" w:fill="0A248E"/>
          </w:tcPr>
          <w:p>
            <w:pPr>
              <w:spacing w:after="0"/>
              <w:rPr>
                <w:sz w:val="23"/>
                <w:szCs w:val="23"/>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In order to identify our median employee, we examined the total compensation in 2025 of all employees globally, including those employed on a full-time, part-time, seasonal or temporary basis by the company as of December 31, 2025, and then such compensation was converted into U.S. dollars. We did not annualize compensation for employees who were not employed for the entire 2025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2025 through December 31, 2025.</w:t>
      </w:r>
    </w:p>
    <w:p>
      <w:pPr>
        <w:spacing w:after="0" w:line="11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CEO had annual total compensation for 2025, calculated using the requirements of Item 402 for purposes of the Pay Ratio Disclosure, of $2,166,622. The annual total compensation of the median employee of the company for 2025, calculated using the same requirements under Item 402 for purposes of the Pay Ratio Disclosure, which included base pay, incentive compensation, the grant date fair value of equity grants and the company’s matching contribution to that employee’s 401(k) plan account, was $286,151. Accordingly, the ratio of the annual total compensation of the CEO to the annual total compensation of the median employee of the company was 8:1.</w:t>
      </w:r>
    </w:p>
    <w:p>
      <w:pPr>
        <w:spacing w:after="0" w:line="129" w:lineRule="exact"/>
        <w:rPr>
          <w:sz w:val="20"/>
          <w:szCs w:val="20"/>
          <w:color w:val="auto"/>
        </w:rPr>
      </w:pPr>
    </w:p>
    <w:p>
      <w:pPr>
        <w:ind w:right="340"/>
        <w:spacing w:after="0" w:line="305" w:lineRule="auto"/>
        <w:rPr>
          <w:sz w:val="20"/>
          <w:szCs w:val="20"/>
          <w:color w:val="auto"/>
        </w:rPr>
      </w:pPr>
      <w:r>
        <w:rPr>
          <w:rFonts w:ascii="Arial" w:cs="Arial" w:eastAsia="Arial" w:hAnsi="Arial"/>
          <w:sz w:val="17"/>
          <w:szCs w:val="17"/>
          <w:color w:val="auto"/>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ectPr>
          <w:pgSz w:w="11880" w:h="15480" w:orient="portrait"/>
          <w:cols w:equalWidth="0" w:num="1">
            <w:col w:w="9560"/>
          </w:cols>
          <w:pgMar w:left="1140" w:top="34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hanging="475"/>
        <w:spacing w:after="0"/>
        <w:tabs>
          <w:tab w:leader="none" w:pos="520"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560"/>
          </w:cols>
          <w:pgMar w:left="1140" w:top="340" w:right="1180" w:bottom="0" w:gutter="0" w:footer="0" w:header="0"/>
          <w:type w:val="continuous"/>
        </w:sectPr>
      </w:pPr>
    </w:p>
    <w:bookmarkStart w:id="74" w:name="page75"/>
    <w:bookmarkEnd w:id="74"/>
    <w:p>
      <w:pPr>
        <w:ind w:left="7"/>
        <w:spacing w:after="0"/>
        <w:rPr>
          <w:sz w:val="20"/>
          <w:szCs w:val="20"/>
          <w:color w:val="auto"/>
        </w:rPr>
      </w:pPr>
      <w:r>
        <w:rPr>
          <w:rFonts w:ascii="Arial" w:cs="Arial" w:eastAsia="Arial" w:hAnsi="Arial"/>
          <w:sz w:val="33"/>
          <w:szCs w:val="33"/>
          <w:color w:val="0A248E"/>
        </w:rPr>
        <w:t>EXECUTIVE COMPENSATION (continued)</w:t>
      </w:r>
    </w:p>
    <w:p>
      <w:pPr>
        <w:spacing w:after="0" w:line="273" w:lineRule="exact"/>
        <w:rPr>
          <w:sz w:val="20"/>
          <w:szCs w:val="20"/>
          <w:color w:val="auto"/>
        </w:rPr>
      </w:pPr>
    </w:p>
    <w:p>
      <w:pPr>
        <w:ind w:left="7"/>
        <w:spacing w:after="0"/>
        <w:rPr>
          <w:sz w:val="20"/>
          <w:szCs w:val="20"/>
          <w:color w:val="auto"/>
        </w:rPr>
      </w:pPr>
      <w:r>
        <w:rPr>
          <w:rFonts w:ascii="Arial" w:cs="Arial" w:eastAsia="Arial" w:hAnsi="Arial"/>
          <w:sz w:val="28"/>
          <w:szCs w:val="28"/>
          <w:color w:val="0A248E"/>
        </w:rPr>
        <w:t>Pay Versus Performance</w:t>
      </w:r>
    </w:p>
    <w:p>
      <w:pPr>
        <w:spacing w:after="0" w:line="295" w:lineRule="exact"/>
        <w:rPr>
          <w:sz w:val="20"/>
          <w:szCs w:val="20"/>
          <w:color w:val="auto"/>
        </w:rPr>
      </w:pPr>
    </w:p>
    <w:p>
      <w:pPr>
        <w:ind w:left="7" w:right="100"/>
        <w:spacing w:after="0" w:line="279" w:lineRule="auto"/>
        <w:rPr>
          <w:sz w:val="20"/>
          <w:szCs w:val="20"/>
          <w:color w:val="auto"/>
        </w:rPr>
      </w:pPr>
      <w:r>
        <w:rPr>
          <w:rFonts w:ascii="Arial" w:cs="Arial" w:eastAsia="Arial" w:hAnsi="Arial"/>
          <w:sz w:val="18"/>
          <w:szCs w:val="18"/>
          <w:color w:val="auto"/>
        </w:rPr>
        <w:t>In accordance with Item 402, below is the comparison of the total compensation actually paid to company performance (the “</w:t>
      </w:r>
      <w:r>
        <w:rPr>
          <w:rFonts w:ascii="Arial" w:cs="Arial" w:eastAsia="Arial" w:hAnsi="Arial"/>
          <w:sz w:val="18"/>
          <w:szCs w:val="18"/>
          <w:b w:val="1"/>
          <w:bCs w:val="1"/>
          <w:i w:val="1"/>
          <w:iCs w:val="1"/>
          <w:color w:val="auto"/>
        </w:rPr>
        <w:t>Pay Versus Performance Disclosure</w:t>
      </w:r>
      <w:r>
        <w:rPr>
          <w:rFonts w:ascii="Arial" w:cs="Arial" w:eastAsia="Arial" w:hAnsi="Arial"/>
          <w:sz w:val="18"/>
          <w:szCs w:val="18"/>
          <w:color w:val="auto"/>
        </w:rPr>
        <w:t>”). For further information concerning our variable pay-for-performance philosophy and how we align executive compensation with the company’s performance, refer to the section 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5"/>
          <w:szCs w:val="15"/>
          <w:color w:val="auto"/>
        </w:rPr>
        <w:t>—</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549275</wp:posOffset>
                </wp:positionH>
                <wp:positionV relativeFrom="paragraph">
                  <wp:posOffset>38100</wp:posOffset>
                </wp:positionV>
                <wp:extent cx="17780" cy="3556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5560"/>
                        </a:xfrm>
                        <a:prstGeom prst="rect">
                          <a:avLst/>
                        </a:prstGeom>
                        <a:solidFill>
                          <a:srgbClr val="FFFFFF"/>
                        </a:solidFill>
                      </wps:spPr>
                      <wps:bodyPr/>
                    </wps:wsp>
                  </a:graphicData>
                </a:graphic>
              </wp:anchor>
            </w:drawing>
          </mc:Choice>
          <mc:Fallback>
            <w:pict>
              <v:rect id="Shape 269" o:spid="_x0000_s1294" style="position:absolute;margin-left:43.25pt;margin-top:3pt;width:1.4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1292225</wp:posOffset>
                </wp:positionH>
                <wp:positionV relativeFrom="paragraph">
                  <wp:posOffset>38100</wp:posOffset>
                </wp:positionV>
                <wp:extent cx="17780" cy="3556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5560"/>
                        </a:xfrm>
                        <a:prstGeom prst="rect">
                          <a:avLst/>
                        </a:prstGeom>
                        <a:solidFill>
                          <a:srgbClr val="FFFFFF"/>
                        </a:solidFill>
                      </wps:spPr>
                      <wps:bodyPr/>
                    </wps:wsp>
                  </a:graphicData>
                </a:graphic>
              </wp:anchor>
            </w:drawing>
          </mc:Choice>
          <mc:Fallback>
            <w:pict>
              <v:rect id="Shape 270" o:spid="_x0000_s1295" style="position:absolute;margin-left:101.75pt;margin-top:3pt;width:1.4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2035175</wp:posOffset>
                </wp:positionH>
                <wp:positionV relativeFrom="paragraph">
                  <wp:posOffset>38100</wp:posOffset>
                </wp:positionV>
                <wp:extent cx="17780" cy="3556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5560"/>
                        </a:xfrm>
                        <a:prstGeom prst="rect">
                          <a:avLst/>
                        </a:prstGeom>
                        <a:solidFill>
                          <a:srgbClr val="FFFFFF"/>
                        </a:solidFill>
                      </wps:spPr>
                      <wps:bodyPr/>
                    </wps:wsp>
                  </a:graphicData>
                </a:graphic>
              </wp:anchor>
            </w:drawing>
          </mc:Choice>
          <mc:Fallback>
            <w:pict>
              <v:rect id="Shape 271" o:spid="_x0000_s1296" style="position:absolute;margin-left:160.25pt;margin-top:3pt;width:1.4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3892550</wp:posOffset>
                </wp:positionH>
                <wp:positionV relativeFrom="paragraph">
                  <wp:posOffset>38100</wp:posOffset>
                </wp:positionV>
                <wp:extent cx="17780" cy="3556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5560"/>
                        </a:xfrm>
                        <a:prstGeom prst="rect">
                          <a:avLst/>
                        </a:prstGeom>
                        <a:solidFill>
                          <a:srgbClr val="FFFFFF"/>
                        </a:solidFill>
                      </wps:spPr>
                      <wps:bodyPr/>
                    </wps:wsp>
                  </a:graphicData>
                </a:graphic>
              </wp:anchor>
            </w:drawing>
          </mc:Choice>
          <mc:Fallback>
            <w:pict>
              <v:rect id="Shape 272" o:spid="_x0000_s1297" style="position:absolute;margin-left:306.5pt;margin-top:3pt;width:1.4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40" w:lineRule="exact"/>
        <w:rPr>
          <w:sz w:val="20"/>
          <w:szCs w:val="20"/>
          <w:color w:val="auto"/>
        </w:rPr>
      </w:pPr>
    </w:p>
    <w:tbl>
      <w:tblPr>
        <w:tblLayout w:type="fixed"/>
        <w:tblInd w:w="7" w:type="dxa"/>
        <w:tblCellMar>
          <w:top w:w="0" w:type="dxa"/>
          <w:left w:w="0" w:type="dxa"/>
          <w:bottom w:w="0" w:type="dxa"/>
          <w:right w:w="0" w:type="dxa"/>
        </w:tblCellMar>
      </w:tblPr>
      <w:tr>
        <w:trPr>
          <w:trHeight w:val="56"/>
        </w:trPr>
        <w:tc>
          <w:tcPr>
            <w:tcW w:w="86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shd w:val="clear" w:color="auto" w:fill="0A248E"/>
          </w:tcPr>
          <w:p>
            <w:pPr>
              <w:spacing w:after="0"/>
              <w:rPr>
                <w:sz w:val="4"/>
                <w:szCs w:val="4"/>
                <w:color w:val="auto"/>
              </w:rPr>
            </w:pPr>
          </w:p>
        </w:tc>
        <w:tc>
          <w:tcPr>
            <w:tcW w:w="60" w:type="dxa"/>
            <w:vAlign w:val="bottom"/>
            <w:tcBorders>
              <w:right w:val="single" w:sz="8" w:color="0A248E"/>
            </w:tcBorders>
          </w:tcPr>
          <w:p>
            <w:pPr>
              <w:spacing w:after="0"/>
              <w:rPr>
                <w:sz w:val="4"/>
                <w:szCs w:val="4"/>
                <w:color w:val="auto"/>
              </w:rPr>
            </w:pPr>
          </w:p>
        </w:tc>
        <w:tc>
          <w:tcPr>
            <w:tcW w:w="1400" w:type="dxa"/>
            <w:vAlign w:val="bottom"/>
            <w:tcBorders>
              <w:right w:val="single" w:sz="8" w:color="0A248E"/>
            </w:tcBorders>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Borders>
              <w:right w:val="single" w:sz="8" w:color="0A248E"/>
            </w:tcBorders>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Borders>
              <w:right w:val="single" w:sz="8" w:color="0A248E"/>
            </w:tcBorders>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0A248E"/>
          </w:tcPr>
          <w:p>
            <w:pPr>
              <w:spacing w:after="0"/>
              <w:rPr>
                <w:sz w:val="4"/>
                <w:szCs w:val="4"/>
                <w:color w:val="auto"/>
              </w:rPr>
            </w:pPr>
          </w:p>
        </w:tc>
        <w:tc>
          <w:tcPr>
            <w:tcW w:w="20" w:type="dxa"/>
            <w:vAlign w:val="bottom"/>
            <w:shd w:val="clear" w:color="auto" w:fill="0A248E"/>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860" w:type="dxa"/>
            <w:vAlign w:val="bottom"/>
            <w:tcBorders>
              <w:bottom w:val="single" w:sz="8" w:color="0A248E"/>
            </w:tcBorders>
            <w:shd w:val="clear" w:color="auto" w:fill="0A248E"/>
          </w:tcPr>
          <w:p>
            <w:pPr>
              <w:ind w:left="340"/>
              <w:spacing w:after="0"/>
              <w:rPr>
                <w:sz w:val="20"/>
                <w:szCs w:val="20"/>
                <w:color w:val="auto"/>
              </w:rPr>
            </w:pPr>
            <w:r>
              <w:rPr>
                <w:rFonts w:ascii="Arial" w:cs="Arial" w:eastAsia="Arial" w:hAnsi="Arial"/>
                <w:sz w:val="15"/>
                <w:szCs w:val="15"/>
                <w:b w:val="1"/>
                <w:bCs w:val="1"/>
                <w:color w:val="FFFFFF"/>
              </w:rPr>
              <w:t>(a)</w:t>
            </w:r>
          </w:p>
        </w:tc>
        <w:tc>
          <w:tcPr>
            <w:tcW w:w="20" w:type="dxa"/>
            <w:vAlign w:val="bottom"/>
          </w:tcPr>
          <w:p>
            <w:pPr>
              <w:spacing w:after="0"/>
              <w:rPr>
                <w:sz w:val="24"/>
                <w:szCs w:val="24"/>
                <w:color w:val="auto"/>
              </w:rPr>
            </w:pPr>
          </w:p>
        </w:tc>
        <w:tc>
          <w:tcPr>
            <w:tcW w:w="1160" w:type="dxa"/>
            <w:vAlign w:val="bottom"/>
            <w:tcBorders>
              <w:bottom w:val="single" w:sz="8" w:color="0A248E"/>
            </w:tcBorders>
            <w:gridSpan w:val="2"/>
            <w:shd w:val="clear" w:color="auto" w:fill="0A248E"/>
          </w:tcPr>
          <w:p>
            <w:pPr>
              <w:jc w:val="center"/>
              <w:ind w:right="20"/>
              <w:spacing w:after="0"/>
              <w:rPr>
                <w:sz w:val="20"/>
                <w:szCs w:val="20"/>
                <w:color w:val="auto"/>
              </w:rPr>
            </w:pPr>
            <w:r>
              <w:rPr>
                <w:rFonts w:ascii="Arial" w:cs="Arial" w:eastAsia="Arial" w:hAnsi="Arial"/>
                <w:sz w:val="15"/>
                <w:szCs w:val="15"/>
                <w:b w:val="1"/>
                <w:bCs w:val="1"/>
                <w:color w:val="FFFFFF"/>
                <w:w w:val="93"/>
              </w:rPr>
              <w:t>(b)</w:t>
            </w:r>
          </w:p>
        </w:tc>
        <w:tc>
          <w:tcPr>
            <w:tcW w:w="20" w:type="dxa"/>
            <w:vAlign w:val="bottom"/>
          </w:tcPr>
          <w:p>
            <w:pPr>
              <w:spacing w:after="0"/>
              <w:rPr>
                <w:sz w:val="24"/>
                <w:szCs w:val="24"/>
                <w:color w:val="auto"/>
              </w:rPr>
            </w:pPr>
          </w:p>
        </w:tc>
        <w:tc>
          <w:tcPr>
            <w:tcW w:w="11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(c)</w:t>
            </w:r>
          </w:p>
        </w:tc>
        <w:tc>
          <w:tcPr>
            <w:tcW w:w="60" w:type="dxa"/>
            <w:vAlign w:val="bottom"/>
            <w:tcBorders>
              <w:right w:val="single" w:sz="8" w:color="0A248E"/>
            </w:tcBorders>
          </w:tcPr>
          <w:p>
            <w:pPr>
              <w:spacing w:after="0"/>
              <w:rPr>
                <w:sz w:val="24"/>
                <w:szCs w:val="24"/>
                <w:color w:val="auto"/>
              </w:rPr>
            </w:pPr>
          </w:p>
        </w:tc>
        <w:tc>
          <w:tcPr>
            <w:tcW w:w="1420" w:type="dxa"/>
            <w:vAlign w:val="bottom"/>
            <w:tcBorders>
              <w:bottom w:val="single" w:sz="8" w:color="0A248E"/>
            </w:tcBorders>
            <w:gridSpan w:val="2"/>
            <w:shd w:val="clear" w:color="auto" w:fill="0A248E"/>
          </w:tcPr>
          <w:p>
            <w:pPr>
              <w:jc w:val="center"/>
              <w:ind w:right="60"/>
              <w:spacing w:after="0"/>
              <w:rPr>
                <w:sz w:val="20"/>
                <w:szCs w:val="20"/>
                <w:color w:val="auto"/>
              </w:rPr>
            </w:pPr>
            <w:r>
              <w:rPr>
                <w:rFonts w:ascii="Arial" w:cs="Arial" w:eastAsia="Arial" w:hAnsi="Arial"/>
                <w:sz w:val="15"/>
                <w:szCs w:val="15"/>
                <w:b w:val="1"/>
                <w:bCs w:val="1"/>
                <w:color w:val="FFFFFF"/>
              </w:rPr>
              <w:t>(d)</w:t>
            </w:r>
          </w:p>
        </w:tc>
        <w:tc>
          <w:tcPr>
            <w:tcW w:w="20" w:type="dxa"/>
            <w:vAlign w:val="bottom"/>
          </w:tcPr>
          <w:p>
            <w:pPr>
              <w:spacing w:after="0"/>
              <w:rPr>
                <w:sz w:val="24"/>
                <w:szCs w:val="24"/>
                <w:color w:val="auto"/>
              </w:rPr>
            </w:pPr>
          </w:p>
        </w:tc>
        <w:tc>
          <w:tcPr>
            <w:tcW w:w="1440" w:type="dxa"/>
            <w:vAlign w:val="bottom"/>
            <w:tcBorders>
              <w:bottom w:val="single" w:sz="8" w:color="0A248E"/>
            </w:tcBorders>
            <w:gridSpan w:val="2"/>
            <w:shd w:val="clear" w:color="auto" w:fill="0A248E"/>
          </w:tcPr>
          <w:p>
            <w:pPr>
              <w:jc w:val="center"/>
              <w:ind w:right="20"/>
              <w:spacing w:after="0"/>
              <w:rPr>
                <w:sz w:val="20"/>
                <w:szCs w:val="20"/>
                <w:color w:val="auto"/>
              </w:rPr>
            </w:pPr>
            <w:r>
              <w:rPr>
                <w:rFonts w:ascii="Arial" w:cs="Arial" w:eastAsia="Arial" w:hAnsi="Arial"/>
                <w:sz w:val="15"/>
                <w:szCs w:val="15"/>
                <w:b w:val="1"/>
                <w:bCs w:val="1"/>
                <w:color w:val="FFFFFF"/>
                <w:w w:val="97"/>
              </w:rPr>
              <w:t>(e)</w:t>
            </w:r>
          </w:p>
        </w:tc>
        <w:tc>
          <w:tcPr>
            <w:tcW w:w="20" w:type="dxa"/>
            <w:vAlign w:val="bottom"/>
          </w:tcPr>
          <w:p>
            <w:pPr>
              <w:spacing w:after="0"/>
              <w:rPr>
                <w:sz w:val="24"/>
                <w:szCs w:val="24"/>
                <w:color w:val="auto"/>
              </w:rPr>
            </w:pPr>
          </w:p>
        </w:tc>
        <w:tc>
          <w:tcPr>
            <w:tcW w:w="9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3"/>
              </w:rPr>
              <w:t>(f)</w:t>
            </w:r>
          </w:p>
        </w:tc>
        <w:tc>
          <w:tcPr>
            <w:tcW w:w="40" w:type="dxa"/>
            <w:vAlign w:val="bottom"/>
            <w:tcBorders>
              <w:left w:val="single" w:sz="8" w:color="0A248E"/>
            </w:tcBorders>
          </w:tcPr>
          <w:p>
            <w:pPr>
              <w:spacing w:after="0"/>
              <w:rPr>
                <w:sz w:val="24"/>
                <w:szCs w:val="24"/>
                <w:color w:val="auto"/>
              </w:rPr>
            </w:pPr>
          </w:p>
        </w:tc>
        <w:tc>
          <w:tcPr>
            <w:tcW w:w="960" w:type="dxa"/>
            <w:vAlign w:val="bottom"/>
            <w:tcBorders>
              <w:bottom w:val="single" w:sz="8" w:color="0A248E"/>
            </w:tcBorders>
            <w:gridSpan w:val="2"/>
            <w:shd w:val="clear" w:color="auto" w:fill="0A248E"/>
          </w:tcPr>
          <w:p>
            <w:pPr>
              <w:jc w:val="center"/>
              <w:ind w:right="20"/>
              <w:spacing w:after="0"/>
              <w:rPr>
                <w:sz w:val="20"/>
                <w:szCs w:val="20"/>
                <w:color w:val="auto"/>
              </w:rPr>
            </w:pPr>
            <w:r>
              <w:rPr>
                <w:rFonts w:ascii="Arial" w:cs="Arial" w:eastAsia="Arial" w:hAnsi="Arial"/>
                <w:sz w:val="15"/>
                <w:szCs w:val="15"/>
                <w:b w:val="1"/>
                <w:bCs w:val="1"/>
                <w:color w:val="FFFFFF"/>
                <w:w w:val="93"/>
              </w:rPr>
              <w:t>(g)</w:t>
            </w:r>
          </w:p>
        </w:tc>
        <w:tc>
          <w:tcPr>
            <w:tcW w:w="780" w:type="dxa"/>
            <w:vAlign w:val="bottom"/>
            <w:tcBorders>
              <w:bottom w:val="single" w:sz="8" w:color="0A248E"/>
            </w:tcBorders>
            <w:gridSpan w:val="2"/>
            <w:shd w:val="clear" w:color="auto" w:fill="0A248E"/>
          </w:tcPr>
          <w:p>
            <w:pPr>
              <w:jc w:val="center"/>
              <w:ind w:right="20"/>
              <w:spacing w:after="0"/>
              <w:rPr>
                <w:sz w:val="20"/>
                <w:szCs w:val="20"/>
                <w:color w:val="auto"/>
              </w:rPr>
            </w:pPr>
            <w:r>
              <w:rPr>
                <w:rFonts w:ascii="Arial" w:cs="Arial" w:eastAsia="Arial" w:hAnsi="Arial"/>
                <w:sz w:val="15"/>
                <w:szCs w:val="15"/>
                <w:b w:val="1"/>
                <w:bCs w:val="1"/>
                <w:color w:val="FFFFFF"/>
              </w:rPr>
              <w:t>(h)</w:t>
            </w:r>
          </w:p>
        </w:tc>
        <w:tc>
          <w:tcPr>
            <w:tcW w:w="760" w:type="dxa"/>
            <w:vAlign w:val="bottom"/>
            <w:tcBorders>
              <w:bottom w:val="single" w:sz="8" w:color="0A248E"/>
            </w:tcBorders>
            <w:gridSpan w:val="2"/>
            <w:shd w:val="clear" w:color="auto" w:fill="0A248E"/>
          </w:tcPr>
          <w:p>
            <w:pPr>
              <w:jc w:val="center"/>
              <w:ind w:right="20"/>
              <w:spacing w:after="0"/>
              <w:rPr>
                <w:sz w:val="20"/>
                <w:szCs w:val="20"/>
                <w:color w:val="auto"/>
              </w:rPr>
            </w:pPr>
            <w:r>
              <w:rPr>
                <w:rFonts w:ascii="Arial" w:cs="Arial" w:eastAsia="Arial" w:hAnsi="Arial"/>
                <w:sz w:val="15"/>
                <w:szCs w:val="15"/>
                <w:b w:val="1"/>
                <w:bCs w:val="1"/>
                <w:color w:val="FFFFFF"/>
                <w:w w:val="98"/>
              </w:rPr>
              <w:t>(i)</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60" w:type="dxa"/>
            <w:vAlign w:val="bottom"/>
            <w:shd w:val="clear" w:color="auto" w:fill="0A248E"/>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0A248E"/>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0A248E"/>
          </w:tcPr>
          <w:p>
            <w:pPr>
              <w:spacing w:after="0"/>
              <w:rPr>
                <w:sz w:val="23"/>
                <w:szCs w:val="23"/>
                <w:color w:val="auto"/>
              </w:rPr>
            </w:pPr>
          </w:p>
        </w:tc>
        <w:tc>
          <w:tcPr>
            <w:tcW w:w="60" w:type="dxa"/>
            <w:vAlign w:val="bottom"/>
            <w:tcBorders>
              <w:right w:val="single" w:sz="8" w:color="0A248E"/>
            </w:tcBorders>
          </w:tcPr>
          <w:p>
            <w:pPr>
              <w:spacing w:after="0"/>
              <w:rPr>
                <w:sz w:val="23"/>
                <w:szCs w:val="23"/>
                <w:color w:val="auto"/>
              </w:rPr>
            </w:pPr>
          </w:p>
        </w:tc>
        <w:tc>
          <w:tcPr>
            <w:tcW w:w="1400" w:type="dxa"/>
            <w:vAlign w:val="bottom"/>
            <w:tcBorders>
              <w:right w:val="single" w:sz="8" w:color="0A248E"/>
            </w:tcBorders>
            <w:shd w:val="clear" w:color="auto" w:fill="0A248E"/>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Borders>
              <w:right w:val="single" w:sz="8" w:color="0A248E"/>
            </w:tcBorders>
            <w:shd w:val="clear" w:color="auto" w:fill="0A248E"/>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20" w:type="dxa"/>
            <w:vAlign w:val="bottom"/>
            <w:tcBorders>
              <w:right w:val="single" w:sz="8" w:color="0A248E"/>
            </w:tcBorders>
            <w:gridSpan w:val="3"/>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w w:val="97"/>
                <w:shd w:val="clear" w:color="auto" w:fill="0A248E"/>
              </w:rPr>
              <w:t>Value of Initial Fixed $100</w:t>
            </w:r>
          </w:p>
        </w:tc>
        <w:tc>
          <w:tcPr>
            <w:tcW w:w="20" w:type="dxa"/>
            <w:vAlign w:val="bottom"/>
          </w:tcPr>
          <w:p>
            <w:pPr>
              <w:spacing w:after="0"/>
              <w:rPr>
                <w:sz w:val="23"/>
                <w:szCs w:val="23"/>
                <w:color w:val="auto"/>
              </w:rPr>
            </w:pPr>
          </w:p>
        </w:tc>
        <w:tc>
          <w:tcPr>
            <w:tcW w:w="760" w:type="dxa"/>
            <w:vAlign w:val="bottom"/>
            <w:shd w:val="clear" w:color="auto" w:fill="0A248E"/>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0A248E"/>
          </w:tcPr>
          <w:p>
            <w:pPr>
              <w:spacing w:after="0"/>
              <w:rPr>
                <w:sz w:val="23"/>
                <w:szCs w:val="23"/>
                <w:color w:val="auto"/>
              </w:rPr>
            </w:pPr>
          </w:p>
        </w:tc>
        <w:tc>
          <w:tcPr>
            <w:tcW w:w="20" w:type="dxa"/>
            <w:vAlign w:val="bottom"/>
            <w:shd w:val="clear" w:color="auto" w:fill="0A248E"/>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0A248E"/>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140" w:type="dxa"/>
            <w:vAlign w:val="bottom"/>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140" w:type="dxa"/>
            <w:vAlign w:val="bottom"/>
            <w:shd w:val="clear" w:color="auto" w:fill="0A248E"/>
          </w:tcPr>
          <w:p>
            <w:pPr>
              <w:spacing w:after="0"/>
              <w:rPr>
                <w:sz w:val="20"/>
                <w:szCs w:val="20"/>
                <w:color w:val="auto"/>
              </w:rPr>
            </w:pPr>
          </w:p>
        </w:tc>
        <w:tc>
          <w:tcPr>
            <w:tcW w:w="60" w:type="dxa"/>
            <w:vAlign w:val="bottom"/>
            <w:tcBorders>
              <w:right w:val="single" w:sz="8" w:color="0A248E"/>
            </w:tcBorders>
            <w:shd w:val="clear" w:color="auto" w:fill="0A248E"/>
          </w:tcPr>
          <w:p>
            <w:pPr>
              <w:spacing w:after="0"/>
              <w:rPr>
                <w:sz w:val="20"/>
                <w:szCs w:val="20"/>
                <w:color w:val="auto"/>
              </w:rPr>
            </w:pPr>
          </w:p>
        </w:tc>
        <w:tc>
          <w:tcPr>
            <w:tcW w:w="1400" w:type="dxa"/>
            <w:vAlign w:val="bottom"/>
            <w:tcBorders>
              <w:right w:val="single" w:sz="8" w:color="0A248E"/>
            </w:tcBorders>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420" w:type="dxa"/>
            <w:vAlign w:val="bottom"/>
            <w:tcBorders>
              <w:right w:val="single" w:sz="8" w:color="0A248E"/>
            </w:tcBorders>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920" w:type="dxa"/>
            <w:vAlign w:val="bottom"/>
            <w:tcBorders>
              <w:right w:val="single" w:sz="8" w:color="0A248E"/>
            </w:tcBorders>
            <w:gridSpan w:val="3"/>
            <w:vMerge w:val="continue"/>
            <w:shd w:val="clear" w:color="auto" w:fill="0A248E"/>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60" w:type="dxa"/>
            <w:vAlign w:val="bottom"/>
            <w:shd w:val="clear" w:color="auto" w:fill="0A248E"/>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740" w:type="dxa"/>
            <w:vAlign w:val="bottom"/>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bottom w:val="single" w:sz="8" w:color="0A248E"/>
            </w:tcBorders>
            <w:shd w:val="clear" w:color="auto" w:fill="0A248E"/>
          </w:tcPr>
          <w:p>
            <w:pPr>
              <w:spacing w:after="0"/>
              <w:rPr>
                <w:sz w:val="23"/>
                <w:szCs w:val="23"/>
                <w:color w:val="auto"/>
              </w:rPr>
            </w:pPr>
          </w:p>
        </w:tc>
        <w:tc>
          <w:tcPr>
            <w:tcW w:w="20" w:type="dxa"/>
            <w:vAlign w:val="bottom"/>
            <w:tcBorders>
              <w:bottom w:val="single" w:sz="8" w:color="0A248E"/>
            </w:tcBorders>
            <w:shd w:val="clear" w:color="auto" w:fill="0A248E"/>
          </w:tcPr>
          <w:p>
            <w:pPr>
              <w:spacing w:after="0"/>
              <w:rPr>
                <w:sz w:val="23"/>
                <w:szCs w:val="23"/>
                <w:color w:val="auto"/>
              </w:rPr>
            </w:pPr>
          </w:p>
        </w:tc>
        <w:tc>
          <w:tcPr>
            <w:tcW w:w="1140" w:type="dxa"/>
            <w:vAlign w:val="bottom"/>
            <w:tcBorders>
              <w:bottom w:val="single" w:sz="8" w:color="0A248E"/>
            </w:tcBorders>
            <w:shd w:val="clear" w:color="auto" w:fill="0A248E"/>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0A248E"/>
            </w:tcBorders>
            <w:shd w:val="clear" w:color="auto" w:fill="0A248E"/>
          </w:tcPr>
          <w:p>
            <w:pPr>
              <w:spacing w:after="0"/>
              <w:rPr>
                <w:sz w:val="23"/>
                <w:szCs w:val="23"/>
                <w:color w:val="auto"/>
              </w:rPr>
            </w:pPr>
          </w:p>
        </w:tc>
        <w:tc>
          <w:tcPr>
            <w:tcW w:w="1140" w:type="dxa"/>
            <w:vAlign w:val="bottom"/>
            <w:tcBorders>
              <w:bottom w:val="single" w:sz="8" w:color="0A248E"/>
            </w:tcBorders>
            <w:shd w:val="clear" w:color="auto" w:fill="0A248E"/>
          </w:tcPr>
          <w:p>
            <w:pPr>
              <w:spacing w:after="0"/>
              <w:rPr>
                <w:sz w:val="23"/>
                <w:szCs w:val="23"/>
                <w:color w:val="auto"/>
              </w:rPr>
            </w:pPr>
          </w:p>
        </w:tc>
        <w:tc>
          <w:tcPr>
            <w:tcW w:w="60" w:type="dxa"/>
            <w:vAlign w:val="bottom"/>
            <w:tcBorders>
              <w:bottom w:val="single" w:sz="8" w:color="0A248E"/>
              <w:right w:val="single" w:sz="8" w:color="0A248E"/>
            </w:tcBorders>
            <w:shd w:val="clear" w:color="auto" w:fill="0A248E"/>
          </w:tcPr>
          <w:p>
            <w:pPr>
              <w:spacing w:after="0"/>
              <w:rPr>
                <w:sz w:val="23"/>
                <w:szCs w:val="23"/>
                <w:color w:val="auto"/>
              </w:rPr>
            </w:pPr>
          </w:p>
        </w:tc>
        <w:tc>
          <w:tcPr>
            <w:tcW w:w="1400" w:type="dxa"/>
            <w:vAlign w:val="bottom"/>
            <w:tcBorders>
              <w:bottom w:val="single" w:sz="8" w:color="0A248E"/>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w w:val="97"/>
                <w:shd w:val="clear" w:color="auto" w:fill="0A248E"/>
              </w:rPr>
              <w:t>Average Summary</w:t>
            </w:r>
          </w:p>
        </w:tc>
        <w:tc>
          <w:tcPr>
            <w:tcW w:w="20" w:type="dxa"/>
            <w:vAlign w:val="bottom"/>
          </w:tcPr>
          <w:p>
            <w:pPr>
              <w:spacing w:after="0"/>
              <w:rPr>
                <w:sz w:val="23"/>
                <w:szCs w:val="23"/>
                <w:color w:val="auto"/>
              </w:rPr>
            </w:pPr>
          </w:p>
        </w:tc>
        <w:tc>
          <w:tcPr>
            <w:tcW w:w="20" w:type="dxa"/>
            <w:vAlign w:val="bottom"/>
            <w:tcBorders>
              <w:bottom w:val="single" w:sz="8" w:color="0A248E"/>
            </w:tcBorders>
            <w:shd w:val="clear" w:color="auto" w:fill="0A248E"/>
          </w:tcPr>
          <w:p>
            <w:pPr>
              <w:spacing w:after="0"/>
              <w:rPr>
                <w:sz w:val="23"/>
                <w:szCs w:val="23"/>
                <w:color w:val="auto"/>
              </w:rPr>
            </w:pPr>
          </w:p>
        </w:tc>
        <w:tc>
          <w:tcPr>
            <w:tcW w:w="1420" w:type="dxa"/>
            <w:vAlign w:val="bottom"/>
            <w:tcBorders>
              <w:bottom w:val="single" w:sz="8" w:color="0A248E"/>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Average</w:t>
            </w:r>
          </w:p>
        </w:tc>
        <w:tc>
          <w:tcPr>
            <w:tcW w:w="20" w:type="dxa"/>
            <w:vAlign w:val="bottom"/>
          </w:tcPr>
          <w:p>
            <w:pPr>
              <w:spacing w:after="0"/>
              <w:rPr>
                <w:sz w:val="23"/>
                <w:szCs w:val="23"/>
                <w:color w:val="auto"/>
              </w:rPr>
            </w:pPr>
          </w:p>
        </w:tc>
        <w:tc>
          <w:tcPr>
            <w:tcW w:w="20" w:type="dxa"/>
            <w:vAlign w:val="bottom"/>
            <w:tcBorders>
              <w:bottom w:val="single" w:sz="8" w:color="0A248E"/>
            </w:tcBorders>
            <w:shd w:val="clear" w:color="auto" w:fill="0A248E"/>
          </w:tcPr>
          <w:p>
            <w:pPr>
              <w:spacing w:after="0"/>
              <w:rPr>
                <w:sz w:val="23"/>
                <w:szCs w:val="23"/>
                <w:color w:val="auto"/>
              </w:rPr>
            </w:pPr>
          </w:p>
        </w:tc>
        <w:tc>
          <w:tcPr>
            <w:tcW w:w="1920" w:type="dxa"/>
            <w:vAlign w:val="bottom"/>
            <w:tcBorders>
              <w:bottom w:val="single" w:sz="8" w:color="0A248E"/>
              <w:right w:val="single" w:sz="8" w:color="0A248E"/>
            </w:tcBorders>
            <w:gridSpan w:val="3"/>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Investment Based On:</w:t>
            </w:r>
          </w:p>
        </w:tc>
        <w:tc>
          <w:tcPr>
            <w:tcW w:w="20" w:type="dxa"/>
            <w:vAlign w:val="bottom"/>
            <w:tcBorders>
              <w:bottom w:val="single" w:sz="8" w:color="0A248E"/>
            </w:tcBorders>
            <w:shd w:val="clear" w:color="auto" w:fill="0A248E"/>
          </w:tcPr>
          <w:p>
            <w:pPr>
              <w:spacing w:after="0"/>
              <w:rPr>
                <w:sz w:val="23"/>
                <w:szCs w:val="23"/>
                <w:color w:val="auto"/>
              </w:rPr>
            </w:pPr>
          </w:p>
        </w:tc>
        <w:tc>
          <w:tcPr>
            <w:tcW w:w="760" w:type="dxa"/>
            <w:vAlign w:val="bottom"/>
            <w:tcBorders>
              <w:bottom w:val="single" w:sz="8" w:color="0A248E"/>
            </w:tcBorders>
            <w:shd w:val="clear" w:color="auto" w:fill="0A248E"/>
          </w:tcPr>
          <w:p>
            <w:pPr>
              <w:spacing w:after="0"/>
              <w:rPr>
                <w:sz w:val="23"/>
                <w:szCs w:val="23"/>
                <w:color w:val="auto"/>
              </w:rPr>
            </w:pPr>
          </w:p>
        </w:tc>
        <w:tc>
          <w:tcPr>
            <w:tcW w:w="20" w:type="dxa"/>
            <w:vAlign w:val="bottom"/>
            <w:tcBorders>
              <w:bottom w:val="single" w:sz="8" w:color="0A248E"/>
            </w:tcBorders>
            <w:shd w:val="clear" w:color="auto" w:fill="0A248E"/>
          </w:tcPr>
          <w:p>
            <w:pPr>
              <w:spacing w:after="0"/>
              <w:rPr>
                <w:sz w:val="23"/>
                <w:szCs w:val="23"/>
                <w:color w:val="auto"/>
              </w:rPr>
            </w:pPr>
          </w:p>
        </w:tc>
        <w:tc>
          <w:tcPr>
            <w:tcW w:w="740" w:type="dxa"/>
            <w:vAlign w:val="bottom"/>
            <w:tcBorders>
              <w:bottom w:val="single" w:sz="8" w:color="0A248E"/>
            </w:tcBorders>
            <w:shd w:val="clear" w:color="auto" w:fill="0A248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860" w:type="dxa"/>
            <w:vAlign w:val="bottom"/>
            <w:shd w:val="clear" w:color="auto" w:fill="0A248E"/>
          </w:tcPr>
          <w:p>
            <w:pPr>
              <w:spacing w:after="0"/>
              <w:rPr>
                <w:sz w:val="2"/>
                <w:szCs w:val="2"/>
                <w:color w:val="auto"/>
              </w:rPr>
            </w:pPr>
          </w:p>
        </w:tc>
        <w:tc>
          <w:tcPr>
            <w:tcW w:w="20" w:type="dxa"/>
            <w:vAlign w:val="bottom"/>
            <w:shd w:val="clear" w:color="auto" w:fill="0A248E"/>
          </w:tcPr>
          <w:p>
            <w:pPr>
              <w:spacing w:after="0"/>
              <w:rPr>
                <w:sz w:val="2"/>
                <w:szCs w:val="2"/>
                <w:color w:val="auto"/>
              </w:rPr>
            </w:pPr>
          </w:p>
        </w:tc>
        <w:tc>
          <w:tcPr>
            <w:tcW w:w="1140" w:type="dxa"/>
            <w:vAlign w:val="bottom"/>
            <w:shd w:val="clear" w:color="auto" w:fill="0A248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shd w:val="clear" w:color="auto" w:fill="0A248E"/>
          </w:tcPr>
          <w:p>
            <w:pPr>
              <w:spacing w:after="0"/>
              <w:rPr>
                <w:sz w:val="2"/>
                <w:szCs w:val="2"/>
                <w:color w:val="auto"/>
              </w:rPr>
            </w:pPr>
          </w:p>
        </w:tc>
        <w:tc>
          <w:tcPr>
            <w:tcW w:w="1140" w:type="dxa"/>
            <w:vAlign w:val="bottom"/>
            <w:shd w:val="clear" w:color="auto" w:fill="0A248E"/>
          </w:tcPr>
          <w:p>
            <w:pPr>
              <w:spacing w:after="0"/>
              <w:rPr>
                <w:sz w:val="2"/>
                <w:szCs w:val="2"/>
                <w:color w:val="auto"/>
              </w:rPr>
            </w:pPr>
          </w:p>
        </w:tc>
        <w:tc>
          <w:tcPr>
            <w:tcW w:w="60" w:type="dxa"/>
            <w:vAlign w:val="bottom"/>
            <w:tcBorders>
              <w:right w:val="single" w:sz="8" w:color="0A248E"/>
            </w:tcBorders>
            <w:shd w:val="clear" w:color="auto" w:fill="0A248E"/>
          </w:tcPr>
          <w:p>
            <w:pPr>
              <w:spacing w:after="0"/>
              <w:rPr>
                <w:sz w:val="2"/>
                <w:szCs w:val="2"/>
                <w:color w:val="auto"/>
              </w:rPr>
            </w:pPr>
          </w:p>
        </w:tc>
        <w:tc>
          <w:tcPr>
            <w:tcW w:w="1400" w:type="dxa"/>
            <w:vAlign w:val="bottom"/>
            <w:tcBorders>
              <w:right w:val="single" w:sz="8" w:color="0A248E"/>
            </w:tcBorders>
            <w:vMerge w:val="continue"/>
            <w:shd w:val="clear" w:color="auto" w:fill="0A248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shd w:val="clear" w:color="auto" w:fill="0A248E"/>
          </w:tcPr>
          <w:p>
            <w:pPr>
              <w:spacing w:after="0"/>
              <w:rPr>
                <w:sz w:val="2"/>
                <w:szCs w:val="2"/>
                <w:color w:val="auto"/>
              </w:rPr>
            </w:pPr>
          </w:p>
        </w:tc>
        <w:tc>
          <w:tcPr>
            <w:tcW w:w="1420" w:type="dxa"/>
            <w:vAlign w:val="bottom"/>
            <w:tcBorders>
              <w:right w:val="single" w:sz="8" w:color="0A248E"/>
            </w:tcBorders>
            <w:vMerge w:val="continue"/>
            <w:shd w:val="clear" w:color="auto" w:fill="0A248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A248E"/>
          </w:tcPr>
          <w:p>
            <w:pPr>
              <w:spacing w:after="0"/>
              <w:rPr>
                <w:sz w:val="2"/>
                <w:szCs w:val="2"/>
                <w:color w:val="auto"/>
              </w:rPr>
            </w:pPr>
          </w:p>
        </w:tc>
        <w:tc>
          <w:tcPr>
            <w:tcW w:w="20" w:type="dxa"/>
            <w:vAlign w:val="bottom"/>
            <w:shd w:val="clear" w:color="auto" w:fill="0A248E"/>
          </w:tcPr>
          <w:p>
            <w:pPr>
              <w:spacing w:after="0"/>
              <w:rPr>
                <w:sz w:val="2"/>
                <w:szCs w:val="2"/>
                <w:color w:val="auto"/>
              </w:rPr>
            </w:pPr>
          </w:p>
        </w:tc>
        <w:tc>
          <w:tcPr>
            <w:tcW w:w="740" w:type="dxa"/>
            <w:vAlign w:val="bottom"/>
            <w:shd w:val="clear" w:color="auto" w:fill="0A248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0" w:type="dxa"/>
            <w:vAlign w:val="bottom"/>
            <w:shd w:val="clear" w:color="auto" w:fill="0A248E"/>
          </w:tcPr>
          <w:p>
            <w:pPr>
              <w:spacing w:after="0"/>
              <w:rPr>
                <w:sz w:val="18"/>
                <w:szCs w:val="18"/>
                <w:color w:val="auto"/>
              </w:rPr>
            </w:pPr>
          </w:p>
        </w:tc>
        <w:tc>
          <w:tcPr>
            <w:tcW w:w="20" w:type="dxa"/>
            <w:vAlign w:val="bottom"/>
            <w:shd w:val="clear" w:color="auto" w:fill="0A248E"/>
          </w:tcPr>
          <w:p>
            <w:pPr>
              <w:spacing w:after="0"/>
              <w:rPr>
                <w:sz w:val="18"/>
                <w:szCs w:val="18"/>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Summary</w:t>
            </w:r>
          </w:p>
        </w:tc>
        <w:tc>
          <w:tcPr>
            <w:tcW w:w="20" w:type="dxa"/>
            <w:vAlign w:val="bottom"/>
          </w:tcPr>
          <w:p>
            <w:pPr>
              <w:spacing w:after="0"/>
              <w:rPr>
                <w:sz w:val="18"/>
                <w:szCs w:val="18"/>
                <w:color w:val="auto"/>
              </w:rPr>
            </w:pPr>
          </w:p>
        </w:tc>
        <w:tc>
          <w:tcPr>
            <w:tcW w:w="20" w:type="dxa"/>
            <w:vAlign w:val="bottom"/>
            <w:shd w:val="clear" w:color="auto" w:fill="0A248E"/>
          </w:tcPr>
          <w:p>
            <w:pPr>
              <w:spacing w:after="0"/>
              <w:rPr>
                <w:sz w:val="18"/>
                <w:szCs w:val="18"/>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shd w:val="clear" w:color="auto" w:fill="0A248E"/>
              </w:rPr>
              <w:t>Compensation</w:t>
            </w:r>
          </w:p>
        </w:tc>
        <w:tc>
          <w:tcPr>
            <w:tcW w:w="60" w:type="dxa"/>
            <w:vAlign w:val="bottom"/>
            <w:tcBorders>
              <w:right w:val="single" w:sz="8" w:color="0A248E"/>
            </w:tcBorders>
            <w:shd w:val="clear" w:color="auto" w:fill="0A248E"/>
          </w:tcPr>
          <w:p>
            <w:pPr>
              <w:spacing w:after="0"/>
              <w:rPr>
                <w:sz w:val="18"/>
                <w:szCs w:val="18"/>
                <w:color w:val="auto"/>
              </w:rPr>
            </w:pPr>
          </w:p>
        </w:tc>
        <w:tc>
          <w:tcPr>
            <w:tcW w:w="14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Compensation</w:t>
            </w:r>
          </w:p>
        </w:tc>
        <w:tc>
          <w:tcPr>
            <w:tcW w:w="20" w:type="dxa"/>
            <w:vAlign w:val="bottom"/>
          </w:tcPr>
          <w:p>
            <w:pPr>
              <w:spacing w:after="0"/>
              <w:rPr>
                <w:sz w:val="18"/>
                <w:szCs w:val="18"/>
                <w:color w:val="auto"/>
              </w:rPr>
            </w:pPr>
          </w:p>
        </w:tc>
        <w:tc>
          <w:tcPr>
            <w:tcW w:w="20" w:type="dxa"/>
            <w:vAlign w:val="bottom"/>
            <w:shd w:val="clear" w:color="auto" w:fill="0A248E"/>
          </w:tcPr>
          <w:p>
            <w:pPr>
              <w:spacing w:after="0"/>
              <w:rPr>
                <w:sz w:val="18"/>
                <w:szCs w:val="18"/>
                <w:color w:val="auto"/>
              </w:rPr>
            </w:pPr>
          </w:p>
        </w:tc>
        <w:tc>
          <w:tcPr>
            <w:tcW w:w="14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Compensation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Total</w:t>
            </w:r>
          </w:p>
        </w:tc>
        <w:tc>
          <w:tcPr>
            <w:tcW w:w="40" w:type="dxa"/>
            <w:vAlign w:val="bottom"/>
            <w:tcBorders>
              <w:left w:val="single" w:sz="8" w:color="0A248E"/>
            </w:tcBorders>
          </w:tcPr>
          <w:p>
            <w:pPr>
              <w:spacing w:after="0"/>
              <w:rPr>
                <w:sz w:val="18"/>
                <w:szCs w:val="18"/>
                <w:color w:val="auto"/>
              </w:rPr>
            </w:pPr>
          </w:p>
        </w:tc>
        <w:tc>
          <w:tcPr>
            <w:tcW w:w="94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Peer Group</w:t>
            </w:r>
          </w:p>
        </w:tc>
        <w:tc>
          <w:tcPr>
            <w:tcW w:w="20" w:type="dxa"/>
            <w:vAlign w:val="bottom"/>
            <w:shd w:val="clear" w:color="auto" w:fill="0A248E"/>
          </w:tcPr>
          <w:p>
            <w:pPr>
              <w:spacing w:after="0"/>
              <w:rPr>
                <w:sz w:val="18"/>
                <w:szCs w:val="18"/>
                <w:color w:val="auto"/>
              </w:rPr>
            </w:pPr>
          </w:p>
        </w:tc>
        <w:tc>
          <w:tcPr>
            <w:tcW w:w="760" w:type="dxa"/>
            <w:vAlign w:val="bottom"/>
            <w:shd w:val="clear" w:color="auto" w:fill="0A248E"/>
          </w:tcPr>
          <w:p>
            <w:pPr>
              <w:spacing w:after="0"/>
              <w:rPr>
                <w:sz w:val="18"/>
                <w:szCs w:val="18"/>
                <w:color w:val="auto"/>
              </w:rPr>
            </w:pPr>
          </w:p>
        </w:tc>
        <w:tc>
          <w:tcPr>
            <w:tcW w:w="20" w:type="dxa"/>
            <w:vAlign w:val="bottom"/>
            <w:shd w:val="clear" w:color="auto" w:fill="0A248E"/>
          </w:tcPr>
          <w:p>
            <w:pPr>
              <w:spacing w:after="0"/>
              <w:rPr>
                <w:sz w:val="18"/>
                <w:szCs w:val="18"/>
                <w:color w:val="auto"/>
              </w:rPr>
            </w:pPr>
          </w:p>
        </w:tc>
        <w:tc>
          <w:tcPr>
            <w:tcW w:w="740" w:type="dxa"/>
            <w:vAlign w:val="bottom"/>
            <w:shd w:val="clear" w:color="auto" w:fill="0A248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0" w:type="dxa"/>
            <w:vAlign w:val="bottom"/>
            <w:shd w:val="clear" w:color="auto" w:fill="0A248E"/>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Compensation</w:t>
            </w:r>
          </w:p>
        </w:tc>
        <w:tc>
          <w:tcPr>
            <w:tcW w:w="20" w:type="dxa"/>
            <w:vAlign w:val="bottom"/>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Actually Paid</w:t>
            </w:r>
          </w:p>
        </w:tc>
        <w:tc>
          <w:tcPr>
            <w:tcW w:w="60" w:type="dxa"/>
            <w:vAlign w:val="bottom"/>
            <w:tcBorders>
              <w:right w:val="single" w:sz="8" w:color="0A248E"/>
            </w:tcBorders>
            <w:shd w:val="clear" w:color="auto" w:fill="0A248E"/>
          </w:tcPr>
          <w:p>
            <w:pPr>
              <w:spacing w:after="0"/>
              <w:rPr>
                <w:sz w:val="16"/>
                <w:szCs w:val="16"/>
                <w:color w:val="auto"/>
              </w:rPr>
            </w:pPr>
          </w:p>
        </w:tc>
        <w:tc>
          <w:tcPr>
            <w:tcW w:w="14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Table Total for</w:t>
            </w:r>
          </w:p>
        </w:tc>
        <w:tc>
          <w:tcPr>
            <w:tcW w:w="20" w:type="dxa"/>
            <w:vAlign w:val="bottom"/>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14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Actually Paid to</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Company</w:t>
            </w:r>
          </w:p>
        </w:tc>
        <w:tc>
          <w:tcPr>
            <w:tcW w:w="40" w:type="dxa"/>
            <w:vAlign w:val="bottom"/>
            <w:tcBorders>
              <w:left w:val="single" w:sz="8" w:color="0A248E"/>
            </w:tcBorders>
          </w:tcPr>
          <w:p>
            <w:pPr>
              <w:spacing w:after="0"/>
              <w:rPr>
                <w:sz w:val="16"/>
                <w:szCs w:val="16"/>
                <w:color w:val="auto"/>
              </w:rPr>
            </w:pPr>
          </w:p>
        </w:tc>
        <w:tc>
          <w:tcPr>
            <w:tcW w:w="94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4"/>
              </w:rPr>
              <w:t>Total</w:t>
            </w:r>
          </w:p>
        </w:tc>
        <w:tc>
          <w:tcPr>
            <w:tcW w:w="20" w:type="dxa"/>
            <w:vAlign w:val="bottom"/>
            <w:shd w:val="clear" w:color="auto" w:fill="0A248E"/>
          </w:tcPr>
          <w:p>
            <w:pPr>
              <w:spacing w:after="0"/>
              <w:rPr>
                <w:sz w:val="16"/>
                <w:szCs w:val="16"/>
                <w:color w:val="auto"/>
              </w:rPr>
            </w:pPr>
          </w:p>
        </w:tc>
        <w:tc>
          <w:tcPr>
            <w:tcW w:w="7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9"/>
              </w:rPr>
              <w:t>Net</w:t>
            </w:r>
          </w:p>
        </w:tc>
        <w:tc>
          <w:tcPr>
            <w:tcW w:w="20" w:type="dxa"/>
            <w:vAlign w:val="bottom"/>
            <w:shd w:val="clear" w:color="auto" w:fill="0A248E"/>
          </w:tcPr>
          <w:p>
            <w:pPr>
              <w:spacing w:after="0"/>
              <w:rPr>
                <w:sz w:val="16"/>
                <w:szCs w:val="16"/>
                <w:color w:val="auto"/>
              </w:rPr>
            </w:pPr>
          </w:p>
        </w:tc>
        <w:tc>
          <w:tcPr>
            <w:tcW w:w="74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0" w:type="dxa"/>
            <w:vAlign w:val="bottom"/>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shd w:val="clear" w:color="auto" w:fill="0A248E"/>
              </w:rPr>
              <w:t>Table Total for</w:t>
            </w:r>
          </w:p>
        </w:tc>
        <w:tc>
          <w:tcPr>
            <w:tcW w:w="20" w:type="dxa"/>
            <w:vAlign w:val="bottom"/>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to</w:t>
            </w:r>
          </w:p>
        </w:tc>
        <w:tc>
          <w:tcPr>
            <w:tcW w:w="60" w:type="dxa"/>
            <w:vAlign w:val="bottom"/>
            <w:tcBorders>
              <w:right w:val="single" w:sz="8" w:color="0A248E"/>
            </w:tcBorders>
            <w:shd w:val="clear" w:color="auto" w:fill="0A248E"/>
          </w:tcPr>
          <w:p>
            <w:pPr>
              <w:spacing w:after="0"/>
              <w:rPr>
                <w:sz w:val="17"/>
                <w:szCs w:val="17"/>
                <w:color w:val="auto"/>
              </w:rPr>
            </w:pPr>
          </w:p>
        </w:tc>
        <w:tc>
          <w:tcPr>
            <w:tcW w:w="14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Non-PEO NEOs</w:t>
            </w:r>
          </w:p>
        </w:tc>
        <w:tc>
          <w:tcPr>
            <w:tcW w:w="20" w:type="dxa"/>
            <w:vAlign w:val="bottom"/>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14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Non-PEO NEOs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Shareholder</w:t>
            </w:r>
          </w:p>
        </w:tc>
        <w:tc>
          <w:tcPr>
            <w:tcW w:w="40" w:type="dxa"/>
            <w:vAlign w:val="bottom"/>
            <w:tcBorders>
              <w:left w:val="single" w:sz="8" w:color="0A248E"/>
            </w:tcBorders>
          </w:tcPr>
          <w:p>
            <w:pPr>
              <w:spacing w:after="0"/>
              <w:rPr>
                <w:sz w:val="17"/>
                <w:szCs w:val="17"/>
                <w:color w:val="auto"/>
              </w:rPr>
            </w:pPr>
          </w:p>
        </w:tc>
        <w:tc>
          <w:tcPr>
            <w:tcW w:w="94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Shareholder</w:t>
            </w:r>
          </w:p>
        </w:tc>
        <w:tc>
          <w:tcPr>
            <w:tcW w:w="20" w:type="dxa"/>
            <w:vAlign w:val="bottom"/>
            <w:shd w:val="clear" w:color="auto" w:fill="0A248E"/>
          </w:tcPr>
          <w:p>
            <w:pPr>
              <w:spacing w:after="0"/>
              <w:rPr>
                <w:sz w:val="17"/>
                <w:szCs w:val="17"/>
                <w:color w:val="auto"/>
              </w:rPr>
            </w:pPr>
          </w:p>
        </w:tc>
        <w:tc>
          <w:tcPr>
            <w:tcW w:w="7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Income</w:t>
            </w:r>
          </w:p>
        </w:tc>
        <w:tc>
          <w:tcPr>
            <w:tcW w:w="20" w:type="dxa"/>
            <w:vAlign w:val="bottom"/>
            <w:shd w:val="clear" w:color="auto" w:fill="0A248E"/>
          </w:tcPr>
          <w:p>
            <w:pPr>
              <w:spacing w:after="0"/>
              <w:rPr>
                <w:sz w:val="17"/>
                <w:szCs w:val="17"/>
                <w:color w:val="auto"/>
              </w:rPr>
            </w:pPr>
          </w:p>
        </w:tc>
        <w:tc>
          <w:tcPr>
            <w:tcW w:w="7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shd w:val="clear" w:color="auto" w:fill="0A248E"/>
              </w:rPr>
              <w:t>Revenue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60" w:type="dxa"/>
            <w:vAlign w:val="bottom"/>
            <w:shd w:val="clear" w:color="auto" w:fill="0A248E"/>
          </w:tcPr>
          <w:p>
            <w:pPr>
              <w:ind w:left="100"/>
              <w:spacing w:after="0"/>
              <w:rPr>
                <w:sz w:val="20"/>
                <w:szCs w:val="20"/>
                <w:color w:val="auto"/>
              </w:rPr>
            </w:pPr>
            <w:r>
              <w:rPr>
                <w:rFonts w:ascii="Arial" w:cs="Arial" w:eastAsia="Arial" w:hAnsi="Arial"/>
                <w:sz w:val="15"/>
                <w:szCs w:val="15"/>
                <w:b w:val="1"/>
                <w:bCs w:val="1"/>
                <w:color w:val="FFFFFF"/>
              </w:rPr>
              <w:t>Year</w:t>
            </w:r>
          </w:p>
        </w:tc>
        <w:tc>
          <w:tcPr>
            <w:tcW w:w="20" w:type="dxa"/>
            <w:vAlign w:val="bottom"/>
            <w:shd w:val="clear" w:color="auto" w:fill="0A248E"/>
          </w:tcPr>
          <w:p>
            <w:pPr>
              <w:spacing w:after="0"/>
              <w:rPr>
                <w:sz w:val="19"/>
                <w:szCs w:val="19"/>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4"/>
              </w:rPr>
              <w:t>PEO ($)</w:t>
            </w:r>
            <w:r>
              <w:rPr>
                <w:rFonts w:ascii="Arial" w:cs="Arial" w:eastAsia="Arial" w:hAnsi="Arial"/>
                <w:sz w:val="19"/>
                <w:szCs w:val="19"/>
                <w:b w:val="1"/>
                <w:bCs w:val="1"/>
                <w:color w:val="FFFFFF"/>
                <w:w w:val="94"/>
                <w:vertAlign w:val="superscript"/>
              </w:rPr>
              <w:t>(1)</w:t>
            </w:r>
          </w:p>
        </w:tc>
        <w:tc>
          <w:tcPr>
            <w:tcW w:w="2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1"/>
              </w:rPr>
              <w:t>PEO ($)</w:t>
            </w:r>
            <w:r>
              <w:rPr>
                <w:rFonts w:ascii="Arial" w:cs="Arial" w:eastAsia="Arial" w:hAnsi="Arial"/>
                <w:sz w:val="19"/>
                <w:szCs w:val="19"/>
                <w:b w:val="1"/>
                <w:bCs w:val="1"/>
                <w:color w:val="FFFFFF"/>
                <w:w w:val="91"/>
                <w:vertAlign w:val="superscript"/>
              </w:rPr>
              <w:t>(2)</w:t>
            </w:r>
          </w:p>
        </w:tc>
        <w:tc>
          <w:tcPr>
            <w:tcW w:w="60" w:type="dxa"/>
            <w:vAlign w:val="bottom"/>
            <w:tcBorders>
              <w:right w:val="single" w:sz="8" w:color="0A248E"/>
            </w:tcBorders>
            <w:shd w:val="clear" w:color="auto" w:fill="0A248E"/>
          </w:tcPr>
          <w:p>
            <w:pPr>
              <w:spacing w:after="0"/>
              <w:rPr>
                <w:sz w:val="19"/>
                <w:szCs w:val="19"/>
                <w:color w:val="auto"/>
              </w:rPr>
            </w:pPr>
          </w:p>
        </w:tc>
        <w:tc>
          <w:tcPr>
            <w:tcW w:w="14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82"/>
              </w:rPr>
              <w:t>($)</w:t>
            </w:r>
            <w:r>
              <w:rPr>
                <w:rFonts w:ascii="Arial" w:cs="Arial" w:eastAsia="Arial" w:hAnsi="Arial"/>
                <w:sz w:val="19"/>
                <w:szCs w:val="19"/>
                <w:b w:val="1"/>
                <w:bCs w:val="1"/>
                <w:color w:val="FFFFFF"/>
                <w:w w:val="82"/>
                <w:vertAlign w:val="superscript"/>
              </w:rPr>
              <w:t>(3)</w:t>
            </w:r>
          </w:p>
        </w:tc>
        <w:tc>
          <w:tcPr>
            <w:tcW w:w="20" w:type="dxa"/>
            <w:vAlign w:val="bottom"/>
          </w:tcPr>
          <w:p>
            <w:pPr>
              <w:spacing w:after="0"/>
              <w:rPr>
                <w:sz w:val="19"/>
                <w:szCs w:val="19"/>
                <w:color w:val="auto"/>
              </w:rPr>
            </w:pPr>
          </w:p>
        </w:tc>
        <w:tc>
          <w:tcPr>
            <w:tcW w:w="20" w:type="dxa"/>
            <w:vAlign w:val="bottom"/>
            <w:shd w:val="clear" w:color="auto" w:fill="0A248E"/>
          </w:tcPr>
          <w:p>
            <w:pPr>
              <w:spacing w:after="0"/>
              <w:rPr>
                <w:sz w:val="19"/>
                <w:szCs w:val="19"/>
                <w:color w:val="auto"/>
              </w:rPr>
            </w:pPr>
          </w:p>
        </w:tc>
        <w:tc>
          <w:tcPr>
            <w:tcW w:w="142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88"/>
              </w:rPr>
              <w:t>($)</w:t>
            </w:r>
            <w:r>
              <w:rPr>
                <w:rFonts w:ascii="Arial" w:cs="Arial" w:eastAsia="Arial" w:hAnsi="Arial"/>
                <w:sz w:val="19"/>
                <w:szCs w:val="19"/>
                <w:b w:val="1"/>
                <w:bCs w:val="1"/>
                <w:color w:val="FFFFFF"/>
                <w:w w:val="88"/>
                <w:vertAlign w:val="superscript"/>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2"/>
                <w:shd w:val="clear" w:color="auto" w:fill="0A248E"/>
              </w:rPr>
              <w:t>Return ($)</w:t>
            </w:r>
            <w:r>
              <w:rPr>
                <w:rFonts w:ascii="Arial" w:cs="Arial" w:eastAsia="Arial" w:hAnsi="Arial"/>
                <w:sz w:val="19"/>
                <w:szCs w:val="19"/>
                <w:b w:val="1"/>
                <w:bCs w:val="1"/>
                <w:color w:val="FFFFFF"/>
                <w:w w:val="92"/>
                <w:vertAlign w:val="superscript"/>
                <w:shd w:val="clear" w:color="auto" w:fill="0A248E"/>
              </w:rPr>
              <w:t>(5)</w:t>
            </w:r>
          </w:p>
        </w:tc>
        <w:tc>
          <w:tcPr>
            <w:tcW w:w="40" w:type="dxa"/>
            <w:vAlign w:val="bottom"/>
            <w:tcBorders>
              <w:left w:val="single" w:sz="8" w:color="0A248E"/>
            </w:tcBorders>
          </w:tcPr>
          <w:p>
            <w:pPr>
              <w:spacing w:after="0"/>
              <w:rPr>
                <w:sz w:val="19"/>
                <w:szCs w:val="19"/>
                <w:color w:val="auto"/>
              </w:rPr>
            </w:pPr>
          </w:p>
        </w:tc>
        <w:tc>
          <w:tcPr>
            <w:tcW w:w="94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4"/>
                <w:shd w:val="clear" w:color="auto" w:fill="0A248E"/>
              </w:rPr>
              <w:t>Return ($)</w:t>
            </w:r>
            <w:r>
              <w:rPr>
                <w:rFonts w:ascii="Arial" w:cs="Arial" w:eastAsia="Arial" w:hAnsi="Arial"/>
                <w:sz w:val="19"/>
                <w:szCs w:val="19"/>
                <w:b w:val="1"/>
                <w:bCs w:val="1"/>
                <w:color w:val="FFFFFF"/>
                <w:w w:val="94"/>
                <w:vertAlign w:val="superscript"/>
                <w:shd w:val="clear" w:color="auto" w:fill="0A248E"/>
              </w:rPr>
              <w:t>(6)</w:t>
            </w:r>
          </w:p>
        </w:tc>
        <w:tc>
          <w:tcPr>
            <w:tcW w:w="20" w:type="dxa"/>
            <w:vAlign w:val="bottom"/>
            <w:shd w:val="clear" w:color="auto" w:fill="0A248E"/>
          </w:tcPr>
          <w:p>
            <w:pPr>
              <w:spacing w:after="0"/>
              <w:rPr>
                <w:sz w:val="19"/>
                <w:szCs w:val="19"/>
                <w:color w:val="auto"/>
              </w:rPr>
            </w:pPr>
          </w:p>
        </w:tc>
        <w:tc>
          <w:tcPr>
            <w:tcW w:w="7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0"/>
              </w:rPr>
              <w:t>($M)</w:t>
            </w:r>
            <w:r>
              <w:rPr>
                <w:rFonts w:ascii="Arial" w:cs="Arial" w:eastAsia="Arial" w:hAnsi="Arial"/>
                <w:sz w:val="19"/>
                <w:szCs w:val="19"/>
                <w:b w:val="1"/>
                <w:bCs w:val="1"/>
                <w:color w:val="FFFFFF"/>
                <w:w w:val="90"/>
                <w:vertAlign w:val="superscript"/>
              </w:rPr>
              <w:t>(7)</w:t>
            </w:r>
          </w:p>
        </w:tc>
        <w:tc>
          <w:tcPr>
            <w:tcW w:w="20" w:type="dxa"/>
            <w:vAlign w:val="bottom"/>
            <w:shd w:val="clear" w:color="auto" w:fill="0A248E"/>
          </w:tcPr>
          <w:p>
            <w:pPr>
              <w:spacing w:after="0"/>
              <w:rPr>
                <w:sz w:val="19"/>
                <w:szCs w:val="19"/>
                <w:color w:val="auto"/>
              </w:rPr>
            </w:pPr>
          </w:p>
        </w:tc>
        <w:tc>
          <w:tcPr>
            <w:tcW w:w="7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0"/>
              </w:rPr>
              <w:t>($M)</w:t>
            </w:r>
            <w:r>
              <w:rPr>
                <w:rFonts w:ascii="Arial" w:cs="Arial" w:eastAsia="Arial" w:hAnsi="Arial"/>
                <w:sz w:val="19"/>
                <w:szCs w:val="19"/>
                <w:b w:val="1"/>
                <w:bCs w:val="1"/>
                <w:color w:val="FFFFFF"/>
                <w:w w:val="90"/>
                <w:vertAlign w:val="superscript"/>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86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140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Borders>
              <w:right w:val="single" w:sz="8" w:color="0A248E"/>
            </w:tcBorders>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E6E6E6"/>
            </w:tcBorders>
            <w:shd w:val="clear" w:color="auto" w:fill="0A248E"/>
          </w:tcPr>
          <w:p>
            <w:pPr>
              <w:spacing w:after="0"/>
              <w:rPr>
                <w:sz w:val="5"/>
                <w:szCs w:val="5"/>
                <w:color w:val="auto"/>
              </w:rPr>
            </w:pPr>
          </w:p>
        </w:tc>
        <w:tc>
          <w:tcPr>
            <w:tcW w:w="20" w:type="dxa"/>
            <w:vAlign w:val="bottom"/>
            <w:tcBorders>
              <w:bottom w:val="single" w:sz="8" w:color="E6E6E6"/>
            </w:tcBorders>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860" w:type="dxa"/>
            <w:vAlign w:val="bottom"/>
            <w:shd w:val="clear" w:color="auto" w:fill="E6E6E6"/>
          </w:tcPr>
          <w:p>
            <w:pPr>
              <w:ind w:left="10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1"/>
                <w:szCs w:val="21"/>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2,166,622</w:t>
            </w:r>
          </w:p>
        </w:tc>
        <w:tc>
          <w:tcPr>
            <w:tcW w:w="20" w:type="dxa"/>
            <w:vAlign w:val="bottom"/>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-42,424,294</w:t>
            </w:r>
          </w:p>
        </w:tc>
        <w:tc>
          <w:tcPr>
            <w:tcW w:w="60" w:type="dxa"/>
            <w:vAlign w:val="bottom"/>
            <w:tcBorders>
              <w:right w:val="single" w:sz="8" w:color="E6E6E6"/>
            </w:tcBorders>
          </w:tcPr>
          <w:p>
            <w:pPr>
              <w:spacing w:after="0"/>
              <w:rPr>
                <w:sz w:val="21"/>
                <w:szCs w:val="21"/>
                <w:color w:val="auto"/>
              </w:rPr>
            </w:pPr>
          </w:p>
        </w:tc>
        <w:tc>
          <w:tcPr>
            <w:tcW w:w="14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9,532,069</w:t>
            </w:r>
          </w:p>
        </w:tc>
        <w:tc>
          <w:tcPr>
            <w:tcW w:w="20" w:type="dxa"/>
            <w:vAlign w:val="bottom"/>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9,530,364</w:t>
            </w:r>
          </w:p>
        </w:tc>
        <w:tc>
          <w:tcPr>
            <w:tcW w:w="20" w:type="dxa"/>
            <w:vAlign w:val="bottom"/>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125.28</w:t>
            </w:r>
          </w:p>
        </w:tc>
        <w:tc>
          <w:tcPr>
            <w:tcW w:w="40" w:type="dxa"/>
            <w:vAlign w:val="bottom"/>
            <w:tcBorders>
              <w:left w:val="single" w:sz="8" w:color="E6E6E6"/>
            </w:tcBorders>
            <w:shd w:val="clear" w:color="auto" w:fill="E6E6E6"/>
          </w:tcPr>
          <w:p>
            <w:pPr>
              <w:spacing w:after="0"/>
              <w:rPr>
                <w:sz w:val="21"/>
                <w:szCs w:val="21"/>
                <w:color w:val="auto"/>
              </w:rPr>
            </w:pPr>
          </w:p>
        </w:tc>
        <w:tc>
          <w:tcPr>
            <w:tcW w:w="94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258.44</w:t>
            </w:r>
          </w:p>
        </w:tc>
        <w:tc>
          <w:tcPr>
            <w:tcW w:w="20" w:type="dxa"/>
            <w:vAlign w:val="bottom"/>
            <w:shd w:val="clear" w:color="auto" w:fill="E6E6E6"/>
          </w:tcPr>
          <w:p>
            <w:pPr>
              <w:spacing w:after="0"/>
              <w:rPr>
                <w:sz w:val="21"/>
                <w:szCs w:val="21"/>
                <w:color w:val="auto"/>
              </w:rPr>
            </w:pPr>
          </w:p>
        </w:tc>
        <w:tc>
          <w:tcPr>
            <w:tcW w:w="7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508.4</w:t>
            </w:r>
          </w:p>
        </w:tc>
        <w:tc>
          <w:tcPr>
            <w:tcW w:w="20" w:type="dxa"/>
            <w:vAlign w:val="bottom"/>
            <w:shd w:val="clear" w:color="auto" w:fill="E6E6E6"/>
          </w:tcPr>
          <w:p>
            <w:pPr>
              <w:spacing w:after="0"/>
              <w:rPr>
                <w:sz w:val="21"/>
                <w:szCs w:val="21"/>
                <w:color w:val="auto"/>
              </w:rPr>
            </w:pPr>
          </w:p>
        </w:tc>
        <w:tc>
          <w:tcPr>
            <w:tcW w:w="7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2,518</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860" w:type="dxa"/>
            <w:vAlign w:val="bottom"/>
          </w:tcPr>
          <w:p>
            <w:pPr>
              <w:ind w:left="100"/>
              <w:spacing w:after="0"/>
              <w:rPr>
                <w:sz w:val="20"/>
                <w:szCs w:val="20"/>
                <w:color w:val="auto"/>
              </w:rPr>
            </w:pPr>
            <w:r>
              <w:rPr>
                <w:rFonts w:ascii="Arial" w:cs="Arial" w:eastAsia="Arial" w:hAnsi="Arial"/>
                <w:sz w:val="18"/>
                <w:szCs w:val="18"/>
                <w:color w:val="auto"/>
              </w:rPr>
              <w:t>2024</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1,706,505</w:t>
            </w:r>
          </w:p>
        </w:tc>
        <w:tc>
          <w:tcPr>
            <w:tcW w:w="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-16,215,315</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7"/>
              </w:rPr>
              <w:t>7,182,866</w:t>
            </w:r>
          </w:p>
        </w:tc>
        <w:tc>
          <w:tcPr>
            <w:tcW w:w="2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7"/>
              </w:rPr>
              <w:t>7,498,844</w:t>
            </w:r>
          </w:p>
        </w:tc>
        <w:tc>
          <w:tcPr>
            <w:tcW w:w="2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8"/>
              </w:rPr>
              <w:t>135.38</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8"/>
              </w:rPr>
              <w:t>200.98</w:t>
            </w: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452.3</w:t>
            </w: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2,545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6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3"/>
                <w:szCs w:val="23"/>
                <w:color w:val="auto"/>
              </w:rPr>
            </w:pPr>
          </w:p>
        </w:tc>
        <w:tc>
          <w:tcPr>
            <w:tcW w:w="1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1,539,577</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shd w:val="clear" w:color="auto" w:fill="E6E6E6"/>
              </w:rPr>
              <w:t>19,457,888</w:t>
            </w:r>
          </w:p>
        </w:tc>
        <w:tc>
          <w:tcPr>
            <w:tcW w:w="60" w:type="dxa"/>
            <w:vAlign w:val="bottom"/>
            <w:tcBorders>
              <w:right w:val="single" w:sz="8" w:color="E6E6E6"/>
            </w:tcBorders>
          </w:tcPr>
          <w:p>
            <w:pPr>
              <w:spacing w:after="0"/>
              <w:rPr>
                <w:sz w:val="23"/>
                <w:szCs w:val="23"/>
                <w:color w:val="auto"/>
              </w:rPr>
            </w:pPr>
          </w:p>
        </w:tc>
        <w:tc>
          <w:tcPr>
            <w:tcW w:w="14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4"/>
              </w:rPr>
              <w:t>2,515,311</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1,165,036</w:t>
            </w:r>
          </w:p>
        </w:tc>
        <w:tc>
          <w:tcPr>
            <w:tcW w:w="20" w:type="dxa"/>
            <w:vAlign w:val="bottom"/>
            <w:tcBorders>
              <w:bottom w:val="single" w:sz="8" w:color="E6E6E6"/>
            </w:tcBorders>
            <w:shd w:val="clear" w:color="auto" w:fill="E6E6E6"/>
          </w:tcPr>
          <w:p>
            <w:pPr>
              <w:spacing w:after="0"/>
              <w:rPr>
                <w:sz w:val="23"/>
                <w:szCs w:val="23"/>
                <w:color w:val="auto"/>
              </w:rPr>
            </w:pPr>
          </w:p>
        </w:tc>
        <w:tc>
          <w:tcPr>
            <w:tcW w:w="960" w:type="dxa"/>
            <w:vAlign w:val="bottom"/>
            <w:tcBorders>
              <w:bottom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8"/>
              </w:rPr>
              <w:t>132.85</w:t>
            </w:r>
          </w:p>
        </w:tc>
        <w:tc>
          <w:tcPr>
            <w:tcW w:w="980" w:type="dxa"/>
            <w:vAlign w:val="bottom"/>
            <w:tcBorders>
              <w:left w:val="single" w:sz="8" w:color="E6E6E6"/>
              <w:bottom w:val="single" w:sz="8" w:color="E6E6E6"/>
              <w:righ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8"/>
              </w:rPr>
              <w:t>147.39</w:t>
            </w:r>
          </w:p>
        </w:tc>
        <w:tc>
          <w:tcPr>
            <w:tcW w:w="20" w:type="dxa"/>
            <w:vAlign w:val="bottom"/>
            <w:tcBorders>
              <w:bottom w:val="single" w:sz="8" w:color="E6E6E6"/>
            </w:tcBorders>
            <w:shd w:val="clear" w:color="auto" w:fill="E6E6E6"/>
          </w:tcPr>
          <w:p>
            <w:pPr>
              <w:spacing w:after="0"/>
              <w:rPr>
                <w:sz w:val="23"/>
                <w:szCs w:val="23"/>
                <w:color w:val="auto"/>
              </w:rPr>
            </w:pPr>
          </w:p>
        </w:tc>
        <w:tc>
          <w:tcPr>
            <w:tcW w:w="7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453.6</w:t>
            </w:r>
          </w:p>
        </w:tc>
        <w:tc>
          <w:tcPr>
            <w:tcW w:w="20" w:type="dxa"/>
            <w:vAlign w:val="bottom"/>
            <w:tcBorders>
              <w:bottom w:val="single" w:sz="8" w:color="E6E6E6"/>
            </w:tcBorders>
            <w:shd w:val="clear" w:color="auto" w:fill="E6E6E6"/>
          </w:tcPr>
          <w:p>
            <w:pPr>
              <w:spacing w:after="0"/>
              <w:rPr>
                <w:sz w:val="23"/>
                <w:szCs w:val="23"/>
                <w:color w:val="auto"/>
              </w:rPr>
            </w:pPr>
          </w:p>
        </w:tc>
        <w:tc>
          <w:tcPr>
            <w:tcW w:w="7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2,541</w:t>
            </w:r>
          </w:p>
        </w:tc>
        <w:tc>
          <w:tcPr>
            <w:tcW w:w="2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860" w:type="dxa"/>
            <w:vAlign w:val="bottom"/>
          </w:tcPr>
          <w:p>
            <w:pPr>
              <w:ind w:left="100"/>
              <w:spacing w:after="0"/>
              <w:rPr>
                <w:sz w:val="20"/>
                <w:szCs w:val="20"/>
                <w:color w:val="auto"/>
              </w:rPr>
            </w:pPr>
            <w:r>
              <w:rPr>
                <w:rFonts w:ascii="Arial" w:cs="Arial" w:eastAsia="Arial" w:hAnsi="Arial"/>
                <w:sz w:val="18"/>
                <w:szCs w:val="18"/>
                <w:color w:val="auto"/>
              </w:rPr>
              <w:t>2022</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1,146,000</w:t>
            </w:r>
          </w:p>
        </w:tc>
        <w:tc>
          <w:tcPr>
            <w:tcW w:w="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-22,783,000</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7"/>
              </w:rPr>
              <w:t>3,473,372</w:t>
            </w:r>
          </w:p>
        </w:tc>
        <w:tc>
          <w:tcPr>
            <w:tcW w:w="2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8"/>
              </w:rPr>
              <w:t>528,487</w:t>
            </w:r>
          </w:p>
        </w:tc>
        <w:tc>
          <w:tcPr>
            <w:tcW w:w="2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8"/>
              </w:rPr>
              <w:t>100.86</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7"/>
              </w:rPr>
              <w:t>88.54</w:t>
            </w: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553.2</w:t>
            </w: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2,357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60" w:type="dxa"/>
            <w:vAlign w:val="bottom"/>
            <w:shd w:val="clear" w:color="auto" w:fill="E6E6E6"/>
          </w:tcPr>
          <w:p>
            <w:pPr>
              <w:ind w:left="10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2"/>
                <w:szCs w:val="22"/>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1,515,269</w:t>
            </w:r>
          </w:p>
        </w:tc>
        <w:tc>
          <w:tcPr>
            <w:tcW w:w="20" w:type="dxa"/>
            <w:vAlign w:val="bottom"/>
            <w:shd w:val="clear" w:color="auto" w:fill="E6E6E6"/>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shd w:val="clear" w:color="auto" w:fill="E6E6E6"/>
              </w:rPr>
              <w:t>25,163,611</w:t>
            </w:r>
          </w:p>
        </w:tc>
        <w:tc>
          <w:tcPr>
            <w:tcW w:w="60" w:type="dxa"/>
            <w:vAlign w:val="bottom"/>
            <w:tcBorders>
              <w:right w:val="single" w:sz="8" w:color="E6E6E6"/>
            </w:tcBorders>
          </w:tcPr>
          <w:p>
            <w:pPr>
              <w:spacing w:after="0"/>
              <w:rPr>
                <w:sz w:val="22"/>
                <w:szCs w:val="22"/>
                <w:color w:val="auto"/>
              </w:rPr>
            </w:pPr>
          </w:p>
        </w:tc>
        <w:tc>
          <w:tcPr>
            <w:tcW w:w="14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2,832,378</w:t>
            </w:r>
          </w:p>
        </w:tc>
        <w:tc>
          <w:tcPr>
            <w:tcW w:w="20" w:type="dxa"/>
            <w:vAlign w:val="bottom"/>
            <w:shd w:val="clear" w:color="auto" w:fill="E6E6E6"/>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1,261,953</w:t>
            </w:r>
          </w:p>
        </w:tc>
        <w:tc>
          <w:tcPr>
            <w:tcW w:w="20" w:type="dxa"/>
            <w:vAlign w:val="bottom"/>
            <w:shd w:val="clear" w:color="auto" w:fill="E6E6E6"/>
          </w:tcPr>
          <w:p>
            <w:pPr>
              <w:spacing w:after="0"/>
              <w:rPr>
                <w:sz w:val="22"/>
                <w:szCs w:val="22"/>
                <w:color w:val="auto"/>
              </w:rPr>
            </w:pPr>
          </w:p>
        </w:tc>
        <w:tc>
          <w:tcPr>
            <w:tcW w:w="960" w:type="dxa"/>
            <w:vAlign w:val="bottom"/>
            <w:gridSpan w:val="2"/>
            <w:shd w:val="clear" w:color="auto" w:fill="E6E6E6"/>
          </w:tcPr>
          <w:p>
            <w:pPr>
              <w:jc w:val="center"/>
              <w:spacing w:after="0"/>
              <w:rPr>
                <w:sz w:val="20"/>
                <w:szCs w:val="20"/>
                <w:color w:val="auto"/>
              </w:rPr>
            </w:pPr>
            <w:r>
              <w:rPr>
                <w:rFonts w:ascii="Arial" w:cs="Arial" w:eastAsia="Arial" w:hAnsi="Arial"/>
                <w:sz w:val="18"/>
                <w:szCs w:val="18"/>
                <w:color w:val="auto"/>
                <w:w w:val="94"/>
              </w:rPr>
              <w:t>110.59</w:t>
            </w:r>
          </w:p>
        </w:tc>
        <w:tc>
          <w:tcPr>
            <w:tcW w:w="980" w:type="dxa"/>
            <w:vAlign w:val="bottom"/>
            <w:tcBorders>
              <w:left w:val="single" w:sz="8" w:color="E6E6E6"/>
              <w:righ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8"/>
              </w:rPr>
              <w:t>137.86</w:t>
            </w:r>
          </w:p>
        </w:tc>
        <w:tc>
          <w:tcPr>
            <w:tcW w:w="20" w:type="dxa"/>
            <w:vAlign w:val="bottom"/>
            <w:shd w:val="clear" w:color="auto" w:fill="E6E6E6"/>
          </w:tcPr>
          <w:p>
            <w:pPr>
              <w:spacing w:after="0"/>
              <w:rPr>
                <w:sz w:val="22"/>
                <w:szCs w:val="22"/>
                <w:color w:val="auto"/>
              </w:rPr>
            </w:pPr>
          </w:p>
        </w:tc>
        <w:tc>
          <w:tcPr>
            <w:tcW w:w="7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335.8</w:t>
            </w:r>
          </w:p>
        </w:tc>
        <w:tc>
          <w:tcPr>
            <w:tcW w:w="20" w:type="dxa"/>
            <w:vAlign w:val="bottom"/>
            <w:shd w:val="clear" w:color="auto" w:fill="E6E6E6"/>
          </w:tcPr>
          <w:p>
            <w:pPr>
              <w:spacing w:after="0"/>
              <w:rPr>
                <w:sz w:val="22"/>
                <w:szCs w:val="22"/>
                <w:color w:val="auto"/>
              </w:rPr>
            </w:pPr>
          </w:p>
        </w:tc>
        <w:tc>
          <w:tcPr>
            <w:tcW w:w="7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2,149</w:t>
            </w: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860" w:type="dxa"/>
            <w:vAlign w:val="bottom"/>
            <w:shd w:val="clear" w:color="auto" w:fill="E6E6E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shd w:val="clear" w:color="auto" w:fill="E6E6E6"/>
          </w:tcPr>
          <w:p>
            <w:pPr>
              <w:spacing w:after="0"/>
              <w:rPr>
                <w:sz w:val="2"/>
                <w:szCs w:val="2"/>
                <w:color w:val="auto"/>
              </w:rPr>
            </w:pPr>
          </w:p>
        </w:tc>
        <w:tc>
          <w:tcPr>
            <w:tcW w:w="60" w:type="dxa"/>
            <w:vAlign w:val="bottom"/>
            <w:tcBorders>
              <w:right w:val="single" w:sz="8" w:color="E6E6E6"/>
            </w:tcBorders>
          </w:tcPr>
          <w:p>
            <w:pPr>
              <w:spacing w:after="0"/>
              <w:rPr>
                <w:sz w:val="2"/>
                <w:szCs w:val="2"/>
                <w:color w:val="auto"/>
              </w:rPr>
            </w:pPr>
          </w:p>
        </w:tc>
        <w:tc>
          <w:tcPr>
            <w:tcW w:w="1400" w:type="dxa"/>
            <w:vAlign w:val="bottom"/>
            <w:tcBorders>
              <w:right w:val="single" w:sz="8" w:color="E6E6E6"/>
            </w:tcBorders>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Borders>
              <w:right w:val="single" w:sz="8" w:color="E6E6E6"/>
            </w:tcBorders>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940" w:type="dxa"/>
            <w:vAlign w:val="bottom"/>
            <w:shd w:val="clear" w:color="auto" w:fill="E6E6E6"/>
          </w:tcPr>
          <w:p>
            <w:pPr>
              <w:spacing w:after="0"/>
              <w:rPr>
                <w:sz w:val="2"/>
                <w:szCs w:val="2"/>
                <w:color w:val="auto"/>
              </w:rPr>
            </w:pPr>
          </w:p>
        </w:tc>
        <w:tc>
          <w:tcPr>
            <w:tcW w:w="40" w:type="dxa"/>
            <w:vAlign w:val="bottom"/>
            <w:tcBorders>
              <w:left w:val="single" w:sz="8" w:color="E6E6E6"/>
            </w:tcBorders>
            <w:shd w:val="clear" w:color="auto" w:fill="E6E6E6"/>
          </w:tcPr>
          <w:p>
            <w:pPr>
              <w:spacing w:after="0"/>
              <w:rPr>
                <w:sz w:val="2"/>
                <w:szCs w:val="2"/>
                <w:color w:val="auto"/>
              </w:rPr>
            </w:pPr>
          </w:p>
        </w:tc>
        <w:tc>
          <w:tcPr>
            <w:tcW w:w="940" w:type="dxa"/>
            <w:vAlign w:val="bottom"/>
            <w:tcBorders>
              <w:right w:val="single" w:sz="8" w:color="E6E6E6"/>
            </w:tcBorders>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76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74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2971800</wp:posOffset>
                </wp:positionH>
                <wp:positionV relativeFrom="paragraph">
                  <wp:posOffset>-2222500</wp:posOffset>
                </wp:positionV>
                <wp:extent cx="0" cy="17526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pt,-175pt" to="234pt,-161.1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4523105</wp:posOffset>
                </wp:positionH>
                <wp:positionV relativeFrom="paragraph">
                  <wp:posOffset>-2222500</wp:posOffset>
                </wp:positionV>
                <wp:extent cx="0" cy="17526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15pt,-175pt" to="356.15pt,-161.1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5144135</wp:posOffset>
                </wp:positionH>
                <wp:positionV relativeFrom="paragraph">
                  <wp:posOffset>-2222500</wp:posOffset>
                </wp:positionV>
                <wp:extent cx="0" cy="17526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05pt,-175pt" to="405.05pt,-161.1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5637530</wp:posOffset>
                </wp:positionH>
                <wp:positionV relativeFrom="paragraph">
                  <wp:posOffset>-2222500</wp:posOffset>
                </wp:positionV>
                <wp:extent cx="0" cy="17526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9pt,-175pt" to="443.9pt,-161.1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4523105</wp:posOffset>
                </wp:positionH>
                <wp:positionV relativeFrom="paragraph">
                  <wp:posOffset>-1467485</wp:posOffset>
                </wp:positionV>
                <wp:extent cx="0" cy="52578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578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15pt,-115.5499pt" to="356.15pt,-74.1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5144135</wp:posOffset>
                </wp:positionH>
                <wp:positionV relativeFrom="paragraph">
                  <wp:posOffset>-1821180</wp:posOffset>
                </wp:positionV>
                <wp:extent cx="0" cy="879475"/>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94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05pt,-143.3999pt" to="405.05pt,-74.1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5637530</wp:posOffset>
                </wp:positionH>
                <wp:positionV relativeFrom="paragraph">
                  <wp:posOffset>-1821180</wp:posOffset>
                </wp:positionV>
                <wp:extent cx="0" cy="879475"/>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947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9pt,-143.3999pt" to="443.9pt,-74.1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-2222500</wp:posOffset>
                </wp:positionV>
                <wp:extent cx="0" cy="1515745"/>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157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175pt" to="307.2pt,-55.6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558165</wp:posOffset>
                </wp:positionH>
                <wp:positionV relativeFrom="paragraph">
                  <wp:posOffset>-2222500</wp:posOffset>
                </wp:positionV>
                <wp:extent cx="0" cy="186055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5pt,-175pt" to="43.95pt,-28.4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1301115</wp:posOffset>
                </wp:positionH>
                <wp:positionV relativeFrom="paragraph">
                  <wp:posOffset>-2222500</wp:posOffset>
                </wp:positionV>
                <wp:extent cx="0" cy="186055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5pt,-175pt" to="102.45pt,-28.4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2044065</wp:posOffset>
                </wp:positionH>
                <wp:positionV relativeFrom="paragraph">
                  <wp:posOffset>-2222500</wp:posOffset>
                </wp:positionV>
                <wp:extent cx="0" cy="186055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95pt,-175pt" to="160.95pt,-28.4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2971800</wp:posOffset>
                </wp:positionH>
                <wp:positionV relativeFrom="paragraph">
                  <wp:posOffset>-1821180</wp:posOffset>
                </wp:positionV>
                <wp:extent cx="0" cy="145923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23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pt,-143.3999pt" to="234pt,-28.4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558165</wp:posOffset>
                </wp:positionH>
                <wp:positionV relativeFrom="paragraph">
                  <wp:posOffset>-180975</wp:posOffset>
                </wp:positionV>
                <wp:extent cx="0" cy="180975"/>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5pt,-14.2499pt" to="43.9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1301115</wp:posOffset>
                </wp:positionH>
                <wp:positionV relativeFrom="paragraph">
                  <wp:posOffset>-180975</wp:posOffset>
                </wp:positionV>
                <wp:extent cx="0" cy="180975"/>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5pt,-14.2499pt" to="102.4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2044065</wp:posOffset>
                </wp:positionH>
                <wp:positionV relativeFrom="paragraph">
                  <wp:posOffset>-180975</wp:posOffset>
                </wp:positionV>
                <wp:extent cx="0" cy="180975"/>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95pt,-14.2499pt" to="160.9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2971800</wp:posOffset>
                </wp:positionH>
                <wp:positionV relativeFrom="paragraph">
                  <wp:posOffset>-180975</wp:posOffset>
                </wp:positionV>
                <wp:extent cx="0" cy="180975"/>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pt,-14.2499pt" to="234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5637530</wp:posOffset>
                </wp:positionH>
                <wp:positionV relativeFrom="paragraph">
                  <wp:posOffset>-180975</wp:posOffset>
                </wp:positionV>
                <wp:extent cx="0" cy="180975"/>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9pt,-14.2499pt" to="443.9pt,0pt" o:allowincell="f" strokecolor="#FFFFFF" strokeweight="1.404pt"/>
            </w:pict>
          </mc:Fallback>
        </mc:AlternateContent>
      </w:r>
    </w:p>
    <w:p>
      <w:pPr>
        <w:ind w:left="347" w:right="20" w:hanging="347"/>
        <w:spacing w:after="0" w:line="258" w:lineRule="auto"/>
        <w:tabs>
          <w:tab w:leader="none" w:pos="347" w:val="left"/>
        </w:tabs>
        <w:numPr>
          <w:ilvl w:val="0"/>
          <w:numId w:val="85"/>
        </w:numPr>
        <w:rPr>
          <w:rFonts w:ascii="Arial" w:cs="Arial" w:eastAsia="Arial" w:hAnsi="Arial"/>
          <w:sz w:val="20"/>
          <w:szCs w:val="20"/>
          <w:color w:val="auto"/>
          <w:vertAlign w:val="superscript"/>
        </w:rPr>
      </w:pPr>
      <w:r>
        <w:rPr>
          <w:rFonts w:ascii="Arial" w:cs="Arial" w:eastAsia="Arial" w:hAnsi="Arial"/>
          <w:sz w:val="15"/>
          <w:szCs w:val="15"/>
          <w:color w:val="auto"/>
        </w:rPr>
        <w:t>The dollar amounts reported in column (b) are the amounts of total compensation reported for Mr. Houston, our Chief Executive Officer (“</w:t>
      </w:r>
      <w:r>
        <w:rPr>
          <w:rFonts w:ascii="Arial" w:cs="Arial" w:eastAsia="Arial" w:hAnsi="Arial"/>
          <w:sz w:val="15"/>
          <w:szCs w:val="15"/>
          <w:b w:val="1"/>
          <w:bCs w:val="1"/>
          <w:i w:val="1"/>
          <w:iCs w:val="1"/>
          <w:color w:val="auto"/>
        </w:rPr>
        <w:t>PEO</w:t>
      </w:r>
      <w:r>
        <w:rPr>
          <w:rFonts w:ascii="Arial" w:cs="Arial" w:eastAsia="Arial" w:hAnsi="Arial"/>
          <w:sz w:val="15"/>
          <w:szCs w:val="15"/>
          <w:color w:val="auto"/>
        </w:rPr>
        <w:t>”), for each corresponding year in the “Total” column of the applicable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Refer to “</w:t>
      </w:r>
      <w:r>
        <w:rPr>
          <w:rFonts w:ascii="Arial" w:cs="Arial" w:eastAsia="Arial" w:hAnsi="Arial"/>
          <w:sz w:val="15"/>
          <w:szCs w:val="15"/>
          <w:i w:val="1"/>
          <w:iCs w:val="1"/>
          <w:color w:val="auto"/>
        </w:rPr>
        <w:t>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 – Summary Compensation Table</w:t>
      </w:r>
      <w:r>
        <w:rPr>
          <w:rFonts w:ascii="Arial" w:cs="Arial" w:eastAsia="Arial" w:hAnsi="Arial"/>
          <w:sz w:val="15"/>
          <w:szCs w:val="15"/>
          <w:color w:val="auto"/>
        </w:rPr>
        <w:t>.”</w:t>
      </w:r>
    </w:p>
    <w:p>
      <w:pPr>
        <w:spacing w:after="0" w:line="4" w:lineRule="exact"/>
        <w:rPr>
          <w:rFonts w:ascii="Arial" w:cs="Arial" w:eastAsia="Arial" w:hAnsi="Arial"/>
          <w:sz w:val="20"/>
          <w:szCs w:val="20"/>
          <w:color w:val="auto"/>
          <w:vertAlign w:val="superscript"/>
        </w:rPr>
      </w:pPr>
    </w:p>
    <w:p>
      <w:pPr>
        <w:ind w:left="347" w:right="300" w:hanging="347"/>
        <w:spacing w:after="0" w:line="269" w:lineRule="auto"/>
        <w:tabs>
          <w:tab w:leader="none" w:pos="347" w:val="left"/>
        </w:tabs>
        <w:numPr>
          <w:ilvl w:val="0"/>
          <w:numId w:val="85"/>
        </w:numPr>
        <w:rPr>
          <w:rFonts w:ascii="Arial" w:cs="Arial" w:eastAsia="Arial" w:hAnsi="Arial"/>
          <w:sz w:val="20"/>
          <w:szCs w:val="20"/>
          <w:color w:val="auto"/>
          <w:vertAlign w:val="superscript"/>
        </w:rPr>
      </w:pPr>
      <w:r>
        <w:rPr>
          <w:rFonts w:ascii="Arial" w:cs="Arial" w:eastAsia="Arial" w:hAnsi="Arial"/>
          <w:sz w:val="15"/>
          <w:szCs w:val="15"/>
          <w:color w:val="auto"/>
        </w:rPr>
        <w:t>The dollar amounts reported in column (c) represent the amount of “compensation actually paid” to Mr. Houston, as computed in accordance with Item 402(v) of Regulation S-K. The dollar amounts do not reflect the actual amount of compensation earned by or paid to Mr. Houston during the applicable year. In accordance with the requirements of Item 402(v) of Regulation S-K, the following adjustments were made to Mr. Houston’s total compensation for each year to determine the compensation actually paid: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3901440</wp:posOffset>
                </wp:positionH>
                <wp:positionV relativeFrom="paragraph">
                  <wp:posOffset>36195</wp:posOffset>
                </wp:positionV>
                <wp:extent cx="0" cy="1045845"/>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58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2.85pt" to="307.2pt,85.2pt" o:allowincell="f" strokecolor="#FFFFFF" strokeweight="1.4039pt"/>
            </w:pict>
          </mc:Fallback>
        </mc:AlternateContent>
      </w:r>
    </w:p>
    <w:p>
      <w:pPr>
        <w:spacing w:after="0" w:line="38" w:lineRule="exact"/>
        <w:rPr>
          <w:sz w:val="20"/>
          <w:szCs w:val="20"/>
          <w:color w:val="auto"/>
        </w:rPr>
      </w:pPr>
    </w:p>
    <w:tbl>
      <w:tblPr>
        <w:tblLayout w:type="fixed"/>
        <w:tblInd w:w="347" w:type="dxa"/>
        <w:tblCellMar>
          <w:top w:w="0" w:type="dxa"/>
          <w:left w:w="0" w:type="dxa"/>
          <w:bottom w:w="0" w:type="dxa"/>
          <w:right w:w="0" w:type="dxa"/>
        </w:tblCellMar>
      </w:tblPr>
      <w:tr>
        <w:trPr>
          <w:trHeight w:val="61"/>
        </w:trPr>
        <w:tc>
          <w:tcPr>
            <w:tcW w:w="228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740" w:type="dxa"/>
            <w:vAlign w:val="bottom"/>
            <w:tcBorders>
              <w:left w:val="single" w:sz="8" w:color="0A248E"/>
              <w:right w:val="single" w:sz="8" w:color="0A248E"/>
            </w:tcBorders>
            <w:vMerge w:val="restart"/>
            <w:shd w:val="clear" w:color="auto" w:fill="0A248E"/>
          </w:tcPr>
          <w:p>
            <w:pPr>
              <w:ind w:left="540"/>
              <w:spacing w:after="0"/>
              <w:rPr>
                <w:sz w:val="20"/>
                <w:szCs w:val="20"/>
                <w:color w:val="auto"/>
              </w:rPr>
            </w:pPr>
            <w:r>
              <w:rPr>
                <w:rFonts w:ascii="Arial" w:cs="Arial" w:eastAsia="Arial" w:hAnsi="Arial"/>
                <w:sz w:val="15"/>
                <w:szCs w:val="15"/>
                <w:b w:val="1"/>
                <w:bCs w:val="1"/>
                <w:color w:val="FFFFFF"/>
              </w:rPr>
              <w:t>Reported</w:t>
            </w:r>
          </w:p>
        </w:tc>
        <w:tc>
          <w:tcPr>
            <w:tcW w:w="20" w:type="dxa"/>
            <w:vAlign w:val="bottom"/>
          </w:tcPr>
          <w:p>
            <w:pPr>
              <w:spacing w:after="0"/>
              <w:rPr>
                <w:sz w:val="5"/>
                <w:szCs w:val="5"/>
                <w:color w:val="auto"/>
              </w:rPr>
            </w:pPr>
          </w:p>
        </w:tc>
        <w:tc>
          <w:tcPr>
            <w:tcW w:w="172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2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74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280" w:type="dxa"/>
            <w:vAlign w:val="bottom"/>
            <w:tcBorders>
              <w:right w:val="single" w:sz="8" w:color="0A248E"/>
            </w:tcBorders>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Borders>
              <w:left w:val="single" w:sz="8" w:color="0A248E"/>
              <w:right w:val="single" w:sz="8" w:color="0A248E"/>
            </w:tcBorders>
            <w:vMerge w:val="continue"/>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shd w:val="clear" w:color="auto" w:fill="0A248E"/>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280" w:type="dxa"/>
            <w:vAlign w:val="bottom"/>
            <w:tcBorders>
              <w:right w:val="single" w:sz="8" w:color="0A248E"/>
            </w:tcBorders>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Borders>
              <w:left w:val="single" w:sz="8" w:color="0A248E"/>
              <w:right w:val="single" w:sz="8" w:color="0A248E"/>
            </w:tcBorders>
            <w:shd w:val="clear" w:color="auto" w:fill="0A248E"/>
          </w:tcPr>
          <w:p>
            <w:pPr>
              <w:ind w:left="520"/>
              <w:spacing w:after="0"/>
              <w:rPr>
                <w:sz w:val="20"/>
                <w:szCs w:val="20"/>
                <w:color w:val="auto"/>
              </w:rPr>
            </w:pPr>
            <w:r>
              <w:rPr>
                <w:rFonts w:ascii="Arial" w:cs="Arial" w:eastAsia="Arial" w:hAnsi="Arial"/>
                <w:sz w:val="15"/>
                <w:szCs w:val="15"/>
                <w:b w:val="1"/>
                <w:bCs w:val="1"/>
                <w:color w:val="FFFFFF"/>
              </w:rPr>
              <w:t>Summary</w:t>
            </w:r>
          </w:p>
        </w:tc>
        <w:tc>
          <w:tcPr>
            <w:tcW w:w="20" w:type="dxa"/>
            <w:vAlign w:val="bottom"/>
          </w:tcPr>
          <w:p>
            <w:pPr>
              <w:spacing w:after="0"/>
              <w:rPr>
                <w:sz w:val="16"/>
                <w:szCs w:val="16"/>
                <w:color w:val="auto"/>
              </w:rPr>
            </w:pPr>
          </w:p>
        </w:tc>
        <w:tc>
          <w:tcPr>
            <w:tcW w:w="17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Reported</w:t>
            </w:r>
          </w:p>
        </w:tc>
        <w:tc>
          <w:tcPr>
            <w:tcW w:w="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Compensation</w:t>
            </w:r>
          </w:p>
        </w:tc>
        <w:tc>
          <w:tcPr>
            <w:tcW w:w="0" w:type="dxa"/>
            <w:vAlign w:val="bottom"/>
          </w:tcPr>
          <w:p>
            <w:pPr>
              <w:spacing w:after="0"/>
              <w:rPr>
                <w:sz w:val="1"/>
                <w:szCs w:val="1"/>
                <w:color w:val="auto"/>
              </w:rPr>
            </w:pPr>
          </w:p>
        </w:tc>
      </w:tr>
      <w:tr>
        <w:trPr>
          <w:trHeight w:val="192"/>
        </w:trPr>
        <w:tc>
          <w:tcPr>
            <w:tcW w:w="2280" w:type="dxa"/>
            <w:vAlign w:val="bottom"/>
            <w:tcBorders>
              <w:right w:val="single" w:sz="8" w:color="0A248E"/>
            </w:tcBorders>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Borders>
              <w:left w:val="single" w:sz="8" w:color="0A248E"/>
              <w:right w:val="single" w:sz="8" w:color="0A248E"/>
            </w:tcBorders>
            <w:shd w:val="clear" w:color="auto" w:fill="0A248E"/>
          </w:tcPr>
          <w:p>
            <w:pPr>
              <w:ind w:left="360"/>
              <w:spacing w:after="0"/>
              <w:rPr>
                <w:sz w:val="20"/>
                <w:szCs w:val="20"/>
                <w:color w:val="auto"/>
              </w:rPr>
            </w:pPr>
            <w:r>
              <w:rPr>
                <w:rFonts w:ascii="Arial" w:cs="Arial" w:eastAsia="Arial" w:hAnsi="Arial"/>
                <w:sz w:val="15"/>
                <w:szCs w:val="15"/>
                <w:b w:val="1"/>
                <w:bCs w:val="1"/>
                <w:color w:val="FFFFFF"/>
              </w:rPr>
              <w:t>Compensation</w:t>
            </w:r>
          </w:p>
        </w:tc>
        <w:tc>
          <w:tcPr>
            <w:tcW w:w="20" w:type="dxa"/>
            <w:vAlign w:val="bottom"/>
          </w:tcPr>
          <w:p>
            <w:pPr>
              <w:spacing w:after="0"/>
              <w:rPr>
                <w:sz w:val="16"/>
                <w:szCs w:val="16"/>
                <w:color w:val="auto"/>
              </w:rPr>
            </w:pPr>
          </w:p>
        </w:tc>
        <w:tc>
          <w:tcPr>
            <w:tcW w:w="17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Value of Equity</w:t>
            </w:r>
          </w:p>
        </w:tc>
        <w:tc>
          <w:tcPr>
            <w:tcW w:w="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Equity Award</w:t>
            </w:r>
          </w:p>
        </w:tc>
        <w:tc>
          <w:tcPr>
            <w:tcW w:w="20" w:type="dxa"/>
            <w:vAlign w:val="bottom"/>
          </w:tcPr>
          <w:p>
            <w:pPr>
              <w:spacing w:after="0"/>
              <w:rPr>
                <w:sz w:val="16"/>
                <w:szCs w:val="16"/>
                <w:color w:val="auto"/>
              </w:rPr>
            </w:pPr>
          </w:p>
        </w:tc>
        <w:tc>
          <w:tcPr>
            <w:tcW w:w="17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Actually</w:t>
            </w:r>
          </w:p>
        </w:tc>
        <w:tc>
          <w:tcPr>
            <w:tcW w:w="0" w:type="dxa"/>
            <w:vAlign w:val="bottom"/>
          </w:tcPr>
          <w:p>
            <w:pPr>
              <w:spacing w:after="0"/>
              <w:rPr>
                <w:sz w:val="1"/>
                <w:szCs w:val="1"/>
                <w:color w:val="auto"/>
              </w:rPr>
            </w:pPr>
          </w:p>
        </w:tc>
      </w:tr>
      <w:tr>
        <w:trPr>
          <w:trHeight w:val="269"/>
        </w:trPr>
        <w:tc>
          <w:tcPr>
            <w:tcW w:w="2280" w:type="dxa"/>
            <w:vAlign w:val="bottom"/>
            <w:tcBorders>
              <w:bottom w:val="single" w:sz="8" w:color="0A248E"/>
              <w:right w:val="single" w:sz="8" w:color="0A248E"/>
            </w:tcBorders>
            <w:shd w:val="clear" w:color="auto" w:fill="0A248E"/>
          </w:tcPr>
          <w:p>
            <w:pPr>
              <w:ind w:left="100"/>
              <w:spacing w:after="0"/>
              <w:rPr>
                <w:sz w:val="20"/>
                <w:szCs w:val="20"/>
                <w:color w:val="auto"/>
              </w:rPr>
            </w:pPr>
            <w:r>
              <w:rPr>
                <w:rFonts w:ascii="Arial" w:cs="Arial" w:eastAsia="Arial" w:hAnsi="Arial"/>
                <w:sz w:val="15"/>
                <w:szCs w:val="15"/>
                <w:b w:val="1"/>
                <w:bCs w:val="1"/>
                <w:color w:val="FFFFFF"/>
              </w:rPr>
              <w:t>Year</w:t>
            </w:r>
          </w:p>
        </w:tc>
        <w:tc>
          <w:tcPr>
            <w:tcW w:w="20" w:type="dxa"/>
            <w:vAlign w:val="bottom"/>
          </w:tcPr>
          <w:p>
            <w:pPr>
              <w:spacing w:after="0"/>
              <w:rPr>
                <w:sz w:val="23"/>
                <w:szCs w:val="23"/>
                <w:color w:val="auto"/>
              </w:rPr>
            </w:pPr>
          </w:p>
        </w:tc>
        <w:tc>
          <w:tcPr>
            <w:tcW w:w="1740" w:type="dxa"/>
            <w:vAlign w:val="bottom"/>
            <w:tcBorders>
              <w:left w:val="single" w:sz="8" w:color="0A248E"/>
              <w:bottom w:val="single" w:sz="8" w:color="0A248E"/>
              <w:right w:val="single" w:sz="8" w:color="0A248E"/>
            </w:tcBorders>
            <w:shd w:val="clear" w:color="auto" w:fill="0A248E"/>
          </w:tcPr>
          <w:p>
            <w:pPr>
              <w:ind w:left="80"/>
              <w:spacing w:after="0"/>
              <w:rPr>
                <w:sz w:val="20"/>
                <w:szCs w:val="20"/>
                <w:color w:val="auto"/>
              </w:rPr>
            </w:pPr>
            <w:r>
              <w:rPr>
                <w:rFonts w:ascii="Arial" w:cs="Arial" w:eastAsia="Arial" w:hAnsi="Arial"/>
                <w:sz w:val="15"/>
                <w:szCs w:val="15"/>
                <w:b w:val="1"/>
                <w:bCs w:val="1"/>
                <w:color w:val="FFFFFF"/>
              </w:rPr>
              <w:t>Table Total for PEO ($)</w:t>
            </w:r>
          </w:p>
        </w:tc>
        <w:tc>
          <w:tcPr>
            <w:tcW w:w="20" w:type="dxa"/>
            <w:vAlign w:val="bottom"/>
          </w:tcPr>
          <w:p>
            <w:pPr>
              <w:spacing w:after="0"/>
              <w:rPr>
                <w:sz w:val="23"/>
                <w:szCs w:val="23"/>
                <w:color w:val="auto"/>
              </w:rPr>
            </w:pPr>
          </w:p>
        </w:tc>
        <w:tc>
          <w:tcPr>
            <w:tcW w:w="172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3"/>
              </w:rPr>
              <w:t>Awards ($)</w:t>
            </w:r>
            <w:r>
              <w:rPr>
                <w:rFonts w:ascii="Arial" w:cs="Arial" w:eastAsia="Arial" w:hAnsi="Arial"/>
                <w:sz w:val="19"/>
                <w:szCs w:val="19"/>
                <w:b w:val="1"/>
                <w:bCs w:val="1"/>
                <w:color w:val="FFFFFF"/>
                <w:w w:val="93"/>
                <w:vertAlign w:val="superscript"/>
              </w:rPr>
              <w:t>(a)</w:t>
            </w:r>
          </w:p>
        </w:tc>
        <w:tc>
          <w:tcPr>
            <w:tcW w:w="20" w:type="dxa"/>
            <w:vAlign w:val="bottom"/>
            <w:shd w:val="clear" w:color="auto" w:fill="0A248E"/>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4"/>
              </w:rPr>
              <w:t>Adjustments ($)</w:t>
            </w:r>
            <w:r>
              <w:rPr>
                <w:rFonts w:ascii="Arial" w:cs="Arial" w:eastAsia="Arial" w:hAnsi="Arial"/>
                <w:sz w:val="19"/>
                <w:szCs w:val="19"/>
                <w:b w:val="1"/>
                <w:bCs w:val="1"/>
                <w:color w:val="FFFFFF"/>
                <w:w w:val="94"/>
                <w:vertAlign w:val="superscript"/>
              </w:rPr>
              <w:t>(b)</w:t>
            </w:r>
          </w:p>
        </w:tc>
        <w:tc>
          <w:tcPr>
            <w:tcW w:w="20" w:type="dxa"/>
            <w:vAlign w:val="bottom"/>
          </w:tcPr>
          <w:p>
            <w:pPr>
              <w:spacing w:after="0"/>
              <w:rPr>
                <w:sz w:val="23"/>
                <w:szCs w:val="23"/>
                <w:color w:val="auto"/>
              </w:rPr>
            </w:pPr>
          </w:p>
        </w:tc>
        <w:tc>
          <w:tcPr>
            <w:tcW w:w="17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Paid to PEO ($)</w:t>
            </w: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280" w:type="dxa"/>
            <w:vAlign w:val="bottom"/>
            <w:tcBorders>
              <w:right w:val="single" w:sz="8" w:color="E6E6E6"/>
            </w:tcBorders>
            <w:shd w:val="clear" w:color="auto" w:fill="E6E6E6"/>
          </w:tcPr>
          <w:p>
            <w:pPr>
              <w:ind w:left="100"/>
              <w:spacing w:after="0"/>
              <w:rPr>
                <w:sz w:val="20"/>
                <w:szCs w:val="20"/>
                <w:color w:val="auto"/>
              </w:rPr>
            </w:pPr>
            <w:r>
              <w:rPr>
                <w:rFonts w:ascii="Arial" w:cs="Arial" w:eastAsia="Arial" w:hAnsi="Arial"/>
                <w:sz w:val="15"/>
                <w:szCs w:val="15"/>
                <w:color w:val="auto"/>
              </w:rPr>
              <w:t>2025</w:t>
            </w:r>
          </w:p>
        </w:tc>
        <w:tc>
          <w:tcPr>
            <w:tcW w:w="20" w:type="dxa"/>
            <w:vAlign w:val="bottom"/>
            <w:vMerge w:val="continue"/>
          </w:tcPr>
          <w:p>
            <w:pPr>
              <w:spacing w:after="0"/>
              <w:rPr>
                <w:sz w:val="17"/>
                <w:szCs w:val="17"/>
                <w:color w:val="auto"/>
              </w:rPr>
            </w:pPr>
          </w:p>
        </w:tc>
        <w:tc>
          <w:tcPr>
            <w:tcW w:w="1740" w:type="dxa"/>
            <w:vAlign w:val="bottom"/>
            <w:tcBorders>
              <w:left w:val="single" w:sz="8" w:color="E6E6E6"/>
              <w:right w:val="single" w:sz="8" w:color="E6E6E6"/>
            </w:tcBorders>
            <w:shd w:val="clear" w:color="auto" w:fill="E6E6E6"/>
          </w:tcPr>
          <w:p>
            <w:pPr>
              <w:ind w:left="540"/>
              <w:spacing w:after="0"/>
              <w:rPr>
                <w:sz w:val="20"/>
                <w:szCs w:val="20"/>
                <w:color w:val="auto"/>
              </w:rPr>
            </w:pPr>
            <w:r>
              <w:rPr>
                <w:rFonts w:ascii="Arial" w:cs="Arial" w:eastAsia="Arial" w:hAnsi="Arial"/>
                <w:sz w:val="15"/>
                <w:szCs w:val="15"/>
                <w:color w:val="auto"/>
              </w:rPr>
              <w:t>2,166,622</w:t>
            </w:r>
          </w:p>
        </w:tc>
        <w:tc>
          <w:tcPr>
            <w:tcW w:w="20" w:type="dxa"/>
            <w:vAlign w:val="bottom"/>
            <w:vMerge w:val="continue"/>
          </w:tcPr>
          <w:p>
            <w:pPr>
              <w:spacing w:after="0"/>
              <w:rPr>
                <w:sz w:val="17"/>
                <w:szCs w:val="17"/>
                <w:color w:val="auto"/>
              </w:rPr>
            </w:pPr>
          </w:p>
        </w:tc>
        <w:tc>
          <w:tcPr>
            <w:tcW w:w="172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20" w:type="dxa"/>
            <w:vAlign w:val="bottom"/>
            <w:shd w:val="clear" w:color="auto" w:fill="E6E6E6"/>
          </w:tcPr>
          <w:p>
            <w:pPr>
              <w:spacing w:after="0"/>
              <w:rPr>
                <w:sz w:val="17"/>
                <w:szCs w:val="17"/>
                <w:color w:val="auto"/>
              </w:rPr>
            </w:pPr>
          </w:p>
        </w:tc>
        <w:tc>
          <w:tcPr>
            <w:tcW w:w="20" w:type="dxa"/>
            <w:vAlign w:val="bottom"/>
            <w:vMerge w:val="continue"/>
          </w:tcPr>
          <w:p>
            <w:pPr>
              <w:spacing w:after="0"/>
              <w:rPr>
                <w:sz w:val="17"/>
                <w:szCs w:val="17"/>
                <w:color w:val="auto"/>
              </w:rPr>
            </w:pPr>
          </w:p>
        </w:tc>
        <w:tc>
          <w:tcPr>
            <w:tcW w:w="172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-44,590,916</w:t>
            </w:r>
          </w:p>
        </w:tc>
        <w:tc>
          <w:tcPr>
            <w:tcW w:w="20" w:type="dxa"/>
            <w:vAlign w:val="bottom"/>
            <w:vMerge w:val="continue"/>
          </w:tcPr>
          <w:p>
            <w:pPr>
              <w:spacing w:after="0"/>
              <w:rPr>
                <w:sz w:val="17"/>
                <w:szCs w:val="17"/>
                <w:color w:val="auto"/>
              </w:rPr>
            </w:pPr>
          </w:p>
        </w:tc>
        <w:tc>
          <w:tcPr>
            <w:tcW w:w="17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-42,424,294</w:t>
            </w:r>
          </w:p>
        </w:tc>
        <w:tc>
          <w:tcPr>
            <w:tcW w:w="0" w:type="dxa"/>
            <w:vAlign w:val="bottom"/>
          </w:tcPr>
          <w:p>
            <w:pPr>
              <w:spacing w:after="0"/>
              <w:rPr>
                <w:sz w:val="1"/>
                <w:szCs w:val="1"/>
                <w:color w:val="auto"/>
              </w:rPr>
            </w:pPr>
          </w:p>
        </w:tc>
      </w:tr>
      <w:tr>
        <w:trPr>
          <w:trHeight w:val="233"/>
        </w:trPr>
        <w:tc>
          <w:tcPr>
            <w:tcW w:w="2280" w:type="dxa"/>
            <w:vAlign w:val="bottom"/>
          </w:tcPr>
          <w:p>
            <w:pPr>
              <w:ind w:left="100"/>
              <w:spacing w:after="0"/>
              <w:rPr>
                <w:sz w:val="20"/>
                <w:szCs w:val="20"/>
                <w:color w:val="auto"/>
              </w:rPr>
            </w:pPr>
            <w:r>
              <w:rPr>
                <w:rFonts w:ascii="Arial" w:cs="Arial" w:eastAsia="Arial" w:hAnsi="Arial"/>
                <w:sz w:val="15"/>
                <w:szCs w:val="15"/>
                <w:color w:val="auto"/>
              </w:rPr>
              <w:t>2024</w:t>
            </w:r>
          </w:p>
        </w:tc>
        <w:tc>
          <w:tcPr>
            <w:tcW w:w="1760" w:type="dxa"/>
            <w:vAlign w:val="bottom"/>
            <w:gridSpan w:val="2"/>
          </w:tcPr>
          <w:p>
            <w:pPr>
              <w:ind w:left="560"/>
              <w:spacing w:after="0"/>
              <w:rPr>
                <w:sz w:val="20"/>
                <w:szCs w:val="20"/>
                <w:color w:val="auto"/>
              </w:rPr>
            </w:pPr>
            <w:r>
              <w:rPr>
                <w:rFonts w:ascii="Arial" w:cs="Arial" w:eastAsia="Arial" w:hAnsi="Arial"/>
                <w:sz w:val="15"/>
                <w:szCs w:val="15"/>
                <w:color w:val="auto"/>
              </w:rPr>
              <w:t>1,706,505</w:t>
            </w:r>
          </w:p>
        </w:tc>
        <w:tc>
          <w:tcPr>
            <w:tcW w:w="1740" w:type="dxa"/>
            <w:vAlign w:val="bottom"/>
            <w:gridSpan w:val="2"/>
          </w:tcPr>
          <w:p>
            <w:pPr>
              <w:jc w:val="center"/>
              <w:spacing w:after="0"/>
              <w:rPr>
                <w:sz w:val="20"/>
                <w:szCs w:val="20"/>
                <w:color w:val="auto"/>
              </w:rPr>
            </w:pPr>
            <w:r>
              <w:rPr>
                <w:rFonts w:ascii="Arial" w:cs="Arial" w:eastAsia="Arial" w:hAnsi="Arial"/>
                <w:sz w:val="15"/>
                <w:szCs w:val="15"/>
                <w:color w:val="auto"/>
                <w:w w:val="95"/>
              </w:rPr>
              <w:t>0</w:t>
            </w:r>
          </w:p>
        </w:tc>
        <w:tc>
          <w:tcPr>
            <w:tcW w:w="20" w:type="dxa"/>
            <w:vAlign w:val="bottom"/>
          </w:tcPr>
          <w:p>
            <w:pPr>
              <w:spacing w:after="0"/>
              <w:rPr>
                <w:sz w:val="20"/>
                <w:szCs w:val="20"/>
                <w:color w:val="auto"/>
              </w:rPr>
            </w:pPr>
          </w:p>
        </w:tc>
        <w:tc>
          <w:tcPr>
            <w:tcW w:w="1740" w:type="dxa"/>
            <w:vAlign w:val="bottom"/>
            <w:gridSpan w:val="2"/>
          </w:tcPr>
          <w:p>
            <w:pPr>
              <w:jc w:val="center"/>
              <w:spacing w:after="0"/>
              <w:rPr>
                <w:sz w:val="20"/>
                <w:szCs w:val="20"/>
                <w:color w:val="auto"/>
              </w:rPr>
            </w:pPr>
            <w:r>
              <w:rPr>
                <w:rFonts w:ascii="Arial" w:cs="Arial" w:eastAsia="Arial" w:hAnsi="Arial"/>
                <w:sz w:val="15"/>
                <w:szCs w:val="15"/>
                <w:color w:val="auto"/>
              </w:rPr>
              <w:t>-17,921,820</w:t>
            </w:r>
          </w:p>
        </w:tc>
        <w:tc>
          <w:tcPr>
            <w:tcW w:w="1760" w:type="dxa"/>
            <w:vAlign w:val="bottom"/>
            <w:gridSpan w:val="2"/>
          </w:tcPr>
          <w:p>
            <w:pPr>
              <w:jc w:val="center"/>
              <w:spacing w:after="0"/>
              <w:rPr>
                <w:sz w:val="20"/>
                <w:szCs w:val="20"/>
                <w:color w:val="auto"/>
              </w:rPr>
            </w:pPr>
            <w:r>
              <w:rPr>
                <w:rFonts w:ascii="Arial" w:cs="Arial" w:eastAsia="Arial" w:hAnsi="Arial"/>
                <w:sz w:val="15"/>
                <w:szCs w:val="15"/>
                <w:color w:val="auto"/>
              </w:rPr>
              <w:t>-16,215,315</w:t>
            </w:r>
          </w:p>
        </w:tc>
        <w:tc>
          <w:tcPr>
            <w:tcW w:w="0" w:type="dxa"/>
            <w:vAlign w:val="bottom"/>
          </w:tcPr>
          <w:p>
            <w:pPr>
              <w:spacing w:after="0"/>
              <w:rPr>
                <w:sz w:val="1"/>
                <w:szCs w:val="1"/>
                <w:color w:val="auto"/>
              </w:rPr>
            </w:pPr>
          </w:p>
        </w:tc>
      </w:tr>
      <w:tr>
        <w:trPr>
          <w:trHeight w:val="207"/>
        </w:trPr>
        <w:tc>
          <w:tcPr>
            <w:tcW w:w="2280" w:type="dxa"/>
            <w:vAlign w:val="bottom"/>
            <w:tcBorders>
              <w:right w:val="single" w:sz="8" w:color="E6E6E6"/>
            </w:tcBorders>
            <w:shd w:val="clear" w:color="auto" w:fill="E6E6E6"/>
          </w:tcPr>
          <w:p>
            <w:pPr>
              <w:ind w:left="100"/>
              <w:spacing w:after="0"/>
              <w:rPr>
                <w:sz w:val="20"/>
                <w:szCs w:val="20"/>
                <w:color w:val="auto"/>
              </w:rPr>
            </w:pPr>
            <w:r>
              <w:rPr>
                <w:rFonts w:ascii="Arial" w:cs="Arial" w:eastAsia="Arial" w:hAnsi="Arial"/>
                <w:sz w:val="15"/>
                <w:szCs w:val="15"/>
                <w:color w:val="auto"/>
              </w:rPr>
              <w:t>2023</w:t>
            </w:r>
          </w:p>
        </w:tc>
        <w:tc>
          <w:tcPr>
            <w:tcW w:w="20" w:type="dxa"/>
            <w:vAlign w:val="bottom"/>
          </w:tcPr>
          <w:p>
            <w:pPr>
              <w:spacing w:after="0"/>
              <w:rPr>
                <w:sz w:val="18"/>
                <w:szCs w:val="18"/>
                <w:color w:val="auto"/>
              </w:rPr>
            </w:pPr>
          </w:p>
        </w:tc>
        <w:tc>
          <w:tcPr>
            <w:tcW w:w="1740" w:type="dxa"/>
            <w:vAlign w:val="bottom"/>
            <w:tcBorders>
              <w:left w:val="single" w:sz="8" w:color="E6E6E6"/>
              <w:right w:val="single" w:sz="8" w:color="E6E6E6"/>
            </w:tcBorders>
            <w:shd w:val="clear" w:color="auto" w:fill="E6E6E6"/>
          </w:tcPr>
          <w:p>
            <w:pPr>
              <w:ind w:left="540"/>
              <w:spacing w:after="0"/>
              <w:rPr>
                <w:sz w:val="20"/>
                <w:szCs w:val="20"/>
                <w:color w:val="auto"/>
              </w:rPr>
            </w:pPr>
            <w:r>
              <w:rPr>
                <w:rFonts w:ascii="Arial" w:cs="Arial" w:eastAsia="Arial" w:hAnsi="Arial"/>
                <w:sz w:val="15"/>
                <w:szCs w:val="15"/>
                <w:color w:val="auto"/>
              </w:rPr>
              <w:t>1,539,577</w:t>
            </w:r>
          </w:p>
        </w:tc>
        <w:tc>
          <w:tcPr>
            <w:tcW w:w="20" w:type="dxa"/>
            <w:vAlign w:val="bottom"/>
          </w:tcPr>
          <w:p>
            <w:pPr>
              <w:spacing w:after="0"/>
              <w:rPr>
                <w:sz w:val="18"/>
                <w:szCs w:val="18"/>
                <w:color w:val="auto"/>
              </w:rPr>
            </w:pPr>
          </w:p>
        </w:tc>
        <w:tc>
          <w:tcPr>
            <w:tcW w:w="172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2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17,918,311</w:t>
            </w:r>
          </w:p>
        </w:tc>
        <w:tc>
          <w:tcPr>
            <w:tcW w:w="20" w:type="dxa"/>
            <w:vAlign w:val="bottom"/>
          </w:tcPr>
          <w:p>
            <w:pPr>
              <w:spacing w:after="0"/>
              <w:rPr>
                <w:sz w:val="18"/>
                <w:szCs w:val="18"/>
                <w:color w:val="auto"/>
              </w:rPr>
            </w:pPr>
          </w:p>
        </w:tc>
        <w:tc>
          <w:tcPr>
            <w:tcW w:w="17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19,457,888</w:t>
            </w:r>
          </w:p>
        </w:tc>
        <w:tc>
          <w:tcPr>
            <w:tcW w:w="0" w:type="dxa"/>
            <w:vAlign w:val="bottom"/>
          </w:tcPr>
          <w:p>
            <w:pPr>
              <w:spacing w:after="0"/>
              <w:rPr>
                <w:sz w:val="1"/>
                <w:szCs w:val="1"/>
                <w:color w:val="auto"/>
              </w:rPr>
            </w:pPr>
          </w:p>
        </w:tc>
      </w:tr>
      <w:tr>
        <w:trPr>
          <w:trHeight w:val="206"/>
        </w:trPr>
        <w:tc>
          <w:tcPr>
            <w:tcW w:w="2280" w:type="dxa"/>
            <w:vAlign w:val="bottom"/>
          </w:tcPr>
          <w:p>
            <w:pPr>
              <w:ind w:left="100"/>
              <w:spacing w:after="0"/>
              <w:rPr>
                <w:sz w:val="20"/>
                <w:szCs w:val="20"/>
                <w:color w:val="auto"/>
              </w:rPr>
            </w:pPr>
            <w:r>
              <w:rPr>
                <w:rFonts w:ascii="Arial" w:cs="Arial" w:eastAsia="Arial" w:hAnsi="Arial"/>
                <w:sz w:val="15"/>
                <w:szCs w:val="15"/>
                <w:color w:val="auto"/>
              </w:rPr>
              <w:t>2022</w:t>
            </w:r>
          </w:p>
        </w:tc>
        <w:tc>
          <w:tcPr>
            <w:tcW w:w="20" w:type="dxa"/>
            <w:vAlign w:val="bottom"/>
          </w:tcPr>
          <w:p>
            <w:pPr>
              <w:spacing w:after="0"/>
              <w:rPr>
                <w:sz w:val="17"/>
                <w:szCs w:val="17"/>
                <w:color w:val="auto"/>
              </w:rPr>
            </w:pPr>
          </w:p>
        </w:tc>
        <w:tc>
          <w:tcPr>
            <w:tcW w:w="1740" w:type="dxa"/>
            <w:vAlign w:val="bottom"/>
          </w:tcPr>
          <w:p>
            <w:pPr>
              <w:ind w:left="540"/>
              <w:spacing w:after="0"/>
              <w:rPr>
                <w:sz w:val="20"/>
                <w:szCs w:val="20"/>
                <w:color w:val="auto"/>
              </w:rPr>
            </w:pPr>
            <w:r>
              <w:rPr>
                <w:rFonts w:ascii="Arial" w:cs="Arial" w:eastAsia="Arial" w:hAnsi="Arial"/>
                <w:sz w:val="15"/>
                <w:szCs w:val="15"/>
                <w:color w:val="auto"/>
              </w:rPr>
              <w:t>1,146,000</w:t>
            </w:r>
          </w:p>
        </w:tc>
        <w:tc>
          <w:tcPr>
            <w:tcW w:w="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5"/>
                <w:szCs w:val="15"/>
                <w:color w:val="auto"/>
              </w:rPr>
              <w:t>-23,929,000</w:t>
            </w:r>
          </w:p>
        </w:tc>
        <w:tc>
          <w:tcPr>
            <w:tcW w:w="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5"/>
                <w:szCs w:val="15"/>
                <w:color w:val="auto"/>
              </w:rPr>
              <w:t>-22,783,000</w:t>
            </w:r>
          </w:p>
        </w:tc>
        <w:tc>
          <w:tcPr>
            <w:tcW w:w="0" w:type="dxa"/>
            <w:vAlign w:val="bottom"/>
          </w:tcPr>
          <w:p>
            <w:pPr>
              <w:spacing w:after="0"/>
              <w:rPr>
                <w:sz w:val="1"/>
                <w:szCs w:val="1"/>
                <w:color w:val="auto"/>
              </w:rPr>
            </w:pPr>
          </w:p>
        </w:tc>
      </w:tr>
      <w:tr>
        <w:trPr>
          <w:trHeight w:val="206"/>
        </w:trPr>
        <w:tc>
          <w:tcPr>
            <w:tcW w:w="2280" w:type="dxa"/>
            <w:vAlign w:val="bottom"/>
            <w:tcBorders>
              <w:right w:val="single" w:sz="8" w:color="E6E6E6"/>
            </w:tcBorders>
            <w:shd w:val="clear" w:color="auto" w:fill="E6E6E6"/>
          </w:tcPr>
          <w:p>
            <w:pPr>
              <w:ind w:left="100"/>
              <w:spacing w:after="0"/>
              <w:rPr>
                <w:sz w:val="20"/>
                <w:szCs w:val="20"/>
                <w:color w:val="auto"/>
              </w:rPr>
            </w:pPr>
            <w:r>
              <w:rPr>
                <w:rFonts w:ascii="Arial" w:cs="Arial" w:eastAsia="Arial" w:hAnsi="Arial"/>
                <w:sz w:val="15"/>
                <w:szCs w:val="15"/>
                <w:color w:val="auto"/>
              </w:rPr>
              <w:t>2021</w:t>
            </w:r>
          </w:p>
        </w:tc>
        <w:tc>
          <w:tcPr>
            <w:tcW w:w="20" w:type="dxa"/>
            <w:vAlign w:val="bottom"/>
          </w:tcPr>
          <w:p>
            <w:pPr>
              <w:spacing w:after="0"/>
              <w:rPr>
                <w:sz w:val="17"/>
                <w:szCs w:val="17"/>
                <w:color w:val="auto"/>
              </w:rPr>
            </w:pPr>
          </w:p>
        </w:tc>
        <w:tc>
          <w:tcPr>
            <w:tcW w:w="1740" w:type="dxa"/>
            <w:vAlign w:val="bottom"/>
            <w:tcBorders>
              <w:left w:val="single" w:sz="8" w:color="E6E6E6"/>
              <w:right w:val="single" w:sz="8" w:color="E6E6E6"/>
            </w:tcBorders>
            <w:shd w:val="clear" w:color="auto" w:fill="E6E6E6"/>
          </w:tcPr>
          <w:p>
            <w:pPr>
              <w:ind w:left="540"/>
              <w:spacing w:after="0"/>
              <w:rPr>
                <w:sz w:val="20"/>
                <w:szCs w:val="20"/>
                <w:color w:val="auto"/>
              </w:rPr>
            </w:pPr>
            <w:r>
              <w:rPr>
                <w:rFonts w:ascii="Arial" w:cs="Arial" w:eastAsia="Arial" w:hAnsi="Arial"/>
                <w:sz w:val="15"/>
                <w:szCs w:val="15"/>
                <w:color w:val="auto"/>
              </w:rPr>
              <w:t>1,515,269</w:t>
            </w:r>
          </w:p>
        </w:tc>
        <w:tc>
          <w:tcPr>
            <w:tcW w:w="20" w:type="dxa"/>
            <w:vAlign w:val="bottom"/>
          </w:tcPr>
          <w:p>
            <w:pPr>
              <w:spacing w:after="0"/>
              <w:rPr>
                <w:sz w:val="17"/>
                <w:szCs w:val="17"/>
                <w:color w:val="auto"/>
              </w:rPr>
            </w:pPr>
          </w:p>
        </w:tc>
        <w:tc>
          <w:tcPr>
            <w:tcW w:w="172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23,648,342</w:t>
            </w:r>
          </w:p>
        </w:tc>
        <w:tc>
          <w:tcPr>
            <w:tcW w:w="20" w:type="dxa"/>
            <w:vAlign w:val="bottom"/>
          </w:tcPr>
          <w:p>
            <w:pPr>
              <w:spacing w:after="0"/>
              <w:rPr>
                <w:sz w:val="17"/>
                <w:szCs w:val="17"/>
                <w:color w:val="auto"/>
              </w:rPr>
            </w:pPr>
          </w:p>
        </w:tc>
        <w:tc>
          <w:tcPr>
            <w:tcW w:w="17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25,163,611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1672590</wp:posOffset>
                </wp:positionH>
                <wp:positionV relativeFrom="paragraph">
                  <wp:posOffset>-1268730</wp:posOffset>
                </wp:positionV>
                <wp:extent cx="0" cy="1007745"/>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77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7pt,-99.8999pt" to="131.7pt,-20.5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2787015</wp:posOffset>
                </wp:positionH>
                <wp:positionV relativeFrom="paragraph">
                  <wp:posOffset>-1268730</wp:posOffset>
                </wp:positionV>
                <wp:extent cx="0" cy="1007745"/>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77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45pt,-99.8999pt" to="219.45pt,-20.5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5015865</wp:posOffset>
                </wp:positionH>
                <wp:positionV relativeFrom="paragraph">
                  <wp:posOffset>-1268730</wp:posOffset>
                </wp:positionV>
                <wp:extent cx="0" cy="1007745"/>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77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5pt,-99.8999pt" to="394.95pt,-20.5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1672590</wp:posOffset>
                </wp:positionH>
                <wp:positionV relativeFrom="paragraph">
                  <wp:posOffset>-130175</wp:posOffset>
                </wp:positionV>
                <wp:extent cx="0" cy="130175"/>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1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7pt,-10.2499pt" to="131.7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2787015</wp:posOffset>
                </wp:positionH>
                <wp:positionV relativeFrom="paragraph">
                  <wp:posOffset>-130175</wp:posOffset>
                </wp:positionV>
                <wp:extent cx="0" cy="130175"/>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1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45pt,-10.2499pt" to="219.4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-130175</wp:posOffset>
                </wp:positionV>
                <wp:extent cx="0" cy="130175"/>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1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10.2499pt" to="307.2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5015865</wp:posOffset>
                </wp:positionH>
                <wp:positionV relativeFrom="paragraph">
                  <wp:posOffset>-130175</wp:posOffset>
                </wp:positionV>
                <wp:extent cx="0" cy="130175"/>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1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5pt,-10.2499pt" to="394.95pt,0pt" o:allowincell="f" strokecolor="#FFFFFF" strokeweight="1.4039pt"/>
            </w:pict>
          </mc:Fallback>
        </mc:AlternateContent>
      </w:r>
    </w:p>
    <w:p>
      <w:pPr>
        <w:ind w:left="707" w:right="500" w:hanging="356"/>
        <w:spacing w:after="0" w:line="249" w:lineRule="auto"/>
        <w:tabs>
          <w:tab w:leader="none" w:pos="707" w:val="left"/>
        </w:tabs>
        <w:numPr>
          <w:ilvl w:val="0"/>
          <w:numId w:val="86"/>
        </w:numPr>
        <w:rPr>
          <w:rFonts w:ascii="Arial" w:cs="Arial" w:eastAsia="Arial" w:hAnsi="Arial"/>
          <w:sz w:val="20"/>
          <w:szCs w:val="20"/>
          <w:color w:val="auto"/>
          <w:vertAlign w:val="superscript"/>
        </w:rPr>
      </w:pPr>
      <w:r>
        <w:rPr>
          <w:rFonts w:ascii="Arial" w:cs="Arial" w:eastAsia="Arial" w:hAnsi="Arial"/>
          <w:sz w:val="15"/>
          <w:szCs w:val="15"/>
          <w:color w:val="auto"/>
        </w:rPr>
        <w:t>The grant date fair value of equity awards represents the total of the amounts reported in the “Stock Awards” column in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for the applicable year.</w:t>
      </w:r>
    </w:p>
    <w:p>
      <w:pPr>
        <w:spacing w:after="0" w:line="3" w:lineRule="exact"/>
        <w:rPr>
          <w:rFonts w:ascii="Arial" w:cs="Arial" w:eastAsia="Arial" w:hAnsi="Arial"/>
          <w:sz w:val="20"/>
          <w:szCs w:val="20"/>
          <w:color w:val="auto"/>
          <w:vertAlign w:val="superscript"/>
        </w:rPr>
      </w:pPr>
    </w:p>
    <w:p>
      <w:pPr>
        <w:ind w:left="707" w:hanging="356"/>
        <w:spacing w:after="0" w:line="276" w:lineRule="auto"/>
        <w:tabs>
          <w:tab w:leader="none" w:pos="707" w:val="left"/>
        </w:tabs>
        <w:numPr>
          <w:ilvl w:val="0"/>
          <w:numId w:val="86"/>
        </w:numPr>
        <w:rPr>
          <w:rFonts w:ascii="Arial" w:cs="Arial" w:eastAsia="Arial" w:hAnsi="Arial"/>
          <w:sz w:val="20"/>
          <w:szCs w:val="20"/>
          <w:color w:val="auto"/>
          <w:vertAlign w:val="superscript"/>
        </w:rPr>
      </w:pPr>
      <w:r>
        <w:rPr>
          <w:rFonts w:ascii="Arial" w:cs="Arial" w:eastAsia="Arial" w:hAnsi="Arial"/>
          <w:sz w:val="15"/>
          <w:szCs w:val="15"/>
          <w:color w:val="auto"/>
        </w:rPr>
        <w:t>The equity award adjustments for each applicable year include the addition (or subtraction, as applicable) of the following: (i) the year-end fair value of any equity awards granted in the applicable year that are outstanding and unvested as of the end of the applicable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Fair values were computed as of the end of the respective fiscal year, other than with regards to fair values of awards that vest in each covered</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67</w:t>
      </w:r>
    </w:p>
    <w:p>
      <w:pPr>
        <w:sectPr>
          <w:pgSz w:w="11880" w:h="15480" w:orient="portrait"/>
          <w:cols w:equalWidth="0" w:num="1">
            <w:col w:w="9647"/>
          </w:cols>
          <w:pgMar w:left="1133" w:top="340" w:right="1100" w:bottom="0" w:gutter="0" w:footer="0" w:header="0"/>
          <w:type w:val="continuous"/>
        </w:sectPr>
      </w:pPr>
    </w:p>
    <w:bookmarkStart w:id="75" w:name="page76"/>
    <w:bookmarkEnd w:id="75"/>
    <w:p>
      <w:pPr>
        <w:ind w:left="7"/>
        <w:spacing w:after="0"/>
        <w:rPr>
          <w:sz w:val="20"/>
          <w:szCs w:val="20"/>
          <w:color w:val="auto"/>
        </w:rPr>
      </w:pPr>
      <w:r>
        <w:rPr>
          <w:rFonts w:ascii="Arial" w:cs="Arial" w:eastAsia="Arial" w:hAnsi="Arial"/>
          <w:sz w:val="33"/>
          <w:szCs w:val="33"/>
          <w:color w:val="0A248E"/>
        </w:rPr>
        <w:t>EXECUTIVE COMPENSATION (continued)</w:t>
      </w:r>
    </w:p>
    <w:p>
      <w:pPr>
        <w:spacing w:after="0" w:line="283" w:lineRule="exact"/>
        <w:rPr>
          <w:sz w:val="20"/>
          <w:szCs w:val="20"/>
          <w:color w:val="auto"/>
        </w:rPr>
      </w:pPr>
    </w:p>
    <w:p>
      <w:pPr>
        <w:ind w:left="707" w:right="680"/>
        <w:spacing w:after="0" w:line="339" w:lineRule="auto"/>
        <w:rPr>
          <w:sz w:val="20"/>
          <w:szCs w:val="20"/>
          <w:color w:val="auto"/>
        </w:rPr>
      </w:pPr>
      <w:r>
        <w:rPr>
          <w:rFonts w:ascii="Arial" w:cs="Arial" w:eastAsia="Arial" w:hAnsi="Arial"/>
          <w:sz w:val="15"/>
          <w:szCs w:val="15"/>
          <w:color w:val="auto"/>
        </w:rPr>
        <w:t>year, which are valued as of the applicable vesting date. The amounts deducted or added in calculating the equity award adjustments are as follows:</w:t>
      </w:r>
    </w:p>
    <w:p>
      <w:pPr>
        <w:spacing w:after="0" w:line="6" w:lineRule="exact"/>
        <w:rPr>
          <w:sz w:val="20"/>
          <w:szCs w:val="20"/>
          <w:color w:val="auto"/>
        </w:rPr>
      </w:pPr>
    </w:p>
    <w:tbl>
      <w:tblPr>
        <w:tblLayout w:type="fixed"/>
        <w:tblInd w:w="707" w:type="dxa"/>
        <w:tblCellMar>
          <w:top w:w="0" w:type="dxa"/>
          <w:left w:w="0" w:type="dxa"/>
          <w:bottom w:w="0" w:type="dxa"/>
          <w:right w:w="0" w:type="dxa"/>
        </w:tblCellMar>
      </w:tblPr>
      <w:tr>
        <w:trPr>
          <w:trHeight w:val="61"/>
        </w:trPr>
        <w:tc>
          <w:tcPr>
            <w:tcW w:w="72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80" w:type="dxa"/>
            <w:vAlign w:val="bottom"/>
            <w:tcBorders>
              <w:right w:val="single" w:sz="8" w:color="0A248E"/>
            </w:tcBorders>
          </w:tcPr>
          <w:p>
            <w:pPr>
              <w:spacing w:after="0"/>
              <w:rPr>
                <w:sz w:val="5"/>
                <w:szCs w:val="5"/>
                <w:color w:val="auto"/>
              </w:rPr>
            </w:pPr>
          </w:p>
        </w:tc>
        <w:tc>
          <w:tcPr>
            <w:tcW w:w="110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Year over</w:t>
            </w:r>
          </w:p>
        </w:tc>
        <w:tc>
          <w:tcPr>
            <w:tcW w:w="60" w:type="dxa"/>
            <w:vAlign w:val="bottom"/>
            <w:tcBorders>
              <w:right w:val="single" w:sz="8" w:color="0A248E"/>
            </w:tcBorders>
          </w:tcPr>
          <w:p>
            <w:pPr>
              <w:spacing w:after="0"/>
              <w:rPr>
                <w:sz w:val="5"/>
                <w:szCs w:val="5"/>
                <w:color w:val="auto"/>
              </w:rPr>
            </w:pPr>
          </w:p>
        </w:tc>
        <w:tc>
          <w:tcPr>
            <w:tcW w:w="1100" w:type="dxa"/>
            <w:vAlign w:val="bottom"/>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Fair Value at</w:t>
            </w:r>
          </w:p>
        </w:tc>
        <w:tc>
          <w:tcPr>
            <w:tcW w:w="40" w:type="dxa"/>
            <w:vAlign w:val="bottom"/>
          </w:tcPr>
          <w:p>
            <w:pPr>
              <w:spacing w:after="0"/>
              <w:rPr>
                <w:sz w:val="5"/>
                <w:szCs w:val="5"/>
                <w:color w:val="auto"/>
              </w:rPr>
            </w:pPr>
          </w:p>
        </w:tc>
        <w:tc>
          <w:tcPr>
            <w:tcW w:w="142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720" w:type="dxa"/>
            <w:vAlign w:val="bottom"/>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0A248E"/>
          </w:tcPr>
          <w:p>
            <w:pPr>
              <w:spacing w:after="0"/>
              <w:rPr>
                <w:sz w:val="20"/>
                <w:szCs w:val="20"/>
                <w:color w:val="auto"/>
              </w:rPr>
            </w:pPr>
          </w:p>
        </w:tc>
        <w:tc>
          <w:tcPr>
            <w:tcW w:w="40" w:type="dxa"/>
            <w:vAlign w:val="bottom"/>
            <w:tcBorders>
              <w:left w:val="single" w:sz="8" w:color="0A248E"/>
            </w:tcBorders>
          </w:tcPr>
          <w:p>
            <w:pPr>
              <w:spacing w:after="0"/>
              <w:rPr>
                <w:sz w:val="20"/>
                <w:szCs w:val="20"/>
                <w:color w:val="auto"/>
              </w:rPr>
            </w:pPr>
          </w:p>
        </w:tc>
        <w:tc>
          <w:tcPr>
            <w:tcW w:w="1100" w:type="dxa"/>
            <w:vAlign w:val="bottom"/>
            <w:shd w:val="clear" w:color="auto" w:fill="0A248E"/>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140" w:type="dxa"/>
            <w:vAlign w:val="bottom"/>
            <w:shd w:val="clear" w:color="auto" w:fill="0A248E"/>
          </w:tcPr>
          <w:p>
            <w:pPr>
              <w:spacing w:after="0"/>
              <w:rPr>
                <w:sz w:val="20"/>
                <w:szCs w:val="20"/>
                <w:color w:val="auto"/>
              </w:rPr>
            </w:pPr>
          </w:p>
        </w:tc>
        <w:tc>
          <w:tcPr>
            <w:tcW w:w="80" w:type="dxa"/>
            <w:vAlign w:val="bottom"/>
            <w:tcBorders>
              <w:left w:val="single" w:sz="8" w:color="0A248E"/>
              <w:right w:val="single" w:sz="8" w:color="0A248E"/>
            </w:tcBorders>
          </w:tcPr>
          <w:p>
            <w:pPr>
              <w:spacing w:after="0"/>
              <w:rPr>
                <w:sz w:val="20"/>
                <w:szCs w:val="20"/>
                <w:color w:val="auto"/>
              </w:rPr>
            </w:pPr>
          </w:p>
        </w:tc>
        <w:tc>
          <w:tcPr>
            <w:tcW w:w="1100" w:type="dxa"/>
            <w:vAlign w:val="bottom"/>
            <w:tcBorders>
              <w:right w:val="single" w:sz="8" w:color="0A248E"/>
            </w:tcBorders>
            <w:vMerge w:val="continue"/>
            <w:shd w:val="clear" w:color="auto" w:fill="0A248E"/>
          </w:tcPr>
          <w:p>
            <w:pPr>
              <w:spacing w:after="0"/>
              <w:rPr>
                <w:sz w:val="20"/>
                <w:szCs w:val="20"/>
                <w:color w:val="auto"/>
              </w:rPr>
            </w:pPr>
          </w:p>
        </w:tc>
        <w:tc>
          <w:tcPr>
            <w:tcW w:w="60" w:type="dxa"/>
            <w:vAlign w:val="bottom"/>
            <w:tcBorders>
              <w:right w:val="single" w:sz="8" w:color="0A248E"/>
            </w:tcBorders>
            <w:shd w:val="clear" w:color="auto" w:fill="0A248E"/>
          </w:tcPr>
          <w:p>
            <w:pPr>
              <w:spacing w:after="0"/>
              <w:rPr>
                <w:sz w:val="20"/>
                <w:szCs w:val="20"/>
                <w:color w:val="auto"/>
              </w:rPr>
            </w:pPr>
          </w:p>
        </w:tc>
        <w:tc>
          <w:tcPr>
            <w:tcW w:w="1100" w:type="dxa"/>
            <w:vAlign w:val="bottom"/>
            <w:vMerge w:val="continue"/>
            <w:shd w:val="clear" w:color="auto" w:fill="0A248E"/>
          </w:tcPr>
          <w:p>
            <w:pPr>
              <w:spacing w:after="0"/>
              <w:rPr>
                <w:sz w:val="20"/>
                <w:szCs w:val="20"/>
                <w:color w:val="auto"/>
              </w:rPr>
            </w:pPr>
          </w:p>
        </w:tc>
        <w:tc>
          <w:tcPr>
            <w:tcW w:w="40" w:type="dxa"/>
            <w:vAlign w:val="bottom"/>
            <w:tcBorders>
              <w:left w:val="single" w:sz="8" w:color="0A248E"/>
            </w:tcBorders>
          </w:tcPr>
          <w:p>
            <w:pPr>
              <w:spacing w:after="0"/>
              <w:rPr>
                <w:sz w:val="20"/>
                <w:szCs w:val="20"/>
                <w:color w:val="auto"/>
              </w:rPr>
            </w:pPr>
          </w:p>
        </w:tc>
        <w:tc>
          <w:tcPr>
            <w:tcW w:w="1420" w:type="dxa"/>
            <w:vAlign w:val="bottom"/>
            <w:shd w:val="clear" w:color="auto" w:fill="0A248E"/>
          </w:tcPr>
          <w:p>
            <w:pPr>
              <w:spacing w:after="0"/>
              <w:rPr>
                <w:sz w:val="20"/>
                <w:szCs w:val="20"/>
                <w:color w:val="auto"/>
              </w:rPr>
            </w:pPr>
          </w:p>
        </w:tc>
        <w:tc>
          <w:tcPr>
            <w:tcW w:w="40" w:type="dxa"/>
            <w:vAlign w:val="bottom"/>
            <w:tcBorders>
              <w:left w:val="single" w:sz="8" w:color="0A248E"/>
            </w:tcBorders>
          </w:tcPr>
          <w:p>
            <w:pPr>
              <w:spacing w:after="0"/>
              <w:rPr>
                <w:sz w:val="20"/>
                <w:szCs w:val="20"/>
                <w:color w:val="auto"/>
              </w:rPr>
            </w:pPr>
          </w:p>
        </w:tc>
        <w:tc>
          <w:tcPr>
            <w:tcW w:w="116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7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Year over</w:t>
            </w:r>
          </w:p>
        </w:tc>
        <w:tc>
          <w:tcPr>
            <w:tcW w:w="20" w:type="dxa"/>
            <w:vAlign w:val="bottom"/>
            <w:shd w:val="clear" w:color="auto" w:fill="0A248E"/>
          </w:tcPr>
          <w:p>
            <w:pPr>
              <w:spacing w:after="0"/>
              <w:rPr>
                <w:sz w:val="16"/>
                <w:szCs w:val="16"/>
                <w:color w:val="auto"/>
              </w:rPr>
            </w:pPr>
          </w:p>
        </w:tc>
        <w:tc>
          <w:tcPr>
            <w:tcW w:w="1140" w:type="dxa"/>
            <w:vAlign w:val="bottom"/>
            <w:shd w:val="clear" w:color="auto" w:fill="0A248E"/>
          </w:tcPr>
          <w:p>
            <w:pPr>
              <w:spacing w:after="0"/>
              <w:rPr>
                <w:sz w:val="16"/>
                <w:szCs w:val="16"/>
                <w:color w:val="auto"/>
              </w:rPr>
            </w:pPr>
          </w:p>
        </w:tc>
        <w:tc>
          <w:tcPr>
            <w:tcW w:w="80" w:type="dxa"/>
            <w:vAlign w:val="bottom"/>
            <w:tcBorders>
              <w:left w:val="single" w:sz="8" w:color="0A248E"/>
              <w:right w:val="single" w:sz="8" w:color="0A248E"/>
            </w:tcBorders>
          </w:tcPr>
          <w:p>
            <w:pPr>
              <w:spacing w:after="0"/>
              <w:rPr>
                <w:sz w:val="16"/>
                <w:szCs w:val="16"/>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Year Change</w:t>
            </w:r>
          </w:p>
        </w:tc>
        <w:tc>
          <w:tcPr>
            <w:tcW w:w="60" w:type="dxa"/>
            <w:vAlign w:val="bottom"/>
            <w:tcBorders>
              <w:right w:val="single" w:sz="8" w:color="0A248E"/>
            </w:tcBorders>
            <w:shd w:val="clear" w:color="auto" w:fill="0A248E"/>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the End of the</w:t>
            </w:r>
          </w:p>
        </w:tc>
        <w:tc>
          <w:tcPr>
            <w:tcW w:w="40" w:type="dxa"/>
            <w:vAlign w:val="bottom"/>
            <w:tcBorders>
              <w:left w:val="single" w:sz="8" w:color="0A248E"/>
            </w:tcBorders>
          </w:tcPr>
          <w:p>
            <w:pPr>
              <w:spacing w:after="0"/>
              <w:rPr>
                <w:sz w:val="16"/>
                <w:szCs w:val="16"/>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shd w:val="clear" w:color="auto" w:fill="0A248E"/>
              </w:rPr>
              <w:t>Value of Dividends</w:t>
            </w:r>
          </w:p>
        </w:tc>
        <w:tc>
          <w:tcPr>
            <w:tcW w:w="40" w:type="dxa"/>
            <w:vAlign w:val="bottom"/>
            <w:tcBorders>
              <w:left w:val="single" w:sz="8" w:color="0A248E"/>
            </w:tcBorders>
          </w:tcPr>
          <w:p>
            <w:pPr>
              <w:spacing w:after="0"/>
              <w:rPr>
                <w:sz w:val="16"/>
                <w:szCs w:val="16"/>
                <w:color w:val="auto"/>
              </w:rPr>
            </w:pPr>
          </w:p>
        </w:tc>
        <w:tc>
          <w:tcPr>
            <w:tcW w:w="1160" w:type="dxa"/>
            <w:vAlign w:val="bottom"/>
            <w:shd w:val="clear" w:color="auto" w:fill="0A248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Year</w:t>
            </w:r>
          </w:p>
        </w:tc>
        <w:tc>
          <w:tcPr>
            <w:tcW w:w="20" w:type="dxa"/>
            <w:vAlign w:val="bottom"/>
            <w:shd w:val="clear" w:color="auto" w:fill="0A248E"/>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Fair Value as</w:t>
            </w:r>
          </w:p>
        </w:tc>
        <w:tc>
          <w:tcPr>
            <w:tcW w:w="80" w:type="dxa"/>
            <w:vAlign w:val="bottom"/>
            <w:tcBorders>
              <w:left w:val="single" w:sz="8" w:color="0A248E"/>
              <w:right w:val="single" w:sz="8" w:color="0A248E"/>
            </w:tcBorders>
          </w:tcPr>
          <w:p>
            <w:pPr>
              <w:spacing w:after="0"/>
              <w:rPr>
                <w:sz w:val="16"/>
                <w:szCs w:val="16"/>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in Fair Value</w:t>
            </w:r>
          </w:p>
        </w:tc>
        <w:tc>
          <w:tcPr>
            <w:tcW w:w="60" w:type="dxa"/>
            <w:vAlign w:val="bottom"/>
            <w:tcBorders>
              <w:right w:val="single" w:sz="8" w:color="0A248E"/>
            </w:tcBorders>
            <w:shd w:val="clear" w:color="auto" w:fill="0A248E"/>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Prior Year of</w:t>
            </w:r>
          </w:p>
        </w:tc>
        <w:tc>
          <w:tcPr>
            <w:tcW w:w="40" w:type="dxa"/>
            <w:vAlign w:val="bottom"/>
            <w:tcBorders>
              <w:left w:val="single" w:sz="8" w:color="0A248E"/>
            </w:tcBorders>
          </w:tcPr>
          <w:p>
            <w:pPr>
              <w:spacing w:after="0"/>
              <w:rPr>
                <w:sz w:val="16"/>
                <w:szCs w:val="16"/>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or other Earnings</w:t>
            </w:r>
          </w:p>
        </w:tc>
        <w:tc>
          <w:tcPr>
            <w:tcW w:w="40" w:type="dxa"/>
            <w:vAlign w:val="bottom"/>
            <w:tcBorders>
              <w:left w:val="single" w:sz="8" w:color="0A248E"/>
            </w:tcBorders>
          </w:tcPr>
          <w:p>
            <w:pPr>
              <w:spacing w:after="0"/>
              <w:rPr>
                <w:sz w:val="16"/>
                <w:szCs w:val="16"/>
                <w:color w:val="auto"/>
              </w:rPr>
            </w:pPr>
          </w:p>
        </w:tc>
        <w:tc>
          <w:tcPr>
            <w:tcW w:w="1160" w:type="dxa"/>
            <w:vAlign w:val="bottom"/>
            <w:shd w:val="clear" w:color="auto" w:fill="0A248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20" w:type="dxa"/>
            <w:vAlign w:val="bottom"/>
            <w:shd w:val="clear" w:color="auto" w:fill="0A248E"/>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0A248E"/>
          </w:tcPr>
          <w:p>
            <w:pPr>
              <w:spacing w:after="0"/>
              <w:rPr>
                <w:sz w:val="17"/>
                <w:szCs w:val="17"/>
                <w:color w:val="auto"/>
              </w:rPr>
            </w:pPr>
          </w:p>
        </w:tc>
        <w:tc>
          <w:tcPr>
            <w:tcW w:w="40" w:type="dxa"/>
            <w:vAlign w:val="bottom"/>
            <w:tcBorders>
              <w:left w:val="single" w:sz="8" w:color="0A248E"/>
            </w:tcBorders>
          </w:tcPr>
          <w:p>
            <w:pPr>
              <w:spacing w:after="0"/>
              <w:rPr>
                <w:sz w:val="17"/>
                <w:szCs w:val="17"/>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Change in Fair</w:t>
            </w:r>
          </w:p>
        </w:tc>
        <w:tc>
          <w:tcPr>
            <w:tcW w:w="20" w:type="dxa"/>
            <w:vAlign w:val="bottom"/>
            <w:shd w:val="clear" w:color="auto" w:fill="0A248E"/>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of Vesting</w:t>
            </w:r>
          </w:p>
        </w:tc>
        <w:tc>
          <w:tcPr>
            <w:tcW w:w="80" w:type="dxa"/>
            <w:vAlign w:val="bottom"/>
            <w:tcBorders>
              <w:left w:val="single" w:sz="8" w:color="0A248E"/>
              <w:right w:val="single" w:sz="8" w:color="0A248E"/>
            </w:tcBorders>
          </w:tcPr>
          <w:p>
            <w:pPr>
              <w:spacing w:after="0"/>
              <w:rPr>
                <w:sz w:val="17"/>
                <w:szCs w:val="17"/>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of Equity</w:t>
            </w:r>
          </w:p>
        </w:tc>
        <w:tc>
          <w:tcPr>
            <w:tcW w:w="60" w:type="dxa"/>
            <w:vAlign w:val="bottom"/>
            <w:tcBorders>
              <w:right w:val="single" w:sz="8" w:color="0A248E"/>
            </w:tcBorders>
            <w:shd w:val="clear" w:color="auto" w:fill="0A248E"/>
          </w:tcPr>
          <w:p>
            <w:pPr>
              <w:spacing w:after="0"/>
              <w:rPr>
                <w:sz w:val="17"/>
                <w:szCs w:val="17"/>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Equity</w:t>
            </w:r>
          </w:p>
        </w:tc>
        <w:tc>
          <w:tcPr>
            <w:tcW w:w="40" w:type="dxa"/>
            <w:vAlign w:val="bottom"/>
            <w:tcBorders>
              <w:left w:val="single" w:sz="8" w:color="0A248E"/>
            </w:tcBorders>
          </w:tcPr>
          <w:p>
            <w:pPr>
              <w:spacing w:after="0"/>
              <w:rPr>
                <w:sz w:val="17"/>
                <w:szCs w:val="17"/>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Paid on Stock or</w:t>
            </w:r>
          </w:p>
        </w:tc>
        <w:tc>
          <w:tcPr>
            <w:tcW w:w="40" w:type="dxa"/>
            <w:vAlign w:val="bottom"/>
            <w:tcBorders>
              <w:left w:val="single" w:sz="8" w:color="0A248E"/>
            </w:tcBorders>
          </w:tcPr>
          <w:p>
            <w:pPr>
              <w:spacing w:after="0"/>
              <w:rPr>
                <w:sz w:val="17"/>
                <w:szCs w:val="17"/>
                <w:color w:val="auto"/>
              </w:rPr>
            </w:pPr>
          </w:p>
        </w:tc>
        <w:tc>
          <w:tcPr>
            <w:tcW w:w="1160" w:type="dxa"/>
            <w:vAlign w:val="bottom"/>
            <w:shd w:val="clear" w:color="auto" w:fill="0A248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9"/>
              </w:rPr>
              <w:t>Value of</w:t>
            </w:r>
          </w:p>
        </w:tc>
        <w:tc>
          <w:tcPr>
            <w:tcW w:w="20" w:type="dxa"/>
            <w:vAlign w:val="bottom"/>
            <w:shd w:val="clear" w:color="auto" w:fill="0A248E"/>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Date of Equity</w:t>
            </w:r>
          </w:p>
        </w:tc>
        <w:tc>
          <w:tcPr>
            <w:tcW w:w="80" w:type="dxa"/>
            <w:vAlign w:val="bottom"/>
            <w:tcBorders>
              <w:left w:val="single" w:sz="8" w:color="0A248E"/>
              <w:right w:val="single" w:sz="8" w:color="0A248E"/>
            </w:tcBorders>
          </w:tcPr>
          <w:p>
            <w:pPr>
              <w:spacing w:after="0"/>
              <w:rPr>
                <w:sz w:val="16"/>
                <w:szCs w:val="16"/>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Awards</w:t>
            </w:r>
          </w:p>
        </w:tc>
        <w:tc>
          <w:tcPr>
            <w:tcW w:w="60" w:type="dxa"/>
            <w:vAlign w:val="bottom"/>
            <w:tcBorders>
              <w:right w:val="single" w:sz="8" w:color="0A248E"/>
            </w:tcBorders>
            <w:shd w:val="clear" w:color="auto" w:fill="0A248E"/>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Awards that</w:t>
            </w:r>
          </w:p>
        </w:tc>
        <w:tc>
          <w:tcPr>
            <w:tcW w:w="40" w:type="dxa"/>
            <w:vAlign w:val="bottom"/>
            <w:tcBorders>
              <w:left w:val="single" w:sz="8" w:color="0A248E"/>
            </w:tcBorders>
          </w:tcPr>
          <w:p>
            <w:pPr>
              <w:spacing w:after="0"/>
              <w:rPr>
                <w:sz w:val="16"/>
                <w:szCs w:val="16"/>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Option Awards not</w:t>
            </w:r>
          </w:p>
        </w:tc>
        <w:tc>
          <w:tcPr>
            <w:tcW w:w="40" w:type="dxa"/>
            <w:vAlign w:val="bottom"/>
            <w:tcBorders>
              <w:left w:val="single" w:sz="8" w:color="0A248E"/>
            </w:tcBorders>
          </w:tcPr>
          <w:p>
            <w:pPr>
              <w:spacing w:after="0"/>
              <w:rPr>
                <w:sz w:val="16"/>
                <w:szCs w:val="16"/>
                <w:color w:val="auto"/>
              </w:rPr>
            </w:pPr>
          </w:p>
        </w:tc>
        <w:tc>
          <w:tcPr>
            <w:tcW w:w="11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4"/>
              </w:rPr>
              <w:t>Total</w:t>
            </w:r>
          </w:p>
        </w:tc>
        <w:tc>
          <w:tcPr>
            <w:tcW w:w="0" w:type="dxa"/>
            <w:vAlign w:val="bottom"/>
          </w:tcPr>
          <w:p>
            <w:pPr>
              <w:spacing w:after="0"/>
              <w:rPr>
                <w:sz w:val="1"/>
                <w:szCs w:val="1"/>
                <w:color w:val="auto"/>
              </w:rPr>
            </w:pPr>
          </w:p>
        </w:tc>
      </w:tr>
      <w:tr>
        <w:trPr>
          <w:trHeight w:val="192"/>
        </w:trPr>
        <w:tc>
          <w:tcPr>
            <w:tcW w:w="7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Year End</w:t>
            </w:r>
          </w:p>
        </w:tc>
        <w:tc>
          <w:tcPr>
            <w:tcW w:w="40" w:type="dxa"/>
            <w:vAlign w:val="bottom"/>
            <w:tcBorders>
              <w:left w:val="single" w:sz="8" w:color="0A248E"/>
            </w:tcBorders>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Outstanding</w:t>
            </w:r>
          </w:p>
        </w:tc>
        <w:tc>
          <w:tcPr>
            <w:tcW w:w="20" w:type="dxa"/>
            <w:vAlign w:val="bottom"/>
            <w:shd w:val="clear" w:color="auto" w:fill="0A248E"/>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Awards</w:t>
            </w:r>
          </w:p>
        </w:tc>
        <w:tc>
          <w:tcPr>
            <w:tcW w:w="80" w:type="dxa"/>
            <w:vAlign w:val="bottom"/>
            <w:tcBorders>
              <w:left w:val="single" w:sz="8" w:color="0A248E"/>
              <w:right w:val="single" w:sz="8" w:color="0A248E"/>
            </w:tcBorders>
          </w:tcPr>
          <w:p>
            <w:pPr>
              <w:spacing w:after="0"/>
              <w:rPr>
                <w:sz w:val="16"/>
                <w:szCs w:val="16"/>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Granted in</w:t>
            </w:r>
          </w:p>
        </w:tc>
        <w:tc>
          <w:tcPr>
            <w:tcW w:w="60" w:type="dxa"/>
            <w:vAlign w:val="bottom"/>
            <w:tcBorders>
              <w:right w:val="single" w:sz="8" w:color="0A248E"/>
            </w:tcBorders>
            <w:shd w:val="clear" w:color="auto" w:fill="0A248E"/>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Failed to Meet</w:t>
            </w:r>
          </w:p>
        </w:tc>
        <w:tc>
          <w:tcPr>
            <w:tcW w:w="40" w:type="dxa"/>
            <w:vAlign w:val="bottom"/>
            <w:tcBorders>
              <w:left w:val="single" w:sz="8" w:color="0A248E"/>
            </w:tcBorders>
          </w:tcPr>
          <w:p>
            <w:pPr>
              <w:spacing w:after="0"/>
              <w:rPr>
                <w:sz w:val="16"/>
                <w:szCs w:val="16"/>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Otherwise</w:t>
            </w:r>
          </w:p>
        </w:tc>
        <w:tc>
          <w:tcPr>
            <w:tcW w:w="40" w:type="dxa"/>
            <w:vAlign w:val="bottom"/>
            <w:tcBorders>
              <w:left w:val="single" w:sz="8" w:color="0A248E"/>
            </w:tcBorders>
          </w:tcPr>
          <w:p>
            <w:pPr>
              <w:spacing w:after="0"/>
              <w:rPr>
                <w:sz w:val="16"/>
                <w:szCs w:val="16"/>
                <w:color w:val="auto"/>
              </w:rPr>
            </w:pPr>
          </w:p>
        </w:tc>
        <w:tc>
          <w:tcPr>
            <w:tcW w:w="11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197"/>
        </w:trPr>
        <w:tc>
          <w:tcPr>
            <w:tcW w:w="720" w:type="dxa"/>
            <w:vAlign w:val="bottom"/>
            <w:shd w:val="clear" w:color="auto" w:fill="0A248E"/>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Fair Value</w:t>
            </w:r>
          </w:p>
        </w:tc>
        <w:tc>
          <w:tcPr>
            <w:tcW w:w="40" w:type="dxa"/>
            <w:vAlign w:val="bottom"/>
            <w:tcBorders>
              <w:left w:val="single" w:sz="8" w:color="0A248E"/>
            </w:tcBorders>
          </w:tcPr>
          <w:p>
            <w:pPr>
              <w:spacing w:after="0"/>
              <w:rPr>
                <w:sz w:val="17"/>
                <w:szCs w:val="17"/>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and Unvested</w:t>
            </w:r>
          </w:p>
        </w:tc>
        <w:tc>
          <w:tcPr>
            <w:tcW w:w="20" w:type="dxa"/>
            <w:vAlign w:val="bottom"/>
            <w:shd w:val="clear" w:color="auto" w:fill="0A248E"/>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Granted and</w:t>
            </w:r>
          </w:p>
        </w:tc>
        <w:tc>
          <w:tcPr>
            <w:tcW w:w="80" w:type="dxa"/>
            <w:vAlign w:val="bottom"/>
            <w:tcBorders>
              <w:left w:val="single" w:sz="8" w:color="0A248E"/>
              <w:right w:val="single" w:sz="8" w:color="0A248E"/>
            </w:tcBorders>
          </w:tcPr>
          <w:p>
            <w:pPr>
              <w:spacing w:after="0"/>
              <w:rPr>
                <w:sz w:val="17"/>
                <w:szCs w:val="17"/>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Prior Years</w:t>
            </w:r>
          </w:p>
        </w:tc>
        <w:tc>
          <w:tcPr>
            <w:tcW w:w="60" w:type="dxa"/>
            <w:vAlign w:val="bottom"/>
            <w:tcBorders>
              <w:right w:val="single" w:sz="8" w:color="0A248E"/>
            </w:tcBorders>
            <w:shd w:val="clear" w:color="auto" w:fill="0A248E"/>
          </w:tcPr>
          <w:p>
            <w:pPr>
              <w:spacing w:after="0"/>
              <w:rPr>
                <w:sz w:val="17"/>
                <w:szCs w:val="17"/>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Vesting</w:t>
            </w:r>
          </w:p>
        </w:tc>
        <w:tc>
          <w:tcPr>
            <w:tcW w:w="40" w:type="dxa"/>
            <w:vAlign w:val="bottom"/>
            <w:tcBorders>
              <w:left w:val="single" w:sz="8" w:color="0A248E"/>
            </w:tcBorders>
          </w:tcPr>
          <w:p>
            <w:pPr>
              <w:spacing w:after="0"/>
              <w:rPr>
                <w:sz w:val="17"/>
                <w:szCs w:val="17"/>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Reflected in Fair</w:t>
            </w:r>
          </w:p>
        </w:tc>
        <w:tc>
          <w:tcPr>
            <w:tcW w:w="40" w:type="dxa"/>
            <w:vAlign w:val="bottom"/>
            <w:tcBorders>
              <w:left w:val="single" w:sz="8" w:color="0A248E"/>
            </w:tcBorders>
          </w:tcPr>
          <w:p>
            <w:pPr>
              <w:spacing w:after="0"/>
              <w:rPr>
                <w:sz w:val="17"/>
                <w:szCs w:val="17"/>
                <w:color w:val="auto"/>
              </w:rPr>
            </w:pPr>
          </w:p>
        </w:tc>
        <w:tc>
          <w:tcPr>
            <w:tcW w:w="11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Award</w:t>
            </w:r>
          </w:p>
        </w:tc>
        <w:tc>
          <w:tcPr>
            <w:tcW w:w="0" w:type="dxa"/>
            <w:vAlign w:val="bottom"/>
          </w:tcPr>
          <w:p>
            <w:pPr>
              <w:spacing w:after="0"/>
              <w:rPr>
                <w:sz w:val="1"/>
                <w:szCs w:val="1"/>
                <w:color w:val="auto"/>
              </w:rPr>
            </w:pPr>
          </w:p>
        </w:tc>
      </w:tr>
      <w:tr>
        <w:trPr>
          <w:trHeight w:val="192"/>
        </w:trPr>
        <w:tc>
          <w:tcPr>
            <w:tcW w:w="7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of Equity</w:t>
            </w:r>
          </w:p>
        </w:tc>
        <w:tc>
          <w:tcPr>
            <w:tcW w:w="40" w:type="dxa"/>
            <w:vAlign w:val="bottom"/>
            <w:tcBorders>
              <w:left w:val="single" w:sz="8" w:color="0A248E"/>
            </w:tcBorders>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Equity</w:t>
            </w:r>
          </w:p>
        </w:tc>
        <w:tc>
          <w:tcPr>
            <w:tcW w:w="20" w:type="dxa"/>
            <w:vAlign w:val="bottom"/>
            <w:shd w:val="clear" w:color="auto" w:fill="0A248E"/>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Vested in the</w:t>
            </w:r>
          </w:p>
        </w:tc>
        <w:tc>
          <w:tcPr>
            <w:tcW w:w="80" w:type="dxa"/>
            <w:vAlign w:val="bottom"/>
            <w:tcBorders>
              <w:left w:val="single" w:sz="8" w:color="0A248E"/>
              <w:right w:val="single" w:sz="8" w:color="0A248E"/>
            </w:tcBorders>
          </w:tcPr>
          <w:p>
            <w:pPr>
              <w:spacing w:after="0"/>
              <w:rPr>
                <w:sz w:val="16"/>
                <w:szCs w:val="16"/>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that Vested in</w:t>
            </w:r>
          </w:p>
        </w:tc>
        <w:tc>
          <w:tcPr>
            <w:tcW w:w="60" w:type="dxa"/>
            <w:vAlign w:val="bottom"/>
            <w:tcBorders>
              <w:right w:val="single" w:sz="8" w:color="0A248E"/>
            </w:tcBorders>
            <w:shd w:val="clear" w:color="auto" w:fill="0A248E"/>
          </w:tcPr>
          <w:p>
            <w:pPr>
              <w:spacing w:after="0"/>
              <w:rPr>
                <w:sz w:val="16"/>
                <w:szCs w:val="16"/>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Conditions in</w:t>
            </w:r>
          </w:p>
        </w:tc>
        <w:tc>
          <w:tcPr>
            <w:tcW w:w="40" w:type="dxa"/>
            <w:vAlign w:val="bottom"/>
            <w:tcBorders>
              <w:left w:val="single" w:sz="8" w:color="0A248E"/>
            </w:tcBorders>
          </w:tcPr>
          <w:p>
            <w:pPr>
              <w:spacing w:after="0"/>
              <w:rPr>
                <w:sz w:val="16"/>
                <w:szCs w:val="16"/>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Value or Total</w:t>
            </w:r>
          </w:p>
        </w:tc>
        <w:tc>
          <w:tcPr>
            <w:tcW w:w="40" w:type="dxa"/>
            <w:vAlign w:val="bottom"/>
            <w:tcBorders>
              <w:left w:val="single" w:sz="8" w:color="0A248E"/>
            </w:tcBorders>
          </w:tcPr>
          <w:p>
            <w:pPr>
              <w:spacing w:after="0"/>
              <w:rPr>
                <w:sz w:val="16"/>
                <w:szCs w:val="16"/>
                <w:color w:val="auto"/>
              </w:rPr>
            </w:pPr>
          </w:p>
        </w:tc>
        <w:tc>
          <w:tcPr>
            <w:tcW w:w="11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9"/>
              </w:rPr>
              <w:t>Adjustments</w:t>
            </w:r>
          </w:p>
        </w:tc>
        <w:tc>
          <w:tcPr>
            <w:tcW w:w="0" w:type="dxa"/>
            <w:vAlign w:val="bottom"/>
          </w:tcPr>
          <w:p>
            <w:pPr>
              <w:spacing w:after="0"/>
              <w:rPr>
                <w:sz w:val="1"/>
                <w:szCs w:val="1"/>
                <w:color w:val="auto"/>
              </w:rPr>
            </w:pPr>
          </w:p>
        </w:tc>
      </w:tr>
      <w:tr>
        <w:trPr>
          <w:trHeight w:val="228"/>
        </w:trPr>
        <w:tc>
          <w:tcPr>
            <w:tcW w:w="720" w:type="dxa"/>
            <w:vAlign w:val="bottom"/>
            <w:shd w:val="clear" w:color="auto" w:fill="0A248E"/>
          </w:tcPr>
          <w:p>
            <w:pPr>
              <w:ind w:left="100"/>
              <w:spacing w:after="0"/>
              <w:rPr>
                <w:sz w:val="20"/>
                <w:szCs w:val="20"/>
                <w:color w:val="auto"/>
              </w:rPr>
            </w:pPr>
            <w:r>
              <w:rPr>
                <w:rFonts w:ascii="Arial" w:cs="Arial" w:eastAsia="Arial" w:hAnsi="Arial"/>
                <w:sz w:val="15"/>
                <w:szCs w:val="15"/>
                <w:b w:val="1"/>
                <w:bCs w:val="1"/>
                <w:color w:val="FFFFFF"/>
              </w:rPr>
              <w:t>Year</w:t>
            </w:r>
          </w:p>
        </w:tc>
        <w:tc>
          <w:tcPr>
            <w:tcW w:w="20" w:type="dxa"/>
            <w:vAlign w:val="bottom"/>
          </w:tcPr>
          <w:p>
            <w:pPr>
              <w:spacing w:after="0"/>
              <w:rPr>
                <w:sz w:val="19"/>
                <w:szCs w:val="19"/>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Awards ($)</w:t>
            </w:r>
          </w:p>
        </w:tc>
        <w:tc>
          <w:tcPr>
            <w:tcW w:w="40" w:type="dxa"/>
            <w:vAlign w:val="bottom"/>
            <w:tcBorders>
              <w:left w:val="single" w:sz="8" w:color="0A248E"/>
            </w:tcBorders>
          </w:tcPr>
          <w:p>
            <w:pPr>
              <w:spacing w:after="0"/>
              <w:rPr>
                <w:sz w:val="19"/>
                <w:szCs w:val="19"/>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Awards ($)</w:t>
            </w:r>
          </w:p>
        </w:tc>
        <w:tc>
          <w:tcPr>
            <w:tcW w:w="20" w:type="dxa"/>
            <w:vAlign w:val="bottom"/>
            <w:shd w:val="clear" w:color="auto" w:fill="0A248E"/>
          </w:tcPr>
          <w:p>
            <w:pPr>
              <w:spacing w:after="0"/>
              <w:rPr>
                <w:sz w:val="19"/>
                <w:szCs w:val="19"/>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Year ($)</w:t>
            </w:r>
          </w:p>
        </w:tc>
        <w:tc>
          <w:tcPr>
            <w:tcW w:w="80" w:type="dxa"/>
            <w:vAlign w:val="bottom"/>
            <w:tcBorders>
              <w:left w:val="single" w:sz="8" w:color="0A248E"/>
              <w:right w:val="single" w:sz="8" w:color="0A248E"/>
            </w:tcBorders>
          </w:tcPr>
          <w:p>
            <w:pPr>
              <w:spacing w:after="0"/>
              <w:rPr>
                <w:sz w:val="19"/>
                <w:szCs w:val="19"/>
                <w:color w:val="auto"/>
              </w:rPr>
            </w:pPr>
          </w:p>
        </w:tc>
        <w:tc>
          <w:tcPr>
            <w:tcW w:w="110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the Year ($)</w:t>
            </w:r>
          </w:p>
        </w:tc>
        <w:tc>
          <w:tcPr>
            <w:tcW w:w="60" w:type="dxa"/>
            <w:vAlign w:val="bottom"/>
            <w:tcBorders>
              <w:right w:val="single" w:sz="8" w:color="0A248E"/>
            </w:tcBorders>
            <w:shd w:val="clear" w:color="auto" w:fill="0A248E"/>
          </w:tcPr>
          <w:p>
            <w:pPr>
              <w:spacing w:after="0"/>
              <w:rPr>
                <w:sz w:val="19"/>
                <w:szCs w:val="19"/>
                <w:color w:val="auto"/>
              </w:rPr>
            </w:pPr>
          </w:p>
        </w:tc>
        <w:tc>
          <w:tcPr>
            <w:tcW w:w="110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the Year ($)</w:t>
            </w:r>
          </w:p>
        </w:tc>
        <w:tc>
          <w:tcPr>
            <w:tcW w:w="40" w:type="dxa"/>
            <w:vAlign w:val="bottom"/>
            <w:tcBorders>
              <w:left w:val="single" w:sz="8" w:color="0A248E"/>
            </w:tcBorders>
          </w:tcPr>
          <w:p>
            <w:pPr>
              <w:spacing w:after="0"/>
              <w:rPr>
                <w:sz w:val="19"/>
                <w:szCs w:val="19"/>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Compensation ($)</w:t>
            </w:r>
          </w:p>
        </w:tc>
        <w:tc>
          <w:tcPr>
            <w:tcW w:w="40" w:type="dxa"/>
            <w:vAlign w:val="bottom"/>
            <w:tcBorders>
              <w:left w:val="single" w:sz="8" w:color="0A248E"/>
            </w:tcBorders>
          </w:tcPr>
          <w:p>
            <w:pPr>
              <w:spacing w:after="0"/>
              <w:rPr>
                <w:sz w:val="19"/>
                <w:szCs w:val="19"/>
                <w:color w:val="auto"/>
              </w:rPr>
            </w:pPr>
          </w:p>
        </w:tc>
        <w:tc>
          <w:tcPr>
            <w:tcW w:w="116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w:t>
            </w:r>
          </w:p>
        </w:tc>
        <w:tc>
          <w:tcPr>
            <w:tcW w:w="0" w:type="dxa"/>
            <w:vAlign w:val="bottom"/>
          </w:tcPr>
          <w:p>
            <w:pPr>
              <w:spacing w:after="0"/>
              <w:rPr>
                <w:sz w:val="1"/>
                <w:szCs w:val="1"/>
                <w:color w:val="auto"/>
              </w:rPr>
            </w:pPr>
          </w:p>
        </w:tc>
      </w:tr>
      <w:tr>
        <w:trPr>
          <w:trHeight w:val="61"/>
        </w:trPr>
        <w:tc>
          <w:tcPr>
            <w:tcW w:w="72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80" w:type="dxa"/>
            <w:vAlign w:val="bottom"/>
            <w:tcBorders>
              <w:right w:val="single" w:sz="8" w:color="0A248E"/>
            </w:tcBorders>
          </w:tcPr>
          <w:p>
            <w:pPr>
              <w:spacing w:after="0"/>
              <w:rPr>
                <w:sz w:val="5"/>
                <w:szCs w:val="5"/>
                <w:color w:val="auto"/>
              </w:rPr>
            </w:pPr>
          </w:p>
        </w:tc>
        <w:tc>
          <w:tcPr>
            <w:tcW w:w="1100" w:type="dxa"/>
            <w:vAlign w:val="bottom"/>
            <w:tcBorders>
              <w:right w:val="single" w:sz="8" w:color="0A248E"/>
            </w:tcBorders>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110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7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5"/>
                <w:szCs w:val="15"/>
                <w:color w:val="auto"/>
              </w:rPr>
              <w:t>2025</w:t>
            </w:r>
          </w:p>
        </w:tc>
        <w:tc>
          <w:tcPr>
            <w:tcW w:w="20" w:type="dxa"/>
            <w:vAlign w:val="bottom"/>
          </w:tcPr>
          <w:p>
            <w:pPr>
              <w:spacing w:after="0"/>
              <w:rPr>
                <w:sz w:val="20"/>
                <w:szCs w:val="20"/>
                <w:color w:val="auto"/>
              </w:rPr>
            </w:pPr>
          </w:p>
        </w:tc>
        <w:tc>
          <w:tcPr>
            <w:tcW w:w="9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40" w:type="dxa"/>
            <w:vAlign w:val="bottom"/>
            <w:tcBorders>
              <w:left w:val="single" w:sz="8" w:color="E6E6E6"/>
            </w:tcBorders>
          </w:tcPr>
          <w:p>
            <w:pPr>
              <w:spacing w:after="0"/>
              <w:rPr>
                <w:sz w:val="20"/>
                <w:szCs w:val="20"/>
                <w:color w:val="auto"/>
              </w:rPr>
            </w:pPr>
          </w:p>
        </w:tc>
        <w:tc>
          <w:tcPr>
            <w:tcW w:w="11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-44,590,916</w:t>
            </w:r>
          </w:p>
        </w:tc>
        <w:tc>
          <w:tcPr>
            <w:tcW w:w="20" w:type="dxa"/>
            <w:vAlign w:val="bottom"/>
            <w:tcBorders>
              <w:bottom w:val="single" w:sz="8" w:color="E6E6E6"/>
            </w:tcBorders>
            <w:shd w:val="clear" w:color="auto" w:fill="E6E6E6"/>
          </w:tcPr>
          <w:p>
            <w:pPr>
              <w:spacing w:after="0"/>
              <w:rPr>
                <w:sz w:val="20"/>
                <w:szCs w:val="20"/>
                <w:color w:val="auto"/>
              </w:rPr>
            </w:pPr>
          </w:p>
        </w:tc>
        <w:tc>
          <w:tcPr>
            <w:tcW w:w="1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80" w:type="dxa"/>
            <w:vAlign w:val="bottom"/>
            <w:tcBorders>
              <w:left w:val="single" w:sz="8" w:color="E6E6E6"/>
              <w:right w:val="single" w:sz="8" w:color="E6E6E6"/>
            </w:tcBorders>
          </w:tcPr>
          <w:p>
            <w:pPr>
              <w:spacing w:after="0"/>
              <w:rPr>
                <w:sz w:val="20"/>
                <w:szCs w:val="20"/>
                <w:color w:val="auto"/>
              </w:rPr>
            </w:pPr>
          </w:p>
        </w:tc>
        <w:tc>
          <w:tcPr>
            <w:tcW w:w="11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60" w:type="dxa"/>
            <w:vAlign w:val="bottom"/>
            <w:tcBorders>
              <w:bottom w:val="single" w:sz="8" w:color="E6E6E6"/>
              <w:right w:val="single" w:sz="8" w:color="E6E6E6"/>
            </w:tcBorders>
            <w:shd w:val="clear" w:color="auto" w:fill="E6E6E6"/>
          </w:tcPr>
          <w:p>
            <w:pPr>
              <w:spacing w:after="0"/>
              <w:rPr>
                <w:sz w:val="20"/>
                <w:szCs w:val="20"/>
                <w:color w:val="auto"/>
              </w:rPr>
            </w:pPr>
          </w:p>
        </w:tc>
        <w:tc>
          <w:tcPr>
            <w:tcW w:w="11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40" w:type="dxa"/>
            <w:vAlign w:val="bottom"/>
            <w:tcBorders>
              <w:left w:val="single" w:sz="8" w:color="E6E6E6"/>
            </w:tcBorders>
          </w:tcPr>
          <w:p>
            <w:pPr>
              <w:spacing w:after="0"/>
              <w:rPr>
                <w:sz w:val="20"/>
                <w:szCs w:val="20"/>
                <w:color w:val="auto"/>
              </w:rPr>
            </w:pPr>
          </w:p>
        </w:tc>
        <w:tc>
          <w:tcPr>
            <w:tcW w:w="14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0</w:t>
            </w:r>
          </w:p>
        </w:tc>
        <w:tc>
          <w:tcPr>
            <w:tcW w:w="40" w:type="dxa"/>
            <w:vAlign w:val="bottom"/>
            <w:tcBorders>
              <w:left w:val="single" w:sz="8" w:color="E6E6E6"/>
            </w:tcBorders>
          </w:tcPr>
          <w:p>
            <w:pPr>
              <w:spacing w:after="0"/>
              <w:rPr>
                <w:sz w:val="20"/>
                <w:szCs w:val="20"/>
                <w:color w:val="auto"/>
              </w:rPr>
            </w:pPr>
          </w:p>
        </w:tc>
        <w:tc>
          <w:tcPr>
            <w:tcW w:w="1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-44,590,916</w:t>
            </w:r>
          </w:p>
        </w:tc>
        <w:tc>
          <w:tcPr>
            <w:tcW w:w="0" w:type="dxa"/>
            <w:vAlign w:val="bottom"/>
          </w:tcPr>
          <w:p>
            <w:pPr>
              <w:spacing w:after="0"/>
              <w:rPr>
                <w:sz w:val="1"/>
                <w:szCs w:val="1"/>
                <w:color w:val="auto"/>
              </w:rPr>
            </w:pPr>
          </w:p>
        </w:tc>
      </w:tr>
      <w:tr>
        <w:trPr>
          <w:trHeight w:val="261"/>
        </w:trPr>
        <w:tc>
          <w:tcPr>
            <w:tcW w:w="720" w:type="dxa"/>
            <w:vAlign w:val="bottom"/>
          </w:tcPr>
          <w:p>
            <w:pPr>
              <w:ind w:left="100"/>
              <w:spacing w:after="0"/>
              <w:rPr>
                <w:sz w:val="20"/>
                <w:szCs w:val="20"/>
                <w:color w:val="auto"/>
              </w:rPr>
            </w:pPr>
            <w:r>
              <w:rPr>
                <w:rFonts w:ascii="Arial" w:cs="Arial" w:eastAsia="Arial" w:hAnsi="Arial"/>
                <w:sz w:val="15"/>
                <w:szCs w:val="15"/>
                <w:color w:val="auto"/>
              </w:rPr>
              <w:t>2024</w:t>
            </w:r>
          </w:p>
        </w:tc>
        <w:tc>
          <w:tcPr>
            <w:tcW w:w="96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0</w:t>
            </w:r>
          </w:p>
        </w:tc>
        <w:tc>
          <w:tcPr>
            <w:tcW w:w="1140" w:type="dxa"/>
            <w:vAlign w:val="bottom"/>
            <w:gridSpan w:val="2"/>
          </w:tcPr>
          <w:p>
            <w:pPr>
              <w:jc w:val="center"/>
              <w:spacing w:after="0"/>
              <w:rPr>
                <w:sz w:val="20"/>
                <w:szCs w:val="20"/>
                <w:color w:val="auto"/>
              </w:rPr>
            </w:pPr>
            <w:r>
              <w:rPr>
                <w:rFonts w:ascii="Arial" w:cs="Arial" w:eastAsia="Arial" w:hAnsi="Arial"/>
                <w:sz w:val="15"/>
                <w:szCs w:val="15"/>
                <w:color w:val="auto"/>
              </w:rPr>
              <w:t>-17,921,820</w:t>
            </w:r>
          </w:p>
        </w:tc>
        <w:tc>
          <w:tcPr>
            <w:tcW w:w="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5"/>
              </w:rPr>
              <w:t>0</w:t>
            </w:r>
          </w:p>
        </w:tc>
        <w:tc>
          <w:tcPr>
            <w:tcW w:w="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460" w:type="dxa"/>
            <w:vAlign w:val="bottom"/>
            <w:gridSpan w:val="2"/>
          </w:tcPr>
          <w:p>
            <w:pPr>
              <w:jc w:val="center"/>
              <w:ind w:left="3"/>
              <w:spacing w:after="0"/>
              <w:rPr>
                <w:sz w:val="20"/>
                <w:szCs w:val="20"/>
                <w:color w:val="auto"/>
              </w:rPr>
            </w:pPr>
            <w:r>
              <w:rPr>
                <w:rFonts w:ascii="Arial" w:cs="Arial" w:eastAsia="Arial" w:hAnsi="Arial"/>
                <w:sz w:val="15"/>
                <w:szCs w:val="15"/>
                <w:color w:val="auto"/>
              </w:rPr>
              <w:t>0</w:t>
            </w:r>
          </w:p>
        </w:tc>
        <w:tc>
          <w:tcPr>
            <w:tcW w:w="1200" w:type="dxa"/>
            <w:vAlign w:val="bottom"/>
            <w:gridSpan w:val="2"/>
          </w:tcPr>
          <w:p>
            <w:pPr>
              <w:jc w:val="center"/>
              <w:spacing w:after="0"/>
              <w:rPr>
                <w:sz w:val="20"/>
                <w:szCs w:val="20"/>
                <w:color w:val="auto"/>
              </w:rPr>
            </w:pPr>
            <w:r>
              <w:rPr>
                <w:rFonts w:ascii="Arial" w:cs="Arial" w:eastAsia="Arial" w:hAnsi="Arial"/>
                <w:sz w:val="15"/>
                <w:szCs w:val="15"/>
                <w:color w:val="auto"/>
              </w:rPr>
              <w:t>-17,921,820</w:t>
            </w: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5"/>
                <w:szCs w:val="15"/>
                <w:color w:val="auto"/>
              </w:rPr>
              <w:t>2023</w:t>
            </w:r>
          </w:p>
        </w:tc>
        <w:tc>
          <w:tcPr>
            <w:tcW w:w="20" w:type="dxa"/>
            <w:vAlign w:val="bottom"/>
          </w:tcPr>
          <w:p>
            <w:pPr>
              <w:spacing w:after="0"/>
              <w:rPr>
                <w:sz w:val="23"/>
                <w:szCs w:val="23"/>
                <w:color w:val="auto"/>
              </w:rPr>
            </w:pPr>
          </w:p>
        </w:tc>
        <w:tc>
          <w:tcPr>
            <w:tcW w:w="9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40" w:type="dxa"/>
            <w:vAlign w:val="bottom"/>
            <w:tcBorders>
              <w:left w:val="single" w:sz="8" w:color="E6E6E6"/>
            </w:tcBorders>
          </w:tcPr>
          <w:p>
            <w:pPr>
              <w:spacing w:after="0"/>
              <w:rPr>
                <w:sz w:val="23"/>
                <w:szCs w:val="23"/>
                <w:color w:val="auto"/>
              </w:rPr>
            </w:pPr>
          </w:p>
        </w:tc>
        <w:tc>
          <w:tcPr>
            <w:tcW w:w="11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17,918,311</w:t>
            </w:r>
          </w:p>
        </w:tc>
        <w:tc>
          <w:tcPr>
            <w:tcW w:w="20" w:type="dxa"/>
            <w:vAlign w:val="bottom"/>
            <w:tcBorders>
              <w:bottom w:val="single" w:sz="8" w:color="E6E6E6"/>
            </w:tcBorders>
            <w:shd w:val="clear" w:color="auto" w:fill="E6E6E6"/>
          </w:tcPr>
          <w:p>
            <w:pPr>
              <w:spacing w:after="0"/>
              <w:rPr>
                <w:sz w:val="23"/>
                <w:szCs w:val="23"/>
                <w:color w:val="auto"/>
              </w:rPr>
            </w:pPr>
          </w:p>
        </w:tc>
        <w:tc>
          <w:tcPr>
            <w:tcW w:w="11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80" w:type="dxa"/>
            <w:vAlign w:val="bottom"/>
            <w:tcBorders>
              <w:left w:val="single" w:sz="8" w:color="E6E6E6"/>
              <w:right w:val="single" w:sz="8" w:color="E6E6E6"/>
            </w:tcBorders>
          </w:tcPr>
          <w:p>
            <w:pPr>
              <w:spacing w:after="0"/>
              <w:rPr>
                <w:sz w:val="23"/>
                <w:szCs w:val="23"/>
                <w:color w:val="auto"/>
              </w:rPr>
            </w:pPr>
          </w:p>
        </w:tc>
        <w:tc>
          <w:tcPr>
            <w:tcW w:w="11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60" w:type="dxa"/>
            <w:vAlign w:val="bottom"/>
            <w:tcBorders>
              <w:bottom w:val="single" w:sz="8" w:color="E6E6E6"/>
              <w:right w:val="single" w:sz="8" w:color="E6E6E6"/>
            </w:tcBorders>
            <w:shd w:val="clear" w:color="auto" w:fill="E6E6E6"/>
          </w:tcPr>
          <w:p>
            <w:pPr>
              <w:spacing w:after="0"/>
              <w:rPr>
                <w:sz w:val="23"/>
                <w:szCs w:val="23"/>
                <w:color w:val="auto"/>
              </w:rPr>
            </w:pPr>
          </w:p>
        </w:tc>
        <w:tc>
          <w:tcPr>
            <w:tcW w:w="11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40" w:type="dxa"/>
            <w:vAlign w:val="bottom"/>
            <w:tcBorders>
              <w:left w:val="single" w:sz="8" w:color="E6E6E6"/>
            </w:tcBorders>
          </w:tcPr>
          <w:p>
            <w:pPr>
              <w:spacing w:after="0"/>
              <w:rPr>
                <w:sz w:val="23"/>
                <w:szCs w:val="23"/>
                <w:color w:val="auto"/>
              </w:rPr>
            </w:pPr>
          </w:p>
        </w:tc>
        <w:tc>
          <w:tcPr>
            <w:tcW w:w="14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0</w:t>
            </w:r>
          </w:p>
        </w:tc>
        <w:tc>
          <w:tcPr>
            <w:tcW w:w="40" w:type="dxa"/>
            <w:vAlign w:val="bottom"/>
            <w:tcBorders>
              <w:left w:val="single" w:sz="8" w:color="E6E6E6"/>
            </w:tcBorders>
          </w:tcPr>
          <w:p>
            <w:pPr>
              <w:spacing w:after="0"/>
              <w:rPr>
                <w:sz w:val="23"/>
                <w:szCs w:val="23"/>
                <w:color w:val="auto"/>
              </w:rPr>
            </w:pPr>
          </w:p>
        </w:tc>
        <w:tc>
          <w:tcPr>
            <w:tcW w:w="1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17,918,311</w:t>
            </w:r>
          </w:p>
        </w:tc>
        <w:tc>
          <w:tcPr>
            <w:tcW w:w="0" w:type="dxa"/>
            <w:vAlign w:val="bottom"/>
          </w:tcPr>
          <w:p>
            <w:pPr>
              <w:spacing w:after="0"/>
              <w:rPr>
                <w:sz w:val="1"/>
                <w:szCs w:val="1"/>
                <w:color w:val="auto"/>
              </w:rPr>
            </w:pPr>
          </w:p>
        </w:tc>
      </w:tr>
      <w:tr>
        <w:trPr>
          <w:trHeight w:val="261"/>
        </w:trPr>
        <w:tc>
          <w:tcPr>
            <w:tcW w:w="720" w:type="dxa"/>
            <w:vAlign w:val="bottom"/>
          </w:tcPr>
          <w:p>
            <w:pPr>
              <w:ind w:left="100"/>
              <w:spacing w:after="0"/>
              <w:rPr>
                <w:sz w:val="20"/>
                <w:szCs w:val="20"/>
                <w:color w:val="auto"/>
              </w:rPr>
            </w:pPr>
            <w:r>
              <w:rPr>
                <w:rFonts w:ascii="Arial" w:cs="Arial" w:eastAsia="Arial" w:hAnsi="Arial"/>
                <w:sz w:val="15"/>
                <w:szCs w:val="15"/>
                <w:color w:val="auto"/>
              </w:rPr>
              <w:t>2022</w:t>
            </w:r>
          </w:p>
        </w:tc>
        <w:tc>
          <w:tcPr>
            <w:tcW w:w="96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0</w:t>
            </w:r>
          </w:p>
        </w:tc>
        <w:tc>
          <w:tcPr>
            <w:tcW w:w="1140" w:type="dxa"/>
            <w:vAlign w:val="bottom"/>
            <w:gridSpan w:val="2"/>
          </w:tcPr>
          <w:p>
            <w:pPr>
              <w:jc w:val="center"/>
              <w:spacing w:after="0"/>
              <w:rPr>
                <w:sz w:val="20"/>
                <w:szCs w:val="20"/>
                <w:color w:val="auto"/>
              </w:rPr>
            </w:pPr>
            <w:r>
              <w:rPr>
                <w:rFonts w:ascii="Arial" w:cs="Arial" w:eastAsia="Arial" w:hAnsi="Arial"/>
                <w:sz w:val="15"/>
                <w:szCs w:val="15"/>
                <w:color w:val="auto"/>
              </w:rPr>
              <w:t>-23,929,000</w:t>
            </w:r>
          </w:p>
        </w:tc>
        <w:tc>
          <w:tcPr>
            <w:tcW w:w="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5"/>
              </w:rPr>
              <w:t>0</w:t>
            </w:r>
          </w:p>
        </w:tc>
        <w:tc>
          <w:tcPr>
            <w:tcW w:w="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460" w:type="dxa"/>
            <w:vAlign w:val="bottom"/>
            <w:gridSpan w:val="2"/>
          </w:tcPr>
          <w:p>
            <w:pPr>
              <w:jc w:val="center"/>
              <w:ind w:left="3"/>
              <w:spacing w:after="0"/>
              <w:rPr>
                <w:sz w:val="20"/>
                <w:szCs w:val="20"/>
                <w:color w:val="auto"/>
              </w:rPr>
            </w:pPr>
            <w:r>
              <w:rPr>
                <w:rFonts w:ascii="Arial" w:cs="Arial" w:eastAsia="Arial" w:hAnsi="Arial"/>
                <w:sz w:val="15"/>
                <w:szCs w:val="15"/>
                <w:color w:val="auto"/>
              </w:rPr>
              <w:t>0</w:t>
            </w:r>
          </w:p>
        </w:tc>
        <w:tc>
          <w:tcPr>
            <w:tcW w:w="1200" w:type="dxa"/>
            <w:vAlign w:val="bottom"/>
            <w:gridSpan w:val="2"/>
          </w:tcPr>
          <w:p>
            <w:pPr>
              <w:jc w:val="center"/>
              <w:spacing w:after="0"/>
              <w:rPr>
                <w:sz w:val="20"/>
                <w:szCs w:val="20"/>
                <w:color w:val="auto"/>
              </w:rPr>
            </w:pPr>
            <w:r>
              <w:rPr>
                <w:rFonts w:ascii="Arial" w:cs="Arial" w:eastAsia="Arial" w:hAnsi="Arial"/>
                <w:sz w:val="15"/>
                <w:szCs w:val="15"/>
                <w:color w:val="auto"/>
              </w:rPr>
              <w:t>-23,929,000</w:t>
            </w: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20" w:type="dxa"/>
            <w:vAlign w:val="bottom"/>
            <w:shd w:val="clear" w:color="auto" w:fill="E6E6E6"/>
          </w:tcPr>
          <w:p>
            <w:pPr>
              <w:ind w:left="100"/>
              <w:spacing w:after="0"/>
              <w:rPr>
                <w:sz w:val="20"/>
                <w:szCs w:val="20"/>
                <w:color w:val="auto"/>
              </w:rPr>
            </w:pPr>
            <w:r>
              <w:rPr>
                <w:rFonts w:ascii="Arial" w:cs="Arial" w:eastAsia="Arial" w:hAnsi="Arial"/>
                <w:sz w:val="15"/>
                <w:szCs w:val="15"/>
                <w:color w:val="auto"/>
              </w:rPr>
              <w:t>2021</w:t>
            </w:r>
          </w:p>
        </w:tc>
        <w:tc>
          <w:tcPr>
            <w:tcW w:w="20" w:type="dxa"/>
            <w:vAlign w:val="bottom"/>
          </w:tcPr>
          <w:p>
            <w:pPr>
              <w:spacing w:after="0"/>
              <w:rPr>
                <w:sz w:val="22"/>
                <w:szCs w:val="22"/>
                <w:color w:val="auto"/>
              </w:rPr>
            </w:pPr>
          </w:p>
        </w:tc>
        <w:tc>
          <w:tcPr>
            <w:tcW w:w="94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40" w:type="dxa"/>
            <w:vAlign w:val="bottom"/>
            <w:tcBorders>
              <w:left w:val="single" w:sz="8" w:color="E6E6E6"/>
            </w:tcBorders>
          </w:tcPr>
          <w:p>
            <w:pPr>
              <w:spacing w:after="0"/>
              <w:rPr>
                <w:sz w:val="22"/>
                <w:szCs w:val="22"/>
                <w:color w:val="auto"/>
              </w:rPr>
            </w:pPr>
          </w:p>
        </w:tc>
        <w:tc>
          <w:tcPr>
            <w:tcW w:w="110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8,238,085</w:t>
            </w:r>
          </w:p>
        </w:tc>
        <w:tc>
          <w:tcPr>
            <w:tcW w:w="20" w:type="dxa"/>
            <w:vAlign w:val="bottom"/>
            <w:shd w:val="clear" w:color="auto" w:fill="E6E6E6"/>
          </w:tcPr>
          <w:p>
            <w:pPr>
              <w:spacing w:after="0"/>
              <w:rPr>
                <w:sz w:val="22"/>
                <w:szCs w:val="22"/>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80" w:type="dxa"/>
            <w:vAlign w:val="bottom"/>
            <w:tcBorders>
              <w:left w:val="single" w:sz="8" w:color="E6E6E6"/>
              <w:right w:val="single" w:sz="8" w:color="E6E6E6"/>
            </w:tcBorders>
          </w:tcPr>
          <w:p>
            <w:pPr>
              <w:spacing w:after="0"/>
              <w:rPr>
                <w:sz w:val="22"/>
                <w:szCs w:val="22"/>
                <w:color w:val="auto"/>
              </w:rPr>
            </w:pPr>
          </w:p>
        </w:tc>
        <w:tc>
          <w:tcPr>
            <w:tcW w:w="11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15,410,257</w:t>
            </w:r>
          </w:p>
        </w:tc>
        <w:tc>
          <w:tcPr>
            <w:tcW w:w="60" w:type="dxa"/>
            <w:vAlign w:val="bottom"/>
            <w:tcBorders>
              <w:right w:val="single" w:sz="8" w:color="E6E6E6"/>
            </w:tcBorders>
            <w:shd w:val="clear" w:color="auto" w:fill="E6E6E6"/>
          </w:tcPr>
          <w:p>
            <w:pPr>
              <w:spacing w:after="0"/>
              <w:rPr>
                <w:sz w:val="22"/>
                <w:szCs w:val="22"/>
                <w:color w:val="auto"/>
              </w:rPr>
            </w:pPr>
          </w:p>
        </w:tc>
        <w:tc>
          <w:tcPr>
            <w:tcW w:w="110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40" w:type="dxa"/>
            <w:vAlign w:val="bottom"/>
            <w:tcBorders>
              <w:left w:val="single" w:sz="8" w:color="E6E6E6"/>
            </w:tcBorders>
          </w:tcPr>
          <w:p>
            <w:pPr>
              <w:spacing w:after="0"/>
              <w:rPr>
                <w:sz w:val="22"/>
                <w:szCs w:val="22"/>
                <w:color w:val="auto"/>
              </w:rPr>
            </w:pPr>
          </w:p>
        </w:tc>
        <w:tc>
          <w:tcPr>
            <w:tcW w:w="142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0</w:t>
            </w:r>
          </w:p>
        </w:tc>
        <w:tc>
          <w:tcPr>
            <w:tcW w:w="40" w:type="dxa"/>
            <w:vAlign w:val="bottom"/>
            <w:tcBorders>
              <w:left w:val="single" w:sz="8" w:color="E6E6E6"/>
            </w:tcBorders>
          </w:tcPr>
          <w:p>
            <w:pPr>
              <w:spacing w:after="0"/>
              <w:rPr>
                <w:sz w:val="22"/>
                <w:szCs w:val="22"/>
                <w:color w:val="auto"/>
              </w:rPr>
            </w:pPr>
          </w:p>
        </w:tc>
        <w:tc>
          <w:tcPr>
            <w:tcW w:w="116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23,648,342</w:t>
            </w:r>
          </w:p>
        </w:tc>
        <w:tc>
          <w:tcPr>
            <w:tcW w:w="0" w:type="dxa"/>
            <w:vAlign w:val="bottom"/>
          </w:tcPr>
          <w:p>
            <w:pPr>
              <w:spacing w:after="0"/>
              <w:rPr>
                <w:sz w:val="1"/>
                <w:szCs w:val="1"/>
                <w:color w:val="auto"/>
              </w:rPr>
            </w:pPr>
          </w:p>
        </w:tc>
      </w:tr>
      <w:tr>
        <w:trPr>
          <w:trHeight w:val="25"/>
        </w:trPr>
        <w:tc>
          <w:tcPr>
            <w:tcW w:w="720" w:type="dxa"/>
            <w:vAlign w:val="bottom"/>
            <w:shd w:val="clear" w:color="auto" w:fill="E6E6E6"/>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E6E6E6"/>
          </w:tcPr>
          <w:p>
            <w:pPr>
              <w:spacing w:after="0"/>
              <w:rPr>
                <w:sz w:val="2"/>
                <w:szCs w:val="2"/>
                <w:color w:val="auto"/>
              </w:rPr>
            </w:pPr>
          </w:p>
        </w:tc>
        <w:tc>
          <w:tcPr>
            <w:tcW w:w="40" w:type="dxa"/>
            <w:vAlign w:val="bottom"/>
            <w:tcBorders>
              <w:left w:val="single" w:sz="8" w:color="E6E6E6"/>
            </w:tcBorders>
          </w:tcPr>
          <w:p>
            <w:pPr>
              <w:spacing w:after="0"/>
              <w:rPr>
                <w:sz w:val="2"/>
                <w:szCs w:val="2"/>
                <w:color w:val="auto"/>
              </w:rPr>
            </w:pPr>
          </w:p>
        </w:tc>
        <w:tc>
          <w:tcPr>
            <w:tcW w:w="110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1140" w:type="dxa"/>
            <w:vAlign w:val="bottom"/>
            <w:shd w:val="clear" w:color="auto" w:fill="E6E6E6"/>
          </w:tcPr>
          <w:p>
            <w:pPr>
              <w:spacing w:after="0"/>
              <w:rPr>
                <w:sz w:val="2"/>
                <w:szCs w:val="2"/>
                <w:color w:val="auto"/>
              </w:rPr>
            </w:pPr>
          </w:p>
        </w:tc>
        <w:tc>
          <w:tcPr>
            <w:tcW w:w="80" w:type="dxa"/>
            <w:vAlign w:val="bottom"/>
            <w:tcBorders>
              <w:left w:val="single" w:sz="8" w:color="E6E6E6"/>
              <w:right w:val="single" w:sz="8" w:color="E6E6E6"/>
            </w:tcBorders>
          </w:tcPr>
          <w:p>
            <w:pPr>
              <w:spacing w:after="0"/>
              <w:rPr>
                <w:sz w:val="2"/>
                <w:szCs w:val="2"/>
                <w:color w:val="auto"/>
              </w:rPr>
            </w:pPr>
          </w:p>
        </w:tc>
        <w:tc>
          <w:tcPr>
            <w:tcW w:w="1100" w:type="dxa"/>
            <w:vAlign w:val="bottom"/>
            <w:tcBorders>
              <w:right w:val="single" w:sz="8" w:color="E6E6E6"/>
            </w:tcBorders>
            <w:shd w:val="clear" w:color="auto" w:fill="E6E6E6"/>
          </w:tcPr>
          <w:p>
            <w:pPr>
              <w:spacing w:after="0"/>
              <w:rPr>
                <w:sz w:val="2"/>
                <w:szCs w:val="2"/>
                <w:color w:val="auto"/>
              </w:rPr>
            </w:pPr>
          </w:p>
        </w:tc>
        <w:tc>
          <w:tcPr>
            <w:tcW w:w="60" w:type="dxa"/>
            <w:vAlign w:val="bottom"/>
            <w:tcBorders>
              <w:right w:val="single" w:sz="8" w:color="E6E6E6"/>
            </w:tcBorders>
            <w:shd w:val="clear" w:color="auto" w:fill="E6E6E6"/>
          </w:tcPr>
          <w:p>
            <w:pPr>
              <w:spacing w:after="0"/>
              <w:rPr>
                <w:sz w:val="2"/>
                <w:szCs w:val="2"/>
                <w:color w:val="auto"/>
              </w:rPr>
            </w:pPr>
          </w:p>
        </w:tc>
        <w:tc>
          <w:tcPr>
            <w:tcW w:w="1100" w:type="dxa"/>
            <w:vAlign w:val="bottom"/>
            <w:shd w:val="clear" w:color="auto" w:fill="E6E6E6"/>
          </w:tcPr>
          <w:p>
            <w:pPr>
              <w:spacing w:after="0"/>
              <w:rPr>
                <w:sz w:val="2"/>
                <w:szCs w:val="2"/>
                <w:color w:val="auto"/>
              </w:rPr>
            </w:pPr>
          </w:p>
        </w:tc>
        <w:tc>
          <w:tcPr>
            <w:tcW w:w="40" w:type="dxa"/>
            <w:vAlign w:val="bottom"/>
            <w:tcBorders>
              <w:left w:val="single" w:sz="8" w:color="E6E6E6"/>
            </w:tcBorders>
          </w:tcPr>
          <w:p>
            <w:pPr>
              <w:spacing w:after="0"/>
              <w:rPr>
                <w:sz w:val="2"/>
                <w:szCs w:val="2"/>
                <w:color w:val="auto"/>
              </w:rPr>
            </w:pPr>
          </w:p>
        </w:tc>
        <w:tc>
          <w:tcPr>
            <w:tcW w:w="1420" w:type="dxa"/>
            <w:vAlign w:val="bottom"/>
            <w:shd w:val="clear" w:color="auto" w:fill="E6E6E6"/>
          </w:tcPr>
          <w:p>
            <w:pPr>
              <w:spacing w:after="0"/>
              <w:rPr>
                <w:sz w:val="2"/>
                <w:szCs w:val="2"/>
                <w:color w:val="auto"/>
              </w:rPr>
            </w:pPr>
          </w:p>
        </w:tc>
        <w:tc>
          <w:tcPr>
            <w:tcW w:w="40" w:type="dxa"/>
            <w:vAlign w:val="bottom"/>
            <w:tcBorders>
              <w:left w:val="single" w:sz="8" w:color="E6E6E6"/>
            </w:tcBorders>
          </w:tcPr>
          <w:p>
            <w:pPr>
              <w:spacing w:after="0"/>
              <w:rPr>
                <w:sz w:val="2"/>
                <w:szCs w:val="2"/>
                <w:color w:val="auto"/>
              </w:rPr>
            </w:pPr>
          </w:p>
        </w:tc>
        <w:tc>
          <w:tcPr>
            <w:tcW w:w="116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909320</wp:posOffset>
                </wp:positionH>
                <wp:positionV relativeFrom="paragraph">
                  <wp:posOffset>-2106930</wp:posOffset>
                </wp:positionV>
                <wp:extent cx="0" cy="1741805"/>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18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6pt,-165.8999pt" to="71.6pt,-28.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1532890</wp:posOffset>
                </wp:positionH>
                <wp:positionV relativeFrom="paragraph">
                  <wp:posOffset>-2106930</wp:posOffset>
                </wp:positionV>
                <wp:extent cx="0" cy="1741805"/>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18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7pt,-165.8999pt" to="120.7pt,-28.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2246630</wp:posOffset>
                </wp:positionH>
                <wp:positionV relativeFrom="paragraph">
                  <wp:posOffset>-2106930</wp:posOffset>
                </wp:positionV>
                <wp:extent cx="0" cy="1741805"/>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18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9pt,-165.8999pt" to="176.9pt,-28.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2989580</wp:posOffset>
                </wp:positionH>
                <wp:positionV relativeFrom="paragraph">
                  <wp:posOffset>-2106930</wp:posOffset>
                </wp:positionV>
                <wp:extent cx="0" cy="1741805"/>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18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4pt,-165.8999pt" to="235.4pt,-28.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3732530</wp:posOffset>
                </wp:positionH>
                <wp:positionV relativeFrom="paragraph">
                  <wp:posOffset>-2106930</wp:posOffset>
                </wp:positionV>
                <wp:extent cx="0" cy="1741805"/>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18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9pt,-165.8999pt" to="293.9pt,-28.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4475480</wp:posOffset>
                </wp:positionH>
                <wp:positionV relativeFrom="paragraph">
                  <wp:posOffset>-2106930</wp:posOffset>
                </wp:positionV>
                <wp:extent cx="0" cy="1741805"/>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18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4pt,-165.8999pt" to="352.4pt,-28.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5405120</wp:posOffset>
                </wp:positionH>
                <wp:positionV relativeFrom="paragraph">
                  <wp:posOffset>-2106930</wp:posOffset>
                </wp:positionV>
                <wp:extent cx="0" cy="1741805"/>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180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6pt,-165.8999pt" to="425.6pt,-28.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909320</wp:posOffset>
                </wp:positionH>
                <wp:positionV relativeFrom="paragraph">
                  <wp:posOffset>-180975</wp:posOffset>
                </wp:positionV>
                <wp:extent cx="0" cy="180975"/>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6pt,-14.2499pt" to="71.6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1532890</wp:posOffset>
                </wp:positionH>
                <wp:positionV relativeFrom="paragraph">
                  <wp:posOffset>-180975</wp:posOffset>
                </wp:positionV>
                <wp:extent cx="0" cy="180975"/>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7pt,-14.2499pt" to="120.7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2246630</wp:posOffset>
                </wp:positionH>
                <wp:positionV relativeFrom="paragraph">
                  <wp:posOffset>-180975</wp:posOffset>
                </wp:positionV>
                <wp:extent cx="0" cy="180975"/>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9pt,-14.2499pt" to="176.9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2989580</wp:posOffset>
                </wp:positionH>
                <wp:positionV relativeFrom="paragraph">
                  <wp:posOffset>-180975</wp:posOffset>
                </wp:positionV>
                <wp:extent cx="0" cy="180975"/>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4pt,-14.2499pt" to="235.4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3732530</wp:posOffset>
                </wp:positionH>
                <wp:positionV relativeFrom="paragraph">
                  <wp:posOffset>-180975</wp:posOffset>
                </wp:positionV>
                <wp:extent cx="0" cy="180975"/>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9pt,-14.2499pt" to="293.9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4475480</wp:posOffset>
                </wp:positionH>
                <wp:positionV relativeFrom="paragraph">
                  <wp:posOffset>-180975</wp:posOffset>
                </wp:positionV>
                <wp:extent cx="0" cy="180975"/>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4pt,-14.2499pt" to="352.4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5405120</wp:posOffset>
                </wp:positionH>
                <wp:positionV relativeFrom="paragraph">
                  <wp:posOffset>-180975</wp:posOffset>
                </wp:positionV>
                <wp:extent cx="0" cy="180975"/>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6pt,-14.2499pt" to="425.6pt,0pt" o:allowincell="f" strokecolor="#FFFFFF" strokeweight="1.4039pt"/>
            </w:pict>
          </mc:Fallback>
        </mc:AlternateContent>
      </w:r>
    </w:p>
    <w:p>
      <w:pPr>
        <w:spacing w:after="0" w:line="25" w:lineRule="exact"/>
        <w:rPr>
          <w:sz w:val="20"/>
          <w:szCs w:val="20"/>
          <w:color w:val="auto"/>
        </w:rPr>
      </w:pPr>
    </w:p>
    <w:p>
      <w:pPr>
        <w:ind w:left="347" w:right="80" w:hanging="347"/>
        <w:spacing w:after="0" w:line="272" w:lineRule="auto"/>
        <w:tabs>
          <w:tab w:leader="none" w:pos="347" w:val="left"/>
        </w:tabs>
        <w:numPr>
          <w:ilvl w:val="0"/>
          <w:numId w:val="87"/>
        </w:numPr>
        <w:rPr>
          <w:rFonts w:ascii="Arial" w:cs="Arial" w:eastAsia="Arial" w:hAnsi="Arial"/>
          <w:sz w:val="20"/>
          <w:szCs w:val="20"/>
          <w:color w:val="auto"/>
          <w:vertAlign w:val="superscript"/>
        </w:rPr>
      </w:pPr>
      <w:r>
        <w:rPr>
          <w:rFonts w:ascii="Arial" w:cs="Arial" w:eastAsia="Arial" w:hAnsi="Arial"/>
          <w:sz w:val="15"/>
          <w:szCs w:val="15"/>
          <w:color w:val="auto"/>
        </w:rPr>
        <w:t>The dollar amounts reported in column (d) represent the average of the amounts reported for the company’s named executive officers (“</w:t>
      </w:r>
      <w:r>
        <w:rPr>
          <w:rFonts w:ascii="Arial" w:cs="Arial" w:eastAsia="Arial" w:hAnsi="Arial"/>
          <w:sz w:val="15"/>
          <w:szCs w:val="15"/>
          <w:b w:val="1"/>
          <w:bCs w:val="1"/>
          <w:i w:val="1"/>
          <w:iCs w:val="1"/>
          <w:color w:val="auto"/>
        </w:rPr>
        <w:t>NEOs</w:t>
      </w:r>
      <w:r>
        <w:rPr>
          <w:rFonts w:ascii="Arial" w:cs="Arial" w:eastAsia="Arial" w:hAnsi="Arial"/>
          <w:sz w:val="15"/>
          <w:szCs w:val="15"/>
          <w:color w:val="auto"/>
        </w:rPr>
        <w:t>”) as a group (excluding Mr. Houston) in the “Total” column of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in each applicable year. The names of each of the NEOs (excluding Mr. Houston) included for purposes of calculating the average amounts in each applicable year are as follows: (i) for 2025, Ross Tennenbaum, Tim Regan, William Yoon, Ali Dasdan, and Ashraf Alkarmi; (ii) for 2024, Tim Regan, Bart Volkmer, and Eric Cox; (iii) for 2023, Timothy Young, Tim Regan, Bart Volkmer, and Eric Cox; (iv) for 2022, Timothy Young, Tim Regan and Bart Volkmer; and (v) for 2021, Timothy Young, Tim Regan, Bart Volkmer, and Olivia Nottebohm.</w:t>
      </w:r>
    </w:p>
    <w:p>
      <w:pPr>
        <w:spacing w:after="0" w:line="67" w:lineRule="exact"/>
        <w:rPr>
          <w:rFonts w:ascii="Arial" w:cs="Arial" w:eastAsia="Arial" w:hAnsi="Arial"/>
          <w:sz w:val="20"/>
          <w:szCs w:val="20"/>
          <w:color w:val="auto"/>
          <w:vertAlign w:val="superscript"/>
        </w:rPr>
      </w:pPr>
    </w:p>
    <w:p>
      <w:pPr>
        <w:ind w:left="347" w:right="180" w:hanging="347"/>
        <w:spacing w:after="0" w:line="272" w:lineRule="auto"/>
        <w:tabs>
          <w:tab w:leader="none" w:pos="347" w:val="left"/>
        </w:tabs>
        <w:numPr>
          <w:ilvl w:val="0"/>
          <w:numId w:val="87"/>
        </w:numPr>
        <w:rPr>
          <w:rFonts w:ascii="Arial" w:cs="Arial" w:eastAsia="Arial" w:hAnsi="Arial"/>
          <w:sz w:val="20"/>
          <w:szCs w:val="20"/>
          <w:color w:val="auto"/>
          <w:vertAlign w:val="superscript"/>
        </w:rPr>
      </w:pPr>
      <w:r>
        <w:rPr>
          <w:rFonts w:ascii="Arial" w:cs="Arial" w:eastAsia="Arial" w:hAnsi="Arial"/>
          <w:sz w:val="15"/>
          <w:szCs w:val="15"/>
          <w:color w:val="auto"/>
        </w:rPr>
        <w:t>The dollar amounts reported in column (e) represent the average amount of “compensation actually paid” to the NEOs as a group (excluding Mr. Houston), as computed in accordance with Item 402(v) of Regulation S-K. The dollar amounts do not reflect the actual average amount of compensation earned by or paid to the NEOs as a group (excluding Mr. Houston) during the applicable year. In accordance with the requirements of Item 402(v) of Regulation S-K, the following adjustments were made to average total compensation for the NEOs as a group (excluding Mr. Houston) for each year to determine the compensation actually paid, using the same methodology described above in Note 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1188720</wp:posOffset>
                </wp:positionH>
                <wp:positionV relativeFrom="paragraph">
                  <wp:posOffset>37465</wp:posOffset>
                </wp:positionV>
                <wp:extent cx="0" cy="1655445"/>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54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6pt,2.95pt" to="93.6pt,133.3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2424430</wp:posOffset>
                </wp:positionH>
                <wp:positionV relativeFrom="paragraph">
                  <wp:posOffset>37465</wp:posOffset>
                </wp:positionV>
                <wp:extent cx="0" cy="1655445"/>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54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9pt,2.95pt" to="190.9pt,133.3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3658235</wp:posOffset>
                </wp:positionH>
                <wp:positionV relativeFrom="paragraph">
                  <wp:posOffset>37465</wp:posOffset>
                </wp:positionV>
                <wp:extent cx="0" cy="1655445"/>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54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05pt,2.95pt" to="288.05pt,133.3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4894580</wp:posOffset>
                </wp:positionH>
                <wp:positionV relativeFrom="paragraph">
                  <wp:posOffset>37465</wp:posOffset>
                </wp:positionV>
                <wp:extent cx="0" cy="1655445"/>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544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4pt,2.95pt" to="385.4pt,133.3pt" o:allowincell="f" strokecolor="#FFFFFF" strokeweight="1.404pt"/>
            </w:pict>
          </mc:Fallback>
        </mc:AlternateContent>
      </w:r>
    </w:p>
    <w:p>
      <w:pPr>
        <w:spacing w:after="0" w:line="40" w:lineRule="exact"/>
        <w:rPr>
          <w:sz w:val="20"/>
          <w:szCs w:val="20"/>
          <w:color w:val="auto"/>
        </w:rPr>
      </w:pPr>
    </w:p>
    <w:tbl>
      <w:tblPr>
        <w:tblLayout w:type="fixed"/>
        <w:tblInd w:w="347" w:type="dxa"/>
        <w:tblCellMar>
          <w:top w:w="0" w:type="dxa"/>
          <w:left w:w="0" w:type="dxa"/>
          <w:bottom w:w="0" w:type="dxa"/>
          <w:right w:w="0" w:type="dxa"/>
        </w:tblCellMar>
      </w:tblPr>
      <w:tr>
        <w:trPr>
          <w:trHeight w:val="56"/>
        </w:trPr>
        <w:tc>
          <w:tcPr>
            <w:tcW w:w="1520" w:type="dxa"/>
            <w:vAlign w:val="bottom"/>
            <w:shd w:val="clear" w:color="auto" w:fill="0A248E"/>
          </w:tcPr>
          <w:p>
            <w:pPr>
              <w:spacing w:after="0"/>
              <w:rPr>
                <w:sz w:val="4"/>
                <w:szCs w:val="4"/>
                <w:color w:val="auto"/>
              </w:rPr>
            </w:pPr>
          </w:p>
        </w:tc>
        <w:tc>
          <w:tcPr>
            <w:tcW w:w="60" w:type="dxa"/>
            <w:vAlign w:val="bottom"/>
            <w:tcBorders>
              <w:right w:val="single" w:sz="8" w:color="0A248E"/>
            </w:tcBorders>
          </w:tcPr>
          <w:p>
            <w:pPr>
              <w:spacing w:after="0"/>
              <w:rPr>
                <w:sz w:val="4"/>
                <w:szCs w:val="4"/>
                <w:color w:val="auto"/>
              </w:rPr>
            </w:pPr>
          </w:p>
        </w:tc>
        <w:tc>
          <w:tcPr>
            <w:tcW w:w="1880" w:type="dxa"/>
            <w:vAlign w:val="bottom"/>
            <w:tcBorders>
              <w:right w:val="single" w:sz="8" w:color="0A248E"/>
            </w:tcBorders>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Average</w:t>
            </w:r>
          </w:p>
        </w:tc>
        <w:tc>
          <w:tcPr>
            <w:tcW w:w="20" w:type="dxa"/>
            <w:vAlign w:val="bottom"/>
          </w:tcPr>
          <w:p>
            <w:pPr>
              <w:spacing w:after="0"/>
              <w:rPr>
                <w:sz w:val="4"/>
                <w:szCs w:val="4"/>
                <w:color w:val="auto"/>
              </w:rPr>
            </w:pPr>
          </w:p>
        </w:tc>
        <w:tc>
          <w:tcPr>
            <w:tcW w:w="192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92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shd w:val="clear" w:color="auto" w:fill="0A248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520" w:type="dxa"/>
            <w:vAlign w:val="bottom"/>
            <w:shd w:val="clear" w:color="auto" w:fill="0A248E"/>
          </w:tcPr>
          <w:p>
            <w:pPr>
              <w:spacing w:after="0"/>
              <w:rPr>
                <w:sz w:val="20"/>
                <w:szCs w:val="20"/>
                <w:color w:val="auto"/>
              </w:rPr>
            </w:pPr>
          </w:p>
        </w:tc>
        <w:tc>
          <w:tcPr>
            <w:tcW w:w="60" w:type="dxa"/>
            <w:vAlign w:val="bottom"/>
            <w:tcBorders>
              <w:right w:val="single" w:sz="8" w:color="0A248E"/>
            </w:tcBorders>
          </w:tcPr>
          <w:p>
            <w:pPr>
              <w:spacing w:after="0"/>
              <w:rPr>
                <w:sz w:val="20"/>
                <w:szCs w:val="20"/>
                <w:color w:val="auto"/>
              </w:rPr>
            </w:pPr>
          </w:p>
        </w:tc>
        <w:tc>
          <w:tcPr>
            <w:tcW w:w="1880" w:type="dxa"/>
            <w:vAlign w:val="bottom"/>
            <w:tcBorders>
              <w:right w:val="single" w:sz="8" w:color="0A248E"/>
            </w:tcBorders>
            <w:vMerge w:val="continue"/>
            <w:shd w:val="clear" w:color="auto" w:fill="0A248E"/>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shd w:val="clear" w:color="auto" w:fill="0A248E"/>
          </w:tcPr>
          <w:p>
            <w:pPr>
              <w:spacing w:after="0"/>
              <w:rPr>
                <w:sz w:val="20"/>
                <w:szCs w:val="20"/>
                <w:color w:val="auto"/>
              </w:rPr>
            </w:pPr>
          </w:p>
        </w:tc>
        <w:tc>
          <w:tcPr>
            <w:tcW w:w="20" w:type="dxa"/>
            <w:vAlign w:val="bottom"/>
            <w:shd w:val="clear" w:color="auto" w:fill="0A248E"/>
          </w:tcPr>
          <w:p>
            <w:pPr>
              <w:spacing w:after="0"/>
              <w:rPr>
                <w:sz w:val="20"/>
                <w:szCs w:val="20"/>
                <w:color w:val="auto"/>
              </w:rPr>
            </w:pPr>
          </w:p>
        </w:tc>
        <w:tc>
          <w:tcPr>
            <w:tcW w:w="1920" w:type="dxa"/>
            <w:vAlign w:val="bottom"/>
            <w:shd w:val="clear" w:color="auto" w:fill="0A248E"/>
          </w:tcPr>
          <w:p>
            <w:pPr>
              <w:spacing w:after="0"/>
              <w:rPr>
                <w:sz w:val="20"/>
                <w:szCs w:val="20"/>
                <w:color w:val="auto"/>
              </w:rPr>
            </w:pPr>
          </w:p>
        </w:tc>
        <w:tc>
          <w:tcPr>
            <w:tcW w:w="40" w:type="dxa"/>
            <w:vAlign w:val="bottom"/>
            <w:tcBorders>
              <w:left w:val="single" w:sz="8" w:color="0A248E"/>
            </w:tcBorders>
          </w:tcPr>
          <w:p>
            <w:pPr>
              <w:spacing w:after="0"/>
              <w:rPr>
                <w:sz w:val="20"/>
                <w:szCs w:val="20"/>
                <w:color w:val="auto"/>
              </w:rPr>
            </w:pPr>
          </w:p>
        </w:tc>
        <w:tc>
          <w:tcPr>
            <w:tcW w:w="1920" w:type="dxa"/>
            <w:vAlign w:val="bottom"/>
            <w:shd w:val="clear" w:color="auto" w:fill="0A248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20" w:type="dxa"/>
            <w:vAlign w:val="bottom"/>
            <w:shd w:val="clear" w:color="auto" w:fill="0A248E"/>
          </w:tcPr>
          <w:p>
            <w:pPr>
              <w:spacing w:after="0"/>
              <w:rPr>
                <w:sz w:val="17"/>
                <w:szCs w:val="17"/>
                <w:color w:val="auto"/>
              </w:rPr>
            </w:pPr>
          </w:p>
        </w:tc>
        <w:tc>
          <w:tcPr>
            <w:tcW w:w="60" w:type="dxa"/>
            <w:vAlign w:val="bottom"/>
            <w:tcBorders>
              <w:right w:val="single" w:sz="8" w:color="0A248E"/>
            </w:tcBorders>
          </w:tcPr>
          <w:p>
            <w:pPr>
              <w:spacing w:after="0"/>
              <w:rPr>
                <w:sz w:val="17"/>
                <w:szCs w:val="17"/>
                <w:color w:val="auto"/>
              </w:rPr>
            </w:pPr>
          </w:p>
        </w:tc>
        <w:tc>
          <w:tcPr>
            <w:tcW w:w="188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Reported Summary</w:t>
            </w:r>
          </w:p>
        </w:tc>
        <w:tc>
          <w:tcPr>
            <w:tcW w:w="20" w:type="dxa"/>
            <w:vAlign w:val="bottom"/>
          </w:tcPr>
          <w:p>
            <w:pPr>
              <w:spacing w:after="0"/>
              <w:rPr>
                <w:sz w:val="17"/>
                <w:szCs w:val="17"/>
                <w:color w:val="auto"/>
              </w:rPr>
            </w:pPr>
          </w:p>
        </w:tc>
        <w:tc>
          <w:tcPr>
            <w:tcW w:w="1920" w:type="dxa"/>
            <w:vAlign w:val="bottom"/>
            <w:shd w:val="clear" w:color="auto" w:fill="0A248E"/>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1920" w:type="dxa"/>
            <w:vAlign w:val="bottom"/>
            <w:shd w:val="clear" w:color="auto" w:fill="0A248E"/>
          </w:tcPr>
          <w:p>
            <w:pPr>
              <w:spacing w:after="0"/>
              <w:rPr>
                <w:sz w:val="17"/>
                <w:szCs w:val="17"/>
                <w:color w:val="auto"/>
              </w:rPr>
            </w:pPr>
          </w:p>
        </w:tc>
        <w:tc>
          <w:tcPr>
            <w:tcW w:w="40" w:type="dxa"/>
            <w:vAlign w:val="bottom"/>
            <w:tcBorders>
              <w:left w:val="single" w:sz="8" w:color="0A248E"/>
            </w:tcBorders>
          </w:tcPr>
          <w:p>
            <w:pPr>
              <w:spacing w:after="0"/>
              <w:rPr>
                <w:sz w:val="17"/>
                <w:szCs w:val="17"/>
                <w:color w:val="auto"/>
              </w:rPr>
            </w:pPr>
          </w:p>
        </w:tc>
        <w:tc>
          <w:tcPr>
            <w:tcW w:w="1920" w:type="dxa"/>
            <w:vAlign w:val="bottom"/>
            <w:shd w:val="clear" w:color="auto" w:fill="0A248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520" w:type="dxa"/>
            <w:vAlign w:val="bottom"/>
            <w:shd w:val="clear" w:color="auto" w:fill="0A248E"/>
          </w:tcPr>
          <w:p>
            <w:pPr>
              <w:spacing w:after="0"/>
              <w:rPr>
                <w:sz w:val="16"/>
                <w:szCs w:val="16"/>
                <w:color w:val="auto"/>
              </w:rPr>
            </w:pPr>
          </w:p>
        </w:tc>
        <w:tc>
          <w:tcPr>
            <w:tcW w:w="60" w:type="dxa"/>
            <w:vAlign w:val="bottom"/>
            <w:tcBorders>
              <w:right w:val="single" w:sz="8" w:color="0A248E"/>
            </w:tcBorders>
          </w:tcPr>
          <w:p>
            <w:pPr>
              <w:spacing w:after="0"/>
              <w:rPr>
                <w:sz w:val="16"/>
                <w:szCs w:val="16"/>
                <w:color w:val="auto"/>
              </w:rPr>
            </w:pPr>
          </w:p>
        </w:tc>
        <w:tc>
          <w:tcPr>
            <w:tcW w:w="188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Compensation Table</w:t>
            </w:r>
          </w:p>
        </w:tc>
        <w:tc>
          <w:tcPr>
            <w:tcW w:w="20" w:type="dxa"/>
            <w:vAlign w:val="bottom"/>
          </w:tcPr>
          <w:p>
            <w:pPr>
              <w:spacing w:after="0"/>
              <w:rPr>
                <w:sz w:val="16"/>
                <w:szCs w:val="16"/>
                <w:color w:val="auto"/>
              </w:rPr>
            </w:pPr>
          </w:p>
        </w:tc>
        <w:tc>
          <w:tcPr>
            <w:tcW w:w="19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Average Reported</w:t>
            </w:r>
          </w:p>
        </w:tc>
        <w:tc>
          <w:tcPr>
            <w:tcW w:w="20" w:type="dxa"/>
            <w:vAlign w:val="bottom"/>
            <w:shd w:val="clear" w:color="auto" w:fill="0A248E"/>
          </w:tcPr>
          <w:p>
            <w:pPr>
              <w:spacing w:after="0"/>
              <w:rPr>
                <w:sz w:val="16"/>
                <w:szCs w:val="16"/>
                <w:color w:val="auto"/>
              </w:rPr>
            </w:pPr>
          </w:p>
        </w:tc>
        <w:tc>
          <w:tcPr>
            <w:tcW w:w="192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19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Average Compensation</w:t>
            </w:r>
          </w:p>
        </w:tc>
        <w:tc>
          <w:tcPr>
            <w:tcW w:w="0" w:type="dxa"/>
            <w:vAlign w:val="bottom"/>
          </w:tcPr>
          <w:p>
            <w:pPr>
              <w:spacing w:after="0"/>
              <w:rPr>
                <w:sz w:val="1"/>
                <w:szCs w:val="1"/>
                <w:color w:val="auto"/>
              </w:rPr>
            </w:pPr>
          </w:p>
        </w:tc>
      </w:tr>
      <w:tr>
        <w:trPr>
          <w:trHeight w:val="192"/>
        </w:trPr>
        <w:tc>
          <w:tcPr>
            <w:tcW w:w="1520" w:type="dxa"/>
            <w:vAlign w:val="bottom"/>
            <w:shd w:val="clear" w:color="auto" w:fill="0A248E"/>
          </w:tcPr>
          <w:p>
            <w:pPr>
              <w:spacing w:after="0"/>
              <w:rPr>
                <w:sz w:val="16"/>
                <w:szCs w:val="16"/>
                <w:color w:val="auto"/>
              </w:rPr>
            </w:pPr>
          </w:p>
        </w:tc>
        <w:tc>
          <w:tcPr>
            <w:tcW w:w="60" w:type="dxa"/>
            <w:vAlign w:val="bottom"/>
            <w:tcBorders>
              <w:right w:val="single" w:sz="8" w:color="0A248E"/>
            </w:tcBorders>
          </w:tcPr>
          <w:p>
            <w:pPr>
              <w:spacing w:after="0"/>
              <w:rPr>
                <w:sz w:val="16"/>
                <w:szCs w:val="16"/>
                <w:color w:val="auto"/>
              </w:rPr>
            </w:pPr>
          </w:p>
        </w:tc>
        <w:tc>
          <w:tcPr>
            <w:tcW w:w="1880" w:type="dxa"/>
            <w:vAlign w:val="bottom"/>
            <w:tcBorders>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Total for Non- PEO</w:t>
            </w:r>
          </w:p>
        </w:tc>
        <w:tc>
          <w:tcPr>
            <w:tcW w:w="20" w:type="dxa"/>
            <w:vAlign w:val="bottom"/>
          </w:tcPr>
          <w:p>
            <w:pPr>
              <w:spacing w:after="0"/>
              <w:rPr>
                <w:sz w:val="16"/>
                <w:szCs w:val="16"/>
                <w:color w:val="auto"/>
              </w:rPr>
            </w:pPr>
          </w:p>
        </w:tc>
        <w:tc>
          <w:tcPr>
            <w:tcW w:w="19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Value of Equity</w:t>
            </w:r>
          </w:p>
        </w:tc>
        <w:tc>
          <w:tcPr>
            <w:tcW w:w="20" w:type="dxa"/>
            <w:vAlign w:val="bottom"/>
            <w:shd w:val="clear" w:color="auto" w:fill="0A248E"/>
          </w:tcPr>
          <w:p>
            <w:pPr>
              <w:spacing w:after="0"/>
              <w:rPr>
                <w:sz w:val="16"/>
                <w:szCs w:val="16"/>
                <w:color w:val="auto"/>
              </w:rPr>
            </w:pPr>
          </w:p>
        </w:tc>
        <w:tc>
          <w:tcPr>
            <w:tcW w:w="19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Average Equity</w:t>
            </w:r>
          </w:p>
        </w:tc>
        <w:tc>
          <w:tcPr>
            <w:tcW w:w="40" w:type="dxa"/>
            <w:vAlign w:val="bottom"/>
            <w:tcBorders>
              <w:left w:val="single" w:sz="8" w:color="0A248E"/>
            </w:tcBorders>
          </w:tcPr>
          <w:p>
            <w:pPr>
              <w:spacing w:after="0"/>
              <w:rPr>
                <w:sz w:val="16"/>
                <w:szCs w:val="16"/>
                <w:color w:val="auto"/>
              </w:rPr>
            </w:pPr>
          </w:p>
        </w:tc>
        <w:tc>
          <w:tcPr>
            <w:tcW w:w="19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Actually Paid to Non-</w:t>
            </w:r>
          </w:p>
        </w:tc>
        <w:tc>
          <w:tcPr>
            <w:tcW w:w="0" w:type="dxa"/>
            <w:vAlign w:val="bottom"/>
          </w:tcPr>
          <w:p>
            <w:pPr>
              <w:spacing w:after="0"/>
              <w:rPr>
                <w:sz w:val="1"/>
                <w:szCs w:val="1"/>
                <w:color w:val="auto"/>
              </w:rPr>
            </w:pPr>
          </w:p>
        </w:tc>
      </w:tr>
      <w:tr>
        <w:trPr>
          <w:trHeight w:val="269"/>
        </w:trPr>
        <w:tc>
          <w:tcPr>
            <w:tcW w:w="1520" w:type="dxa"/>
            <w:vAlign w:val="bottom"/>
            <w:tcBorders>
              <w:bottom w:val="single" w:sz="8" w:color="0A248E"/>
            </w:tcBorders>
            <w:shd w:val="clear" w:color="auto" w:fill="0A248E"/>
          </w:tcPr>
          <w:p>
            <w:pPr>
              <w:ind w:left="100"/>
              <w:spacing w:after="0"/>
              <w:rPr>
                <w:sz w:val="20"/>
                <w:szCs w:val="20"/>
                <w:color w:val="auto"/>
              </w:rPr>
            </w:pPr>
            <w:r>
              <w:rPr>
                <w:rFonts w:ascii="Arial" w:cs="Arial" w:eastAsia="Arial" w:hAnsi="Arial"/>
                <w:sz w:val="15"/>
                <w:szCs w:val="15"/>
                <w:b w:val="1"/>
                <w:bCs w:val="1"/>
                <w:color w:val="FFFFFF"/>
              </w:rPr>
              <w:t>Year</w:t>
            </w:r>
          </w:p>
        </w:tc>
        <w:tc>
          <w:tcPr>
            <w:tcW w:w="60" w:type="dxa"/>
            <w:vAlign w:val="bottom"/>
            <w:tcBorders>
              <w:right w:val="single" w:sz="8" w:color="0A248E"/>
            </w:tcBorders>
          </w:tcPr>
          <w:p>
            <w:pPr>
              <w:spacing w:after="0"/>
              <w:rPr>
                <w:sz w:val="23"/>
                <w:szCs w:val="23"/>
                <w:color w:val="auto"/>
              </w:rPr>
            </w:pPr>
          </w:p>
        </w:tc>
        <w:tc>
          <w:tcPr>
            <w:tcW w:w="1880" w:type="dxa"/>
            <w:vAlign w:val="bottom"/>
            <w:tcBorders>
              <w:bottom w:val="single" w:sz="8" w:color="0A248E"/>
              <w:right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NEOs ($)</w:t>
            </w:r>
          </w:p>
        </w:tc>
        <w:tc>
          <w:tcPr>
            <w:tcW w:w="20" w:type="dxa"/>
            <w:vAlign w:val="bottom"/>
          </w:tcPr>
          <w:p>
            <w:pPr>
              <w:spacing w:after="0"/>
              <w:rPr>
                <w:sz w:val="23"/>
                <w:szCs w:val="23"/>
                <w:color w:val="auto"/>
              </w:rPr>
            </w:pPr>
          </w:p>
        </w:tc>
        <w:tc>
          <w:tcPr>
            <w:tcW w:w="192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9"/>
              </w:rPr>
              <w:t>Awards($)</w:t>
            </w:r>
          </w:p>
        </w:tc>
        <w:tc>
          <w:tcPr>
            <w:tcW w:w="20" w:type="dxa"/>
            <w:vAlign w:val="bottom"/>
            <w:shd w:val="clear" w:color="auto" w:fill="0A248E"/>
          </w:tcPr>
          <w:p>
            <w:pPr>
              <w:spacing w:after="0"/>
              <w:rPr>
                <w:sz w:val="23"/>
                <w:szCs w:val="23"/>
                <w:color w:val="auto"/>
              </w:rPr>
            </w:pPr>
          </w:p>
        </w:tc>
        <w:tc>
          <w:tcPr>
            <w:tcW w:w="192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Award Adjustments ($)</w:t>
            </w:r>
            <w:r>
              <w:rPr>
                <w:rFonts w:ascii="Arial" w:cs="Arial" w:eastAsia="Arial" w:hAnsi="Arial"/>
                <w:sz w:val="19"/>
                <w:szCs w:val="19"/>
                <w:b w:val="1"/>
                <w:bCs w:val="1"/>
                <w:color w:val="FFFFFF"/>
                <w:w w:val="95"/>
                <w:vertAlign w:val="superscript"/>
              </w:rPr>
              <w:t>(a)</w:t>
            </w:r>
          </w:p>
        </w:tc>
        <w:tc>
          <w:tcPr>
            <w:tcW w:w="40" w:type="dxa"/>
            <w:vAlign w:val="bottom"/>
            <w:tcBorders>
              <w:left w:val="single" w:sz="8" w:color="0A248E"/>
            </w:tcBorders>
          </w:tcPr>
          <w:p>
            <w:pPr>
              <w:spacing w:after="0"/>
              <w:rPr>
                <w:sz w:val="23"/>
                <w:szCs w:val="23"/>
                <w:color w:val="auto"/>
              </w:rPr>
            </w:pPr>
          </w:p>
        </w:tc>
        <w:tc>
          <w:tcPr>
            <w:tcW w:w="192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PEO NEOs ($)</w:t>
            </w: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52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5"/>
                <w:szCs w:val="15"/>
                <w:color w:val="auto"/>
              </w:rPr>
              <w:t>2025</w:t>
            </w:r>
          </w:p>
        </w:tc>
        <w:tc>
          <w:tcPr>
            <w:tcW w:w="60" w:type="dxa"/>
            <w:vAlign w:val="bottom"/>
            <w:tcBorders>
              <w:right w:val="single" w:sz="8" w:color="E6E6E6"/>
            </w:tcBorders>
          </w:tcPr>
          <w:p>
            <w:pPr>
              <w:spacing w:after="0"/>
              <w:rPr>
                <w:sz w:val="21"/>
                <w:szCs w:val="21"/>
                <w:color w:val="auto"/>
              </w:rPr>
            </w:pPr>
          </w:p>
        </w:tc>
        <w:tc>
          <w:tcPr>
            <w:tcW w:w="188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9,532,069</w:t>
            </w:r>
          </w:p>
        </w:tc>
        <w:tc>
          <w:tcPr>
            <w:tcW w:w="20" w:type="dxa"/>
            <w:vAlign w:val="bottom"/>
          </w:tcPr>
          <w:p>
            <w:pPr>
              <w:spacing w:after="0"/>
              <w:rPr>
                <w:sz w:val="21"/>
                <w:szCs w:val="21"/>
                <w:color w:val="auto"/>
              </w:rPr>
            </w:pPr>
          </w:p>
        </w:tc>
        <w:tc>
          <w:tcPr>
            <w:tcW w:w="1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8,631,309</w:t>
            </w:r>
          </w:p>
        </w:tc>
        <w:tc>
          <w:tcPr>
            <w:tcW w:w="20" w:type="dxa"/>
            <w:vAlign w:val="bottom"/>
            <w:tcBorders>
              <w:bottom w:val="single" w:sz="8" w:color="E6E6E6"/>
            </w:tcBorders>
            <w:shd w:val="clear" w:color="auto" w:fill="E6E6E6"/>
          </w:tcPr>
          <w:p>
            <w:pPr>
              <w:spacing w:after="0"/>
              <w:rPr>
                <w:sz w:val="21"/>
                <w:szCs w:val="21"/>
                <w:color w:val="auto"/>
              </w:rPr>
            </w:pPr>
          </w:p>
        </w:tc>
        <w:tc>
          <w:tcPr>
            <w:tcW w:w="1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8,629,604</w:t>
            </w:r>
          </w:p>
        </w:tc>
        <w:tc>
          <w:tcPr>
            <w:tcW w:w="40" w:type="dxa"/>
            <w:vAlign w:val="bottom"/>
            <w:tcBorders>
              <w:left w:val="single" w:sz="8" w:color="E6E6E6"/>
            </w:tcBorders>
          </w:tcPr>
          <w:p>
            <w:pPr>
              <w:spacing w:after="0"/>
              <w:rPr>
                <w:sz w:val="21"/>
                <w:szCs w:val="21"/>
                <w:color w:val="auto"/>
              </w:rPr>
            </w:pPr>
          </w:p>
        </w:tc>
        <w:tc>
          <w:tcPr>
            <w:tcW w:w="1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9,530,364</w:t>
            </w:r>
          </w:p>
        </w:tc>
        <w:tc>
          <w:tcPr>
            <w:tcW w:w="0" w:type="dxa"/>
            <w:vAlign w:val="bottom"/>
          </w:tcPr>
          <w:p>
            <w:pPr>
              <w:spacing w:after="0"/>
              <w:rPr>
                <w:sz w:val="1"/>
                <w:szCs w:val="1"/>
                <w:color w:val="auto"/>
              </w:rPr>
            </w:pPr>
          </w:p>
        </w:tc>
      </w:tr>
      <w:tr>
        <w:trPr>
          <w:trHeight w:val="256"/>
        </w:trPr>
        <w:tc>
          <w:tcPr>
            <w:tcW w:w="1520" w:type="dxa"/>
            <w:vAlign w:val="bottom"/>
          </w:tcPr>
          <w:p>
            <w:pPr>
              <w:ind w:left="100"/>
              <w:spacing w:after="0"/>
              <w:rPr>
                <w:sz w:val="20"/>
                <w:szCs w:val="20"/>
                <w:color w:val="auto"/>
              </w:rPr>
            </w:pPr>
            <w:r>
              <w:rPr>
                <w:rFonts w:ascii="Arial" w:cs="Arial" w:eastAsia="Arial" w:hAnsi="Arial"/>
                <w:sz w:val="15"/>
                <w:szCs w:val="15"/>
                <w:color w:val="auto"/>
              </w:rPr>
              <w:t>2024</w:t>
            </w:r>
          </w:p>
        </w:tc>
        <w:tc>
          <w:tcPr>
            <w:tcW w:w="1940" w:type="dxa"/>
            <w:vAlign w:val="bottom"/>
            <w:gridSpan w:val="2"/>
          </w:tcPr>
          <w:p>
            <w:pPr>
              <w:jc w:val="center"/>
              <w:spacing w:after="0"/>
              <w:rPr>
                <w:sz w:val="20"/>
                <w:szCs w:val="20"/>
                <w:color w:val="auto"/>
              </w:rPr>
            </w:pPr>
            <w:r>
              <w:rPr>
                <w:rFonts w:ascii="Arial" w:cs="Arial" w:eastAsia="Arial" w:hAnsi="Arial"/>
                <w:sz w:val="15"/>
                <w:szCs w:val="15"/>
                <w:color w:val="auto"/>
              </w:rPr>
              <w:t>7,182,866</w:t>
            </w:r>
          </w:p>
        </w:tc>
        <w:tc>
          <w:tcPr>
            <w:tcW w:w="1940" w:type="dxa"/>
            <w:vAlign w:val="bottom"/>
            <w:gridSpan w:val="2"/>
          </w:tcPr>
          <w:p>
            <w:pPr>
              <w:jc w:val="center"/>
              <w:spacing w:after="0"/>
              <w:rPr>
                <w:sz w:val="20"/>
                <w:szCs w:val="20"/>
                <w:color w:val="auto"/>
              </w:rPr>
            </w:pPr>
            <w:r>
              <w:rPr>
                <w:rFonts w:ascii="Arial" w:cs="Arial" w:eastAsia="Arial" w:hAnsi="Arial"/>
                <w:sz w:val="15"/>
                <w:szCs w:val="15"/>
                <w:color w:val="auto"/>
              </w:rPr>
              <w:t>6,566,199</w:t>
            </w:r>
          </w:p>
        </w:tc>
        <w:tc>
          <w:tcPr>
            <w:tcW w:w="2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6,882,177</w:t>
            </w:r>
          </w:p>
        </w:tc>
        <w:tc>
          <w:tcPr>
            <w:tcW w:w="1960" w:type="dxa"/>
            <w:vAlign w:val="bottom"/>
            <w:gridSpan w:val="2"/>
          </w:tcPr>
          <w:p>
            <w:pPr>
              <w:jc w:val="center"/>
              <w:spacing w:after="0"/>
              <w:rPr>
                <w:sz w:val="20"/>
                <w:szCs w:val="20"/>
                <w:color w:val="auto"/>
              </w:rPr>
            </w:pPr>
            <w:r>
              <w:rPr>
                <w:rFonts w:ascii="Arial" w:cs="Arial" w:eastAsia="Arial" w:hAnsi="Arial"/>
                <w:sz w:val="15"/>
                <w:szCs w:val="15"/>
                <w:color w:val="auto"/>
              </w:rPr>
              <w:t>7,498,844</w:t>
            </w:r>
          </w:p>
        </w:tc>
        <w:tc>
          <w:tcPr>
            <w:tcW w:w="0" w:type="dxa"/>
            <w:vAlign w:val="bottom"/>
          </w:tcPr>
          <w:p>
            <w:pPr>
              <w:spacing w:after="0"/>
              <w:rPr>
                <w:sz w:val="1"/>
                <w:szCs w:val="1"/>
                <w:color w:val="auto"/>
              </w:rPr>
            </w:pPr>
          </w:p>
        </w:tc>
      </w:tr>
      <w:tr>
        <w:trPr>
          <w:trHeight w:val="58"/>
        </w:trPr>
        <w:tc>
          <w:tcPr>
            <w:tcW w:w="1520" w:type="dxa"/>
            <w:vAlign w:val="bottom"/>
          </w:tcPr>
          <w:p>
            <w:pPr>
              <w:spacing w:after="0"/>
              <w:rPr>
                <w:sz w:val="5"/>
                <w:szCs w:val="5"/>
                <w:color w:val="auto"/>
              </w:rPr>
            </w:pPr>
          </w:p>
        </w:tc>
        <w:tc>
          <w:tcPr>
            <w:tcW w:w="1940" w:type="dxa"/>
            <w:vAlign w:val="bottom"/>
            <w:gridSpan w:val="2"/>
          </w:tcPr>
          <w:p>
            <w:pPr>
              <w:spacing w:after="0"/>
              <w:rPr>
                <w:sz w:val="5"/>
                <w:szCs w:val="5"/>
                <w:color w:val="auto"/>
              </w:rPr>
            </w:pPr>
          </w:p>
        </w:tc>
        <w:tc>
          <w:tcPr>
            <w:tcW w:w="19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9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52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5"/>
                <w:szCs w:val="15"/>
                <w:color w:val="auto"/>
              </w:rPr>
              <w:t>2023</w:t>
            </w:r>
          </w:p>
        </w:tc>
        <w:tc>
          <w:tcPr>
            <w:tcW w:w="60" w:type="dxa"/>
            <w:vAlign w:val="bottom"/>
            <w:tcBorders>
              <w:right w:val="single" w:sz="8" w:color="E6E6E6"/>
            </w:tcBorders>
          </w:tcPr>
          <w:p>
            <w:pPr>
              <w:spacing w:after="0"/>
              <w:rPr>
                <w:sz w:val="21"/>
                <w:szCs w:val="21"/>
                <w:color w:val="auto"/>
              </w:rPr>
            </w:pPr>
          </w:p>
        </w:tc>
        <w:tc>
          <w:tcPr>
            <w:tcW w:w="188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2,515,311</w:t>
            </w:r>
          </w:p>
        </w:tc>
        <w:tc>
          <w:tcPr>
            <w:tcW w:w="20" w:type="dxa"/>
            <w:vAlign w:val="bottom"/>
          </w:tcPr>
          <w:p>
            <w:pPr>
              <w:spacing w:after="0"/>
              <w:rPr>
                <w:sz w:val="21"/>
                <w:szCs w:val="21"/>
                <w:color w:val="auto"/>
              </w:rPr>
            </w:pPr>
          </w:p>
        </w:tc>
        <w:tc>
          <w:tcPr>
            <w:tcW w:w="1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2,049,960</w:t>
            </w:r>
          </w:p>
        </w:tc>
        <w:tc>
          <w:tcPr>
            <w:tcW w:w="20" w:type="dxa"/>
            <w:vAlign w:val="bottom"/>
            <w:tcBorders>
              <w:bottom w:val="single" w:sz="8" w:color="E6E6E6"/>
            </w:tcBorders>
            <w:shd w:val="clear" w:color="auto" w:fill="E6E6E6"/>
          </w:tcPr>
          <w:p>
            <w:pPr>
              <w:spacing w:after="0"/>
              <w:rPr>
                <w:sz w:val="21"/>
                <w:szCs w:val="21"/>
                <w:color w:val="auto"/>
              </w:rPr>
            </w:pPr>
          </w:p>
        </w:tc>
        <w:tc>
          <w:tcPr>
            <w:tcW w:w="1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699,685</w:t>
            </w:r>
          </w:p>
        </w:tc>
        <w:tc>
          <w:tcPr>
            <w:tcW w:w="40" w:type="dxa"/>
            <w:vAlign w:val="bottom"/>
            <w:tcBorders>
              <w:left w:val="single" w:sz="8" w:color="E6E6E6"/>
            </w:tcBorders>
          </w:tcPr>
          <w:p>
            <w:pPr>
              <w:spacing w:after="0"/>
              <w:rPr>
                <w:sz w:val="21"/>
                <w:szCs w:val="21"/>
                <w:color w:val="auto"/>
              </w:rPr>
            </w:pPr>
          </w:p>
        </w:tc>
        <w:tc>
          <w:tcPr>
            <w:tcW w:w="1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1,165,036</w:t>
            </w:r>
          </w:p>
        </w:tc>
        <w:tc>
          <w:tcPr>
            <w:tcW w:w="0" w:type="dxa"/>
            <w:vAlign w:val="bottom"/>
          </w:tcPr>
          <w:p>
            <w:pPr>
              <w:spacing w:after="0"/>
              <w:rPr>
                <w:sz w:val="1"/>
                <w:szCs w:val="1"/>
                <w:color w:val="auto"/>
              </w:rPr>
            </w:pPr>
          </w:p>
        </w:tc>
      </w:tr>
      <w:tr>
        <w:trPr>
          <w:trHeight w:val="256"/>
        </w:trPr>
        <w:tc>
          <w:tcPr>
            <w:tcW w:w="1520" w:type="dxa"/>
            <w:vAlign w:val="bottom"/>
          </w:tcPr>
          <w:p>
            <w:pPr>
              <w:ind w:left="100"/>
              <w:spacing w:after="0"/>
              <w:rPr>
                <w:sz w:val="20"/>
                <w:szCs w:val="20"/>
                <w:color w:val="auto"/>
              </w:rPr>
            </w:pPr>
            <w:r>
              <w:rPr>
                <w:rFonts w:ascii="Arial" w:cs="Arial" w:eastAsia="Arial" w:hAnsi="Arial"/>
                <w:sz w:val="15"/>
                <w:szCs w:val="15"/>
                <w:color w:val="auto"/>
              </w:rPr>
              <w:t>2022</w:t>
            </w:r>
          </w:p>
        </w:tc>
        <w:tc>
          <w:tcPr>
            <w:tcW w:w="1940" w:type="dxa"/>
            <w:vAlign w:val="bottom"/>
            <w:gridSpan w:val="2"/>
          </w:tcPr>
          <w:p>
            <w:pPr>
              <w:jc w:val="center"/>
              <w:spacing w:after="0"/>
              <w:rPr>
                <w:sz w:val="20"/>
                <w:szCs w:val="20"/>
                <w:color w:val="auto"/>
              </w:rPr>
            </w:pPr>
            <w:r>
              <w:rPr>
                <w:rFonts w:ascii="Arial" w:cs="Arial" w:eastAsia="Arial" w:hAnsi="Arial"/>
                <w:sz w:val="15"/>
                <w:szCs w:val="15"/>
                <w:color w:val="auto"/>
              </w:rPr>
              <w:t>3,473,372</w:t>
            </w:r>
          </w:p>
        </w:tc>
        <w:tc>
          <w:tcPr>
            <w:tcW w:w="1940" w:type="dxa"/>
            <w:vAlign w:val="bottom"/>
            <w:gridSpan w:val="2"/>
          </w:tcPr>
          <w:p>
            <w:pPr>
              <w:jc w:val="center"/>
              <w:spacing w:after="0"/>
              <w:rPr>
                <w:sz w:val="20"/>
                <w:szCs w:val="20"/>
                <w:color w:val="auto"/>
              </w:rPr>
            </w:pPr>
            <w:r>
              <w:rPr>
                <w:rFonts w:ascii="Arial" w:cs="Arial" w:eastAsia="Arial" w:hAnsi="Arial"/>
                <w:sz w:val="15"/>
                <w:szCs w:val="15"/>
                <w:color w:val="auto"/>
              </w:rPr>
              <w:t>2,607,061</w:t>
            </w:r>
          </w:p>
        </w:tc>
        <w:tc>
          <w:tcPr>
            <w:tcW w:w="2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-337,824</w:t>
            </w:r>
          </w:p>
        </w:tc>
        <w:tc>
          <w:tcPr>
            <w:tcW w:w="1960" w:type="dxa"/>
            <w:vAlign w:val="bottom"/>
            <w:gridSpan w:val="2"/>
          </w:tcPr>
          <w:p>
            <w:pPr>
              <w:jc w:val="center"/>
              <w:ind w:left="3"/>
              <w:spacing w:after="0"/>
              <w:rPr>
                <w:sz w:val="20"/>
                <w:szCs w:val="20"/>
                <w:color w:val="auto"/>
              </w:rPr>
            </w:pPr>
            <w:r>
              <w:rPr>
                <w:rFonts w:ascii="Arial" w:cs="Arial" w:eastAsia="Arial" w:hAnsi="Arial"/>
                <w:sz w:val="15"/>
                <w:szCs w:val="15"/>
                <w:color w:val="auto"/>
              </w:rPr>
              <w:t>528,487</w:t>
            </w:r>
          </w:p>
        </w:tc>
        <w:tc>
          <w:tcPr>
            <w:tcW w:w="0" w:type="dxa"/>
            <w:vAlign w:val="bottom"/>
          </w:tcPr>
          <w:p>
            <w:pPr>
              <w:spacing w:after="0"/>
              <w:rPr>
                <w:sz w:val="1"/>
                <w:szCs w:val="1"/>
                <w:color w:val="auto"/>
              </w:rPr>
            </w:pPr>
          </w:p>
        </w:tc>
      </w:tr>
      <w:tr>
        <w:trPr>
          <w:trHeight w:val="30"/>
        </w:trPr>
        <w:tc>
          <w:tcPr>
            <w:tcW w:w="152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1520" w:type="dxa"/>
            <w:vAlign w:val="bottom"/>
            <w:shd w:val="clear" w:color="auto" w:fill="E6E6E6"/>
          </w:tcPr>
          <w:p>
            <w:pPr>
              <w:ind w:left="100"/>
              <w:spacing w:after="0"/>
              <w:rPr>
                <w:sz w:val="20"/>
                <w:szCs w:val="20"/>
                <w:color w:val="auto"/>
              </w:rPr>
            </w:pPr>
            <w:r>
              <w:rPr>
                <w:rFonts w:ascii="Arial" w:cs="Arial" w:eastAsia="Arial" w:hAnsi="Arial"/>
                <w:sz w:val="15"/>
                <w:szCs w:val="15"/>
                <w:color w:val="auto"/>
              </w:rPr>
              <w:t>2021</w:t>
            </w:r>
          </w:p>
        </w:tc>
        <w:tc>
          <w:tcPr>
            <w:tcW w:w="60" w:type="dxa"/>
            <w:vAlign w:val="bottom"/>
            <w:tcBorders>
              <w:right w:val="single" w:sz="8" w:color="E6E6E6"/>
            </w:tcBorders>
          </w:tcPr>
          <w:p>
            <w:pPr>
              <w:spacing w:after="0"/>
              <w:rPr>
                <w:sz w:val="22"/>
                <w:szCs w:val="22"/>
                <w:color w:val="auto"/>
              </w:rPr>
            </w:pPr>
          </w:p>
        </w:tc>
        <w:tc>
          <w:tcPr>
            <w:tcW w:w="188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5"/>
                <w:szCs w:val="15"/>
                <w:color w:val="auto"/>
              </w:rPr>
              <w:t>2,832,378</w:t>
            </w:r>
          </w:p>
        </w:tc>
        <w:tc>
          <w:tcPr>
            <w:tcW w:w="20" w:type="dxa"/>
            <w:vAlign w:val="bottom"/>
          </w:tcPr>
          <w:p>
            <w:pPr>
              <w:spacing w:after="0"/>
              <w:rPr>
                <w:sz w:val="22"/>
                <w:szCs w:val="22"/>
                <w:color w:val="auto"/>
              </w:rPr>
            </w:pPr>
          </w:p>
        </w:tc>
        <w:tc>
          <w:tcPr>
            <w:tcW w:w="192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1,946,253</w:t>
            </w:r>
          </w:p>
        </w:tc>
        <w:tc>
          <w:tcPr>
            <w:tcW w:w="20" w:type="dxa"/>
            <w:vAlign w:val="bottom"/>
            <w:shd w:val="clear" w:color="auto" w:fill="E6E6E6"/>
          </w:tcPr>
          <w:p>
            <w:pPr>
              <w:spacing w:after="0"/>
              <w:rPr>
                <w:sz w:val="22"/>
                <w:szCs w:val="22"/>
                <w:color w:val="auto"/>
              </w:rPr>
            </w:pPr>
          </w:p>
        </w:tc>
        <w:tc>
          <w:tcPr>
            <w:tcW w:w="192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375,828</w:t>
            </w:r>
          </w:p>
        </w:tc>
        <w:tc>
          <w:tcPr>
            <w:tcW w:w="40" w:type="dxa"/>
            <w:vAlign w:val="bottom"/>
            <w:tcBorders>
              <w:left w:val="single" w:sz="8" w:color="E6E6E6"/>
            </w:tcBorders>
          </w:tcPr>
          <w:p>
            <w:pPr>
              <w:spacing w:after="0"/>
              <w:rPr>
                <w:sz w:val="22"/>
                <w:szCs w:val="22"/>
                <w:color w:val="auto"/>
              </w:rPr>
            </w:pPr>
          </w:p>
        </w:tc>
        <w:tc>
          <w:tcPr>
            <w:tcW w:w="192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1,261,953</w:t>
            </w:r>
          </w:p>
        </w:tc>
        <w:tc>
          <w:tcPr>
            <w:tcW w:w="0" w:type="dxa"/>
            <w:vAlign w:val="bottom"/>
          </w:tcPr>
          <w:p>
            <w:pPr>
              <w:spacing w:after="0"/>
              <w:rPr>
                <w:sz w:val="1"/>
                <w:szCs w:val="1"/>
                <w:color w:val="auto"/>
              </w:rPr>
            </w:pPr>
          </w:p>
        </w:tc>
      </w:tr>
      <w:tr>
        <w:trPr>
          <w:trHeight w:val="30"/>
        </w:trPr>
        <w:tc>
          <w:tcPr>
            <w:tcW w:w="1520" w:type="dxa"/>
            <w:vAlign w:val="bottom"/>
            <w:shd w:val="clear" w:color="auto" w:fill="E6E6E6"/>
          </w:tcPr>
          <w:p>
            <w:pPr>
              <w:spacing w:after="0"/>
              <w:rPr>
                <w:sz w:val="2"/>
                <w:szCs w:val="2"/>
                <w:color w:val="auto"/>
              </w:rPr>
            </w:pPr>
          </w:p>
        </w:tc>
        <w:tc>
          <w:tcPr>
            <w:tcW w:w="60" w:type="dxa"/>
            <w:vAlign w:val="bottom"/>
            <w:tcBorders>
              <w:right w:val="single" w:sz="8" w:color="E6E6E6"/>
            </w:tcBorders>
          </w:tcPr>
          <w:p>
            <w:pPr>
              <w:spacing w:after="0"/>
              <w:rPr>
                <w:sz w:val="2"/>
                <w:szCs w:val="2"/>
                <w:color w:val="auto"/>
              </w:rPr>
            </w:pPr>
          </w:p>
        </w:tc>
        <w:tc>
          <w:tcPr>
            <w:tcW w:w="1880" w:type="dxa"/>
            <w:vAlign w:val="bottom"/>
            <w:tcBorders>
              <w:right w:val="single" w:sz="8" w:color="E6E6E6"/>
            </w:tcBorders>
            <w:shd w:val="clear" w:color="auto" w:fill="E6E6E6"/>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1920" w:type="dxa"/>
            <w:vAlign w:val="bottom"/>
            <w:shd w:val="clear" w:color="auto" w:fill="E6E6E6"/>
          </w:tcPr>
          <w:p>
            <w:pPr>
              <w:spacing w:after="0"/>
              <w:rPr>
                <w:sz w:val="2"/>
                <w:szCs w:val="2"/>
                <w:color w:val="auto"/>
              </w:rPr>
            </w:pPr>
          </w:p>
        </w:tc>
        <w:tc>
          <w:tcPr>
            <w:tcW w:w="40" w:type="dxa"/>
            <w:vAlign w:val="bottom"/>
            <w:tcBorders>
              <w:left w:val="single" w:sz="8" w:color="E6E6E6"/>
            </w:tcBorders>
          </w:tcPr>
          <w:p>
            <w:pPr>
              <w:spacing w:after="0"/>
              <w:rPr>
                <w:sz w:val="2"/>
                <w:szCs w:val="2"/>
                <w:color w:val="auto"/>
              </w:rPr>
            </w:pPr>
          </w:p>
        </w:tc>
        <w:tc>
          <w:tcPr>
            <w:tcW w:w="192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707" w:hanging="356"/>
        <w:spacing w:after="0" w:line="227" w:lineRule="auto"/>
        <w:tabs>
          <w:tab w:leader="none" w:pos="707" w:val="left"/>
        </w:tabs>
        <w:numPr>
          <w:ilvl w:val="0"/>
          <w:numId w:val="88"/>
        </w:numPr>
        <w:rPr>
          <w:rFonts w:ascii="Arial" w:cs="Arial" w:eastAsia="Arial" w:hAnsi="Arial"/>
          <w:sz w:val="20"/>
          <w:szCs w:val="20"/>
          <w:color w:val="auto"/>
          <w:vertAlign w:val="superscript"/>
        </w:rPr>
      </w:pPr>
      <w:r>
        <w:rPr>
          <w:rFonts w:ascii="Arial" w:cs="Arial" w:eastAsia="Arial" w:hAnsi="Arial"/>
          <w:sz w:val="15"/>
          <w:szCs w:val="15"/>
          <w:i w:val="1"/>
          <w:iCs w:val="1"/>
          <w:color w:val="auto"/>
        </w:rPr>
        <w:t>The amounts deducted or added in calculating the total average equity award adjustments are as follows:</w:t>
      </w:r>
    </w:p>
    <w:p>
      <w:pPr>
        <w:sectPr>
          <w:pgSz w:w="11880" w:h="15480" w:orient="portrait"/>
          <w:cols w:equalWidth="0" w:num="1">
            <w:col w:w="9687"/>
          </w:cols>
          <w:pgMar w:left="1133" w:top="34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7" w:hanging="475"/>
        <w:spacing w:after="0"/>
        <w:tabs>
          <w:tab w:leader="none" w:pos="527"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87"/>
          </w:cols>
          <w:pgMar w:left="1133" w:top="340" w:right="1060" w:bottom="0" w:gutter="0" w:footer="0" w:header="0"/>
          <w:type w:val="continuous"/>
        </w:sectPr>
      </w:pPr>
    </w:p>
    <w:bookmarkStart w:id="76" w:name="page77"/>
    <w:bookmarkEnd w:id="76"/>
    <w:p>
      <w:pPr>
        <w:ind w:left="7"/>
        <w:spacing w:after="0"/>
        <w:rPr>
          <w:sz w:val="20"/>
          <w:szCs w:val="20"/>
          <w:color w:val="auto"/>
        </w:rPr>
      </w:pPr>
      <w:r>
        <w:rPr>
          <w:rFonts w:ascii="Arial" w:cs="Arial" w:eastAsia="Arial" w:hAnsi="Arial"/>
          <w:sz w:val="33"/>
          <w:szCs w:val="33"/>
          <w:color w:val="0A248E"/>
        </w:rPr>
        <w:t>EXECUTIVE COMPENSATION (continued)</w:t>
      </w:r>
    </w:p>
    <w:p>
      <w:pPr>
        <w:spacing w:after="0" w:line="298" w:lineRule="exact"/>
        <w:rPr>
          <w:sz w:val="20"/>
          <w:szCs w:val="20"/>
          <w:color w:val="auto"/>
        </w:rPr>
      </w:pPr>
    </w:p>
    <w:tbl>
      <w:tblPr>
        <w:tblLayout w:type="fixed"/>
        <w:tblInd w:w="707" w:type="dxa"/>
        <w:tblCellMar>
          <w:top w:w="0" w:type="dxa"/>
          <w:left w:w="0" w:type="dxa"/>
          <w:bottom w:w="0" w:type="dxa"/>
          <w:right w:w="0" w:type="dxa"/>
        </w:tblCellMar>
      </w:tblPr>
      <w:tr>
        <w:trPr>
          <w:trHeight w:val="56"/>
        </w:trPr>
        <w:tc>
          <w:tcPr>
            <w:tcW w:w="94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shd w:val="clear" w:color="auto" w:fill="0A248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shd w:val="clear" w:color="auto" w:fill="0A248E"/>
          </w:tcPr>
          <w:p>
            <w:pPr>
              <w:spacing w:after="0"/>
              <w:rPr>
                <w:sz w:val="4"/>
                <w:szCs w:val="4"/>
                <w:color w:val="auto"/>
              </w:rPr>
            </w:pPr>
          </w:p>
        </w:tc>
      </w:tr>
      <w:tr>
        <w:trPr>
          <w:trHeight w:val="312"/>
        </w:trPr>
        <w:tc>
          <w:tcPr>
            <w:tcW w:w="940" w:type="dxa"/>
            <w:vAlign w:val="bottom"/>
            <w:tcBorders>
              <w:bottom w:val="single" w:sz="8" w:color="0A248E"/>
            </w:tcBorders>
            <w:shd w:val="clear" w:color="auto" w:fill="0A248E"/>
          </w:tcPr>
          <w:p>
            <w:pPr>
              <w:spacing w:after="0"/>
              <w:rPr>
                <w:sz w:val="24"/>
                <w:szCs w:val="24"/>
                <w:color w:val="auto"/>
              </w:rPr>
            </w:pPr>
          </w:p>
        </w:tc>
        <w:tc>
          <w:tcPr>
            <w:tcW w:w="40" w:type="dxa"/>
            <w:vAlign w:val="bottom"/>
            <w:tcBorders>
              <w:left w:val="single" w:sz="8" w:color="0A248E"/>
            </w:tcBorders>
          </w:tcPr>
          <w:p>
            <w:pPr>
              <w:spacing w:after="0"/>
              <w:rPr>
                <w:sz w:val="24"/>
                <w:szCs w:val="24"/>
                <w:color w:val="auto"/>
              </w:rPr>
            </w:pPr>
          </w:p>
        </w:tc>
        <w:tc>
          <w:tcPr>
            <w:tcW w:w="9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w:t>
            </w:r>
          </w:p>
        </w:tc>
        <w:tc>
          <w:tcPr>
            <w:tcW w:w="40" w:type="dxa"/>
            <w:vAlign w:val="bottom"/>
            <w:tcBorders>
              <w:left w:val="single" w:sz="8" w:color="0A248E"/>
            </w:tcBorders>
          </w:tcPr>
          <w:p>
            <w:pPr>
              <w:spacing w:after="0"/>
              <w:rPr>
                <w:sz w:val="24"/>
                <w:szCs w:val="24"/>
                <w:color w:val="auto"/>
              </w:rPr>
            </w:pPr>
          </w:p>
        </w:tc>
        <w:tc>
          <w:tcPr>
            <w:tcW w:w="10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3"/>
              </w:rPr>
              <w:t>(b)</w:t>
            </w:r>
          </w:p>
        </w:tc>
        <w:tc>
          <w:tcPr>
            <w:tcW w:w="20" w:type="dxa"/>
            <w:vAlign w:val="bottom"/>
          </w:tcPr>
          <w:p>
            <w:pPr>
              <w:spacing w:after="0"/>
              <w:rPr>
                <w:sz w:val="24"/>
                <w:szCs w:val="24"/>
                <w:color w:val="auto"/>
              </w:rPr>
            </w:pPr>
          </w:p>
        </w:tc>
        <w:tc>
          <w:tcPr>
            <w:tcW w:w="11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(c)</w:t>
            </w:r>
          </w:p>
        </w:tc>
        <w:tc>
          <w:tcPr>
            <w:tcW w:w="40" w:type="dxa"/>
            <w:vAlign w:val="bottom"/>
            <w:tcBorders>
              <w:left w:val="single" w:sz="8" w:color="0A248E"/>
            </w:tcBorders>
          </w:tcPr>
          <w:p>
            <w:pPr>
              <w:spacing w:after="0"/>
              <w:rPr>
                <w:sz w:val="24"/>
                <w:szCs w:val="24"/>
                <w:color w:val="auto"/>
              </w:rPr>
            </w:pPr>
          </w:p>
        </w:tc>
        <w:tc>
          <w:tcPr>
            <w:tcW w:w="11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3"/>
              </w:rPr>
              <w:t>(d)</w:t>
            </w:r>
          </w:p>
        </w:tc>
        <w:tc>
          <w:tcPr>
            <w:tcW w:w="20" w:type="dxa"/>
            <w:vAlign w:val="bottom"/>
          </w:tcPr>
          <w:p>
            <w:pPr>
              <w:spacing w:after="0"/>
              <w:rPr>
                <w:sz w:val="24"/>
                <w:szCs w:val="24"/>
                <w:color w:val="auto"/>
              </w:rPr>
            </w:pPr>
          </w:p>
        </w:tc>
        <w:tc>
          <w:tcPr>
            <w:tcW w:w="11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(e)</w:t>
            </w:r>
          </w:p>
        </w:tc>
        <w:tc>
          <w:tcPr>
            <w:tcW w:w="40" w:type="dxa"/>
            <w:vAlign w:val="bottom"/>
            <w:tcBorders>
              <w:left w:val="single" w:sz="8" w:color="0A248E"/>
            </w:tcBorders>
          </w:tcPr>
          <w:p>
            <w:pPr>
              <w:spacing w:after="0"/>
              <w:rPr>
                <w:sz w:val="24"/>
                <w:szCs w:val="24"/>
                <w:color w:val="auto"/>
              </w:rPr>
            </w:pPr>
          </w:p>
        </w:tc>
        <w:tc>
          <w:tcPr>
            <w:tcW w:w="132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rPr>
              <w:t>(f)</w:t>
            </w:r>
          </w:p>
        </w:tc>
        <w:tc>
          <w:tcPr>
            <w:tcW w:w="20" w:type="dxa"/>
            <w:vAlign w:val="bottom"/>
          </w:tcPr>
          <w:p>
            <w:pPr>
              <w:spacing w:after="0"/>
              <w:rPr>
                <w:sz w:val="24"/>
                <w:szCs w:val="24"/>
                <w:color w:val="auto"/>
              </w:rPr>
            </w:pPr>
          </w:p>
        </w:tc>
        <w:tc>
          <w:tcPr>
            <w:tcW w:w="20" w:type="dxa"/>
            <w:vAlign w:val="bottom"/>
            <w:tcBorders>
              <w:bottom w:val="single" w:sz="8" w:color="0A248E"/>
            </w:tcBorders>
            <w:shd w:val="clear" w:color="auto" w:fill="0A248E"/>
          </w:tcPr>
          <w:p>
            <w:pPr>
              <w:spacing w:after="0"/>
              <w:rPr>
                <w:sz w:val="24"/>
                <w:szCs w:val="24"/>
                <w:color w:val="auto"/>
              </w:rPr>
            </w:pPr>
          </w:p>
        </w:tc>
        <w:tc>
          <w:tcPr>
            <w:tcW w:w="1040" w:type="dxa"/>
            <w:vAlign w:val="bottom"/>
            <w:tcBorders>
              <w:bottom w:val="single" w:sz="8" w:color="0A248E"/>
            </w:tcBorders>
            <w:shd w:val="clear" w:color="auto" w:fill="0A248E"/>
          </w:tcPr>
          <w:p>
            <w:pPr>
              <w:spacing w:after="0"/>
              <w:rPr>
                <w:sz w:val="24"/>
                <w:szCs w:val="24"/>
                <w:color w:val="auto"/>
              </w:rPr>
            </w:pPr>
          </w:p>
        </w:tc>
      </w:tr>
      <w:tr>
        <w:trPr>
          <w:trHeight w:val="33"/>
        </w:trPr>
        <w:tc>
          <w:tcPr>
            <w:tcW w:w="940" w:type="dxa"/>
            <w:vAlign w:val="bottom"/>
            <w:shd w:val="clear" w:color="auto" w:fill="0A248E"/>
          </w:tcPr>
          <w:p>
            <w:pPr>
              <w:spacing w:after="0"/>
              <w:rPr>
                <w:sz w:val="2"/>
                <w:szCs w:val="2"/>
                <w:color w:val="auto"/>
              </w:rPr>
            </w:pPr>
          </w:p>
        </w:tc>
        <w:tc>
          <w:tcPr>
            <w:tcW w:w="40" w:type="dxa"/>
            <w:vAlign w:val="bottom"/>
            <w:tcBorders>
              <w:left w:val="single" w:sz="8" w:color="0A248E"/>
            </w:tcBorders>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shd w:val="clear" w:color="auto" w:fill="0A248E"/>
          </w:tcPr>
          <w:p>
            <w:pPr>
              <w:spacing w:after="0"/>
              <w:rPr>
                <w:sz w:val="2"/>
                <w:szCs w:val="2"/>
                <w:color w:val="auto"/>
              </w:rPr>
            </w:pPr>
          </w:p>
        </w:tc>
        <w:tc>
          <w:tcPr>
            <w:tcW w:w="1040" w:type="dxa"/>
            <w:vAlign w:val="bottom"/>
            <w:shd w:val="clear" w:color="auto" w:fill="0A248E"/>
          </w:tcPr>
          <w:p>
            <w:pPr>
              <w:spacing w:after="0"/>
              <w:rPr>
                <w:sz w:val="2"/>
                <w:szCs w:val="2"/>
                <w:color w:val="auto"/>
              </w:rPr>
            </w:pPr>
          </w:p>
        </w:tc>
      </w:tr>
      <w:tr>
        <w:trPr>
          <w:trHeight w:val="192"/>
        </w:trPr>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104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114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Average Fair</w:t>
            </w:r>
          </w:p>
        </w:tc>
        <w:tc>
          <w:tcPr>
            <w:tcW w:w="40" w:type="dxa"/>
            <w:vAlign w:val="bottom"/>
            <w:tcBorders>
              <w:left w:val="single" w:sz="8" w:color="0A248E"/>
            </w:tcBorders>
          </w:tcPr>
          <w:p>
            <w:pPr>
              <w:spacing w:after="0"/>
              <w:rPr>
                <w:sz w:val="16"/>
                <w:szCs w:val="16"/>
                <w:color w:val="auto"/>
              </w:rPr>
            </w:pPr>
          </w:p>
        </w:tc>
        <w:tc>
          <w:tcPr>
            <w:tcW w:w="13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1040" w:type="dxa"/>
            <w:vAlign w:val="bottom"/>
            <w:shd w:val="clear" w:color="auto" w:fill="0A248E"/>
          </w:tcPr>
          <w:p>
            <w:pPr>
              <w:spacing w:after="0"/>
              <w:rPr>
                <w:sz w:val="16"/>
                <w:szCs w:val="16"/>
                <w:color w:val="auto"/>
              </w:rPr>
            </w:pPr>
          </w:p>
        </w:tc>
      </w:tr>
      <w:tr>
        <w:trPr>
          <w:trHeight w:val="192"/>
        </w:trPr>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104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Year over</w:t>
            </w:r>
          </w:p>
        </w:tc>
        <w:tc>
          <w:tcPr>
            <w:tcW w:w="20" w:type="dxa"/>
            <w:vAlign w:val="bottom"/>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Value at the</w:t>
            </w:r>
          </w:p>
        </w:tc>
        <w:tc>
          <w:tcPr>
            <w:tcW w:w="40" w:type="dxa"/>
            <w:vAlign w:val="bottom"/>
            <w:tcBorders>
              <w:left w:val="single" w:sz="8" w:color="0A248E"/>
            </w:tcBorders>
          </w:tcPr>
          <w:p>
            <w:pPr>
              <w:spacing w:after="0"/>
              <w:rPr>
                <w:sz w:val="16"/>
                <w:szCs w:val="16"/>
                <w:color w:val="auto"/>
              </w:rPr>
            </w:pPr>
          </w:p>
        </w:tc>
        <w:tc>
          <w:tcPr>
            <w:tcW w:w="1320" w:type="dxa"/>
            <w:vAlign w:val="bottom"/>
            <w:shd w:val="clear" w:color="auto" w:fill="0A248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1040" w:type="dxa"/>
            <w:vAlign w:val="bottom"/>
            <w:shd w:val="clear" w:color="auto" w:fill="0A248E"/>
          </w:tcPr>
          <w:p>
            <w:pPr>
              <w:spacing w:after="0"/>
              <w:rPr>
                <w:sz w:val="16"/>
                <w:szCs w:val="16"/>
                <w:color w:val="auto"/>
              </w:rPr>
            </w:pPr>
          </w:p>
        </w:tc>
      </w:tr>
      <w:tr>
        <w:trPr>
          <w:trHeight w:val="197"/>
        </w:trPr>
        <w:tc>
          <w:tcPr>
            <w:tcW w:w="940" w:type="dxa"/>
            <w:vAlign w:val="bottom"/>
            <w:shd w:val="clear" w:color="auto" w:fill="0A248E"/>
          </w:tcPr>
          <w:p>
            <w:pPr>
              <w:spacing w:after="0"/>
              <w:rPr>
                <w:sz w:val="17"/>
                <w:szCs w:val="17"/>
                <w:color w:val="auto"/>
              </w:rPr>
            </w:pPr>
          </w:p>
        </w:tc>
        <w:tc>
          <w:tcPr>
            <w:tcW w:w="40" w:type="dxa"/>
            <w:vAlign w:val="bottom"/>
            <w:tcBorders>
              <w:left w:val="single" w:sz="8" w:color="0A248E"/>
            </w:tcBorders>
          </w:tcPr>
          <w:p>
            <w:pPr>
              <w:spacing w:after="0"/>
              <w:rPr>
                <w:sz w:val="17"/>
                <w:szCs w:val="17"/>
                <w:color w:val="auto"/>
              </w:rPr>
            </w:pPr>
          </w:p>
        </w:tc>
        <w:tc>
          <w:tcPr>
            <w:tcW w:w="940" w:type="dxa"/>
            <w:vAlign w:val="bottom"/>
            <w:shd w:val="clear" w:color="auto" w:fill="0A248E"/>
          </w:tcPr>
          <w:p>
            <w:pPr>
              <w:spacing w:after="0"/>
              <w:rPr>
                <w:sz w:val="17"/>
                <w:szCs w:val="17"/>
                <w:color w:val="auto"/>
              </w:rPr>
            </w:pPr>
          </w:p>
        </w:tc>
        <w:tc>
          <w:tcPr>
            <w:tcW w:w="40" w:type="dxa"/>
            <w:vAlign w:val="bottom"/>
            <w:tcBorders>
              <w:left w:val="single" w:sz="8" w:color="0A248E"/>
            </w:tcBorders>
          </w:tcPr>
          <w:p>
            <w:pPr>
              <w:spacing w:after="0"/>
              <w:rPr>
                <w:sz w:val="17"/>
                <w:szCs w:val="17"/>
                <w:color w:val="auto"/>
              </w:rPr>
            </w:pPr>
          </w:p>
        </w:tc>
        <w:tc>
          <w:tcPr>
            <w:tcW w:w="1040" w:type="dxa"/>
            <w:vAlign w:val="bottom"/>
            <w:shd w:val="clear" w:color="auto" w:fill="0A248E"/>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Average</w:t>
            </w:r>
          </w:p>
        </w:tc>
        <w:tc>
          <w:tcPr>
            <w:tcW w:w="40" w:type="dxa"/>
            <w:vAlign w:val="bottom"/>
            <w:tcBorders>
              <w:left w:val="single" w:sz="8" w:color="0A248E"/>
            </w:tcBorders>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Year Average</w:t>
            </w:r>
          </w:p>
        </w:tc>
        <w:tc>
          <w:tcPr>
            <w:tcW w:w="20" w:type="dxa"/>
            <w:vAlign w:val="bottom"/>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End</w:t>
            </w:r>
          </w:p>
        </w:tc>
        <w:tc>
          <w:tcPr>
            <w:tcW w:w="40" w:type="dxa"/>
            <w:vAlign w:val="bottom"/>
            <w:tcBorders>
              <w:left w:val="single" w:sz="8" w:color="0A248E"/>
            </w:tcBorders>
          </w:tcPr>
          <w:p>
            <w:pPr>
              <w:spacing w:after="0"/>
              <w:rPr>
                <w:sz w:val="17"/>
                <w:szCs w:val="17"/>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shd w:val="clear" w:color="auto" w:fill="0A248E"/>
              </w:rPr>
              <w:t>Average Value of</w:t>
            </w:r>
          </w:p>
        </w:tc>
        <w:tc>
          <w:tcPr>
            <w:tcW w:w="20" w:type="dxa"/>
            <w:vAlign w:val="bottom"/>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1040" w:type="dxa"/>
            <w:vAlign w:val="bottom"/>
            <w:shd w:val="clear" w:color="auto" w:fill="0A248E"/>
          </w:tcPr>
          <w:p>
            <w:pPr>
              <w:spacing w:after="0"/>
              <w:rPr>
                <w:sz w:val="17"/>
                <w:szCs w:val="17"/>
                <w:color w:val="auto"/>
              </w:rPr>
            </w:pPr>
          </w:p>
        </w:tc>
      </w:tr>
      <w:tr>
        <w:trPr>
          <w:trHeight w:val="207"/>
        </w:trPr>
        <w:tc>
          <w:tcPr>
            <w:tcW w:w="940" w:type="dxa"/>
            <w:vAlign w:val="bottom"/>
            <w:shd w:val="clear" w:color="auto" w:fill="0A248E"/>
          </w:tcPr>
          <w:p>
            <w:pPr>
              <w:spacing w:after="0"/>
              <w:rPr>
                <w:sz w:val="18"/>
                <w:szCs w:val="18"/>
                <w:color w:val="auto"/>
              </w:rPr>
            </w:pPr>
          </w:p>
        </w:tc>
        <w:tc>
          <w:tcPr>
            <w:tcW w:w="40" w:type="dxa"/>
            <w:vAlign w:val="bottom"/>
            <w:tcBorders>
              <w:left w:val="single" w:sz="8" w:color="0A248E"/>
            </w:tcBorders>
          </w:tcPr>
          <w:p>
            <w:pPr>
              <w:spacing w:after="0"/>
              <w:rPr>
                <w:sz w:val="18"/>
                <w:szCs w:val="18"/>
                <w:color w:val="auto"/>
              </w:rPr>
            </w:pPr>
          </w:p>
        </w:tc>
        <w:tc>
          <w:tcPr>
            <w:tcW w:w="940" w:type="dxa"/>
            <w:vAlign w:val="bottom"/>
            <w:shd w:val="clear" w:color="auto" w:fill="0A248E"/>
          </w:tcPr>
          <w:p>
            <w:pPr>
              <w:spacing w:after="0"/>
              <w:rPr>
                <w:sz w:val="18"/>
                <w:szCs w:val="18"/>
                <w:color w:val="auto"/>
              </w:rPr>
            </w:pPr>
          </w:p>
        </w:tc>
        <w:tc>
          <w:tcPr>
            <w:tcW w:w="40" w:type="dxa"/>
            <w:vAlign w:val="bottom"/>
            <w:tcBorders>
              <w:left w:val="single" w:sz="8" w:color="0A248E"/>
            </w:tcBorders>
          </w:tcPr>
          <w:p>
            <w:pPr>
              <w:spacing w:after="0"/>
              <w:rPr>
                <w:sz w:val="18"/>
                <w:szCs w:val="18"/>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Year over</w:t>
            </w:r>
          </w:p>
        </w:tc>
        <w:tc>
          <w:tcPr>
            <w:tcW w:w="20" w:type="dxa"/>
            <w:vAlign w:val="bottom"/>
          </w:tcPr>
          <w:p>
            <w:pPr>
              <w:spacing w:after="0"/>
              <w:rPr>
                <w:sz w:val="18"/>
                <w:szCs w:val="18"/>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Fair Value</w:t>
            </w:r>
          </w:p>
        </w:tc>
        <w:tc>
          <w:tcPr>
            <w:tcW w:w="40" w:type="dxa"/>
            <w:vAlign w:val="bottom"/>
            <w:tcBorders>
              <w:left w:val="single" w:sz="8" w:color="0A248E"/>
            </w:tcBorders>
          </w:tcPr>
          <w:p>
            <w:pPr>
              <w:spacing w:after="0"/>
              <w:rPr>
                <w:sz w:val="18"/>
                <w:szCs w:val="18"/>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Change in</w:t>
            </w:r>
          </w:p>
        </w:tc>
        <w:tc>
          <w:tcPr>
            <w:tcW w:w="20" w:type="dxa"/>
            <w:vAlign w:val="bottom"/>
          </w:tcPr>
          <w:p>
            <w:pPr>
              <w:spacing w:after="0"/>
              <w:rPr>
                <w:sz w:val="18"/>
                <w:szCs w:val="18"/>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of the Prior</w:t>
            </w:r>
          </w:p>
        </w:tc>
        <w:tc>
          <w:tcPr>
            <w:tcW w:w="40" w:type="dxa"/>
            <w:vAlign w:val="bottom"/>
            <w:tcBorders>
              <w:left w:val="single" w:sz="8" w:color="0A248E"/>
            </w:tcBorders>
          </w:tcPr>
          <w:p>
            <w:pPr>
              <w:spacing w:after="0"/>
              <w:rPr>
                <w:sz w:val="18"/>
                <w:szCs w:val="18"/>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Dividends or</w:t>
            </w:r>
          </w:p>
        </w:tc>
        <w:tc>
          <w:tcPr>
            <w:tcW w:w="20" w:type="dxa"/>
            <w:vAlign w:val="bottom"/>
          </w:tcPr>
          <w:p>
            <w:pPr>
              <w:spacing w:after="0"/>
              <w:rPr>
                <w:sz w:val="18"/>
                <w:szCs w:val="18"/>
                <w:color w:val="auto"/>
              </w:rPr>
            </w:pPr>
          </w:p>
        </w:tc>
        <w:tc>
          <w:tcPr>
            <w:tcW w:w="20" w:type="dxa"/>
            <w:vAlign w:val="bottom"/>
            <w:shd w:val="clear" w:color="auto" w:fill="0A248E"/>
          </w:tcPr>
          <w:p>
            <w:pPr>
              <w:spacing w:after="0"/>
              <w:rPr>
                <w:sz w:val="18"/>
                <w:szCs w:val="18"/>
                <w:color w:val="auto"/>
              </w:rPr>
            </w:pPr>
          </w:p>
        </w:tc>
        <w:tc>
          <w:tcPr>
            <w:tcW w:w="1040" w:type="dxa"/>
            <w:vAlign w:val="bottom"/>
            <w:shd w:val="clear" w:color="auto" w:fill="0A248E"/>
          </w:tcPr>
          <w:p>
            <w:pPr>
              <w:spacing w:after="0"/>
              <w:rPr>
                <w:sz w:val="18"/>
                <w:szCs w:val="18"/>
                <w:color w:val="auto"/>
              </w:rPr>
            </w:pPr>
          </w:p>
        </w:tc>
      </w:tr>
      <w:tr>
        <w:trPr>
          <w:trHeight w:val="177"/>
        </w:trPr>
        <w:tc>
          <w:tcPr>
            <w:tcW w:w="940" w:type="dxa"/>
            <w:vAlign w:val="bottom"/>
            <w:shd w:val="clear" w:color="auto" w:fill="0A248E"/>
          </w:tcPr>
          <w:p>
            <w:pPr>
              <w:spacing w:after="0"/>
              <w:rPr>
                <w:sz w:val="15"/>
                <w:szCs w:val="15"/>
                <w:color w:val="auto"/>
              </w:rPr>
            </w:pPr>
          </w:p>
        </w:tc>
        <w:tc>
          <w:tcPr>
            <w:tcW w:w="40" w:type="dxa"/>
            <w:vAlign w:val="bottom"/>
            <w:tcBorders>
              <w:left w:val="single" w:sz="8" w:color="0A248E"/>
            </w:tcBorders>
          </w:tcPr>
          <w:p>
            <w:pPr>
              <w:spacing w:after="0"/>
              <w:rPr>
                <w:sz w:val="15"/>
                <w:szCs w:val="15"/>
                <w:color w:val="auto"/>
              </w:rPr>
            </w:pPr>
          </w:p>
        </w:tc>
        <w:tc>
          <w:tcPr>
            <w:tcW w:w="940" w:type="dxa"/>
            <w:vAlign w:val="bottom"/>
            <w:shd w:val="clear" w:color="auto" w:fill="0A248E"/>
          </w:tcPr>
          <w:p>
            <w:pPr>
              <w:spacing w:after="0"/>
              <w:rPr>
                <w:sz w:val="15"/>
                <w:szCs w:val="15"/>
                <w:color w:val="auto"/>
              </w:rPr>
            </w:pPr>
          </w:p>
        </w:tc>
        <w:tc>
          <w:tcPr>
            <w:tcW w:w="40" w:type="dxa"/>
            <w:vAlign w:val="bottom"/>
            <w:tcBorders>
              <w:left w:val="single" w:sz="8" w:color="0A248E"/>
            </w:tcBorders>
          </w:tcPr>
          <w:p>
            <w:pPr>
              <w:spacing w:after="0"/>
              <w:rPr>
                <w:sz w:val="15"/>
                <w:szCs w:val="15"/>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Year Average</w:t>
            </w:r>
          </w:p>
        </w:tc>
        <w:tc>
          <w:tcPr>
            <w:tcW w:w="20" w:type="dxa"/>
            <w:vAlign w:val="bottom"/>
          </w:tcPr>
          <w:p>
            <w:pPr>
              <w:spacing w:after="0"/>
              <w:rPr>
                <w:sz w:val="15"/>
                <w:szCs w:val="15"/>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as of Vesting</w:t>
            </w:r>
          </w:p>
        </w:tc>
        <w:tc>
          <w:tcPr>
            <w:tcW w:w="40" w:type="dxa"/>
            <w:vAlign w:val="bottom"/>
            <w:tcBorders>
              <w:left w:val="single" w:sz="8" w:color="0A248E"/>
            </w:tcBorders>
          </w:tcPr>
          <w:p>
            <w:pPr>
              <w:spacing w:after="0"/>
              <w:rPr>
                <w:sz w:val="15"/>
                <w:szCs w:val="15"/>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Fair Value of</w:t>
            </w:r>
          </w:p>
        </w:tc>
        <w:tc>
          <w:tcPr>
            <w:tcW w:w="20" w:type="dxa"/>
            <w:vAlign w:val="bottom"/>
          </w:tcPr>
          <w:p>
            <w:pPr>
              <w:spacing w:after="0"/>
              <w:rPr>
                <w:sz w:val="15"/>
                <w:szCs w:val="15"/>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Year</w:t>
            </w:r>
          </w:p>
        </w:tc>
        <w:tc>
          <w:tcPr>
            <w:tcW w:w="40" w:type="dxa"/>
            <w:vAlign w:val="bottom"/>
            <w:tcBorders>
              <w:left w:val="single" w:sz="8" w:color="0A248E"/>
            </w:tcBorders>
          </w:tcPr>
          <w:p>
            <w:pPr>
              <w:spacing w:after="0"/>
              <w:rPr>
                <w:sz w:val="15"/>
                <w:szCs w:val="15"/>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other Earnings</w:t>
            </w:r>
          </w:p>
        </w:tc>
        <w:tc>
          <w:tcPr>
            <w:tcW w:w="20" w:type="dxa"/>
            <w:vAlign w:val="bottom"/>
          </w:tcPr>
          <w:p>
            <w:pPr>
              <w:spacing w:after="0"/>
              <w:rPr>
                <w:sz w:val="15"/>
                <w:szCs w:val="15"/>
                <w:color w:val="auto"/>
              </w:rPr>
            </w:pPr>
          </w:p>
        </w:tc>
        <w:tc>
          <w:tcPr>
            <w:tcW w:w="20" w:type="dxa"/>
            <w:vAlign w:val="bottom"/>
            <w:shd w:val="clear" w:color="auto" w:fill="0A248E"/>
          </w:tcPr>
          <w:p>
            <w:pPr>
              <w:spacing w:after="0"/>
              <w:rPr>
                <w:sz w:val="15"/>
                <w:szCs w:val="15"/>
                <w:color w:val="auto"/>
              </w:rPr>
            </w:pPr>
          </w:p>
        </w:tc>
        <w:tc>
          <w:tcPr>
            <w:tcW w:w="1040" w:type="dxa"/>
            <w:vAlign w:val="bottom"/>
            <w:shd w:val="clear" w:color="auto" w:fill="0A248E"/>
          </w:tcPr>
          <w:p>
            <w:pPr>
              <w:spacing w:after="0"/>
              <w:rPr>
                <w:sz w:val="15"/>
                <w:szCs w:val="15"/>
                <w:color w:val="auto"/>
              </w:rPr>
            </w:pPr>
          </w:p>
        </w:tc>
      </w:tr>
      <w:tr>
        <w:trPr>
          <w:trHeight w:val="212"/>
        </w:trPr>
        <w:tc>
          <w:tcPr>
            <w:tcW w:w="940" w:type="dxa"/>
            <w:vAlign w:val="bottom"/>
            <w:shd w:val="clear" w:color="auto" w:fill="0A248E"/>
          </w:tcPr>
          <w:p>
            <w:pPr>
              <w:spacing w:after="0"/>
              <w:rPr>
                <w:sz w:val="18"/>
                <w:szCs w:val="18"/>
                <w:color w:val="auto"/>
              </w:rPr>
            </w:pPr>
          </w:p>
        </w:tc>
        <w:tc>
          <w:tcPr>
            <w:tcW w:w="40" w:type="dxa"/>
            <w:vAlign w:val="bottom"/>
            <w:tcBorders>
              <w:left w:val="single" w:sz="8" w:color="0A248E"/>
            </w:tcBorders>
          </w:tcPr>
          <w:p>
            <w:pPr>
              <w:spacing w:after="0"/>
              <w:rPr>
                <w:sz w:val="18"/>
                <w:szCs w:val="18"/>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Average</w:t>
            </w:r>
          </w:p>
        </w:tc>
        <w:tc>
          <w:tcPr>
            <w:tcW w:w="40" w:type="dxa"/>
            <w:vAlign w:val="bottom"/>
            <w:tcBorders>
              <w:left w:val="single" w:sz="8" w:color="0A248E"/>
            </w:tcBorders>
          </w:tcPr>
          <w:p>
            <w:pPr>
              <w:spacing w:after="0"/>
              <w:rPr>
                <w:sz w:val="18"/>
                <w:szCs w:val="18"/>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Change in</w:t>
            </w:r>
          </w:p>
        </w:tc>
        <w:tc>
          <w:tcPr>
            <w:tcW w:w="20" w:type="dxa"/>
            <w:vAlign w:val="bottom"/>
          </w:tcPr>
          <w:p>
            <w:pPr>
              <w:spacing w:after="0"/>
              <w:rPr>
                <w:sz w:val="18"/>
                <w:szCs w:val="18"/>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Date of</w:t>
            </w:r>
          </w:p>
        </w:tc>
        <w:tc>
          <w:tcPr>
            <w:tcW w:w="40" w:type="dxa"/>
            <w:vAlign w:val="bottom"/>
            <w:tcBorders>
              <w:left w:val="single" w:sz="8" w:color="0A248E"/>
            </w:tcBorders>
          </w:tcPr>
          <w:p>
            <w:pPr>
              <w:spacing w:after="0"/>
              <w:rPr>
                <w:sz w:val="18"/>
                <w:szCs w:val="18"/>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Equity</w:t>
            </w:r>
          </w:p>
        </w:tc>
        <w:tc>
          <w:tcPr>
            <w:tcW w:w="20" w:type="dxa"/>
            <w:vAlign w:val="bottom"/>
          </w:tcPr>
          <w:p>
            <w:pPr>
              <w:spacing w:after="0"/>
              <w:rPr>
                <w:sz w:val="18"/>
                <w:szCs w:val="18"/>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of Equity</w:t>
            </w:r>
          </w:p>
        </w:tc>
        <w:tc>
          <w:tcPr>
            <w:tcW w:w="40" w:type="dxa"/>
            <w:vAlign w:val="bottom"/>
            <w:tcBorders>
              <w:left w:val="single" w:sz="8" w:color="0A248E"/>
            </w:tcBorders>
          </w:tcPr>
          <w:p>
            <w:pPr>
              <w:spacing w:after="0"/>
              <w:rPr>
                <w:sz w:val="18"/>
                <w:szCs w:val="18"/>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Paid on Stock or</w:t>
            </w:r>
          </w:p>
        </w:tc>
        <w:tc>
          <w:tcPr>
            <w:tcW w:w="20" w:type="dxa"/>
            <w:vAlign w:val="bottom"/>
          </w:tcPr>
          <w:p>
            <w:pPr>
              <w:spacing w:after="0"/>
              <w:rPr>
                <w:sz w:val="18"/>
                <w:szCs w:val="18"/>
                <w:color w:val="auto"/>
              </w:rPr>
            </w:pPr>
          </w:p>
        </w:tc>
        <w:tc>
          <w:tcPr>
            <w:tcW w:w="20" w:type="dxa"/>
            <w:vAlign w:val="bottom"/>
            <w:shd w:val="clear" w:color="auto" w:fill="0A248E"/>
          </w:tcPr>
          <w:p>
            <w:pPr>
              <w:spacing w:after="0"/>
              <w:rPr>
                <w:sz w:val="18"/>
                <w:szCs w:val="18"/>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4"/>
              </w:rPr>
              <w:t>Total</w:t>
            </w:r>
          </w:p>
        </w:tc>
      </w:tr>
      <w:tr>
        <w:trPr>
          <w:trHeight w:val="192"/>
        </w:trPr>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Year End</w:t>
            </w:r>
          </w:p>
        </w:tc>
        <w:tc>
          <w:tcPr>
            <w:tcW w:w="40" w:type="dxa"/>
            <w:vAlign w:val="bottom"/>
            <w:tcBorders>
              <w:left w:val="single" w:sz="8" w:color="0A248E"/>
            </w:tcBorders>
          </w:tcPr>
          <w:p>
            <w:pPr>
              <w:spacing w:after="0"/>
              <w:rPr>
                <w:sz w:val="16"/>
                <w:szCs w:val="16"/>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Fair Value of</w:t>
            </w:r>
          </w:p>
        </w:tc>
        <w:tc>
          <w:tcPr>
            <w:tcW w:w="20" w:type="dxa"/>
            <w:vAlign w:val="bottom"/>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Equity Awards</w:t>
            </w:r>
          </w:p>
        </w:tc>
        <w:tc>
          <w:tcPr>
            <w:tcW w:w="40" w:type="dxa"/>
            <w:vAlign w:val="bottom"/>
            <w:tcBorders>
              <w:left w:val="single" w:sz="8" w:color="0A248E"/>
            </w:tcBorders>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Awards</w:t>
            </w:r>
          </w:p>
        </w:tc>
        <w:tc>
          <w:tcPr>
            <w:tcW w:w="20" w:type="dxa"/>
            <w:vAlign w:val="bottom"/>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Awards that</w:t>
            </w:r>
          </w:p>
        </w:tc>
        <w:tc>
          <w:tcPr>
            <w:tcW w:w="40" w:type="dxa"/>
            <w:vAlign w:val="bottom"/>
            <w:tcBorders>
              <w:left w:val="single" w:sz="8" w:color="0A248E"/>
            </w:tcBorders>
          </w:tcPr>
          <w:p>
            <w:pPr>
              <w:spacing w:after="0"/>
              <w:rPr>
                <w:sz w:val="16"/>
                <w:szCs w:val="16"/>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Option Awards</w:t>
            </w:r>
          </w:p>
        </w:tc>
        <w:tc>
          <w:tcPr>
            <w:tcW w:w="20" w:type="dxa"/>
            <w:vAlign w:val="bottom"/>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Average</w:t>
            </w:r>
          </w:p>
        </w:tc>
      </w:tr>
      <w:tr>
        <w:trPr>
          <w:trHeight w:val="197"/>
        </w:trPr>
        <w:tc>
          <w:tcPr>
            <w:tcW w:w="940" w:type="dxa"/>
            <w:vAlign w:val="bottom"/>
            <w:shd w:val="clear" w:color="auto" w:fill="0A248E"/>
          </w:tcPr>
          <w:p>
            <w:pPr>
              <w:spacing w:after="0"/>
              <w:rPr>
                <w:sz w:val="17"/>
                <w:szCs w:val="17"/>
                <w:color w:val="auto"/>
              </w:rPr>
            </w:pPr>
          </w:p>
        </w:tc>
        <w:tc>
          <w:tcPr>
            <w:tcW w:w="40" w:type="dxa"/>
            <w:vAlign w:val="bottom"/>
            <w:tcBorders>
              <w:left w:val="single" w:sz="8" w:color="0A248E"/>
            </w:tcBorders>
          </w:tcPr>
          <w:p>
            <w:pPr>
              <w:spacing w:after="0"/>
              <w:rPr>
                <w:sz w:val="17"/>
                <w:szCs w:val="17"/>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Fair Value</w:t>
            </w:r>
          </w:p>
        </w:tc>
        <w:tc>
          <w:tcPr>
            <w:tcW w:w="40" w:type="dxa"/>
            <w:vAlign w:val="bottom"/>
            <w:tcBorders>
              <w:left w:val="single" w:sz="8" w:color="0A248E"/>
            </w:tcBorders>
          </w:tcPr>
          <w:p>
            <w:pPr>
              <w:spacing w:after="0"/>
              <w:rPr>
                <w:sz w:val="17"/>
                <w:szCs w:val="17"/>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Outstanding</w:t>
            </w:r>
          </w:p>
        </w:tc>
        <w:tc>
          <w:tcPr>
            <w:tcW w:w="20" w:type="dxa"/>
            <w:vAlign w:val="bottom"/>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Granted</w:t>
            </w:r>
          </w:p>
        </w:tc>
        <w:tc>
          <w:tcPr>
            <w:tcW w:w="40" w:type="dxa"/>
            <w:vAlign w:val="bottom"/>
            <w:tcBorders>
              <w:left w:val="single" w:sz="8" w:color="0A248E"/>
            </w:tcBorders>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Granted in</w:t>
            </w:r>
          </w:p>
        </w:tc>
        <w:tc>
          <w:tcPr>
            <w:tcW w:w="20" w:type="dxa"/>
            <w:vAlign w:val="bottom"/>
          </w:tcPr>
          <w:p>
            <w:pPr>
              <w:spacing w:after="0"/>
              <w:rPr>
                <w:sz w:val="17"/>
                <w:szCs w:val="17"/>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Failed to Meet</w:t>
            </w:r>
          </w:p>
        </w:tc>
        <w:tc>
          <w:tcPr>
            <w:tcW w:w="40" w:type="dxa"/>
            <w:vAlign w:val="bottom"/>
            <w:tcBorders>
              <w:left w:val="single" w:sz="8" w:color="0A248E"/>
            </w:tcBorders>
          </w:tcPr>
          <w:p>
            <w:pPr>
              <w:spacing w:after="0"/>
              <w:rPr>
                <w:sz w:val="17"/>
                <w:szCs w:val="17"/>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not Otherwise</w:t>
            </w:r>
          </w:p>
        </w:tc>
        <w:tc>
          <w:tcPr>
            <w:tcW w:w="20" w:type="dxa"/>
            <w:vAlign w:val="bottom"/>
          </w:tcPr>
          <w:p>
            <w:pPr>
              <w:spacing w:after="0"/>
              <w:rPr>
                <w:sz w:val="17"/>
                <w:szCs w:val="17"/>
                <w:color w:val="auto"/>
              </w:rPr>
            </w:pPr>
          </w:p>
        </w:tc>
        <w:tc>
          <w:tcPr>
            <w:tcW w:w="20" w:type="dxa"/>
            <w:vAlign w:val="bottom"/>
            <w:shd w:val="clear" w:color="auto" w:fill="0A248E"/>
          </w:tcPr>
          <w:p>
            <w:pPr>
              <w:spacing w:after="0"/>
              <w:rPr>
                <w:sz w:val="17"/>
                <w:szCs w:val="17"/>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Equity</w:t>
            </w:r>
          </w:p>
        </w:tc>
      </w:tr>
      <w:tr>
        <w:trPr>
          <w:trHeight w:val="192"/>
        </w:trPr>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of</w:t>
            </w:r>
          </w:p>
        </w:tc>
        <w:tc>
          <w:tcPr>
            <w:tcW w:w="40" w:type="dxa"/>
            <w:vAlign w:val="bottom"/>
            <w:tcBorders>
              <w:left w:val="single" w:sz="8" w:color="0A248E"/>
            </w:tcBorders>
          </w:tcPr>
          <w:p>
            <w:pPr>
              <w:spacing w:after="0"/>
              <w:rPr>
                <w:sz w:val="16"/>
                <w:szCs w:val="16"/>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and Unvested</w:t>
            </w:r>
          </w:p>
        </w:tc>
        <w:tc>
          <w:tcPr>
            <w:tcW w:w="20" w:type="dxa"/>
            <w:vAlign w:val="bottom"/>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and Vested</w:t>
            </w:r>
          </w:p>
        </w:tc>
        <w:tc>
          <w:tcPr>
            <w:tcW w:w="40" w:type="dxa"/>
            <w:vAlign w:val="bottom"/>
            <w:tcBorders>
              <w:left w:val="single" w:sz="8" w:color="0A248E"/>
            </w:tcBorders>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Prior Years</w:t>
            </w:r>
          </w:p>
        </w:tc>
        <w:tc>
          <w:tcPr>
            <w:tcW w:w="20" w:type="dxa"/>
            <w:vAlign w:val="bottom"/>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Vesting</w:t>
            </w:r>
          </w:p>
        </w:tc>
        <w:tc>
          <w:tcPr>
            <w:tcW w:w="40" w:type="dxa"/>
            <w:vAlign w:val="bottom"/>
            <w:tcBorders>
              <w:left w:val="single" w:sz="8" w:color="0A248E"/>
            </w:tcBorders>
          </w:tcPr>
          <w:p>
            <w:pPr>
              <w:spacing w:after="0"/>
              <w:rPr>
                <w:sz w:val="16"/>
                <w:szCs w:val="16"/>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5"/>
              </w:rPr>
              <w:t>Reflected in Fair</w:t>
            </w:r>
          </w:p>
        </w:tc>
        <w:tc>
          <w:tcPr>
            <w:tcW w:w="20" w:type="dxa"/>
            <w:vAlign w:val="bottom"/>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Award</w:t>
            </w:r>
          </w:p>
        </w:tc>
      </w:tr>
      <w:tr>
        <w:trPr>
          <w:trHeight w:val="192"/>
        </w:trPr>
        <w:tc>
          <w:tcPr>
            <w:tcW w:w="940" w:type="dxa"/>
            <w:vAlign w:val="bottom"/>
            <w:shd w:val="clear" w:color="auto" w:fill="0A248E"/>
          </w:tcPr>
          <w:p>
            <w:pPr>
              <w:spacing w:after="0"/>
              <w:rPr>
                <w:sz w:val="16"/>
                <w:szCs w:val="16"/>
                <w:color w:val="auto"/>
              </w:rPr>
            </w:pPr>
          </w:p>
        </w:tc>
        <w:tc>
          <w:tcPr>
            <w:tcW w:w="40" w:type="dxa"/>
            <w:vAlign w:val="bottom"/>
            <w:tcBorders>
              <w:left w:val="single" w:sz="8" w:color="0A248E"/>
            </w:tcBorders>
          </w:tcPr>
          <w:p>
            <w:pPr>
              <w:spacing w:after="0"/>
              <w:rPr>
                <w:sz w:val="16"/>
                <w:szCs w:val="16"/>
                <w:color w:val="auto"/>
              </w:rPr>
            </w:pPr>
          </w:p>
        </w:tc>
        <w:tc>
          <w:tcPr>
            <w:tcW w:w="9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Equity</w:t>
            </w:r>
          </w:p>
        </w:tc>
        <w:tc>
          <w:tcPr>
            <w:tcW w:w="40" w:type="dxa"/>
            <w:vAlign w:val="bottom"/>
            <w:tcBorders>
              <w:left w:val="single" w:sz="8" w:color="0A248E"/>
            </w:tcBorders>
          </w:tcPr>
          <w:p>
            <w:pPr>
              <w:spacing w:after="0"/>
              <w:rPr>
                <w:sz w:val="16"/>
                <w:szCs w:val="16"/>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Equity</w:t>
            </w:r>
          </w:p>
        </w:tc>
        <w:tc>
          <w:tcPr>
            <w:tcW w:w="20" w:type="dxa"/>
            <w:vAlign w:val="bottom"/>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4"/>
              </w:rPr>
              <w:t>in the</w:t>
            </w:r>
          </w:p>
        </w:tc>
        <w:tc>
          <w:tcPr>
            <w:tcW w:w="40" w:type="dxa"/>
            <w:vAlign w:val="bottom"/>
            <w:tcBorders>
              <w:left w:val="single" w:sz="8" w:color="0A248E"/>
            </w:tcBorders>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that Vested in</w:t>
            </w:r>
          </w:p>
        </w:tc>
        <w:tc>
          <w:tcPr>
            <w:tcW w:w="20" w:type="dxa"/>
            <w:vAlign w:val="bottom"/>
          </w:tcPr>
          <w:p>
            <w:pPr>
              <w:spacing w:after="0"/>
              <w:rPr>
                <w:sz w:val="16"/>
                <w:szCs w:val="16"/>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Conditions in</w:t>
            </w:r>
          </w:p>
        </w:tc>
        <w:tc>
          <w:tcPr>
            <w:tcW w:w="40" w:type="dxa"/>
            <w:vAlign w:val="bottom"/>
            <w:tcBorders>
              <w:left w:val="single" w:sz="8" w:color="0A248E"/>
            </w:tcBorders>
          </w:tcPr>
          <w:p>
            <w:pPr>
              <w:spacing w:after="0"/>
              <w:rPr>
                <w:sz w:val="16"/>
                <w:szCs w:val="16"/>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Value or Total</w:t>
            </w:r>
          </w:p>
        </w:tc>
        <w:tc>
          <w:tcPr>
            <w:tcW w:w="20" w:type="dxa"/>
            <w:vAlign w:val="bottom"/>
          </w:tcPr>
          <w:p>
            <w:pPr>
              <w:spacing w:after="0"/>
              <w:rPr>
                <w:sz w:val="16"/>
                <w:szCs w:val="16"/>
                <w:color w:val="auto"/>
              </w:rPr>
            </w:pPr>
          </w:p>
        </w:tc>
        <w:tc>
          <w:tcPr>
            <w:tcW w:w="20" w:type="dxa"/>
            <w:vAlign w:val="bottom"/>
            <w:shd w:val="clear" w:color="auto" w:fill="0A248E"/>
          </w:tcPr>
          <w:p>
            <w:pPr>
              <w:spacing w:after="0"/>
              <w:rPr>
                <w:sz w:val="16"/>
                <w:szCs w:val="16"/>
                <w:color w:val="auto"/>
              </w:rPr>
            </w:pPr>
          </w:p>
        </w:tc>
        <w:tc>
          <w:tcPr>
            <w:tcW w:w="10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w w:val="99"/>
              </w:rPr>
              <w:t>Adjustments</w:t>
            </w:r>
          </w:p>
        </w:tc>
      </w:tr>
      <w:tr>
        <w:trPr>
          <w:trHeight w:val="269"/>
        </w:trPr>
        <w:tc>
          <w:tcPr>
            <w:tcW w:w="940" w:type="dxa"/>
            <w:vAlign w:val="bottom"/>
            <w:tcBorders>
              <w:bottom w:val="single" w:sz="8" w:color="0A248E"/>
            </w:tcBorders>
            <w:shd w:val="clear" w:color="auto" w:fill="0A248E"/>
          </w:tcPr>
          <w:p>
            <w:pPr>
              <w:ind w:left="100"/>
              <w:spacing w:after="0"/>
              <w:rPr>
                <w:sz w:val="20"/>
                <w:szCs w:val="20"/>
                <w:color w:val="auto"/>
              </w:rPr>
            </w:pPr>
            <w:r>
              <w:rPr>
                <w:rFonts w:ascii="Arial" w:cs="Arial" w:eastAsia="Arial" w:hAnsi="Arial"/>
                <w:sz w:val="15"/>
                <w:szCs w:val="15"/>
                <w:b w:val="1"/>
                <w:bCs w:val="1"/>
                <w:color w:val="FFFFFF"/>
              </w:rPr>
              <w:t>Year</w:t>
            </w:r>
          </w:p>
        </w:tc>
        <w:tc>
          <w:tcPr>
            <w:tcW w:w="40" w:type="dxa"/>
            <w:vAlign w:val="bottom"/>
            <w:tcBorders>
              <w:left w:val="single" w:sz="8" w:color="0A248E"/>
            </w:tcBorders>
          </w:tcPr>
          <w:p>
            <w:pPr>
              <w:spacing w:after="0"/>
              <w:rPr>
                <w:sz w:val="23"/>
                <w:szCs w:val="23"/>
                <w:color w:val="auto"/>
              </w:rPr>
            </w:pPr>
          </w:p>
        </w:tc>
        <w:tc>
          <w:tcPr>
            <w:tcW w:w="9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Awards ($)</w:t>
            </w:r>
          </w:p>
        </w:tc>
        <w:tc>
          <w:tcPr>
            <w:tcW w:w="40" w:type="dxa"/>
            <w:vAlign w:val="bottom"/>
            <w:tcBorders>
              <w:left w:val="single" w:sz="8" w:color="0A248E"/>
            </w:tcBorders>
          </w:tcPr>
          <w:p>
            <w:pPr>
              <w:spacing w:after="0"/>
              <w:rPr>
                <w:sz w:val="23"/>
                <w:szCs w:val="23"/>
                <w:color w:val="auto"/>
              </w:rPr>
            </w:pPr>
          </w:p>
        </w:tc>
        <w:tc>
          <w:tcPr>
            <w:tcW w:w="10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6"/>
              </w:rPr>
              <w:t>Awards ($)</w:t>
            </w:r>
          </w:p>
        </w:tc>
        <w:tc>
          <w:tcPr>
            <w:tcW w:w="20" w:type="dxa"/>
            <w:vAlign w:val="bottom"/>
          </w:tcPr>
          <w:p>
            <w:pPr>
              <w:spacing w:after="0"/>
              <w:rPr>
                <w:sz w:val="23"/>
                <w:szCs w:val="23"/>
                <w:color w:val="auto"/>
              </w:rPr>
            </w:pPr>
          </w:p>
        </w:tc>
        <w:tc>
          <w:tcPr>
            <w:tcW w:w="11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8"/>
              </w:rPr>
              <w:t>Year ($)</w:t>
            </w:r>
          </w:p>
        </w:tc>
        <w:tc>
          <w:tcPr>
            <w:tcW w:w="40" w:type="dxa"/>
            <w:vAlign w:val="bottom"/>
            <w:tcBorders>
              <w:left w:val="single" w:sz="8" w:color="0A248E"/>
            </w:tcBorders>
          </w:tcPr>
          <w:p>
            <w:pPr>
              <w:spacing w:after="0"/>
              <w:rPr>
                <w:sz w:val="23"/>
                <w:szCs w:val="23"/>
                <w:color w:val="auto"/>
              </w:rPr>
            </w:pPr>
          </w:p>
        </w:tc>
        <w:tc>
          <w:tcPr>
            <w:tcW w:w="11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the Year ($)</w:t>
            </w:r>
          </w:p>
        </w:tc>
        <w:tc>
          <w:tcPr>
            <w:tcW w:w="20" w:type="dxa"/>
            <w:vAlign w:val="bottom"/>
          </w:tcPr>
          <w:p>
            <w:pPr>
              <w:spacing w:after="0"/>
              <w:rPr>
                <w:sz w:val="23"/>
                <w:szCs w:val="23"/>
                <w:color w:val="auto"/>
              </w:rPr>
            </w:pPr>
          </w:p>
        </w:tc>
        <w:tc>
          <w:tcPr>
            <w:tcW w:w="11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the Year ($)</w:t>
            </w:r>
          </w:p>
        </w:tc>
        <w:tc>
          <w:tcPr>
            <w:tcW w:w="40" w:type="dxa"/>
            <w:vAlign w:val="bottom"/>
            <w:tcBorders>
              <w:left w:val="single" w:sz="8" w:color="0A248E"/>
            </w:tcBorders>
          </w:tcPr>
          <w:p>
            <w:pPr>
              <w:spacing w:after="0"/>
              <w:rPr>
                <w:sz w:val="23"/>
                <w:szCs w:val="23"/>
                <w:color w:val="auto"/>
              </w:rPr>
            </w:pPr>
          </w:p>
        </w:tc>
        <w:tc>
          <w:tcPr>
            <w:tcW w:w="132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97"/>
              </w:rPr>
              <w:t>Compensation ($)</w:t>
            </w:r>
          </w:p>
        </w:tc>
        <w:tc>
          <w:tcPr>
            <w:tcW w:w="20" w:type="dxa"/>
            <w:vAlign w:val="bottom"/>
          </w:tcPr>
          <w:p>
            <w:pPr>
              <w:spacing w:after="0"/>
              <w:rPr>
                <w:sz w:val="23"/>
                <w:szCs w:val="23"/>
                <w:color w:val="auto"/>
              </w:rPr>
            </w:pPr>
          </w:p>
        </w:tc>
        <w:tc>
          <w:tcPr>
            <w:tcW w:w="20" w:type="dxa"/>
            <w:vAlign w:val="bottom"/>
            <w:shd w:val="clear" w:color="auto" w:fill="0A248E"/>
          </w:tcPr>
          <w:p>
            <w:pPr>
              <w:spacing w:after="0"/>
              <w:rPr>
                <w:sz w:val="23"/>
                <w:szCs w:val="23"/>
                <w:color w:val="auto"/>
              </w:rPr>
            </w:pPr>
          </w:p>
        </w:tc>
        <w:tc>
          <w:tcPr>
            <w:tcW w:w="1040" w:type="dxa"/>
            <w:vAlign w:val="bottom"/>
            <w:tcBorders>
              <w:bottom w:val="single" w:sz="8" w:color="0A248E"/>
            </w:tcBorders>
            <w:shd w:val="clear" w:color="auto" w:fill="0A248E"/>
          </w:tcPr>
          <w:p>
            <w:pPr>
              <w:jc w:val="center"/>
              <w:spacing w:after="0"/>
              <w:rPr>
                <w:sz w:val="20"/>
                <w:szCs w:val="20"/>
                <w:color w:val="auto"/>
              </w:rPr>
            </w:pPr>
            <w:r>
              <w:rPr>
                <w:rFonts w:ascii="Arial" w:cs="Arial" w:eastAsia="Arial" w:hAnsi="Arial"/>
                <w:sz w:val="15"/>
                <w:szCs w:val="15"/>
                <w:b w:val="1"/>
                <w:bCs w:val="1"/>
                <w:color w:val="FFFFFF"/>
                <w:w w:val="88"/>
              </w:rPr>
              <w:t>($)</w:t>
            </w:r>
            <w:r>
              <w:rPr>
                <w:rFonts w:ascii="Arial" w:cs="Arial" w:eastAsia="Arial" w:hAnsi="Arial"/>
                <w:sz w:val="19"/>
                <w:szCs w:val="19"/>
                <w:b w:val="1"/>
                <w:bCs w:val="1"/>
                <w:color w:val="FFFFFF"/>
                <w:w w:val="88"/>
                <w:vertAlign w:val="superscript"/>
              </w:rPr>
              <w:t>(a)</w:t>
            </w:r>
          </w:p>
        </w:tc>
      </w:tr>
      <w:tr>
        <w:trPr>
          <w:trHeight w:val="33"/>
        </w:trPr>
        <w:tc>
          <w:tcPr>
            <w:tcW w:w="9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080" w:type="dxa"/>
            <w:vAlign w:val="bottom"/>
            <w:gridSpan w:val="3"/>
          </w:tcPr>
          <w:p>
            <w:pPr>
              <w:spacing w:after="0"/>
              <w:rPr>
                <w:sz w:val="2"/>
                <w:szCs w:val="2"/>
                <w:color w:val="auto"/>
              </w:rPr>
            </w:pPr>
          </w:p>
        </w:tc>
      </w:tr>
      <w:tr>
        <w:trPr>
          <w:trHeight w:val="279"/>
        </w:trPr>
        <w:tc>
          <w:tcPr>
            <w:tcW w:w="9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2025</w:t>
            </w:r>
          </w:p>
        </w:tc>
        <w:tc>
          <w:tcPr>
            <w:tcW w:w="40" w:type="dxa"/>
            <w:vAlign w:val="bottom"/>
            <w:tcBorders>
              <w:left w:val="single" w:sz="8" w:color="E6E6E6"/>
            </w:tcBorders>
          </w:tcPr>
          <w:p>
            <w:pPr>
              <w:spacing w:after="0"/>
              <w:rPr>
                <w:sz w:val="24"/>
                <w:szCs w:val="24"/>
                <w:color w:val="auto"/>
              </w:rPr>
            </w:pPr>
          </w:p>
        </w:tc>
        <w:tc>
          <w:tcPr>
            <w:tcW w:w="940" w:type="dxa"/>
            <w:vAlign w:val="bottom"/>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6,809,226</w:t>
            </w:r>
          </w:p>
        </w:tc>
        <w:tc>
          <w:tcPr>
            <w:tcW w:w="40" w:type="dxa"/>
            <w:vAlign w:val="bottom"/>
            <w:tcBorders>
              <w:left w:val="single" w:sz="8" w:color="E6E6E6"/>
            </w:tcBorders>
          </w:tcPr>
          <w:p>
            <w:pPr>
              <w:spacing w:after="0"/>
              <w:rPr>
                <w:sz w:val="24"/>
                <w:szCs w:val="24"/>
                <w:color w:val="auto"/>
              </w:rPr>
            </w:pPr>
          </w:p>
        </w:tc>
        <w:tc>
          <w:tcPr>
            <w:tcW w:w="10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-107,298</w:t>
            </w:r>
          </w:p>
        </w:tc>
        <w:tc>
          <w:tcPr>
            <w:tcW w:w="20" w:type="dxa"/>
            <w:vAlign w:val="bottom"/>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1,918,157</w:t>
            </w:r>
          </w:p>
        </w:tc>
        <w:tc>
          <w:tcPr>
            <w:tcW w:w="40" w:type="dxa"/>
            <w:vAlign w:val="bottom"/>
            <w:tcBorders>
              <w:left w:val="single" w:sz="8" w:color="E6E6E6"/>
            </w:tcBorders>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9,520</w:t>
            </w:r>
          </w:p>
        </w:tc>
        <w:tc>
          <w:tcPr>
            <w:tcW w:w="20" w:type="dxa"/>
            <w:vAlign w:val="bottom"/>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40" w:type="dxa"/>
            <w:vAlign w:val="bottom"/>
            <w:tcBorders>
              <w:left w:val="single" w:sz="8" w:color="E6E6E6"/>
            </w:tcBorders>
          </w:tcPr>
          <w:p>
            <w:pPr>
              <w:spacing w:after="0"/>
              <w:rPr>
                <w:sz w:val="24"/>
                <w:szCs w:val="24"/>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20" w:type="dxa"/>
            <w:vAlign w:val="bottom"/>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8,629,604</w:t>
            </w:r>
          </w:p>
        </w:tc>
      </w:tr>
      <w:tr>
        <w:trPr>
          <w:trHeight w:val="86"/>
        </w:trPr>
        <w:tc>
          <w:tcPr>
            <w:tcW w:w="940" w:type="dxa"/>
            <w:vAlign w:val="bottom"/>
            <w:shd w:val="clear" w:color="auto" w:fill="E6E6E6"/>
          </w:tcPr>
          <w:p>
            <w:pPr>
              <w:spacing w:after="0"/>
              <w:rPr>
                <w:sz w:val="7"/>
                <w:szCs w:val="7"/>
                <w:color w:val="auto"/>
              </w:rPr>
            </w:pPr>
          </w:p>
        </w:tc>
        <w:tc>
          <w:tcPr>
            <w:tcW w:w="40" w:type="dxa"/>
            <w:vAlign w:val="bottom"/>
            <w:tcBorders>
              <w:left w:val="single" w:sz="8" w:color="E6E6E6"/>
            </w:tcBorders>
          </w:tcPr>
          <w:p>
            <w:pPr>
              <w:spacing w:after="0"/>
              <w:rPr>
                <w:sz w:val="7"/>
                <w:szCs w:val="7"/>
                <w:color w:val="auto"/>
              </w:rPr>
            </w:pPr>
          </w:p>
        </w:tc>
        <w:tc>
          <w:tcPr>
            <w:tcW w:w="940" w:type="dxa"/>
            <w:vAlign w:val="bottom"/>
            <w:shd w:val="clear" w:color="auto" w:fill="E6E6E6"/>
          </w:tcPr>
          <w:p>
            <w:pPr>
              <w:spacing w:after="0"/>
              <w:rPr>
                <w:sz w:val="7"/>
                <w:szCs w:val="7"/>
                <w:color w:val="auto"/>
              </w:rPr>
            </w:pPr>
          </w:p>
        </w:tc>
        <w:tc>
          <w:tcPr>
            <w:tcW w:w="40" w:type="dxa"/>
            <w:vAlign w:val="bottom"/>
            <w:tcBorders>
              <w:left w:val="single" w:sz="8" w:color="E6E6E6"/>
            </w:tcBorders>
          </w:tcPr>
          <w:p>
            <w:pPr>
              <w:spacing w:after="0"/>
              <w:rPr>
                <w:sz w:val="7"/>
                <w:szCs w:val="7"/>
                <w:color w:val="auto"/>
              </w:rPr>
            </w:pPr>
          </w:p>
        </w:tc>
        <w:tc>
          <w:tcPr>
            <w:tcW w:w="104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6E6E6"/>
          </w:tcPr>
          <w:p>
            <w:pPr>
              <w:spacing w:after="0"/>
              <w:rPr>
                <w:sz w:val="7"/>
                <w:szCs w:val="7"/>
                <w:color w:val="auto"/>
              </w:rPr>
            </w:pPr>
          </w:p>
        </w:tc>
        <w:tc>
          <w:tcPr>
            <w:tcW w:w="40" w:type="dxa"/>
            <w:vAlign w:val="bottom"/>
            <w:tcBorders>
              <w:left w:val="single" w:sz="8" w:color="E6E6E6"/>
            </w:tcBorders>
          </w:tcPr>
          <w:p>
            <w:pPr>
              <w:spacing w:after="0"/>
              <w:rPr>
                <w:sz w:val="7"/>
                <w:szCs w:val="7"/>
                <w:color w:val="auto"/>
              </w:rPr>
            </w:pPr>
          </w:p>
        </w:tc>
        <w:tc>
          <w:tcPr>
            <w:tcW w:w="114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6E6E6"/>
          </w:tcPr>
          <w:p>
            <w:pPr>
              <w:spacing w:after="0"/>
              <w:rPr>
                <w:sz w:val="7"/>
                <w:szCs w:val="7"/>
                <w:color w:val="auto"/>
              </w:rPr>
            </w:pPr>
          </w:p>
        </w:tc>
        <w:tc>
          <w:tcPr>
            <w:tcW w:w="40" w:type="dxa"/>
            <w:vAlign w:val="bottom"/>
            <w:tcBorders>
              <w:left w:val="single" w:sz="8" w:color="E6E6E6"/>
            </w:tcBorders>
          </w:tcPr>
          <w:p>
            <w:pPr>
              <w:spacing w:after="0"/>
              <w:rPr>
                <w:sz w:val="7"/>
                <w:szCs w:val="7"/>
                <w:color w:val="auto"/>
              </w:rPr>
            </w:pPr>
          </w:p>
        </w:tc>
        <w:tc>
          <w:tcPr>
            <w:tcW w:w="1320" w:type="dxa"/>
            <w:vAlign w:val="bottom"/>
            <w:shd w:val="clear" w:color="auto" w:fill="E6E6E6"/>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shd w:val="clear" w:color="auto" w:fill="E6E6E6"/>
          </w:tcPr>
          <w:p>
            <w:pPr>
              <w:spacing w:after="0"/>
              <w:rPr>
                <w:sz w:val="7"/>
                <w:szCs w:val="7"/>
                <w:color w:val="auto"/>
              </w:rPr>
            </w:pPr>
          </w:p>
        </w:tc>
      </w:tr>
      <w:tr>
        <w:trPr>
          <w:trHeight w:val="228"/>
        </w:trPr>
        <w:tc>
          <w:tcPr>
            <w:tcW w:w="940" w:type="dxa"/>
            <w:vAlign w:val="bottom"/>
          </w:tcPr>
          <w:p>
            <w:pPr>
              <w:ind w:left="100"/>
              <w:spacing w:after="0"/>
              <w:rPr>
                <w:sz w:val="20"/>
                <w:szCs w:val="20"/>
                <w:color w:val="auto"/>
              </w:rPr>
            </w:pPr>
            <w:r>
              <w:rPr>
                <w:rFonts w:ascii="Arial" w:cs="Arial" w:eastAsia="Arial" w:hAnsi="Arial"/>
                <w:sz w:val="15"/>
                <w:szCs w:val="15"/>
                <w:color w:val="auto"/>
              </w:rPr>
              <w:t>2024</w:t>
            </w:r>
          </w:p>
        </w:tc>
        <w:tc>
          <w:tcPr>
            <w:tcW w:w="980" w:type="dxa"/>
            <w:vAlign w:val="bottom"/>
            <w:gridSpan w:val="2"/>
          </w:tcPr>
          <w:p>
            <w:pPr>
              <w:jc w:val="center"/>
              <w:spacing w:after="0"/>
              <w:rPr>
                <w:sz w:val="20"/>
                <w:szCs w:val="20"/>
                <w:color w:val="auto"/>
              </w:rPr>
            </w:pPr>
            <w:r>
              <w:rPr>
                <w:rFonts w:ascii="Arial" w:cs="Arial" w:eastAsia="Arial" w:hAnsi="Arial"/>
                <w:sz w:val="15"/>
                <w:szCs w:val="15"/>
                <w:color w:val="auto"/>
              </w:rPr>
              <w:t>5,703,394</w:t>
            </w:r>
          </w:p>
        </w:tc>
        <w:tc>
          <w:tcPr>
            <w:tcW w:w="1080" w:type="dxa"/>
            <w:vAlign w:val="bottom"/>
            <w:gridSpan w:val="2"/>
          </w:tcPr>
          <w:p>
            <w:pPr>
              <w:jc w:val="center"/>
              <w:spacing w:after="0"/>
              <w:rPr>
                <w:sz w:val="20"/>
                <w:szCs w:val="20"/>
                <w:color w:val="auto"/>
              </w:rPr>
            </w:pPr>
            <w:r>
              <w:rPr>
                <w:rFonts w:ascii="Arial" w:cs="Arial" w:eastAsia="Arial" w:hAnsi="Arial"/>
                <w:sz w:val="15"/>
                <w:szCs w:val="15"/>
                <w:color w:val="auto"/>
              </w:rPr>
              <w:t>62,853</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rPr>
              <w:t>1,382,982</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rPr>
              <w:t>-267,053</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5"/>
              </w:rPr>
              <w:t>0</w:t>
            </w:r>
          </w:p>
        </w:tc>
        <w:tc>
          <w:tcPr>
            <w:tcW w:w="1360" w:type="dxa"/>
            <w:vAlign w:val="bottom"/>
            <w:gridSpan w:val="2"/>
          </w:tcPr>
          <w:p>
            <w:pPr>
              <w:jc w:val="center"/>
              <w:spacing w:after="0"/>
              <w:rPr>
                <w:sz w:val="20"/>
                <w:szCs w:val="20"/>
                <w:color w:val="auto"/>
              </w:rPr>
            </w:pPr>
            <w:r>
              <w:rPr>
                <w:rFonts w:ascii="Arial" w:cs="Arial" w:eastAsia="Arial" w:hAnsi="Arial"/>
                <w:sz w:val="15"/>
                <w:szCs w:val="15"/>
                <w:color w:val="auto"/>
                <w:w w:val="95"/>
              </w:rPr>
              <w:t>0</w:t>
            </w:r>
          </w:p>
        </w:tc>
        <w:tc>
          <w:tcPr>
            <w:tcW w:w="1080" w:type="dxa"/>
            <w:vAlign w:val="bottom"/>
            <w:gridSpan w:val="3"/>
          </w:tcPr>
          <w:p>
            <w:pPr>
              <w:jc w:val="center"/>
              <w:spacing w:after="0"/>
              <w:rPr>
                <w:sz w:val="20"/>
                <w:szCs w:val="20"/>
                <w:color w:val="auto"/>
              </w:rPr>
            </w:pPr>
            <w:r>
              <w:rPr>
                <w:rFonts w:ascii="Arial" w:cs="Arial" w:eastAsia="Arial" w:hAnsi="Arial"/>
                <w:sz w:val="15"/>
                <w:szCs w:val="15"/>
                <w:color w:val="auto"/>
              </w:rPr>
              <w:t>6,882,177</w:t>
            </w:r>
          </w:p>
        </w:tc>
      </w:tr>
      <w:tr>
        <w:trPr>
          <w:trHeight w:val="34"/>
        </w:trPr>
        <w:tc>
          <w:tcPr>
            <w:tcW w:w="9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080" w:type="dxa"/>
            <w:vAlign w:val="bottom"/>
            <w:gridSpan w:val="3"/>
          </w:tcPr>
          <w:p>
            <w:pPr>
              <w:spacing w:after="0"/>
              <w:rPr>
                <w:sz w:val="2"/>
                <w:szCs w:val="2"/>
                <w:color w:val="auto"/>
              </w:rPr>
            </w:pPr>
          </w:p>
        </w:tc>
      </w:tr>
      <w:tr>
        <w:trPr>
          <w:trHeight w:val="279"/>
        </w:trPr>
        <w:tc>
          <w:tcPr>
            <w:tcW w:w="9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2023</w:t>
            </w:r>
          </w:p>
        </w:tc>
        <w:tc>
          <w:tcPr>
            <w:tcW w:w="40" w:type="dxa"/>
            <w:vAlign w:val="bottom"/>
            <w:tcBorders>
              <w:left w:val="single" w:sz="8" w:color="E6E6E6"/>
            </w:tcBorders>
          </w:tcPr>
          <w:p>
            <w:pPr>
              <w:spacing w:after="0"/>
              <w:rPr>
                <w:sz w:val="24"/>
                <w:szCs w:val="24"/>
                <w:color w:val="auto"/>
              </w:rPr>
            </w:pPr>
          </w:p>
        </w:tc>
        <w:tc>
          <w:tcPr>
            <w:tcW w:w="940" w:type="dxa"/>
            <w:vAlign w:val="bottom"/>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2,271,117</w:t>
            </w:r>
          </w:p>
        </w:tc>
        <w:tc>
          <w:tcPr>
            <w:tcW w:w="40" w:type="dxa"/>
            <w:vAlign w:val="bottom"/>
            <w:tcBorders>
              <w:left w:val="single" w:sz="8" w:color="E6E6E6"/>
            </w:tcBorders>
          </w:tcPr>
          <w:p>
            <w:pPr>
              <w:spacing w:after="0"/>
              <w:rPr>
                <w:sz w:val="24"/>
                <w:szCs w:val="24"/>
                <w:color w:val="auto"/>
              </w:rPr>
            </w:pPr>
          </w:p>
        </w:tc>
        <w:tc>
          <w:tcPr>
            <w:tcW w:w="10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586,030</w:t>
            </w:r>
          </w:p>
        </w:tc>
        <w:tc>
          <w:tcPr>
            <w:tcW w:w="20" w:type="dxa"/>
            <w:vAlign w:val="bottom"/>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460,877</w:t>
            </w:r>
          </w:p>
        </w:tc>
        <w:tc>
          <w:tcPr>
            <w:tcW w:w="40" w:type="dxa"/>
            <w:vAlign w:val="bottom"/>
            <w:tcBorders>
              <w:left w:val="single" w:sz="8" w:color="E6E6E6"/>
            </w:tcBorders>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299,187</w:t>
            </w:r>
          </w:p>
        </w:tc>
        <w:tc>
          <w:tcPr>
            <w:tcW w:w="20" w:type="dxa"/>
            <w:vAlign w:val="bottom"/>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-2,917,528</w:t>
            </w:r>
          </w:p>
        </w:tc>
        <w:tc>
          <w:tcPr>
            <w:tcW w:w="40" w:type="dxa"/>
            <w:vAlign w:val="bottom"/>
            <w:tcBorders>
              <w:left w:val="single" w:sz="8" w:color="E6E6E6"/>
            </w:tcBorders>
          </w:tcPr>
          <w:p>
            <w:pPr>
              <w:spacing w:after="0"/>
              <w:rPr>
                <w:sz w:val="24"/>
                <w:szCs w:val="24"/>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20" w:type="dxa"/>
            <w:vAlign w:val="bottom"/>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699,685</w:t>
            </w:r>
          </w:p>
        </w:tc>
      </w:tr>
      <w:tr>
        <w:trPr>
          <w:trHeight w:val="86"/>
        </w:trPr>
        <w:tc>
          <w:tcPr>
            <w:tcW w:w="940" w:type="dxa"/>
            <w:vAlign w:val="bottom"/>
            <w:shd w:val="clear" w:color="auto" w:fill="E6E6E6"/>
          </w:tcPr>
          <w:p>
            <w:pPr>
              <w:spacing w:after="0"/>
              <w:rPr>
                <w:sz w:val="7"/>
                <w:szCs w:val="7"/>
                <w:color w:val="auto"/>
              </w:rPr>
            </w:pPr>
          </w:p>
        </w:tc>
        <w:tc>
          <w:tcPr>
            <w:tcW w:w="40" w:type="dxa"/>
            <w:vAlign w:val="bottom"/>
            <w:tcBorders>
              <w:left w:val="single" w:sz="8" w:color="E6E6E6"/>
            </w:tcBorders>
          </w:tcPr>
          <w:p>
            <w:pPr>
              <w:spacing w:after="0"/>
              <w:rPr>
                <w:sz w:val="7"/>
                <w:szCs w:val="7"/>
                <w:color w:val="auto"/>
              </w:rPr>
            </w:pPr>
          </w:p>
        </w:tc>
        <w:tc>
          <w:tcPr>
            <w:tcW w:w="940" w:type="dxa"/>
            <w:vAlign w:val="bottom"/>
            <w:shd w:val="clear" w:color="auto" w:fill="E6E6E6"/>
          </w:tcPr>
          <w:p>
            <w:pPr>
              <w:spacing w:after="0"/>
              <w:rPr>
                <w:sz w:val="7"/>
                <w:szCs w:val="7"/>
                <w:color w:val="auto"/>
              </w:rPr>
            </w:pPr>
          </w:p>
        </w:tc>
        <w:tc>
          <w:tcPr>
            <w:tcW w:w="40" w:type="dxa"/>
            <w:vAlign w:val="bottom"/>
            <w:tcBorders>
              <w:left w:val="single" w:sz="8" w:color="E6E6E6"/>
            </w:tcBorders>
          </w:tcPr>
          <w:p>
            <w:pPr>
              <w:spacing w:after="0"/>
              <w:rPr>
                <w:sz w:val="7"/>
                <w:szCs w:val="7"/>
                <w:color w:val="auto"/>
              </w:rPr>
            </w:pPr>
          </w:p>
        </w:tc>
        <w:tc>
          <w:tcPr>
            <w:tcW w:w="104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6E6E6"/>
          </w:tcPr>
          <w:p>
            <w:pPr>
              <w:spacing w:after="0"/>
              <w:rPr>
                <w:sz w:val="7"/>
                <w:szCs w:val="7"/>
                <w:color w:val="auto"/>
              </w:rPr>
            </w:pPr>
          </w:p>
        </w:tc>
        <w:tc>
          <w:tcPr>
            <w:tcW w:w="40" w:type="dxa"/>
            <w:vAlign w:val="bottom"/>
            <w:tcBorders>
              <w:left w:val="single" w:sz="8" w:color="E6E6E6"/>
            </w:tcBorders>
          </w:tcPr>
          <w:p>
            <w:pPr>
              <w:spacing w:after="0"/>
              <w:rPr>
                <w:sz w:val="7"/>
                <w:szCs w:val="7"/>
                <w:color w:val="auto"/>
              </w:rPr>
            </w:pPr>
          </w:p>
        </w:tc>
        <w:tc>
          <w:tcPr>
            <w:tcW w:w="114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6E6E6"/>
          </w:tcPr>
          <w:p>
            <w:pPr>
              <w:spacing w:after="0"/>
              <w:rPr>
                <w:sz w:val="7"/>
                <w:szCs w:val="7"/>
                <w:color w:val="auto"/>
              </w:rPr>
            </w:pPr>
          </w:p>
        </w:tc>
        <w:tc>
          <w:tcPr>
            <w:tcW w:w="40" w:type="dxa"/>
            <w:vAlign w:val="bottom"/>
            <w:tcBorders>
              <w:left w:val="single" w:sz="8" w:color="E6E6E6"/>
            </w:tcBorders>
          </w:tcPr>
          <w:p>
            <w:pPr>
              <w:spacing w:after="0"/>
              <w:rPr>
                <w:sz w:val="7"/>
                <w:szCs w:val="7"/>
                <w:color w:val="auto"/>
              </w:rPr>
            </w:pPr>
          </w:p>
        </w:tc>
        <w:tc>
          <w:tcPr>
            <w:tcW w:w="1320" w:type="dxa"/>
            <w:vAlign w:val="bottom"/>
            <w:shd w:val="clear" w:color="auto" w:fill="E6E6E6"/>
          </w:tcPr>
          <w:p>
            <w:pPr>
              <w:spacing w:after="0"/>
              <w:rPr>
                <w:sz w:val="7"/>
                <w:szCs w:val="7"/>
                <w:color w:val="auto"/>
              </w:rPr>
            </w:pPr>
          </w:p>
        </w:tc>
        <w:tc>
          <w:tcPr>
            <w:tcW w:w="2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shd w:val="clear" w:color="auto" w:fill="E6E6E6"/>
          </w:tcPr>
          <w:p>
            <w:pPr>
              <w:spacing w:after="0"/>
              <w:rPr>
                <w:sz w:val="7"/>
                <w:szCs w:val="7"/>
                <w:color w:val="auto"/>
              </w:rPr>
            </w:pPr>
          </w:p>
        </w:tc>
      </w:tr>
      <w:tr>
        <w:trPr>
          <w:trHeight w:val="307"/>
        </w:trPr>
        <w:tc>
          <w:tcPr>
            <w:tcW w:w="940" w:type="dxa"/>
            <w:vAlign w:val="bottom"/>
          </w:tcPr>
          <w:p>
            <w:pPr>
              <w:ind w:left="100"/>
              <w:spacing w:after="0"/>
              <w:rPr>
                <w:sz w:val="20"/>
                <w:szCs w:val="20"/>
                <w:color w:val="auto"/>
              </w:rPr>
            </w:pPr>
            <w:r>
              <w:rPr>
                <w:rFonts w:ascii="Arial" w:cs="Arial" w:eastAsia="Arial" w:hAnsi="Arial"/>
                <w:sz w:val="15"/>
                <w:szCs w:val="15"/>
                <w:color w:val="auto"/>
              </w:rPr>
              <w:t>2022</w:t>
            </w:r>
          </w:p>
        </w:tc>
        <w:tc>
          <w:tcPr>
            <w:tcW w:w="980" w:type="dxa"/>
            <w:vAlign w:val="bottom"/>
            <w:gridSpan w:val="2"/>
          </w:tcPr>
          <w:p>
            <w:pPr>
              <w:jc w:val="center"/>
              <w:spacing w:after="0"/>
              <w:rPr>
                <w:sz w:val="20"/>
                <w:szCs w:val="20"/>
                <w:color w:val="auto"/>
              </w:rPr>
            </w:pPr>
            <w:r>
              <w:rPr>
                <w:rFonts w:ascii="Arial" w:cs="Arial" w:eastAsia="Arial" w:hAnsi="Arial"/>
                <w:sz w:val="15"/>
                <w:szCs w:val="15"/>
                <w:color w:val="auto"/>
              </w:rPr>
              <w:t>2,038,975</w:t>
            </w:r>
          </w:p>
        </w:tc>
        <w:tc>
          <w:tcPr>
            <w:tcW w:w="1080" w:type="dxa"/>
            <w:vAlign w:val="bottom"/>
            <w:gridSpan w:val="2"/>
          </w:tcPr>
          <w:p>
            <w:pPr>
              <w:jc w:val="center"/>
              <w:spacing w:after="0"/>
              <w:rPr>
                <w:sz w:val="20"/>
                <w:szCs w:val="20"/>
                <w:color w:val="auto"/>
              </w:rPr>
            </w:pPr>
            <w:r>
              <w:rPr>
                <w:rFonts w:ascii="Arial" w:cs="Arial" w:eastAsia="Arial" w:hAnsi="Arial"/>
                <w:sz w:val="15"/>
                <w:szCs w:val="15"/>
                <w:color w:val="auto"/>
              </w:rPr>
              <w:t>-2,637,402</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rPr>
              <w:t>479,292</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rPr>
              <w:t>-218,688</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5"/>
              </w:rPr>
              <w:t>0</w:t>
            </w:r>
          </w:p>
        </w:tc>
        <w:tc>
          <w:tcPr>
            <w:tcW w:w="1360" w:type="dxa"/>
            <w:vAlign w:val="bottom"/>
            <w:gridSpan w:val="2"/>
          </w:tcPr>
          <w:p>
            <w:pPr>
              <w:jc w:val="center"/>
              <w:spacing w:after="0"/>
              <w:rPr>
                <w:sz w:val="20"/>
                <w:szCs w:val="20"/>
                <w:color w:val="auto"/>
              </w:rPr>
            </w:pPr>
            <w:r>
              <w:rPr>
                <w:rFonts w:ascii="Arial" w:cs="Arial" w:eastAsia="Arial" w:hAnsi="Arial"/>
                <w:sz w:val="15"/>
                <w:szCs w:val="15"/>
                <w:color w:val="auto"/>
                <w:w w:val="95"/>
              </w:rPr>
              <w:t>0</w:t>
            </w:r>
          </w:p>
        </w:tc>
        <w:tc>
          <w:tcPr>
            <w:tcW w:w="1080" w:type="dxa"/>
            <w:vAlign w:val="bottom"/>
            <w:gridSpan w:val="3"/>
          </w:tcPr>
          <w:p>
            <w:pPr>
              <w:jc w:val="center"/>
              <w:spacing w:after="0"/>
              <w:rPr>
                <w:sz w:val="20"/>
                <w:szCs w:val="20"/>
                <w:color w:val="auto"/>
              </w:rPr>
            </w:pPr>
            <w:r>
              <w:rPr>
                <w:rFonts w:ascii="Arial" w:cs="Arial" w:eastAsia="Arial" w:hAnsi="Arial"/>
                <w:sz w:val="15"/>
                <w:szCs w:val="15"/>
                <w:color w:val="auto"/>
              </w:rPr>
              <w:t>-337,824</w:t>
            </w:r>
          </w:p>
        </w:tc>
      </w:tr>
      <w:tr>
        <w:trPr>
          <w:trHeight w:val="86"/>
        </w:trPr>
        <w:tc>
          <w:tcPr>
            <w:tcW w:w="940" w:type="dxa"/>
            <w:vAlign w:val="bottom"/>
          </w:tcPr>
          <w:p>
            <w:pPr>
              <w:spacing w:after="0"/>
              <w:rPr>
                <w:sz w:val="7"/>
                <w:szCs w:val="7"/>
                <w:color w:val="auto"/>
              </w:rPr>
            </w:pPr>
          </w:p>
        </w:tc>
        <w:tc>
          <w:tcPr>
            <w:tcW w:w="980" w:type="dxa"/>
            <w:vAlign w:val="bottom"/>
            <w:gridSpan w:val="2"/>
          </w:tcPr>
          <w:p>
            <w:pPr>
              <w:spacing w:after="0"/>
              <w:rPr>
                <w:sz w:val="7"/>
                <w:szCs w:val="7"/>
                <w:color w:val="auto"/>
              </w:rPr>
            </w:pPr>
          </w:p>
        </w:tc>
        <w:tc>
          <w:tcPr>
            <w:tcW w:w="1080" w:type="dxa"/>
            <w:vAlign w:val="bottom"/>
            <w:gridSpan w:val="2"/>
          </w:tcPr>
          <w:p>
            <w:pPr>
              <w:spacing w:after="0"/>
              <w:rPr>
                <w:sz w:val="7"/>
                <w:szCs w:val="7"/>
                <w:color w:val="auto"/>
              </w:rPr>
            </w:pPr>
          </w:p>
        </w:tc>
        <w:tc>
          <w:tcPr>
            <w:tcW w:w="1160" w:type="dxa"/>
            <w:vAlign w:val="bottom"/>
            <w:gridSpan w:val="2"/>
          </w:tcPr>
          <w:p>
            <w:pPr>
              <w:spacing w:after="0"/>
              <w:rPr>
                <w:sz w:val="7"/>
                <w:szCs w:val="7"/>
                <w:color w:val="auto"/>
              </w:rPr>
            </w:pPr>
          </w:p>
        </w:tc>
        <w:tc>
          <w:tcPr>
            <w:tcW w:w="1180" w:type="dxa"/>
            <w:vAlign w:val="bottom"/>
            <w:gridSpan w:val="2"/>
          </w:tcPr>
          <w:p>
            <w:pPr>
              <w:spacing w:after="0"/>
              <w:rPr>
                <w:sz w:val="7"/>
                <w:szCs w:val="7"/>
                <w:color w:val="auto"/>
              </w:rPr>
            </w:pPr>
          </w:p>
        </w:tc>
        <w:tc>
          <w:tcPr>
            <w:tcW w:w="1160" w:type="dxa"/>
            <w:vAlign w:val="bottom"/>
            <w:gridSpan w:val="2"/>
          </w:tcPr>
          <w:p>
            <w:pPr>
              <w:spacing w:after="0"/>
              <w:rPr>
                <w:sz w:val="7"/>
                <w:szCs w:val="7"/>
                <w:color w:val="auto"/>
              </w:rPr>
            </w:pPr>
          </w:p>
        </w:tc>
        <w:tc>
          <w:tcPr>
            <w:tcW w:w="1360" w:type="dxa"/>
            <w:vAlign w:val="bottom"/>
            <w:gridSpan w:val="2"/>
          </w:tcPr>
          <w:p>
            <w:pPr>
              <w:spacing w:after="0"/>
              <w:rPr>
                <w:sz w:val="7"/>
                <w:szCs w:val="7"/>
                <w:color w:val="auto"/>
              </w:rPr>
            </w:pPr>
          </w:p>
        </w:tc>
        <w:tc>
          <w:tcPr>
            <w:tcW w:w="1080" w:type="dxa"/>
            <w:vAlign w:val="bottom"/>
            <w:gridSpan w:val="3"/>
          </w:tcPr>
          <w:p>
            <w:pPr>
              <w:spacing w:after="0"/>
              <w:rPr>
                <w:sz w:val="7"/>
                <w:szCs w:val="7"/>
                <w:color w:val="auto"/>
              </w:rPr>
            </w:pPr>
          </w:p>
        </w:tc>
      </w:tr>
      <w:tr>
        <w:trPr>
          <w:trHeight w:val="298"/>
        </w:trPr>
        <w:tc>
          <w:tcPr>
            <w:tcW w:w="9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2021</w:t>
            </w:r>
          </w:p>
        </w:tc>
        <w:tc>
          <w:tcPr>
            <w:tcW w:w="40" w:type="dxa"/>
            <w:vAlign w:val="bottom"/>
            <w:tcBorders>
              <w:left w:val="single" w:sz="8" w:color="E6E6E6"/>
            </w:tcBorders>
          </w:tcPr>
          <w:p>
            <w:pPr>
              <w:spacing w:after="0"/>
              <w:rPr>
                <w:sz w:val="24"/>
                <w:szCs w:val="24"/>
                <w:color w:val="auto"/>
              </w:rPr>
            </w:pPr>
          </w:p>
        </w:tc>
        <w:tc>
          <w:tcPr>
            <w:tcW w:w="940" w:type="dxa"/>
            <w:vAlign w:val="bottom"/>
            <w:shd w:val="clear" w:color="auto" w:fill="E6E6E6"/>
          </w:tcPr>
          <w:p>
            <w:pPr>
              <w:jc w:val="center"/>
              <w:spacing w:after="0"/>
              <w:rPr>
                <w:sz w:val="20"/>
                <w:szCs w:val="20"/>
                <w:color w:val="auto"/>
              </w:rPr>
            </w:pPr>
            <w:r>
              <w:rPr>
                <w:rFonts w:ascii="Arial" w:cs="Arial" w:eastAsia="Arial" w:hAnsi="Arial"/>
                <w:sz w:val="15"/>
                <w:szCs w:val="15"/>
                <w:color w:val="auto"/>
                <w:shd w:val="clear" w:color="auto" w:fill="E6E6E6"/>
              </w:rPr>
              <w:t>1,455,584</w:t>
            </w:r>
          </w:p>
        </w:tc>
        <w:tc>
          <w:tcPr>
            <w:tcW w:w="40" w:type="dxa"/>
            <w:vAlign w:val="bottom"/>
            <w:tcBorders>
              <w:left w:val="single" w:sz="8" w:color="E6E6E6"/>
            </w:tcBorders>
          </w:tcPr>
          <w:p>
            <w:pPr>
              <w:spacing w:after="0"/>
              <w:rPr>
                <w:sz w:val="24"/>
                <w:szCs w:val="24"/>
                <w:color w:val="auto"/>
              </w:rPr>
            </w:pPr>
          </w:p>
        </w:tc>
        <w:tc>
          <w:tcPr>
            <w:tcW w:w="10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1,400,515</w:t>
            </w:r>
          </w:p>
        </w:tc>
        <w:tc>
          <w:tcPr>
            <w:tcW w:w="20" w:type="dxa"/>
            <w:vAlign w:val="bottom"/>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385,547</w:t>
            </w:r>
          </w:p>
        </w:tc>
        <w:tc>
          <w:tcPr>
            <w:tcW w:w="40" w:type="dxa"/>
            <w:vAlign w:val="bottom"/>
            <w:tcBorders>
              <w:left w:val="single" w:sz="8" w:color="E6E6E6"/>
            </w:tcBorders>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648,906</w:t>
            </w:r>
          </w:p>
        </w:tc>
        <w:tc>
          <w:tcPr>
            <w:tcW w:w="20" w:type="dxa"/>
            <w:vAlign w:val="bottom"/>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3,514,724</w:t>
            </w:r>
          </w:p>
        </w:tc>
        <w:tc>
          <w:tcPr>
            <w:tcW w:w="40" w:type="dxa"/>
            <w:vAlign w:val="bottom"/>
            <w:tcBorders>
              <w:left w:val="single" w:sz="8" w:color="E6E6E6"/>
            </w:tcBorders>
          </w:tcPr>
          <w:p>
            <w:pPr>
              <w:spacing w:after="0"/>
              <w:rPr>
                <w:sz w:val="24"/>
                <w:szCs w:val="24"/>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0</w:t>
            </w:r>
          </w:p>
        </w:tc>
        <w:tc>
          <w:tcPr>
            <w:tcW w:w="20" w:type="dxa"/>
            <w:vAlign w:val="bottom"/>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6E6E6"/>
          </w:tcPr>
          <w:p>
            <w:pPr>
              <w:jc w:val="center"/>
              <w:spacing w:after="0"/>
              <w:rPr>
                <w:sz w:val="20"/>
                <w:szCs w:val="20"/>
                <w:color w:val="auto"/>
              </w:rPr>
            </w:pPr>
            <w:r>
              <w:rPr>
                <w:rFonts w:ascii="Arial" w:cs="Arial" w:eastAsia="Arial" w:hAnsi="Arial"/>
                <w:sz w:val="15"/>
                <w:szCs w:val="15"/>
                <w:color w:val="auto"/>
              </w:rPr>
              <w:t>375,828</w:t>
            </w:r>
          </w:p>
        </w:tc>
      </w:tr>
      <w:tr>
        <w:trPr>
          <w:trHeight w:val="100"/>
        </w:trPr>
        <w:tc>
          <w:tcPr>
            <w:tcW w:w="940" w:type="dxa"/>
            <w:vAlign w:val="bottom"/>
            <w:shd w:val="clear" w:color="auto" w:fill="E6E6E6"/>
          </w:tcPr>
          <w:p>
            <w:pPr>
              <w:spacing w:after="0"/>
              <w:rPr>
                <w:sz w:val="8"/>
                <w:szCs w:val="8"/>
                <w:color w:val="auto"/>
              </w:rPr>
            </w:pPr>
          </w:p>
        </w:tc>
        <w:tc>
          <w:tcPr>
            <w:tcW w:w="40" w:type="dxa"/>
            <w:vAlign w:val="bottom"/>
            <w:tcBorders>
              <w:left w:val="single" w:sz="8" w:color="E6E6E6"/>
            </w:tcBorders>
          </w:tcPr>
          <w:p>
            <w:pPr>
              <w:spacing w:after="0"/>
              <w:rPr>
                <w:sz w:val="8"/>
                <w:szCs w:val="8"/>
                <w:color w:val="auto"/>
              </w:rPr>
            </w:pPr>
          </w:p>
        </w:tc>
        <w:tc>
          <w:tcPr>
            <w:tcW w:w="940" w:type="dxa"/>
            <w:vAlign w:val="bottom"/>
            <w:shd w:val="clear" w:color="auto" w:fill="E6E6E6"/>
          </w:tcPr>
          <w:p>
            <w:pPr>
              <w:spacing w:after="0"/>
              <w:rPr>
                <w:sz w:val="8"/>
                <w:szCs w:val="8"/>
                <w:color w:val="auto"/>
              </w:rPr>
            </w:pPr>
          </w:p>
        </w:tc>
        <w:tc>
          <w:tcPr>
            <w:tcW w:w="40" w:type="dxa"/>
            <w:vAlign w:val="bottom"/>
            <w:tcBorders>
              <w:left w:val="single" w:sz="8" w:color="E6E6E6"/>
            </w:tcBorders>
          </w:tcPr>
          <w:p>
            <w:pPr>
              <w:spacing w:after="0"/>
              <w:rPr>
                <w:sz w:val="8"/>
                <w:szCs w:val="8"/>
                <w:color w:val="auto"/>
              </w:rPr>
            </w:pPr>
          </w:p>
        </w:tc>
        <w:tc>
          <w:tcPr>
            <w:tcW w:w="1040" w:type="dxa"/>
            <w:vAlign w:val="bottom"/>
            <w:shd w:val="clear" w:color="auto" w:fill="E6E6E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6E6E6"/>
          </w:tcPr>
          <w:p>
            <w:pPr>
              <w:spacing w:after="0"/>
              <w:rPr>
                <w:sz w:val="8"/>
                <w:szCs w:val="8"/>
                <w:color w:val="auto"/>
              </w:rPr>
            </w:pPr>
          </w:p>
        </w:tc>
        <w:tc>
          <w:tcPr>
            <w:tcW w:w="40" w:type="dxa"/>
            <w:vAlign w:val="bottom"/>
            <w:tcBorders>
              <w:left w:val="single" w:sz="8" w:color="E6E6E6"/>
            </w:tcBorders>
          </w:tcPr>
          <w:p>
            <w:pPr>
              <w:spacing w:after="0"/>
              <w:rPr>
                <w:sz w:val="8"/>
                <w:szCs w:val="8"/>
                <w:color w:val="auto"/>
              </w:rPr>
            </w:pPr>
          </w:p>
        </w:tc>
        <w:tc>
          <w:tcPr>
            <w:tcW w:w="1140" w:type="dxa"/>
            <w:vAlign w:val="bottom"/>
            <w:shd w:val="clear" w:color="auto" w:fill="E6E6E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6E6E6"/>
          </w:tcPr>
          <w:p>
            <w:pPr>
              <w:spacing w:after="0"/>
              <w:rPr>
                <w:sz w:val="8"/>
                <w:szCs w:val="8"/>
                <w:color w:val="auto"/>
              </w:rPr>
            </w:pPr>
          </w:p>
        </w:tc>
        <w:tc>
          <w:tcPr>
            <w:tcW w:w="40" w:type="dxa"/>
            <w:vAlign w:val="bottom"/>
            <w:tcBorders>
              <w:left w:val="single" w:sz="8" w:color="E6E6E6"/>
            </w:tcBorders>
          </w:tcPr>
          <w:p>
            <w:pPr>
              <w:spacing w:after="0"/>
              <w:rPr>
                <w:sz w:val="8"/>
                <w:szCs w:val="8"/>
                <w:color w:val="auto"/>
              </w:rPr>
            </w:pPr>
          </w:p>
        </w:tc>
        <w:tc>
          <w:tcPr>
            <w:tcW w:w="1320" w:type="dxa"/>
            <w:vAlign w:val="bottom"/>
            <w:shd w:val="clear" w:color="auto" w:fill="E6E6E6"/>
          </w:tcPr>
          <w:p>
            <w:pPr>
              <w:spacing w:after="0"/>
              <w:rPr>
                <w:sz w:val="8"/>
                <w:szCs w:val="8"/>
                <w:color w:val="auto"/>
              </w:rPr>
            </w:pPr>
          </w:p>
        </w:tc>
        <w:tc>
          <w:tcPr>
            <w:tcW w:w="20" w:type="dxa"/>
            <w:vAlign w:val="bottom"/>
            <w:shd w:val="clear" w:color="auto" w:fill="E6E6E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6E6E6"/>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1057910</wp:posOffset>
                </wp:positionH>
                <wp:positionV relativeFrom="paragraph">
                  <wp:posOffset>-2804795</wp:posOffset>
                </wp:positionV>
                <wp:extent cx="0" cy="2804795"/>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47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3pt,-220.8499pt" to="83.3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1681480</wp:posOffset>
                </wp:positionH>
                <wp:positionV relativeFrom="paragraph">
                  <wp:posOffset>-2804795</wp:posOffset>
                </wp:positionV>
                <wp:extent cx="0" cy="2804795"/>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47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4pt,-220.8499pt" to="132.4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2359025</wp:posOffset>
                </wp:positionH>
                <wp:positionV relativeFrom="paragraph">
                  <wp:posOffset>-2804795</wp:posOffset>
                </wp:positionV>
                <wp:extent cx="0" cy="2804795"/>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47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75pt,-220.8499pt" to="185.7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3101975</wp:posOffset>
                </wp:positionH>
                <wp:positionV relativeFrom="paragraph">
                  <wp:posOffset>-2804795</wp:posOffset>
                </wp:positionV>
                <wp:extent cx="0" cy="2804795"/>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47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25pt,-220.8499pt" to="244.2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3844925</wp:posOffset>
                </wp:positionH>
                <wp:positionV relativeFrom="paragraph">
                  <wp:posOffset>-2804795</wp:posOffset>
                </wp:positionV>
                <wp:extent cx="0" cy="2804795"/>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47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75pt,-220.8499pt" to="302.7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4587875</wp:posOffset>
                </wp:positionH>
                <wp:positionV relativeFrom="paragraph">
                  <wp:posOffset>-2804795</wp:posOffset>
                </wp:positionV>
                <wp:extent cx="0" cy="2804795"/>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47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25pt,-220.8499pt" to="361.25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5450205</wp:posOffset>
                </wp:positionH>
                <wp:positionV relativeFrom="paragraph">
                  <wp:posOffset>-2804795</wp:posOffset>
                </wp:positionV>
                <wp:extent cx="0" cy="2804795"/>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47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15pt,-220.8499pt" to="429.15pt,0pt" o:allowincell="f" strokecolor="#FFFFFF" strokeweight="1.4039pt"/>
            </w:pict>
          </mc:Fallback>
        </mc:AlternateContent>
      </w:r>
    </w:p>
    <w:p>
      <w:pPr>
        <w:ind w:left="707" w:right="140" w:hanging="356"/>
        <w:spacing w:after="0" w:line="239" w:lineRule="auto"/>
        <w:tabs>
          <w:tab w:leader="none" w:pos="707" w:val="left"/>
        </w:tabs>
        <w:numPr>
          <w:ilvl w:val="1"/>
          <w:numId w:val="90"/>
        </w:numPr>
        <w:rPr>
          <w:rFonts w:ascii="Arial" w:cs="Arial" w:eastAsia="Arial" w:hAnsi="Arial"/>
          <w:sz w:val="20"/>
          <w:szCs w:val="20"/>
          <w:color w:val="auto"/>
          <w:vertAlign w:val="superscript"/>
        </w:rPr>
      </w:pPr>
      <w:r>
        <w:rPr>
          <w:rFonts w:ascii="Arial" w:cs="Arial" w:eastAsia="Arial" w:hAnsi="Arial"/>
          <w:sz w:val="15"/>
          <w:szCs w:val="15"/>
          <w:color w:val="auto"/>
        </w:rPr>
        <w:t>The total average equity award adjustment is calculated by adding the values in columns (a), (b), (c), (d), and (f) less (e). Due to rounding, the total average equity award may not equal the total obtained by adding and subtracting the applicable columns.</w:t>
      </w:r>
    </w:p>
    <w:p>
      <w:pPr>
        <w:spacing w:after="0" w:line="1" w:lineRule="exact"/>
        <w:rPr>
          <w:rFonts w:ascii="Arial" w:cs="Arial" w:eastAsia="Arial" w:hAnsi="Arial"/>
          <w:sz w:val="20"/>
          <w:szCs w:val="20"/>
          <w:color w:val="auto"/>
          <w:vertAlign w:val="superscript"/>
        </w:rPr>
      </w:pPr>
    </w:p>
    <w:p>
      <w:pPr>
        <w:ind w:left="347" w:right="420" w:hanging="347"/>
        <w:spacing w:after="0" w:line="249" w:lineRule="auto"/>
        <w:tabs>
          <w:tab w:leader="none" w:pos="347" w:val="left"/>
        </w:tabs>
        <w:numPr>
          <w:ilvl w:val="0"/>
          <w:numId w:val="91"/>
        </w:numPr>
        <w:rPr>
          <w:rFonts w:ascii="Arial" w:cs="Arial" w:eastAsia="Arial" w:hAnsi="Arial"/>
          <w:sz w:val="20"/>
          <w:szCs w:val="20"/>
          <w:color w:val="auto"/>
          <w:vertAlign w:val="superscript"/>
        </w:rPr>
      </w:pPr>
      <w:r>
        <w:rPr>
          <w:rFonts w:ascii="Arial" w:cs="Arial" w:eastAsia="Arial" w:hAnsi="Arial"/>
          <w:sz w:val="15"/>
          <w:szCs w:val="15"/>
          <w:color w:val="auto"/>
        </w:rPr>
        <w:t>Cumulative total shareholder return (“</w:t>
      </w:r>
      <w:r>
        <w:rPr>
          <w:rFonts w:ascii="Arial" w:cs="Arial" w:eastAsia="Arial" w:hAnsi="Arial"/>
          <w:sz w:val="15"/>
          <w:szCs w:val="15"/>
          <w:b w:val="1"/>
          <w:bCs w:val="1"/>
          <w:i w:val="1"/>
          <w:iCs w:val="1"/>
          <w:color w:val="auto"/>
        </w:rPr>
        <w:t>TSR</w:t>
      </w:r>
      <w:r>
        <w:rPr>
          <w:rFonts w:ascii="Arial" w:cs="Arial" w:eastAsia="Arial" w:hAnsi="Arial"/>
          <w:sz w:val="15"/>
          <w:szCs w:val="15"/>
          <w:color w:val="auto"/>
        </w:rPr>
        <w:t>”) is calculated as the difference between the company’s share price at the end and the beginning of the measurement period divided by the company’s share price at the beginning of the measurement period.</w:t>
      </w:r>
    </w:p>
    <w:p>
      <w:pPr>
        <w:ind w:left="347" w:hanging="347"/>
        <w:spacing w:after="0" w:line="229" w:lineRule="auto"/>
        <w:tabs>
          <w:tab w:leader="none" w:pos="347" w:val="left"/>
        </w:tabs>
        <w:numPr>
          <w:ilvl w:val="0"/>
          <w:numId w:val="91"/>
        </w:numPr>
        <w:rPr>
          <w:rFonts w:ascii="Arial" w:cs="Arial" w:eastAsia="Arial" w:hAnsi="Arial"/>
          <w:sz w:val="20"/>
          <w:szCs w:val="20"/>
          <w:color w:val="auto"/>
          <w:vertAlign w:val="superscript"/>
        </w:rPr>
      </w:pPr>
      <w:r>
        <w:rPr>
          <w:rFonts w:ascii="Arial" w:cs="Arial" w:eastAsia="Arial" w:hAnsi="Arial"/>
          <w:sz w:val="15"/>
          <w:szCs w:val="15"/>
          <w:color w:val="auto"/>
        </w:rPr>
        <w:t>The peer group used for this purpose is the following published industry index: Nasdaq Computer Index.</w:t>
      </w:r>
    </w:p>
    <w:p>
      <w:pPr>
        <w:spacing w:after="0" w:line="9" w:lineRule="exact"/>
        <w:rPr>
          <w:rFonts w:ascii="Arial" w:cs="Arial" w:eastAsia="Arial" w:hAnsi="Arial"/>
          <w:sz w:val="20"/>
          <w:szCs w:val="20"/>
          <w:color w:val="auto"/>
          <w:vertAlign w:val="superscript"/>
        </w:rPr>
      </w:pPr>
    </w:p>
    <w:p>
      <w:pPr>
        <w:ind w:left="347" w:right="520" w:hanging="347"/>
        <w:spacing w:after="0" w:line="249" w:lineRule="auto"/>
        <w:tabs>
          <w:tab w:leader="none" w:pos="347" w:val="left"/>
        </w:tabs>
        <w:numPr>
          <w:ilvl w:val="0"/>
          <w:numId w:val="91"/>
        </w:numPr>
        <w:rPr>
          <w:rFonts w:ascii="Arial" w:cs="Arial" w:eastAsia="Arial" w:hAnsi="Arial"/>
          <w:sz w:val="20"/>
          <w:szCs w:val="20"/>
          <w:color w:val="auto"/>
          <w:vertAlign w:val="superscript"/>
        </w:rPr>
      </w:pPr>
      <w:r>
        <w:rPr>
          <w:rFonts w:ascii="Arial" w:cs="Arial" w:eastAsia="Arial" w:hAnsi="Arial"/>
          <w:sz w:val="15"/>
          <w:szCs w:val="15"/>
          <w:color w:val="auto"/>
        </w:rPr>
        <w:t>The dollar amounts reported represent the amount of net income reflected in the company’s audited financial statements for the applicable year.</w:t>
      </w:r>
    </w:p>
    <w:p>
      <w:pPr>
        <w:spacing w:after="0" w:line="3" w:lineRule="exact"/>
        <w:rPr>
          <w:rFonts w:ascii="Arial" w:cs="Arial" w:eastAsia="Arial" w:hAnsi="Arial"/>
          <w:sz w:val="20"/>
          <w:szCs w:val="20"/>
          <w:color w:val="auto"/>
          <w:vertAlign w:val="superscript"/>
        </w:rPr>
      </w:pPr>
    </w:p>
    <w:p>
      <w:pPr>
        <w:ind w:left="347" w:right="140" w:hanging="347"/>
        <w:spacing w:after="0" w:line="253" w:lineRule="auto"/>
        <w:tabs>
          <w:tab w:leader="none" w:pos="347" w:val="left"/>
        </w:tabs>
        <w:numPr>
          <w:ilvl w:val="0"/>
          <w:numId w:val="91"/>
        </w:numPr>
        <w:rPr>
          <w:rFonts w:ascii="Arial" w:cs="Arial" w:eastAsia="Arial" w:hAnsi="Arial"/>
          <w:sz w:val="20"/>
          <w:szCs w:val="20"/>
          <w:color w:val="auto"/>
          <w:vertAlign w:val="superscript"/>
        </w:rPr>
      </w:pPr>
      <w:r>
        <w:rPr>
          <w:rFonts w:ascii="Arial" w:cs="Arial" w:eastAsia="Arial" w:hAnsi="Arial"/>
          <w:sz w:val="15"/>
          <w:szCs w:val="15"/>
          <w:color w:val="auto"/>
        </w:rPr>
        <w:t>Annual revenue was calculated to exclude the impact of foreign exchange from our annual revenue reflected in our audited financial statements for the applicable fiscal year by applying the prior year weighted average exchange rate to the applicable period’s results.</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Financial Performance Measures</w:t>
      </w:r>
    </w:p>
    <w:p>
      <w:pPr>
        <w:spacing w:after="0" w:line="203" w:lineRule="exact"/>
        <w:rPr>
          <w:sz w:val="20"/>
          <w:szCs w:val="20"/>
          <w:color w:val="auto"/>
        </w:rPr>
      </w:pPr>
    </w:p>
    <w:p>
      <w:pPr>
        <w:ind w:left="7" w:right="120"/>
        <w:spacing w:after="0" w:line="277" w:lineRule="auto"/>
        <w:rPr>
          <w:sz w:val="20"/>
          <w:szCs w:val="20"/>
          <w:color w:val="auto"/>
        </w:rPr>
      </w:pPr>
      <w:r>
        <w:rPr>
          <w:rFonts w:ascii="Arial" w:cs="Arial" w:eastAsia="Arial" w:hAnsi="Arial"/>
          <w:sz w:val="18"/>
          <w:szCs w:val="18"/>
          <w:color w:val="auto"/>
        </w:rPr>
        <w:t>As described in greater detail in the section titled “</w:t>
      </w:r>
      <w:r>
        <w:rPr>
          <w:rFonts w:ascii="Arial" w:cs="Arial" w:eastAsia="Arial" w:hAnsi="Arial"/>
          <w:sz w:val="18"/>
          <w:szCs w:val="18"/>
          <w:i w:val="1"/>
          <w:iCs w:val="1"/>
          <w:color w:val="auto"/>
        </w:rPr>
        <w:t>Executive Compensation</w:t>
      </w:r>
      <w:r>
        <w:rPr>
          <w:rFonts w:ascii="Arial" w:cs="Arial" w:eastAsia="Arial" w:hAnsi="Arial"/>
          <w:sz w:val="15"/>
          <w:szCs w:val="15"/>
          <w:color w:val="auto"/>
        </w:rPr>
        <w:t>—</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the company’s executive compensation program reflects a variable pay-for-performance philosophy. The measures that the company uses in its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(not listed in any order of importance):</w:t>
      </w:r>
    </w:p>
    <w:p>
      <w:pPr>
        <w:spacing w:after="0" w:line="134" w:lineRule="exact"/>
        <w:rPr>
          <w:sz w:val="20"/>
          <w:szCs w:val="20"/>
          <w:color w:val="auto"/>
        </w:rPr>
      </w:pPr>
    </w:p>
    <w:p>
      <w:pPr>
        <w:ind w:left="347" w:hanging="347"/>
        <w:spacing w:after="0"/>
        <w:tabs>
          <w:tab w:leader="none" w:pos="347" w:val="left"/>
        </w:tabs>
        <w:numPr>
          <w:ilvl w:val="0"/>
          <w:numId w:val="92"/>
        </w:numPr>
        <w:rPr>
          <w:rFonts w:ascii="Arial" w:cs="Arial" w:eastAsia="Arial" w:hAnsi="Arial"/>
          <w:sz w:val="18"/>
          <w:szCs w:val="18"/>
          <w:color w:val="0A248E"/>
        </w:rPr>
      </w:pPr>
      <w:r>
        <w:rPr>
          <w:rFonts w:ascii="Arial" w:cs="Arial" w:eastAsia="Arial" w:hAnsi="Arial"/>
          <w:sz w:val="18"/>
          <w:szCs w:val="18"/>
          <w:color w:val="auto"/>
        </w:rPr>
        <w:t>Revenue</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92"/>
        </w:numPr>
        <w:rPr>
          <w:rFonts w:ascii="Arial" w:cs="Arial" w:eastAsia="Arial" w:hAnsi="Arial"/>
          <w:sz w:val="18"/>
          <w:szCs w:val="18"/>
          <w:color w:val="0A248E"/>
        </w:rPr>
      </w:pPr>
      <w:r>
        <w:rPr>
          <w:rFonts w:ascii="Arial" w:cs="Arial" w:eastAsia="Arial" w:hAnsi="Arial"/>
          <w:sz w:val="18"/>
          <w:szCs w:val="18"/>
          <w:color w:val="auto"/>
        </w:rPr>
        <w:t>Non-GAAP operating margin</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92"/>
        </w:numPr>
        <w:rPr>
          <w:rFonts w:ascii="Arial" w:cs="Arial" w:eastAsia="Arial" w:hAnsi="Arial"/>
          <w:sz w:val="18"/>
          <w:szCs w:val="18"/>
          <w:color w:val="0A248E"/>
        </w:rPr>
      </w:pPr>
      <w:r>
        <w:rPr>
          <w:rFonts w:ascii="Arial" w:cs="Arial" w:eastAsia="Arial" w:hAnsi="Arial"/>
          <w:sz w:val="18"/>
          <w:szCs w:val="18"/>
          <w:color w:val="auto"/>
        </w:rPr>
        <w:t>Stock price</w:t>
      </w:r>
    </w:p>
    <w:p>
      <w:pPr>
        <w:spacing w:after="0" w:line="25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A248E"/>
        </w:rPr>
        <w:t>Analysis of the Information Presented in the Pay Versus Performance Table</w:t>
      </w:r>
    </w:p>
    <w:p>
      <w:pPr>
        <w:spacing w:after="0" w:line="203" w:lineRule="exact"/>
        <w:rPr>
          <w:sz w:val="20"/>
          <w:szCs w:val="20"/>
          <w:color w:val="auto"/>
        </w:rPr>
      </w:pPr>
    </w:p>
    <w:p>
      <w:pPr>
        <w:ind w:left="7" w:right="20"/>
        <w:spacing w:after="0" w:line="275" w:lineRule="auto"/>
        <w:rPr>
          <w:sz w:val="20"/>
          <w:szCs w:val="20"/>
          <w:color w:val="auto"/>
        </w:rPr>
      </w:pPr>
      <w:r>
        <w:rPr>
          <w:rFonts w:ascii="Arial" w:cs="Arial" w:eastAsia="Arial" w:hAnsi="Arial"/>
          <w:sz w:val="18"/>
          <w:szCs w:val="18"/>
          <w:color w:val="auto"/>
        </w:rPr>
        <w:t>As described in more detail in the section titled “</w:t>
      </w:r>
      <w:r>
        <w:rPr>
          <w:rFonts w:ascii="Arial" w:cs="Arial" w:eastAsia="Arial" w:hAnsi="Arial"/>
          <w:sz w:val="18"/>
          <w:szCs w:val="18"/>
          <w:i w:val="1"/>
          <w:iCs w:val="1"/>
          <w:color w:val="auto"/>
        </w:rPr>
        <w:t>Executive Compensation</w:t>
      </w:r>
      <w:r>
        <w:rPr>
          <w:rFonts w:ascii="Arial" w:cs="Arial" w:eastAsia="Arial" w:hAnsi="Arial"/>
          <w:sz w:val="15"/>
          <w:szCs w:val="15"/>
          <w:color w:val="auto"/>
        </w:rPr>
        <w:t>—</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the company’s executive compensation program reflects a variable pay-for-performance philosophy. While the company utilizes several performance measures to align executive compensation with company performance, not all of those company measures are presented in the “</w:t>
      </w:r>
      <w:r>
        <w:rPr>
          <w:rFonts w:ascii="Arial" w:cs="Arial" w:eastAsia="Arial" w:hAnsi="Arial"/>
          <w:sz w:val="18"/>
          <w:szCs w:val="18"/>
          <w:i w:val="1"/>
          <w:iCs w:val="1"/>
          <w:color w:val="auto"/>
        </w:rPr>
        <w:t>Pay Versus Performance</w:t>
      </w:r>
      <w:r>
        <w:rPr>
          <w:rFonts w:ascii="Arial" w:cs="Arial" w:eastAsia="Arial" w:hAnsi="Arial"/>
          <w:sz w:val="18"/>
          <w:szCs w:val="18"/>
          <w:color w:val="auto"/>
        </w:rPr>
        <w:t>”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w:t>
      </w:r>
      <w:r>
        <w:rPr>
          <w:rFonts w:ascii="Arial" w:cs="Arial" w:eastAsia="Arial" w:hAnsi="Arial"/>
          <w:sz w:val="18"/>
          <w:szCs w:val="18"/>
          <w:i w:val="1"/>
          <w:iCs w:val="1"/>
          <w:color w:val="auto"/>
        </w:rPr>
        <w:t>Pay Versus Performance</w:t>
      </w:r>
      <w:r>
        <w:rPr>
          <w:rFonts w:ascii="Arial" w:cs="Arial" w:eastAsia="Arial" w:hAnsi="Arial"/>
          <w:sz w:val="18"/>
          <w:szCs w:val="18"/>
          <w:color w:val="auto"/>
        </w:rPr>
        <w:t>” table.</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0A248E"/>
        </w:rPr>
        <w:t>Compensation Actually Paid and Cumulative TSR</w:t>
      </w:r>
    </w:p>
    <w:p>
      <w:pPr>
        <w:spacing w:after="0" w:line="196" w:lineRule="exact"/>
        <w:rPr>
          <w:sz w:val="20"/>
          <w:szCs w:val="20"/>
          <w:color w:val="auto"/>
        </w:rPr>
      </w:pPr>
    </w:p>
    <w:p>
      <w:pPr>
        <w:ind w:left="7" w:right="20"/>
        <w:spacing w:after="0" w:line="343" w:lineRule="auto"/>
        <w:rPr>
          <w:sz w:val="20"/>
          <w:szCs w:val="20"/>
          <w:color w:val="auto"/>
        </w:rPr>
      </w:pPr>
      <w:r>
        <w:rPr>
          <w:rFonts w:ascii="Arial" w:cs="Arial" w:eastAsia="Arial" w:hAnsi="Arial"/>
          <w:sz w:val="17"/>
          <w:szCs w:val="17"/>
          <w:color w:val="auto"/>
        </w:rPr>
        <w:t>As demonstrated by the following graph, the amount of compensation actually paid to Mr. Houston decreased between 2021 and 2022, increased between 2022 and 2023, and then decreased again in 2024 and 2025. The average amount of</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325"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69</w:t>
      </w:r>
    </w:p>
    <w:p>
      <w:pPr>
        <w:sectPr>
          <w:pgSz w:w="11880" w:h="15480" w:orient="portrait"/>
          <w:cols w:equalWidth="0" w:num="1">
            <w:col w:w="9647"/>
          </w:cols>
          <w:pgMar w:left="1133" w:top="340" w:right="1100" w:bottom="0" w:gutter="0" w:footer="0" w:header="0"/>
          <w:type w:val="continuous"/>
        </w:sectPr>
      </w:pPr>
    </w:p>
    <w:bookmarkStart w:id="77" w:name="page78"/>
    <w:bookmarkEnd w:id="77"/>
    <w:p>
      <w:pPr>
        <w:spacing w:after="0"/>
        <w:rPr>
          <w:sz w:val="20"/>
          <w:szCs w:val="20"/>
          <w:color w:val="auto"/>
        </w:rPr>
      </w:pPr>
      <w:r>
        <w:rPr>
          <w:rFonts w:ascii="Arial" w:cs="Arial" w:eastAsia="Arial" w:hAnsi="Arial"/>
          <w:sz w:val="33"/>
          <w:szCs w:val="33"/>
          <w:color w:val="0A248E"/>
        </w:rPr>
        <w:t>EXECUTIVE COMPENSATION (continued)</w:t>
      </w:r>
    </w:p>
    <w:p>
      <w:pPr>
        <w:spacing w:after="0" w:line="2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compensation actually paid to the company’s NEOs as a group (excluding Mr. Houston) decreased between 2021 and 2022 and increased between 2022 and 2025. During that five-year period, total shareholder return has been positive. The variance in compensation actually paid over the five-year period is because a significant portion of compensation actually paid is comprised of equity awards, and in the case of Mr. Houston, vesting of equity awards is contingent upon achieving stock price targets as described in more detail in the section titled “</w:t>
      </w:r>
      <w:r>
        <w:rPr>
          <w:rFonts w:ascii="Arial" w:cs="Arial" w:eastAsia="Arial" w:hAnsi="Arial"/>
          <w:sz w:val="18"/>
          <w:szCs w:val="18"/>
          <w:i w:val="1"/>
          <w:iCs w:val="1"/>
          <w:color w:val="auto"/>
        </w:rPr>
        <w:t>Executive Compensation</w:t>
      </w:r>
      <w:r>
        <w:rPr>
          <w:rFonts w:ascii="Arial" w:cs="Arial" w:eastAsia="Arial" w:hAnsi="Arial"/>
          <w:sz w:val="15"/>
          <w:szCs w:val="15"/>
          <w:color w:val="auto"/>
        </w:rPr>
        <w:t>—</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6139815" cy="25133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
                      <a:extLst>
                        <a:ext uri="{28A0092B-C50C-407E-A947-70E740481C1C}"/>
                      </a:extLst>
                    </a:blip>
                    <a:srcRect/>
                    <a:stretch>
                      <a:fillRect/>
                    </a:stretch>
                  </pic:blipFill>
                  <pic:spPr bwMode="auto">
                    <a:xfrm>
                      <a:off x="0" y="0"/>
                      <a:ext cx="6139815" cy="251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A248E"/>
        </w:rPr>
        <w:t>Compensation Actually Paid and Net Income</w:t>
      </w:r>
    </w:p>
    <w:p>
      <w:pPr>
        <w:spacing w:after="0" w:line="19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As demonstrated by the following graph, the amount of compensation actually paid to Mr. Houston decreased between 2021 and 2022, increased between 2022 and 2023, and then decreased again in 2024 and 2025. Meanwhile, the company's net income stabilized at a strong position over the same period. The average amount of compensation actually paid to the company’s NEOs as a group (excluding Mr. Houston) decreased between 2021 and 2022 and increased between 2022 and 2025, while the company's net income stabilized at a strong position over the same period. We do not use net income as a performance measure in our short or long-term incentive programs and as further discussed in the section 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5"/>
          <w:szCs w:val="15"/>
          <w:color w:val="auto"/>
        </w:rPr>
        <w:t>—</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 majority of the total compensation for the company’s NEOs is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of equity and therefore tied to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6140450" cy="24072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3">
                      <a:extLst>
                        <a:ext uri="{28A0092B-C50C-407E-A947-70E740481C1C}"/>
                      </a:extLst>
                    </a:blip>
                    <a:srcRect/>
                    <a:stretch>
                      <a:fillRect/>
                    </a:stretch>
                  </pic:blipFill>
                  <pic:spPr bwMode="auto">
                    <a:xfrm>
                      <a:off x="0" y="0"/>
                      <a:ext cx="6140450" cy="2407285"/>
                    </a:xfrm>
                    <a:prstGeom prst="rect">
                      <a:avLst/>
                    </a:prstGeom>
                    <a:noFill/>
                  </pic:spPr>
                </pic:pic>
              </a:graphicData>
            </a:graphic>
          </wp:anchor>
        </w:drawing>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 w:hanging="475"/>
        <w:spacing w:after="0"/>
        <w:tabs>
          <w:tab w:leader="none" w:pos="520"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78" w:name="page79"/>
    <w:bookmarkEnd w:id="78"/>
    <w:p>
      <w:pPr>
        <w:spacing w:after="0"/>
        <w:rPr>
          <w:sz w:val="20"/>
          <w:szCs w:val="20"/>
          <w:color w:val="auto"/>
        </w:rPr>
      </w:pPr>
      <w:r>
        <w:rPr>
          <w:rFonts w:ascii="Arial" w:cs="Arial" w:eastAsia="Arial" w:hAnsi="Arial"/>
          <w:sz w:val="33"/>
          <w:szCs w:val="33"/>
          <w:color w:val="0A248E"/>
        </w:rPr>
        <w:t>EXECUTIVE COMPENSATION (continued)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A248E"/>
        </w:rPr>
        <w:t>Compensation Actually Paid and Revenue</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As demonstrated by the following graph, the amount of compensation actually paid to Mr. Houston decreased between 2021 and 2022, increased between 2022 and 2023, and decreased again in 2024 and 2025. Meanwhile, the company's revenue increased between 2021 and 2024, before declining slightly in 2025. The average amount of compensation actually paid to the company’s NEOs as a group (excluding Mr. Houston) decreased between 2021 and 2022 and increased between 2022 and 2025. Over the same period, the company’s revenue increased from 2021 through 2024, followed by a slight decline in 2025. The company has determined that revenue is the financial performance measure that, in the company’s assessment, represents the most important financial measure used by the company to link compensation actually paid to the company’s NEOs, for the most recently completed fiscal year, to company performance. As further discussed above in the section titled “</w:t>
      </w:r>
      <w:r>
        <w:rPr>
          <w:rFonts w:ascii="Arial" w:cs="Arial" w:eastAsia="Arial" w:hAnsi="Arial"/>
          <w:sz w:val="18"/>
          <w:szCs w:val="18"/>
          <w:i w:val="1"/>
          <w:iCs w:val="1"/>
          <w:color w:val="auto"/>
        </w:rPr>
        <w:t>Executive Compensation</w:t>
      </w:r>
      <w:r>
        <w:rPr>
          <w:rFonts w:ascii="Arial" w:cs="Arial" w:eastAsia="Arial" w:hAnsi="Arial"/>
          <w:sz w:val="15"/>
          <w:szCs w:val="15"/>
          <w:color w:val="auto"/>
        </w:rPr>
        <w:t>—</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revenue represents two-thirds of the corporate multiplier of the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140450" cy="22288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4">
                      <a:extLst>
                        <a:ext uri="{28A0092B-C50C-407E-A947-70E740481C1C}"/>
                      </a:extLst>
                    </a:blip>
                    <a:srcRect/>
                    <a:stretch>
                      <a:fillRect/>
                    </a:stretch>
                  </pic:blipFill>
                  <pic:spPr bwMode="auto">
                    <a:xfrm>
                      <a:off x="0" y="0"/>
                      <a:ext cx="614045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A248E"/>
        </w:rPr>
        <w:t>Cumulative TSR of the Company and Cumulative TSR of the Peer Group</w:t>
      </w:r>
    </w:p>
    <w:p>
      <w:pPr>
        <w:spacing w:after="0" w:line="201" w:lineRule="exact"/>
        <w:rPr>
          <w:sz w:val="20"/>
          <w:szCs w:val="20"/>
          <w:color w:val="auto"/>
        </w:rPr>
      </w:pPr>
    </w:p>
    <w:p>
      <w:pPr>
        <w:jc w:val="both"/>
        <w:ind w:right="360"/>
        <w:spacing w:after="0" w:line="312" w:lineRule="auto"/>
        <w:rPr>
          <w:sz w:val="20"/>
          <w:szCs w:val="20"/>
          <w:color w:val="auto"/>
        </w:rPr>
      </w:pPr>
      <w:r>
        <w:rPr>
          <w:rFonts w:ascii="Arial" w:cs="Arial" w:eastAsia="Arial" w:hAnsi="Arial"/>
          <w:sz w:val="17"/>
          <w:szCs w:val="17"/>
          <w:color w:val="auto"/>
        </w:rPr>
        <w:t>As demonstrated by the following graph, the company’s cumulative TSR over the five-year period presented in the table grew by 25%, while the cumulative TSR of the peer group presented for this purpose, the Nasdaq Computer Index, was 158% over the five years presented in the graph. For more information regarding the company’s performance and the</w:t>
      </w:r>
    </w:p>
    <w:p>
      <w:pPr>
        <w:sectPr>
          <w:pgSz w:w="11880" w:h="15480" w:orient="portrait"/>
          <w:cols w:equalWidth="0" w:num="1">
            <w:col w:w="9620"/>
          </w:cols>
          <w:pgMar w:left="1140" w:top="3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71</w:t>
      </w:r>
    </w:p>
    <w:p>
      <w:pPr>
        <w:sectPr>
          <w:pgSz w:w="11880" w:h="15480" w:orient="portrait"/>
          <w:cols w:equalWidth="0" w:num="1">
            <w:col w:w="9620"/>
          </w:cols>
          <w:pgMar w:left="1140" w:top="340" w:right="1120" w:bottom="0" w:gutter="0" w:footer="0" w:header="0"/>
          <w:type w:val="continuous"/>
        </w:sectPr>
      </w:pPr>
    </w:p>
    <w:bookmarkStart w:id="79" w:name="page80"/>
    <w:bookmarkEnd w:id="79"/>
    <w:p>
      <w:pPr>
        <w:spacing w:after="0"/>
        <w:rPr>
          <w:sz w:val="20"/>
          <w:szCs w:val="20"/>
          <w:color w:val="auto"/>
        </w:rPr>
      </w:pPr>
      <w:r>
        <w:rPr>
          <w:rFonts w:ascii="Arial" w:cs="Arial" w:eastAsia="Arial" w:hAnsi="Arial"/>
          <w:sz w:val="33"/>
          <w:szCs w:val="33"/>
          <w:color w:val="0A248E"/>
        </w:rPr>
        <w:t>EXECUTIVE COMPENSATION (continued)</w:t>
      </w:r>
    </w:p>
    <w:p>
      <w:pPr>
        <w:spacing w:after="0" w:line="282"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companies that the talent and compensation committee considers when determining compensation, refer to the section titled “</w:t>
      </w:r>
      <w:r>
        <w:rPr>
          <w:rFonts w:ascii="Arial" w:cs="Arial" w:eastAsia="Arial" w:hAnsi="Arial"/>
          <w:sz w:val="18"/>
          <w:szCs w:val="18"/>
          <w:i w:val="1"/>
          <w:iCs w:val="1"/>
          <w:color w:val="auto"/>
        </w:rPr>
        <w:t>Executive Compensation</w:t>
      </w:r>
      <w:r>
        <w:rPr>
          <w:rFonts w:ascii="Arial" w:cs="Arial" w:eastAsia="Arial" w:hAnsi="Arial"/>
          <w:sz w:val="15"/>
          <w:szCs w:val="15"/>
          <w:color w:val="auto"/>
        </w:rPr>
        <w:t>—</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119380</wp:posOffset>
            </wp:positionV>
            <wp:extent cx="3209290" cy="2674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5">
                      <a:extLst>
                        <a:ext uri="{28A0092B-C50C-407E-A947-70E740481C1C}"/>
                      </a:extLst>
                    </a:blip>
                    <a:srcRect/>
                    <a:stretch>
                      <a:fillRect/>
                    </a:stretch>
                  </pic:blipFill>
                  <pic:spPr bwMode="auto">
                    <a:xfrm>
                      <a:off x="0" y="0"/>
                      <a:ext cx="3209290" cy="2674620"/>
                    </a:xfrm>
                    <a:prstGeom prst="rect">
                      <a:avLst/>
                    </a:prstGeom>
                    <a:noFill/>
                  </pic:spPr>
                </pic:pic>
              </a:graphicData>
            </a:graphic>
          </wp:anchor>
        </w:drawing>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hanging="475"/>
        <w:spacing w:after="0"/>
        <w:tabs>
          <w:tab w:leader="none" w:pos="520"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0"/>
          </w:cols>
          <w:pgMar w:left="1140" w:top="340" w:right="1100" w:bottom="0" w:gutter="0" w:footer="0" w:header="0"/>
          <w:type w:val="continuous"/>
        </w:sectPr>
      </w:pPr>
    </w:p>
    <w:bookmarkStart w:id="80" w:name="page81"/>
    <w:bookmarkEnd w:id="80"/>
    <w:p>
      <w:pPr>
        <w:ind w:left="7"/>
        <w:spacing w:after="0"/>
        <w:rPr>
          <w:sz w:val="20"/>
          <w:szCs w:val="20"/>
          <w:color w:val="auto"/>
        </w:rPr>
      </w:pPr>
      <w:r>
        <w:rPr>
          <w:rFonts w:ascii="Arial" w:cs="Arial" w:eastAsia="Arial" w:hAnsi="Arial"/>
          <w:sz w:val="33"/>
          <w:szCs w:val="33"/>
          <w:color w:val="0A248E"/>
        </w:rPr>
        <w:t>EQUITY COMPENSATION PLAN INFORMATION</w:t>
      </w:r>
    </w:p>
    <w:p>
      <w:pPr>
        <w:spacing w:after="0" w:line="310" w:lineRule="exact"/>
        <w:rPr>
          <w:sz w:val="20"/>
          <w:szCs w:val="20"/>
          <w:color w:val="auto"/>
        </w:rPr>
      </w:pPr>
    </w:p>
    <w:p>
      <w:pPr>
        <w:ind w:left="7" w:right="20"/>
        <w:spacing w:after="0" w:line="273" w:lineRule="auto"/>
        <w:rPr>
          <w:sz w:val="20"/>
          <w:szCs w:val="20"/>
          <w:color w:val="auto"/>
        </w:rPr>
      </w:pPr>
      <w:r>
        <w:rPr>
          <w:rFonts w:ascii="Arial" w:cs="Arial" w:eastAsia="Arial" w:hAnsi="Arial"/>
          <w:sz w:val="18"/>
          <w:szCs w:val="18"/>
          <w:color w:val="auto"/>
        </w:rPr>
        <w:t>The following table summarizes our equity compensation plan information as of December 31, 2025.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nor does it include shares underlying the RSAs granted to Mr. Houston pursuant to the Co-Founder Grant. As of December 31, 2025, 3,672 shares of Class A common stock were issuable upon exercise of outstanding options assumed in connection with acquisitions. The weighted average exercise price of such outstanding options was $5.70 per share. No additional equity awards may be granted under any assumed arrangement.</w:t>
      </w:r>
    </w:p>
    <w:p>
      <w:pPr>
        <w:spacing w:after="0" w:line="66" w:lineRule="exact"/>
        <w:rPr>
          <w:sz w:val="20"/>
          <w:szCs w:val="20"/>
          <w:color w:val="auto"/>
        </w:rPr>
      </w:pPr>
    </w:p>
    <w:tbl>
      <w:tblPr>
        <w:tblLayout w:type="fixed"/>
        <w:tblInd w:w="27" w:type="dxa"/>
        <w:tblCellMar>
          <w:top w:w="0" w:type="dxa"/>
          <w:left w:w="0" w:type="dxa"/>
          <w:bottom w:w="0" w:type="dxa"/>
          <w:right w:w="0" w:type="dxa"/>
        </w:tblCellMar>
      </w:tblPr>
      <w:tr>
        <w:trPr>
          <w:trHeight w:val="61"/>
        </w:trPr>
        <w:tc>
          <w:tcPr>
            <w:tcW w:w="40" w:type="dxa"/>
            <w:vAlign w:val="bottom"/>
            <w:shd w:val="clear" w:color="auto" w:fill="0A248E"/>
          </w:tcPr>
          <w:p>
            <w:pPr>
              <w:spacing w:after="0"/>
              <w:rPr>
                <w:sz w:val="5"/>
                <w:szCs w:val="5"/>
                <w:color w:val="auto"/>
              </w:rPr>
            </w:pPr>
          </w:p>
        </w:tc>
        <w:tc>
          <w:tcPr>
            <w:tcW w:w="1380" w:type="dxa"/>
            <w:vAlign w:val="bottom"/>
            <w:shd w:val="clear" w:color="auto" w:fill="0A248E"/>
          </w:tcPr>
          <w:p>
            <w:pPr>
              <w:spacing w:after="0"/>
              <w:rPr>
                <w:sz w:val="5"/>
                <w:szCs w:val="5"/>
                <w:color w:val="auto"/>
              </w:rPr>
            </w:pPr>
          </w:p>
        </w:tc>
        <w:tc>
          <w:tcPr>
            <w:tcW w:w="1740" w:type="dxa"/>
            <w:vAlign w:val="bottom"/>
            <w:shd w:val="clear" w:color="auto" w:fill="0A248E"/>
          </w:tcPr>
          <w:p>
            <w:pPr>
              <w:spacing w:after="0"/>
              <w:rPr>
                <w:sz w:val="5"/>
                <w:szCs w:val="5"/>
                <w:color w:val="auto"/>
              </w:rPr>
            </w:pPr>
          </w:p>
        </w:tc>
        <w:tc>
          <w:tcPr>
            <w:tcW w:w="140" w:type="dxa"/>
            <w:vAlign w:val="bottom"/>
            <w:shd w:val="clear" w:color="auto" w:fill="0A248E"/>
          </w:tcPr>
          <w:p>
            <w:pPr>
              <w:spacing w:after="0"/>
              <w:rPr>
                <w:sz w:val="5"/>
                <w:szCs w:val="5"/>
                <w:color w:val="auto"/>
              </w:rPr>
            </w:pPr>
          </w:p>
        </w:tc>
        <w:tc>
          <w:tcPr>
            <w:tcW w:w="40" w:type="dxa"/>
            <w:vAlign w:val="bottom"/>
            <w:shd w:val="clear" w:color="auto" w:fill="0A248E"/>
          </w:tcPr>
          <w:p>
            <w:pPr>
              <w:spacing w:after="0"/>
              <w:rPr>
                <w:sz w:val="5"/>
                <w:szCs w:val="5"/>
                <w:color w:val="auto"/>
              </w:rPr>
            </w:pPr>
          </w:p>
        </w:tc>
        <w:tc>
          <w:tcPr>
            <w:tcW w:w="1800" w:type="dxa"/>
            <w:vAlign w:val="bottom"/>
            <w:tcBorders>
              <w:right w:val="single" w:sz="8" w:color="0A248E"/>
            </w:tcBorders>
            <w:gridSpan w:val="2"/>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rPr>
              <w:t>Number of Securities</w:t>
            </w:r>
          </w:p>
        </w:tc>
        <w:tc>
          <w:tcPr>
            <w:tcW w:w="60" w:type="dxa"/>
            <w:vAlign w:val="bottom"/>
            <w:tcBorders>
              <w:right w:val="single" w:sz="8" w:color="0A248E"/>
            </w:tcBorders>
          </w:tcPr>
          <w:p>
            <w:pPr>
              <w:spacing w:after="0"/>
              <w:rPr>
                <w:sz w:val="5"/>
                <w:szCs w:val="5"/>
                <w:color w:val="auto"/>
              </w:rPr>
            </w:pPr>
          </w:p>
        </w:tc>
        <w:tc>
          <w:tcPr>
            <w:tcW w:w="1560" w:type="dxa"/>
            <w:vAlign w:val="bottom"/>
            <w:shd w:val="clear" w:color="auto" w:fill="0A248E"/>
          </w:tcPr>
          <w:p>
            <w:pPr>
              <w:spacing w:after="0"/>
              <w:rPr>
                <w:sz w:val="5"/>
                <w:szCs w:val="5"/>
                <w:color w:val="auto"/>
              </w:rPr>
            </w:pPr>
          </w:p>
        </w:tc>
        <w:tc>
          <w:tcPr>
            <w:tcW w:w="240" w:type="dxa"/>
            <w:vAlign w:val="bottom"/>
            <w:tcBorders>
              <w:right w:val="single" w:sz="8" w:color="0A248E"/>
            </w:tcBorders>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2500" w:type="dxa"/>
            <w:vAlign w:val="bottom"/>
            <w:gridSpan w:val="2"/>
            <w:vMerge w:val="restart"/>
            <w:shd w:val="clear" w:color="auto" w:fill="0A248E"/>
          </w:tcPr>
          <w:p>
            <w:pPr>
              <w:jc w:val="center"/>
              <w:spacing w:after="0"/>
              <w:rPr>
                <w:sz w:val="20"/>
                <w:szCs w:val="20"/>
                <w:color w:val="auto"/>
              </w:rPr>
            </w:pPr>
            <w:r>
              <w:rPr>
                <w:rFonts w:ascii="Arial" w:cs="Arial" w:eastAsia="Arial" w:hAnsi="Arial"/>
                <w:sz w:val="15"/>
                <w:szCs w:val="15"/>
                <w:b w:val="1"/>
                <w:bCs w:val="1"/>
                <w:color w:val="FFFFFF"/>
                <w:shd w:val="clear" w:color="auto" w:fill="0A248E"/>
              </w:rPr>
              <w:t>Number of Securities Remaining</w:t>
            </w:r>
          </w:p>
        </w:tc>
        <w:tc>
          <w:tcPr>
            <w:tcW w:w="4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40" w:type="dxa"/>
            <w:vAlign w:val="bottom"/>
            <w:shd w:val="clear" w:color="auto" w:fill="0A248E"/>
          </w:tcPr>
          <w:p>
            <w:pPr>
              <w:spacing w:after="0"/>
              <w:rPr>
                <w:sz w:val="21"/>
                <w:szCs w:val="21"/>
                <w:color w:val="auto"/>
              </w:rPr>
            </w:pPr>
          </w:p>
        </w:tc>
        <w:tc>
          <w:tcPr>
            <w:tcW w:w="1380" w:type="dxa"/>
            <w:vAlign w:val="bottom"/>
            <w:shd w:val="clear" w:color="auto" w:fill="0A248E"/>
          </w:tcPr>
          <w:p>
            <w:pPr>
              <w:spacing w:after="0"/>
              <w:rPr>
                <w:sz w:val="21"/>
                <w:szCs w:val="21"/>
                <w:color w:val="auto"/>
              </w:rPr>
            </w:pPr>
          </w:p>
        </w:tc>
        <w:tc>
          <w:tcPr>
            <w:tcW w:w="1740" w:type="dxa"/>
            <w:vAlign w:val="bottom"/>
            <w:shd w:val="clear" w:color="auto" w:fill="0A248E"/>
          </w:tcPr>
          <w:p>
            <w:pPr>
              <w:spacing w:after="0"/>
              <w:rPr>
                <w:sz w:val="21"/>
                <w:szCs w:val="21"/>
                <w:color w:val="auto"/>
              </w:rPr>
            </w:pPr>
          </w:p>
        </w:tc>
        <w:tc>
          <w:tcPr>
            <w:tcW w:w="140" w:type="dxa"/>
            <w:vAlign w:val="bottom"/>
            <w:shd w:val="clear" w:color="auto" w:fill="0A248E"/>
          </w:tcPr>
          <w:p>
            <w:pPr>
              <w:spacing w:after="0"/>
              <w:rPr>
                <w:sz w:val="21"/>
                <w:szCs w:val="21"/>
                <w:color w:val="auto"/>
              </w:rPr>
            </w:pPr>
          </w:p>
        </w:tc>
        <w:tc>
          <w:tcPr>
            <w:tcW w:w="40" w:type="dxa"/>
            <w:vAlign w:val="bottom"/>
            <w:shd w:val="clear" w:color="auto" w:fill="0A248E"/>
          </w:tcPr>
          <w:p>
            <w:pPr>
              <w:spacing w:after="0"/>
              <w:rPr>
                <w:sz w:val="21"/>
                <w:szCs w:val="21"/>
                <w:color w:val="auto"/>
              </w:rPr>
            </w:pPr>
          </w:p>
        </w:tc>
        <w:tc>
          <w:tcPr>
            <w:tcW w:w="1800" w:type="dxa"/>
            <w:vAlign w:val="bottom"/>
            <w:tcBorders>
              <w:right w:val="single" w:sz="8" w:color="0A248E"/>
            </w:tcBorders>
            <w:gridSpan w:val="2"/>
            <w:vMerge w:val="continue"/>
            <w:shd w:val="clear" w:color="auto" w:fill="0A248E"/>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1560" w:type="dxa"/>
            <w:vAlign w:val="bottom"/>
            <w:shd w:val="clear" w:color="auto" w:fill="0A248E"/>
          </w:tcPr>
          <w:p>
            <w:pPr>
              <w:spacing w:after="0"/>
              <w:rPr>
                <w:sz w:val="21"/>
                <w:szCs w:val="21"/>
                <w:color w:val="auto"/>
              </w:rPr>
            </w:pPr>
          </w:p>
        </w:tc>
        <w:tc>
          <w:tcPr>
            <w:tcW w:w="240" w:type="dxa"/>
            <w:vAlign w:val="bottom"/>
            <w:tcBorders>
              <w:right w:val="single" w:sz="8" w:color="0A248E"/>
            </w:tcBorders>
            <w:shd w:val="clear" w:color="auto" w:fill="0A248E"/>
          </w:tcPr>
          <w:p>
            <w:pPr>
              <w:spacing w:after="0"/>
              <w:rPr>
                <w:sz w:val="21"/>
                <w:szCs w:val="21"/>
                <w:color w:val="auto"/>
              </w:rPr>
            </w:pPr>
          </w:p>
        </w:tc>
        <w:tc>
          <w:tcPr>
            <w:tcW w:w="60" w:type="dxa"/>
            <w:vAlign w:val="bottom"/>
            <w:tcBorders>
              <w:right w:val="single" w:sz="8" w:color="0A248E"/>
            </w:tcBorders>
            <w:shd w:val="clear" w:color="auto" w:fill="0A248E"/>
          </w:tcPr>
          <w:p>
            <w:pPr>
              <w:spacing w:after="0"/>
              <w:rPr>
                <w:sz w:val="21"/>
                <w:szCs w:val="21"/>
                <w:color w:val="auto"/>
              </w:rPr>
            </w:pPr>
          </w:p>
        </w:tc>
        <w:tc>
          <w:tcPr>
            <w:tcW w:w="2500" w:type="dxa"/>
            <w:vAlign w:val="bottom"/>
            <w:gridSpan w:val="2"/>
            <w:vMerge w:val="continue"/>
            <w:shd w:val="clear" w:color="auto" w:fill="0A248E"/>
          </w:tcPr>
          <w:p>
            <w:pPr>
              <w:spacing w:after="0"/>
              <w:rPr>
                <w:sz w:val="21"/>
                <w:szCs w:val="21"/>
                <w:color w:val="auto"/>
              </w:rPr>
            </w:pPr>
          </w:p>
        </w:tc>
        <w:tc>
          <w:tcPr>
            <w:tcW w:w="40" w:type="dxa"/>
            <w:vAlign w:val="bottom"/>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 w:type="dxa"/>
            <w:vAlign w:val="bottom"/>
            <w:shd w:val="clear" w:color="auto" w:fill="0A248E"/>
          </w:tcPr>
          <w:p>
            <w:pPr>
              <w:spacing w:after="0"/>
              <w:rPr>
                <w:sz w:val="17"/>
                <w:szCs w:val="17"/>
                <w:color w:val="auto"/>
              </w:rPr>
            </w:pPr>
          </w:p>
        </w:tc>
        <w:tc>
          <w:tcPr>
            <w:tcW w:w="1380" w:type="dxa"/>
            <w:vAlign w:val="bottom"/>
            <w:shd w:val="clear" w:color="auto" w:fill="0A248E"/>
          </w:tcPr>
          <w:p>
            <w:pPr>
              <w:spacing w:after="0"/>
              <w:rPr>
                <w:sz w:val="17"/>
                <w:szCs w:val="17"/>
                <w:color w:val="auto"/>
              </w:rPr>
            </w:pPr>
          </w:p>
        </w:tc>
        <w:tc>
          <w:tcPr>
            <w:tcW w:w="1740" w:type="dxa"/>
            <w:vAlign w:val="bottom"/>
            <w:shd w:val="clear" w:color="auto" w:fill="0A248E"/>
          </w:tcPr>
          <w:p>
            <w:pPr>
              <w:spacing w:after="0"/>
              <w:rPr>
                <w:sz w:val="17"/>
                <w:szCs w:val="17"/>
                <w:color w:val="auto"/>
              </w:rPr>
            </w:pPr>
          </w:p>
        </w:tc>
        <w:tc>
          <w:tcPr>
            <w:tcW w:w="140" w:type="dxa"/>
            <w:vAlign w:val="bottom"/>
            <w:shd w:val="clear" w:color="auto" w:fill="0A248E"/>
          </w:tcPr>
          <w:p>
            <w:pPr>
              <w:spacing w:after="0"/>
              <w:rPr>
                <w:sz w:val="17"/>
                <w:szCs w:val="17"/>
                <w:color w:val="auto"/>
              </w:rPr>
            </w:pPr>
          </w:p>
        </w:tc>
        <w:tc>
          <w:tcPr>
            <w:tcW w:w="40" w:type="dxa"/>
            <w:vAlign w:val="bottom"/>
            <w:shd w:val="clear" w:color="auto" w:fill="0A248E"/>
          </w:tcPr>
          <w:p>
            <w:pPr>
              <w:spacing w:after="0"/>
              <w:rPr>
                <w:sz w:val="17"/>
                <w:szCs w:val="17"/>
                <w:color w:val="auto"/>
              </w:rPr>
            </w:pPr>
          </w:p>
        </w:tc>
        <w:tc>
          <w:tcPr>
            <w:tcW w:w="1560" w:type="dxa"/>
            <w:vAlign w:val="bottom"/>
            <w:shd w:val="clear" w:color="auto" w:fill="0A248E"/>
          </w:tcPr>
          <w:p>
            <w:pPr>
              <w:jc w:val="center"/>
              <w:ind w:left="123"/>
              <w:spacing w:after="0"/>
              <w:rPr>
                <w:sz w:val="20"/>
                <w:szCs w:val="20"/>
                <w:color w:val="auto"/>
              </w:rPr>
            </w:pPr>
            <w:r>
              <w:rPr>
                <w:rFonts w:ascii="Arial" w:cs="Arial" w:eastAsia="Arial" w:hAnsi="Arial"/>
                <w:sz w:val="15"/>
                <w:szCs w:val="15"/>
                <w:b w:val="1"/>
                <w:bCs w:val="1"/>
                <w:color w:val="FFFFFF"/>
              </w:rPr>
              <w:t>to be Issued Upon</w:t>
            </w:r>
          </w:p>
        </w:tc>
        <w:tc>
          <w:tcPr>
            <w:tcW w:w="240" w:type="dxa"/>
            <w:vAlign w:val="bottom"/>
            <w:tcBorders>
              <w:right w:val="single" w:sz="8" w:color="0A248E"/>
            </w:tcBorders>
            <w:shd w:val="clear" w:color="auto" w:fill="0A248E"/>
          </w:tcPr>
          <w:p>
            <w:pPr>
              <w:spacing w:after="0"/>
              <w:rPr>
                <w:sz w:val="17"/>
                <w:szCs w:val="17"/>
                <w:color w:val="auto"/>
              </w:rPr>
            </w:pPr>
          </w:p>
        </w:tc>
        <w:tc>
          <w:tcPr>
            <w:tcW w:w="60" w:type="dxa"/>
            <w:vAlign w:val="bottom"/>
            <w:tcBorders>
              <w:right w:val="single" w:sz="8" w:color="0A248E"/>
            </w:tcBorders>
            <w:shd w:val="clear" w:color="auto" w:fill="0A248E"/>
          </w:tcPr>
          <w:p>
            <w:pPr>
              <w:spacing w:after="0"/>
              <w:rPr>
                <w:sz w:val="17"/>
                <w:szCs w:val="17"/>
                <w:color w:val="auto"/>
              </w:rPr>
            </w:pPr>
          </w:p>
        </w:tc>
        <w:tc>
          <w:tcPr>
            <w:tcW w:w="1560" w:type="dxa"/>
            <w:vAlign w:val="bottom"/>
            <w:shd w:val="clear" w:color="auto" w:fill="0A248E"/>
          </w:tcPr>
          <w:p>
            <w:pPr>
              <w:jc w:val="center"/>
              <w:ind w:left="120"/>
              <w:spacing w:after="0"/>
              <w:rPr>
                <w:sz w:val="20"/>
                <w:szCs w:val="20"/>
                <w:color w:val="auto"/>
              </w:rPr>
            </w:pPr>
            <w:r>
              <w:rPr>
                <w:rFonts w:ascii="Arial" w:cs="Arial" w:eastAsia="Arial" w:hAnsi="Arial"/>
                <w:sz w:val="15"/>
                <w:szCs w:val="15"/>
                <w:b w:val="1"/>
                <w:bCs w:val="1"/>
                <w:color w:val="FFFFFF"/>
              </w:rPr>
              <w:t>Weighted-Average</w:t>
            </w:r>
          </w:p>
        </w:tc>
        <w:tc>
          <w:tcPr>
            <w:tcW w:w="240" w:type="dxa"/>
            <w:vAlign w:val="bottom"/>
            <w:tcBorders>
              <w:right w:val="single" w:sz="8" w:color="0A248E"/>
            </w:tcBorders>
            <w:shd w:val="clear" w:color="auto" w:fill="0A248E"/>
          </w:tcPr>
          <w:p>
            <w:pPr>
              <w:spacing w:after="0"/>
              <w:rPr>
                <w:sz w:val="17"/>
                <w:szCs w:val="17"/>
                <w:color w:val="auto"/>
              </w:rPr>
            </w:pPr>
          </w:p>
        </w:tc>
        <w:tc>
          <w:tcPr>
            <w:tcW w:w="60" w:type="dxa"/>
            <w:vAlign w:val="bottom"/>
            <w:tcBorders>
              <w:right w:val="single" w:sz="8" w:color="0A248E"/>
            </w:tcBorders>
            <w:shd w:val="clear" w:color="auto" w:fill="0A248E"/>
          </w:tcPr>
          <w:p>
            <w:pPr>
              <w:spacing w:after="0"/>
              <w:rPr>
                <w:sz w:val="17"/>
                <w:szCs w:val="17"/>
                <w:color w:val="auto"/>
              </w:rPr>
            </w:pPr>
          </w:p>
        </w:tc>
        <w:tc>
          <w:tcPr>
            <w:tcW w:w="2500" w:type="dxa"/>
            <w:vAlign w:val="bottom"/>
            <w:gridSpan w:val="2"/>
            <w:shd w:val="clear" w:color="auto" w:fill="0A248E"/>
          </w:tcPr>
          <w:p>
            <w:pPr>
              <w:jc w:val="center"/>
              <w:spacing w:after="0"/>
              <w:rPr>
                <w:sz w:val="20"/>
                <w:szCs w:val="20"/>
                <w:color w:val="auto"/>
              </w:rPr>
            </w:pPr>
            <w:r>
              <w:rPr>
                <w:rFonts w:ascii="Arial" w:cs="Arial" w:eastAsia="Arial" w:hAnsi="Arial"/>
                <w:sz w:val="15"/>
                <w:szCs w:val="15"/>
                <w:b w:val="1"/>
                <w:bCs w:val="1"/>
                <w:color w:val="FFFFFF"/>
              </w:rPr>
              <w:t>Available for Future Issuance</w:t>
            </w:r>
          </w:p>
        </w:tc>
        <w:tc>
          <w:tcPr>
            <w:tcW w:w="40" w:type="dxa"/>
            <w:vAlign w:val="bottom"/>
            <w:shd w:val="clear" w:color="auto" w:fill="0A248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shd w:val="clear" w:color="auto" w:fill="0A248E"/>
          </w:tcPr>
          <w:p>
            <w:pPr>
              <w:spacing w:after="0"/>
              <w:rPr>
                <w:sz w:val="17"/>
                <w:szCs w:val="17"/>
                <w:color w:val="auto"/>
              </w:rPr>
            </w:pPr>
          </w:p>
        </w:tc>
        <w:tc>
          <w:tcPr>
            <w:tcW w:w="1380" w:type="dxa"/>
            <w:vAlign w:val="bottom"/>
            <w:shd w:val="clear" w:color="auto" w:fill="0A248E"/>
          </w:tcPr>
          <w:p>
            <w:pPr>
              <w:spacing w:after="0"/>
              <w:rPr>
                <w:sz w:val="17"/>
                <w:szCs w:val="17"/>
                <w:color w:val="auto"/>
              </w:rPr>
            </w:pPr>
          </w:p>
        </w:tc>
        <w:tc>
          <w:tcPr>
            <w:tcW w:w="1740" w:type="dxa"/>
            <w:vAlign w:val="bottom"/>
            <w:shd w:val="clear" w:color="auto" w:fill="0A248E"/>
          </w:tcPr>
          <w:p>
            <w:pPr>
              <w:spacing w:after="0"/>
              <w:rPr>
                <w:sz w:val="17"/>
                <w:szCs w:val="17"/>
                <w:color w:val="auto"/>
              </w:rPr>
            </w:pPr>
          </w:p>
        </w:tc>
        <w:tc>
          <w:tcPr>
            <w:tcW w:w="140" w:type="dxa"/>
            <w:vAlign w:val="bottom"/>
            <w:shd w:val="clear" w:color="auto" w:fill="0A248E"/>
          </w:tcPr>
          <w:p>
            <w:pPr>
              <w:spacing w:after="0"/>
              <w:rPr>
                <w:sz w:val="17"/>
                <w:szCs w:val="17"/>
                <w:color w:val="auto"/>
              </w:rPr>
            </w:pPr>
          </w:p>
        </w:tc>
        <w:tc>
          <w:tcPr>
            <w:tcW w:w="40" w:type="dxa"/>
            <w:vAlign w:val="bottom"/>
            <w:shd w:val="clear" w:color="auto" w:fill="0A248E"/>
          </w:tcPr>
          <w:p>
            <w:pPr>
              <w:spacing w:after="0"/>
              <w:rPr>
                <w:sz w:val="17"/>
                <w:szCs w:val="17"/>
                <w:color w:val="auto"/>
              </w:rPr>
            </w:pPr>
          </w:p>
        </w:tc>
        <w:tc>
          <w:tcPr>
            <w:tcW w:w="1560" w:type="dxa"/>
            <w:vAlign w:val="bottom"/>
            <w:shd w:val="clear" w:color="auto" w:fill="0A248E"/>
          </w:tcPr>
          <w:p>
            <w:pPr>
              <w:jc w:val="center"/>
              <w:ind w:left="123"/>
              <w:spacing w:after="0"/>
              <w:rPr>
                <w:sz w:val="20"/>
                <w:szCs w:val="20"/>
                <w:color w:val="auto"/>
              </w:rPr>
            </w:pPr>
            <w:r>
              <w:rPr>
                <w:rFonts w:ascii="Arial" w:cs="Arial" w:eastAsia="Arial" w:hAnsi="Arial"/>
                <w:sz w:val="15"/>
                <w:szCs w:val="15"/>
                <w:b w:val="1"/>
                <w:bCs w:val="1"/>
                <w:color w:val="FFFFFF"/>
              </w:rPr>
              <w:t>Exercise of</w:t>
            </w:r>
          </w:p>
        </w:tc>
        <w:tc>
          <w:tcPr>
            <w:tcW w:w="240" w:type="dxa"/>
            <w:vAlign w:val="bottom"/>
            <w:tcBorders>
              <w:right w:val="single" w:sz="8" w:color="0A248E"/>
            </w:tcBorders>
            <w:shd w:val="clear" w:color="auto" w:fill="0A248E"/>
          </w:tcPr>
          <w:p>
            <w:pPr>
              <w:spacing w:after="0"/>
              <w:rPr>
                <w:sz w:val="17"/>
                <w:szCs w:val="17"/>
                <w:color w:val="auto"/>
              </w:rPr>
            </w:pPr>
          </w:p>
        </w:tc>
        <w:tc>
          <w:tcPr>
            <w:tcW w:w="60" w:type="dxa"/>
            <w:vAlign w:val="bottom"/>
            <w:tcBorders>
              <w:right w:val="single" w:sz="8" w:color="0A248E"/>
            </w:tcBorders>
            <w:shd w:val="clear" w:color="auto" w:fill="0A248E"/>
          </w:tcPr>
          <w:p>
            <w:pPr>
              <w:spacing w:after="0"/>
              <w:rPr>
                <w:sz w:val="17"/>
                <w:szCs w:val="17"/>
                <w:color w:val="auto"/>
              </w:rPr>
            </w:pPr>
          </w:p>
        </w:tc>
        <w:tc>
          <w:tcPr>
            <w:tcW w:w="1560" w:type="dxa"/>
            <w:vAlign w:val="bottom"/>
            <w:shd w:val="clear" w:color="auto" w:fill="0A248E"/>
          </w:tcPr>
          <w:p>
            <w:pPr>
              <w:jc w:val="center"/>
              <w:ind w:left="100"/>
              <w:spacing w:after="0"/>
              <w:rPr>
                <w:sz w:val="20"/>
                <w:szCs w:val="20"/>
                <w:color w:val="auto"/>
              </w:rPr>
            </w:pPr>
            <w:r>
              <w:rPr>
                <w:rFonts w:ascii="Arial" w:cs="Arial" w:eastAsia="Arial" w:hAnsi="Arial"/>
                <w:sz w:val="15"/>
                <w:szCs w:val="15"/>
                <w:b w:val="1"/>
                <w:bCs w:val="1"/>
                <w:color w:val="FFFFFF"/>
              </w:rPr>
              <w:t>Exercise Price of</w:t>
            </w:r>
          </w:p>
        </w:tc>
        <w:tc>
          <w:tcPr>
            <w:tcW w:w="240" w:type="dxa"/>
            <w:vAlign w:val="bottom"/>
            <w:tcBorders>
              <w:right w:val="single" w:sz="8" w:color="0A248E"/>
            </w:tcBorders>
            <w:shd w:val="clear" w:color="auto" w:fill="0A248E"/>
          </w:tcPr>
          <w:p>
            <w:pPr>
              <w:spacing w:after="0"/>
              <w:rPr>
                <w:sz w:val="17"/>
                <w:szCs w:val="17"/>
                <w:color w:val="auto"/>
              </w:rPr>
            </w:pPr>
          </w:p>
        </w:tc>
        <w:tc>
          <w:tcPr>
            <w:tcW w:w="60" w:type="dxa"/>
            <w:vAlign w:val="bottom"/>
            <w:tcBorders>
              <w:right w:val="single" w:sz="8" w:color="0A248E"/>
            </w:tcBorders>
            <w:shd w:val="clear" w:color="auto" w:fill="0A248E"/>
          </w:tcPr>
          <w:p>
            <w:pPr>
              <w:spacing w:after="0"/>
              <w:rPr>
                <w:sz w:val="17"/>
                <w:szCs w:val="17"/>
                <w:color w:val="auto"/>
              </w:rPr>
            </w:pPr>
          </w:p>
        </w:tc>
        <w:tc>
          <w:tcPr>
            <w:tcW w:w="2500" w:type="dxa"/>
            <w:vAlign w:val="bottom"/>
            <w:gridSpan w:val="2"/>
            <w:shd w:val="clear" w:color="auto" w:fill="0A248E"/>
          </w:tcPr>
          <w:p>
            <w:pPr>
              <w:jc w:val="center"/>
              <w:spacing w:after="0"/>
              <w:rPr>
                <w:sz w:val="20"/>
                <w:szCs w:val="20"/>
                <w:color w:val="auto"/>
              </w:rPr>
            </w:pPr>
            <w:r>
              <w:rPr>
                <w:rFonts w:ascii="Arial" w:cs="Arial" w:eastAsia="Arial" w:hAnsi="Arial"/>
                <w:sz w:val="15"/>
                <w:szCs w:val="15"/>
                <w:b w:val="1"/>
                <w:bCs w:val="1"/>
                <w:color w:val="FFFFFF"/>
              </w:rPr>
              <w:t>Under Equity Compensation</w:t>
            </w:r>
          </w:p>
        </w:tc>
        <w:tc>
          <w:tcPr>
            <w:tcW w:w="40" w:type="dxa"/>
            <w:vAlign w:val="bottom"/>
            <w:shd w:val="clear" w:color="auto" w:fill="0A248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0A248E"/>
          </w:tcPr>
          <w:p>
            <w:pPr>
              <w:spacing w:after="0"/>
              <w:rPr>
                <w:sz w:val="14"/>
                <w:szCs w:val="14"/>
                <w:color w:val="auto"/>
              </w:rPr>
            </w:pPr>
          </w:p>
        </w:tc>
        <w:tc>
          <w:tcPr>
            <w:tcW w:w="1380" w:type="dxa"/>
            <w:vAlign w:val="bottom"/>
            <w:shd w:val="clear" w:color="auto" w:fill="0A248E"/>
          </w:tcPr>
          <w:p>
            <w:pPr>
              <w:spacing w:after="0"/>
              <w:rPr>
                <w:sz w:val="14"/>
                <w:szCs w:val="14"/>
                <w:color w:val="auto"/>
              </w:rPr>
            </w:pPr>
          </w:p>
        </w:tc>
        <w:tc>
          <w:tcPr>
            <w:tcW w:w="1740" w:type="dxa"/>
            <w:vAlign w:val="bottom"/>
            <w:shd w:val="clear" w:color="auto" w:fill="0A248E"/>
          </w:tcPr>
          <w:p>
            <w:pPr>
              <w:spacing w:after="0"/>
              <w:rPr>
                <w:sz w:val="14"/>
                <w:szCs w:val="14"/>
                <w:color w:val="auto"/>
              </w:rPr>
            </w:pPr>
          </w:p>
        </w:tc>
        <w:tc>
          <w:tcPr>
            <w:tcW w:w="140" w:type="dxa"/>
            <w:vAlign w:val="bottom"/>
            <w:shd w:val="clear" w:color="auto" w:fill="0A248E"/>
          </w:tcPr>
          <w:p>
            <w:pPr>
              <w:spacing w:after="0"/>
              <w:rPr>
                <w:sz w:val="14"/>
                <w:szCs w:val="14"/>
                <w:color w:val="auto"/>
              </w:rPr>
            </w:pPr>
          </w:p>
        </w:tc>
        <w:tc>
          <w:tcPr>
            <w:tcW w:w="40" w:type="dxa"/>
            <w:vAlign w:val="bottom"/>
            <w:shd w:val="clear" w:color="auto" w:fill="0A248E"/>
          </w:tcPr>
          <w:p>
            <w:pPr>
              <w:spacing w:after="0"/>
              <w:rPr>
                <w:sz w:val="14"/>
                <w:szCs w:val="14"/>
                <w:color w:val="auto"/>
              </w:rPr>
            </w:pPr>
          </w:p>
        </w:tc>
        <w:tc>
          <w:tcPr>
            <w:tcW w:w="1800" w:type="dxa"/>
            <w:vAlign w:val="bottom"/>
            <w:tcBorders>
              <w:right w:val="single" w:sz="8" w:color="0A248E"/>
            </w:tcBorders>
            <w:gridSpan w:val="2"/>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Outstanding Options,</w:t>
            </w:r>
          </w:p>
        </w:tc>
        <w:tc>
          <w:tcPr>
            <w:tcW w:w="60" w:type="dxa"/>
            <w:vAlign w:val="bottom"/>
            <w:tcBorders>
              <w:right w:val="single" w:sz="8" w:color="0A248E"/>
            </w:tcBorders>
            <w:shd w:val="clear" w:color="auto" w:fill="0A248E"/>
          </w:tcPr>
          <w:p>
            <w:pPr>
              <w:spacing w:after="0"/>
              <w:rPr>
                <w:sz w:val="14"/>
                <w:szCs w:val="14"/>
                <w:color w:val="auto"/>
              </w:rPr>
            </w:pPr>
          </w:p>
        </w:tc>
        <w:tc>
          <w:tcPr>
            <w:tcW w:w="1800" w:type="dxa"/>
            <w:vAlign w:val="bottom"/>
            <w:tcBorders>
              <w:right w:val="single" w:sz="8" w:color="0A248E"/>
            </w:tcBorders>
            <w:gridSpan w:val="2"/>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Outstanding Options,</w:t>
            </w:r>
          </w:p>
        </w:tc>
        <w:tc>
          <w:tcPr>
            <w:tcW w:w="60" w:type="dxa"/>
            <w:vAlign w:val="bottom"/>
            <w:tcBorders>
              <w:right w:val="single" w:sz="8" w:color="0A248E"/>
            </w:tcBorders>
            <w:shd w:val="clear" w:color="auto" w:fill="0A248E"/>
          </w:tcPr>
          <w:p>
            <w:pPr>
              <w:spacing w:after="0"/>
              <w:rPr>
                <w:sz w:val="14"/>
                <w:szCs w:val="14"/>
                <w:color w:val="auto"/>
              </w:rPr>
            </w:pPr>
          </w:p>
        </w:tc>
        <w:tc>
          <w:tcPr>
            <w:tcW w:w="2500" w:type="dxa"/>
            <w:vAlign w:val="bottom"/>
            <w:gridSpan w:val="2"/>
            <w:shd w:val="clear" w:color="auto" w:fill="0A248E"/>
          </w:tcPr>
          <w:p>
            <w:pPr>
              <w:jc w:val="center"/>
              <w:spacing w:after="0" w:line="163" w:lineRule="exact"/>
              <w:rPr>
                <w:sz w:val="20"/>
                <w:szCs w:val="20"/>
                <w:color w:val="auto"/>
              </w:rPr>
            </w:pPr>
            <w:r>
              <w:rPr>
                <w:rFonts w:ascii="Arial" w:cs="Arial" w:eastAsia="Arial" w:hAnsi="Arial"/>
                <w:sz w:val="15"/>
                <w:szCs w:val="15"/>
                <w:b w:val="1"/>
                <w:bCs w:val="1"/>
                <w:color w:val="FFFFFF"/>
              </w:rPr>
              <w:t>Plans (Excluding Securities</w:t>
            </w:r>
          </w:p>
        </w:tc>
        <w:tc>
          <w:tcPr>
            <w:tcW w:w="40" w:type="dxa"/>
            <w:vAlign w:val="bottom"/>
            <w:shd w:val="clear" w:color="auto" w:fill="0A248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40" w:type="dxa"/>
            <w:vAlign w:val="bottom"/>
            <w:tcBorders>
              <w:bottom w:val="single" w:sz="8" w:color="0A248E"/>
            </w:tcBorders>
            <w:shd w:val="clear" w:color="auto" w:fill="0A248E"/>
          </w:tcPr>
          <w:p>
            <w:pPr>
              <w:spacing w:after="0"/>
              <w:rPr>
                <w:sz w:val="24"/>
                <w:szCs w:val="24"/>
                <w:color w:val="auto"/>
              </w:rPr>
            </w:pPr>
          </w:p>
        </w:tc>
        <w:tc>
          <w:tcPr>
            <w:tcW w:w="3260" w:type="dxa"/>
            <w:vAlign w:val="bottom"/>
            <w:tcBorders>
              <w:bottom w:val="single" w:sz="8" w:color="0A248E"/>
            </w:tcBorders>
            <w:gridSpan w:val="3"/>
            <w:shd w:val="clear" w:color="auto" w:fill="0A248E"/>
          </w:tcPr>
          <w:p>
            <w:pPr>
              <w:spacing w:after="0"/>
              <w:rPr>
                <w:sz w:val="20"/>
                <w:szCs w:val="20"/>
                <w:color w:val="auto"/>
              </w:rPr>
            </w:pPr>
            <w:r>
              <w:rPr>
                <w:rFonts w:ascii="Arial" w:cs="Arial" w:eastAsia="Arial" w:hAnsi="Arial"/>
                <w:sz w:val="15"/>
                <w:szCs w:val="15"/>
                <w:b w:val="1"/>
                <w:bCs w:val="1"/>
                <w:color w:val="FFFFFF"/>
              </w:rPr>
              <w:t>Plan Category</w:t>
            </w:r>
          </w:p>
        </w:tc>
        <w:tc>
          <w:tcPr>
            <w:tcW w:w="40" w:type="dxa"/>
            <w:vAlign w:val="bottom"/>
            <w:tcBorders>
              <w:bottom w:val="single" w:sz="8" w:color="0A248E"/>
            </w:tcBorders>
            <w:shd w:val="clear" w:color="auto" w:fill="0A248E"/>
          </w:tcPr>
          <w:p>
            <w:pPr>
              <w:spacing w:after="0"/>
              <w:rPr>
                <w:sz w:val="24"/>
                <w:szCs w:val="24"/>
                <w:color w:val="auto"/>
              </w:rPr>
            </w:pPr>
          </w:p>
        </w:tc>
        <w:tc>
          <w:tcPr>
            <w:tcW w:w="1800" w:type="dxa"/>
            <w:vAlign w:val="bottom"/>
            <w:tcBorders>
              <w:bottom w:val="single" w:sz="8" w:color="0A248E"/>
              <w:right w:val="single" w:sz="8" w:color="0A248E"/>
            </w:tcBorders>
            <w:gridSpan w:val="2"/>
            <w:shd w:val="clear" w:color="auto" w:fill="0A248E"/>
          </w:tcPr>
          <w:p>
            <w:pPr>
              <w:jc w:val="center"/>
              <w:spacing w:after="0"/>
              <w:rPr>
                <w:sz w:val="20"/>
                <w:szCs w:val="20"/>
                <w:color w:val="auto"/>
              </w:rPr>
            </w:pPr>
            <w:r>
              <w:rPr>
                <w:rFonts w:ascii="Arial" w:cs="Arial" w:eastAsia="Arial" w:hAnsi="Arial"/>
                <w:sz w:val="15"/>
                <w:szCs w:val="15"/>
                <w:b w:val="1"/>
                <w:bCs w:val="1"/>
                <w:color w:val="FFFFFF"/>
              </w:rPr>
              <w:t>Warrants, and Rights</w:t>
            </w:r>
          </w:p>
        </w:tc>
        <w:tc>
          <w:tcPr>
            <w:tcW w:w="60" w:type="dxa"/>
            <w:vAlign w:val="bottom"/>
            <w:tcBorders>
              <w:bottom w:val="single" w:sz="8" w:color="0A248E"/>
              <w:right w:val="single" w:sz="8" w:color="0A248E"/>
            </w:tcBorders>
            <w:shd w:val="clear" w:color="auto" w:fill="0A248E"/>
          </w:tcPr>
          <w:p>
            <w:pPr>
              <w:spacing w:after="0"/>
              <w:rPr>
                <w:sz w:val="24"/>
                <w:szCs w:val="24"/>
                <w:color w:val="auto"/>
              </w:rPr>
            </w:pPr>
          </w:p>
        </w:tc>
        <w:tc>
          <w:tcPr>
            <w:tcW w:w="1800" w:type="dxa"/>
            <w:vAlign w:val="bottom"/>
            <w:tcBorders>
              <w:bottom w:val="single" w:sz="8" w:color="0A248E"/>
              <w:right w:val="single" w:sz="8" w:color="0A248E"/>
            </w:tcBorders>
            <w:gridSpan w:val="2"/>
            <w:shd w:val="clear" w:color="auto" w:fill="0A248E"/>
          </w:tcPr>
          <w:p>
            <w:pPr>
              <w:jc w:val="center"/>
              <w:spacing w:after="0"/>
              <w:rPr>
                <w:sz w:val="20"/>
                <w:szCs w:val="20"/>
                <w:color w:val="auto"/>
              </w:rPr>
            </w:pPr>
            <w:r>
              <w:rPr>
                <w:rFonts w:ascii="Arial" w:cs="Arial" w:eastAsia="Arial" w:hAnsi="Arial"/>
                <w:sz w:val="15"/>
                <w:szCs w:val="15"/>
                <w:b w:val="1"/>
                <w:bCs w:val="1"/>
                <w:color w:val="FFFFFF"/>
              </w:rPr>
              <w:t>Warrants, and Rights</w:t>
            </w:r>
          </w:p>
        </w:tc>
        <w:tc>
          <w:tcPr>
            <w:tcW w:w="60" w:type="dxa"/>
            <w:vAlign w:val="bottom"/>
            <w:tcBorders>
              <w:bottom w:val="single" w:sz="8" w:color="0A248E"/>
              <w:right w:val="single" w:sz="8" w:color="0A248E"/>
            </w:tcBorders>
            <w:shd w:val="clear" w:color="auto" w:fill="0A248E"/>
          </w:tcPr>
          <w:p>
            <w:pPr>
              <w:spacing w:after="0"/>
              <w:rPr>
                <w:sz w:val="24"/>
                <w:szCs w:val="24"/>
                <w:color w:val="auto"/>
              </w:rPr>
            </w:pPr>
          </w:p>
        </w:tc>
        <w:tc>
          <w:tcPr>
            <w:tcW w:w="2500" w:type="dxa"/>
            <w:vAlign w:val="bottom"/>
            <w:tcBorders>
              <w:bottom w:val="single" w:sz="8" w:color="0A248E"/>
            </w:tcBorders>
            <w:gridSpan w:val="2"/>
            <w:shd w:val="clear" w:color="auto" w:fill="0A248E"/>
          </w:tcPr>
          <w:p>
            <w:pPr>
              <w:jc w:val="center"/>
              <w:spacing w:after="0"/>
              <w:rPr>
                <w:sz w:val="20"/>
                <w:szCs w:val="20"/>
                <w:color w:val="auto"/>
              </w:rPr>
            </w:pPr>
            <w:r>
              <w:rPr>
                <w:rFonts w:ascii="Arial" w:cs="Arial" w:eastAsia="Arial" w:hAnsi="Arial"/>
                <w:sz w:val="15"/>
                <w:szCs w:val="15"/>
                <w:b w:val="1"/>
                <w:bCs w:val="1"/>
                <w:color w:val="FFFFFF"/>
              </w:rPr>
              <w:t>Reflected in the First Column)</w:t>
            </w:r>
          </w:p>
        </w:tc>
        <w:tc>
          <w:tcPr>
            <w:tcW w:w="4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120" w:type="dxa"/>
            <w:vAlign w:val="bottom"/>
            <w:gridSpan w:val="2"/>
            <w:shd w:val="clear" w:color="auto" w:fill="E6E6E6"/>
          </w:tcPr>
          <w:p>
            <w:pPr>
              <w:spacing w:after="0" w:line="206" w:lineRule="exact"/>
              <w:rPr>
                <w:sz w:val="20"/>
                <w:szCs w:val="20"/>
                <w:color w:val="auto"/>
              </w:rPr>
            </w:pPr>
            <w:r>
              <w:rPr>
                <w:rFonts w:ascii="Arial" w:cs="Arial" w:eastAsia="Arial" w:hAnsi="Arial"/>
                <w:sz w:val="18"/>
                <w:szCs w:val="18"/>
                <w:color w:val="auto"/>
                <w:w w:val="97"/>
                <w:shd w:val="clear" w:color="auto" w:fill="E6E6E6"/>
              </w:rPr>
              <w:t>Equity compensation plans approved by</w:t>
            </w:r>
          </w:p>
        </w:tc>
        <w:tc>
          <w:tcPr>
            <w:tcW w:w="140" w:type="dxa"/>
            <w:vAlign w:val="bottom"/>
            <w:vMerge w:val="continue"/>
          </w:tcPr>
          <w:p>
            <w:pPr>
              <w:spacing w:after="0"/>
              <w:rPr>
                <w:sz w:val="17"/>
                <w:szCs w:val="17"/>
                <w:color w:val="auto"/>
              </w:rPr>
            </w:pPr>
          </w:p>
        </w:tc>
        <w:tc>
          <w:tcPr>
            <w:tcW w:w="1600" w:type="dxa"/>
            <w:vAlign w:val="bottom"/>
            <w:gridSpan w:val="2"/>
            <w:vMerge w:val="restart"/>
          </w:tcPr>
          <w:p>
            <w:pPr>
              <w:jc w:val="right"/>
              <w:ind w:right="303"/>
              <w:spacing w:after="0"/>
              <w:rPr>
                <w:sz w:val="20"/>
                <w:szCs w:val="20"/>
                <w:color w:val="auto"/>
              </w:rPr>
            </w:pPr>
            <w:r>
              <w:rPr>
                <w:rFonts w:ascii="Arial" w:cs="Arial" w:eastAsia="Arial" w:hAnsi="Arial"/>
                <w:sz w:val="18"/>
                <w:szCs w:val="18"/>
                <w:color w:val="auto"/>
              </w:rPr>
              <w:t>25,025,423</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w w:val="87"/>
              </w:rPr>
              <w:t>(2)</w:t>
            </w:r>
          </w:p>
        </w:tc>
        <w:tc>
          <w:tcPr>
            <w:tcW w:w="60" w:type="dxa"/>
            <w:vAlign w:val="bottom"/>
          </w:tcPr>
          <w:p>
            <w:pPr>
              <w:spacing w:after="0"/>
              <w:rPr>
                <w:sz w:val="17"/>
                <w:szCs w:val="17"/>
                <w:color w:val="auto"/>
              </w:rPr>
            </w:pPr>
          </w:p>
        </w:tc>
        <w:tc>
          <w:tcPr>
            <w:tcW w:w="1560" w:type="dxa"/>
            <w:vAlign w:val="bottom"/>
            <w:vMerge w:val="restart"/>
          </w:tcPr>
          <w:p>
            <w:pPr>
              <w:ind w:left="6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w w:val="87"/>
              </w:rPr>
              <w:t>(3)</w:t>
            </w:r>
          </w:p>
        </w:tc>
        <w:tc>
          <w:tcPr>
            <w:tcW w:w="1920" w:type="dxa"/>
            <w:vAlign w:val="bottom"/>
            <w:gridSpan w:val="2"/>
            <w:vMerge w:val="restart"/>
          </w:tcPr>
          <w:p>
            <w:pPr>
              <w:jc w:val="right"/>
              <w:ind w:right="263"/>
              <w:spacing w:after="0"/>
              <w:rPr>
                <w:sz w:val="20"/>
                <w:szCs w:val="20"/>
                <w:color w:val="auto"/>
              </w:rPr>
            </w:pPr>
            <w:r>
              <w:rPr>
                <w:rFonts w:ascii="Arial" w:cs="Arial" w:eastAsia="Arial" w:hAnsi="Arial"/>
                <w:sz w:val="18"/>
                <w:szCs w:val="18"/>
                <w:color w:val="auto"/>
              </w:rPr>
              <w:t>104,929,698</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80" w:type="dxa"/>
            <w:vAlign w:val="bottom"/>
            <w:gridSpan w:val="2"/>
            <w:vMerge w:val="restart"/>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tcPr>
          <w:p>
            <w:pPr>
              <w:spacing w:after="0"/>
              <w:rPr>
                <w:sz w:val="17"/>
                <w:szCs w:val="17"/>
                <w:color w:val="auto"/>
              </w:rPr>
            </w:pPr>
          </w:p>
        </w:tc>
        <w:tc>
          <w:tcPr>
            <w:tcW w:w="1380" w:type="dxa"/>
            <w:vAlign w:val="bottom"/>
            <w:shd w:val="clear" w:color="auto" w:fill="E6E6E6"/>
          </w:tcPr>
          <w:p>
            <w:pPr>
              <w:spacing w:after="0" w:line="201" w:lineRule="exact"/>
              <w:rPr>
                <w:sz w:val="20"/>
                <w:szCs w:val="20"/>
                <w:color w:val="auto"/>
              </w:rPr>
            </w:pPr>
            <w:r>
              <w:rPr>
                <w:rFonts w:ascii="Arial" w:cs="Arial" w:eastAsia="Arial" w:hAnsi="Arial"/>
                <w:sz w:val="18"/>
                <w:szCs w:val="18"/>
                <w:color w:val="auto"/>
                <w:w w:val="93"/>
                <w:shd w:val="clear" w:color="auto" w:fill="E6E6E6"/>
              </w:rPr>
              <w:t>security holders</w:t>
            </w:r>
            <w:r>
              <w:rPr>
                <w:rFonts w:ascii="Arial" w:cs="Arial" w:eastAsia="Arial" w:hAnsi="Arial"/>
                <w:sz w:val="23"/>
                <w:szCs w:val="23"/>
                <w:color w:val="auto"/>
                <w:w w:val="93"/>
                <w:vertAlign w:val="superscript"/>
                <w:shd w:val="clear" w:color="auto" w:fill="E6E6E6"/>
              </w:rPr>
              <w:t>(1)</w:t>
            </w:r>
          </w:p>
        </w:tc>
        <w:tc>
          <w:tcPr>
            <w:tcW w:w="188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-296545</wp:posOffset>
                </wp:positionV>
                <wp:extent cx="3268980" cy="32893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68980" cy="328930"/>
                        </a:xfrm>
                        <a:prstGeom prst="rect">
                          <a:avLst/>
                        </a:prstGeom>
                        <a:solidFill>
                          <a:srgbClr val="E6E6E6"/>
                        </a:solidFill>
                      </wps:spPr>
                      <wps:bodyPr/>
                    </wps:wsp>
                  </a:graphicData>
                </a:graphic>
              </wp:anchor>
            </w:drawing>
          </mc:Choice>
          <mc:Fallback>
            <w:pict>
              <v:rect id="Shape 327" o:spid="_x0000_s1352" style="position:absolute;margin-left:1.4pt;margin-top:-23.3499pt;width:257.4pt;height:2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2139950</wp:posOffset>
                </wp:positionH>
                <wp:positionV relativeFrom="paragraph">
                  <wp:posOffset>-147955</wp:posOffset>
                </wp:positionV>
                <wp:extent cx="927100" cy="18034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7100" cy="180340"/>
                        </a:xfrm>
                        <a:prstGeom prst="rect">
                          <a:avLst/>
                        </a:prstGeom>
                        <a:solidFill>
                          <a:srgbClr val="E6E6E6"/>
                        </a:solidFill>
                      </wps:spPr>
                      <wps:bodyPr/>
                    </wps:wsp>
                  </a:graphicData>
                </a:graphic>
              </wp:anchor>
            </w:drawing>
          </mc:Choice>
          <mc:Fallback>
            <w:pict>
              <v:rect id="Shape 328" o:spid="_x0000_s1353" style="position:absolute;margin-left:168.5pt;margin-top:-11.6499pt;width:73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3134995</wp:posOffset>
                </wp:positionH>
                <wp:positionV relativeFrom="paragraph">
                  <wp:posOffset>-142240</wp:posOffset>
                </wp:positionV>
                <wp:extent cx="118745" cy="174625"/>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 cy="174625"/>
                        </a:xfrm>
                        <a:prstGeom prst="rect">
                          <a:avLst/>
                        </a:prstGeom>
                        <a:solidFill>
                          <a:srgbClr val="E6E6E6"/>
                        </a:solidFill>
                      </wps:spPr>
                      <wps:bodyPr/>
                    </wps:wsp>
                  </a:graphicData>
                </a:graphic>
              </wp:anchor>
            </w:drawing>
          </mc:Choice>
          <mc:Fallback>
            <w:pict>
              <v:rect id="Shape 329" o:spid="_x0000_s1354" style="position:absolute;margin-left:246.85pt;margin-top:-11.1999pt;width:9.35pt;height:1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4475480</wp:posOffset>
                </wp:positionH>
                <wp:positionV relativeFrom="paragraph">
                  <wp:posOffset>-296545</wp:posOffset>
                </wp:positionV>
                <wp:extent cx="1643380" cy="32893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3380" cy="328930"/>
                        </a:xfrm>
                        <a:prstGeom prst="rect">
                          <a:avLst/>
                        </a:prstGeom>
                        <a:solidFill>
                          <a:srgbClr val="E6E6E6"/>
                        </a:solidFill>
                      </wps:spPr>
                      <wps:bodyPr/>
                    </wps:wsp>
                  </a:graphicData>
                </a:graphic>
              </wp:anchor>
            </w:drawing>
          </mc:Choice>
          <mc:Fallback>
            <w:pict>
              <v:rect id="Shape 330" o:spid="_x0000_s1355" style="position:absolute;margin-left:352.4pt;margin-top:-23.3499pt;width:129.4pt;height:2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4499610</wp:posOffset>
                </wp:positionH>
                <wp:positionV relativeFrom="paragraph">
                  <wp:posOffset>-147955</wp:posOffset>
                </wp:positionV>
                <wp:extent cx="1316355" cy="18034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6355" cy="180340"/>
                        </a:xfrm>
                        <a:prstGeom prst="rect">
                          <a:avLst/>
                        </a:prstGeom>
                        <a:solidFill>
                          <a:srgbClr val="E6E6E6"/>
                        </a:solidFill>
                      </wps:spPr>
                      <wps:bodyPr/>
                    </wps:wsp>
                  </a:graphicData>
                </a:graphic>
              </wp:anchor>
            </w:drawing>
          </mc:Choice>
          <mc:Fallback>
            <w:pict>
              <v:rect id="Shape 331" o:spid="_x0000_s1356" style="position:absolute;margin-left:354.3pt;margin-top:-11.6499pt;width:103.6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5883910</wp:posOffset>
                </wp:positionH>
                <wp:positionV relativeFrom="paragraph">
                  <wp:posOffset>-142240</wp:posOffset>
                </wp:positionV>
                <wp:extent cx="202565" cy="174625"/>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65" cy="174625"/>
                        </a:xfrm>
                        <a:prstGeom prst="rect">
                          <a:avLst/>
                        </a:prstGeom>
                        <a:solidFill>
                          <a:srgbClr val="E6E6E6"/>
                        </a:solidFill>
                      </wps:spPr>
                      <wps:bodyPr/>
                    </wps:wsp>
                  </a:graphicData>
                </a:graphic>
              </wp:anchor>
            </w:drawing>
          </mc:Choice>
          <mc:Fallback>
            <w:pict>
              <v:rect id="Shape 332" o:spid="_x0000_s1357" style="position:absolute;margin-left:463.3pt;margin-top:-11.1999pt;width:15.95pt;height:1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3286760</wp:posOffset>
                </wp:positionH>
                <wp:positionV relativeFrom="paragraph">
                  <wp:posOffset>-1057910</wp:posOffset>
                </wp:positionV>
                <wp:extent cx="0" cy="1090295"/>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02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8pt,-83.2999pt" to="258.8pt,2.55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3295650</wp:posOffset>
                </wp:positionH>
                <wp:positionV relativeFrom="paragraph">
                  <wp:posOffset>-296545</wp:posOffset>
                </wp:positionV>
                <wp:extent cx="1170940" cy="32893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0940" cy="328930"/>
                        </a:xfrm>
                        <a:prstGeom prst="rect">
                          <a:avLst/>
                        </a:prstGeom>
                        <a:solidFill>
                          <a:srgbClr val="E6E6E6"/>
                        </a:solidFill>
                      </wps:spPr>
                      <wps:bodyPr/>
                    </wps:wsp>
                  </a:graphicData>
                </a:graphic>
              </wp:anchor>
            </w:drawing>
          </mc:Choice>
          <mc:Fallback>
            <w:pict>
              <v:rect id="Shape 334" o:spid="_x0000_s1359" style="position:absolute;margin-left:259.5pt;margin-top:-23.3499pt;width:92.2pt;height:2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3319780</wp:posOffset>
                </wp:positionH>
                <wp:positionV relativeFrom="paragraph">
                  <wp:posOffset>-147955</wp:posOffset>
                </wp:positionV>
                <wp:extent cx="950595" cy="18034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0595" cy="180340"/>
                        </a:xfrm>
                        <a:prstGeom prst="rect">
                          <a:avLst/>
                        </a:prstGeom>
                        <a:solidFill>
                          <a:srgbClr val="E6E6E6"/>
                        </a:solidFill>
                      </wps:spPr>
                      <wps:bodyPr/>
                    </wps:wsp>
                  </a:graphicData>
                </a:graphic>
              </wp:anchor>
            </w:drawing>
          </mc:Choice>
          <mc:Fallback>
            <w:pict>
              <v:rect id="Shape 335" o:spid="_x0000_s1360" style="position:absolute;margin-left:261.4pt;margin-top:-11.6499pt;width:74.8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-142240</wp:posOffset>
                </wp:positionV>
                <wp:extent cx="121920" cy="174625"/>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174625"/>
                        </a:xfrm>
                        <a:prstGeom prst="rect">
                          <a:avLst/>
                        </a:prstGeom>
                        <a:solidFill>
                          <a:srgbClr val="E6E6E6"/>
                        </a:solidFill>
                      </wps:spPr>
                      <wps:bodyPr/>
                    </wps:wsp>
                  </a:graphicData>
                </a:graphic>
              </wp:anchor>
            </w:drawing>
          </mc:Choice>
          <mc:Fallback>
            <w:pict>
              <v:rect id="Shape 336" o:spid="_x0000_s1361" style="position:absolute;margin-left:339.5pt;margin-top:-11.1999pt;width:9.6pt;height:1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4466590</wp:posOffset>
                </wp:positionH>
                <wp:positionV relativeFrom="paragraph">
                  <wp:posOffset>-1057910</wp:posOffset>
                </wp:positionV>
                <wp:extent cx="0" cy="1090295"/>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029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7pt,-83.2999pt" to="351.7pt,2.55pt" o:allowincell="f" strokecolor="#FFFFFF" strokeweight="1.4039pt"/>
            </w:pict>
          </mc:Fallback>
        </mc:AlternateContent>
      </w:r>
    </w:p>
    <w:p>
      <w:pPr>
        <w:spacing w:after="0" w:line="16" w:lineRule="exact"/>
        <w:rPr>
          <w:sz w:val="20"/>
          <w:szCs w:val="20"/>
          <w:color w:val="auto"/>
        </w:rPr>
      </w:pPr>
    </w:p>
    <w:p>
      <w:pPr>
        <w:ind w:left="347" w:right="280" w:hanging="347"/>
        <w:spacing w:after="0"/>
        <w:tabs>
          <w:tab w:leader="none" w:pos="346" w:val="left"/>
        </w:tabs>
        <w:numPr>
          <w:ilvl w:val="0"/>
          <w:numId w:val="95"/>
        </w:numPr>
        <w:rPr>
          <w:rFonts w:ascii="Arial" w:cs="Arial" w:eastAsia="Arial" w:hAnsi="Arial"/>
          <w:sz w:val="20"/>
          <w:szCs w:val="20"/>
          <w:color w:val="auto"/>
          <w:vertAlign w:val="superscript"/>
        </w:rPr>
      </w:pPr>
      <w:r>
        <w:rPr>
          <w:rFonts w:ascii="Arial" w:cs="Arial" w:eastAsia="Arial" w:hAnsi="Arial"/>
          <w:sz w:val="15"/>
          <w:szCs w:val="15"/>
          <w:color w:val="auto"/>
        </w:rPr>
        <w:t>Includes our 2008 Equity Incentive Plan (“</w:t>
      </w:r>
      <w:r>
        <w:rPr>
          <w:rFonts w:ascii="Arial" w:cs="Arial" w:eastAsia="Arial" w:hAnsi="Arial"/>
          <w:sz w:val="15"/>
          <w:szCs w:val="15"/>
          <w:b w:val="1"/>
          <w:bCs w:val="1"/>
          <w:i w:val="1"/>
          <w:iCs w:val="1"/>
          <w:color w:val="auto"/>
        </w:rPr>
        <w:t>2008 Plan</w:t>
      </w:r>
      <w:r>
        <w:rPr>
          <w:rFonts w:ascii="Arial" w:cs="Arial" w:eastAsia="Arial" w:hAnsi="Arial"/>
          <w:sz w:val="15"/>
          <w:szCs w:val="15"/>
          <w:color w:val="auto"/>
        </w:rPr>
        <w:t>”), 2017 Equity Incentive Plan ("</w:t>
      </w:r>
      <w:r>
        <w:rPr>
          <w:rFonts w:ascii="Arial" w:cs="Arial" w:eastAsia="Arial" w:hAnsi="Arial"/>
          <w:sz w:val="15"/>
          <w:szCs w:val="15"/>
          <w:b w:val="1"/>
          <w:bCs w:val="1"/>
          <w:i w:val="1"/>
          <w:iCs w:val="1"/>
          <w:color w:val="auto"/>
        </w:rPr>
        <w:t>2017 Plan</w:t>
      </w:r>
      <w:r>
        <w:rPr>
          <w:rFonts w:ascii="Arial" w:cs="Arial" w:eastAsia="Arial" w:hAnsi="Arial"/>
          <w:sz w:val="15"/>
          <w:szCs w:val="15"/>
          <w:color w:val="auto"/>
        </w:rPr>
        <w:t>"), and 2018 Equity Incentive Plan (“</w:t>
      </w:r>
      <w:r>
        <w:rPr>
          <w:rFonts w:ascii="Arial" w:cs="Arial" w:eastAsia="Arial" w:hAnsi="Arial"/>
          <w:sz w:val="15"/>
          <w:szCs w:val="15"/>
          <w:b w:val="1"/>
          <w:bCs w:val="1"/>
          <w:i w:val="1"/>
          <w:iCs w:val="1"/>
          <w:color w:val="auto"/>
        </w:rPr>
        <w:t>2018 Plan</w:t>
      </w:r>
      <w:r>
        <w:rPr>
          <w:rFonts w:ascii="Arial" w:cs="Arial" w:eastAsia="Arial" w:hAnsi="Arial"/>
          <w:sz w:val="15"/>
          <w:szCs w:val="15"/>
          <w:color w:val="auto"/>
        </w:rPr>
        <w:t>”). Our 2008 Plan was terminated effective March 7, 2017 and our 2017 Plan was terminated effective March 20, 2018.</w:t>
      </w:r>
    </w:p>
    <w:p>
      <w:pPr>
        <w:ind w:left="347" w:hanging="347"/>
        <w:spacing w:after="0" w:line="210" w:lineRule="auto"/>
        <w:tabs>
          <w:tab w:leader="none" w:pos="347" w:val="left"/>
        </w:tabs>
        <w:numPr>
          <w:ilvl w:val="0"/>
          <w:numId w:val="95"/>
        </w:numPr>
        <w:rPr>
          <w:rFonts w:ascii="Arial" w:cs="Arial" w:eastAsia="Arial" w:hAnsi="Arial"/>
          <w:sz w:val="20"/>
          <w:szCs w:val="20"/>
          <w:color w:val="auto"/>
          <w:vertAlign w:val="superscript"/>
        </w:rPr>
      </w:pPr>
      <w:r>
        <w:rPr>
          <w:rFonts w:ascii="Arial" w:cs="Arial" w:eastAsia="Arial" w:hAnsi="Arial"/>
          <w:sz w:val="15"/>
          <w:szCs w:val="15"/>
          <w:color w:val="auto"/>
        </w:rPr>
        <w:t>Includes 25,025,423 shares subject to RSUs and RSAs outstanding as of December 31, 2025 that were issued under the 2018 Plan.</w:t>
      </w:r>
    </w:p>
    <w:p>
      <w:pPr>
        <w:ind w:left="347" w:right="460" w:hanging="347"/>
        <w:spacing w:after="0"/>
        <w:tabs>
          <w:tab w:leader="none" w:pos="347" w:val="left"/>
        </w:tabs>
        <w:numPr>
          <w:ilvl w:val="0"/>
          <w:numId w:val="95"/>
        </w:numPr>
        <w:rPr>
          <w:rFonts w:ascii="Arial" w:cs="Arial" w:eastAsia="Arial" w:hAnsi="Arial"/>
          <w:sz w:val="20"/>
          <w:szCs w:val="20"/>
          <w:color w:val="auto"/>
          <w:vertAlign w:val="superscript"/>
        </w:rPr>
      </w:pPr>
      <w:r>
        <w:rPr>
          <w:rFonts w:ascii="Arial" w:cs="Arial" w:eastAsia="Arial" w:hAnsi="Arial"/>
          <w:sz w:val="15"/>
          <w:szCs w:val="15"/>
          <w:color w:val="auto"/>
        </w:rPr>
        <w:t>RSUs and RSAs do not have an exercise price. As of December 31, 2025, the company did not have any outstanding options or warrants except as otherwise noted in footnote 5 below.</w:t>
      </w:r>
    </w:p>
    <w:p>
      <w:pPr>
        <w:ind w:left="347" w:right="100" w:hanging="347"/>
        <w:spacing w:after="0"/>
        <w:tabs>
          <w:tab w:leader="none" w:pos="347" w:val="left"/>
        </w:tabs>
        <w:numPr>
          <w:ilvl w:val="0"/>
          <w:numId w:val="95"/>
        </w:numPr>
        <w:rPr>
          <w:rFonts w:ascii="Arial" w:cs="Arial" w:eastAsia="Arial" w:hAnsi="Arial"/>
          <w:sz w:val="20"/>
          <w:szCs w:val="20"/>
          <w:color w:val="auto"/>
          <w:vertAlign w:val="superscript"/>
        </w:rPr>
      </w:pPr>
      <w:r>
        <w:rPr>
          <w:rFonts w:ascii="Arial" w:cs="Arial" w:eastAsia="Arial" w:hAnsi="Arial"/>
          <w:sz w:val="15"/>
          <w:szCs w:val="15"/>
          <w:color w:val="auto"/>
        </w:rPr>
        <w:t>As of December 31, 2025, an aggregate of 129,955,121 shares of Class A common stock were available for issuance under our 2018 Plan.</w:t>
      </w:r>
    </w:p>
    <w:p>
      <w:pPr>
        <w:ind w:left="347" w:right="20" w:hanging="347"/>
        <w:spacing w:after="0" w:line="267" w:lineRule="auto"/>
        <w:tabs>
          <w:tab w:leader="none" w:pos="347" w:val="left"/>
        </w:tabs>
        <w:numPr>
          <w:ilvl w:val="0"/>
          <w:numId w:val="95"/>
        </w:numPr>
        <w:rPr>
          <w:rFonts w:ascii="Arial" w:cs="Arial" w:eastAsia="Arial" w:hAnsi="Arial"/>
          <w:sz w:val="20"/>
          <w:szCs w:val="20"/>
          <w:color w:val="auto"/>
          <w:vertAlign w:val="superscript"/>
        </w:rPr>
      </w:pPr>
      <w:r>
        <w:rPr>
          <w:rFonts w:ascii="Arial" w:cs="Arial" w:eastAsia="Arial" w:hAnsi="Arial"/>
          <w:sz w:val="15"/>
          <w:szCs w:val="15"/>
          <w:color w:val="auto"/>
        </w:rPr>
        <w:t>This table does not include equity awards that have been assumed by the company in connection with the acquisition of other companies. As of December 31, 2025, the following assumed equity awards were outstanding: 3,672 shares issuable upon exercise of outstanding options. The weighted average exercise price of such outstanding options was $5.70 per share. No additional equity awards may be granted under any assumed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287" w:type="dxa"/>
        <w:tblCellMar>
          <w:top w:w="0" w:type="dxa"/>
          <w:left w:w="0" w:type="dxa"/>
          <w:bottom w:w="0" w:type="dxa"/>
          <w:right w:w="0" w:type="dxa"/>
        </w:tblCellMar>
      </w:tblPr>
      <w:tr>
        <w:trPr>
          <w:trHeight w:val="221"/>
        </w:trPr>
        <w:tc>
          <w:tcPr>
            <w:tcW w:w="5980" w:type="dxa"/>
            <w:vAlign w:val="bottom"/>
          </w:tcPr>
          <w:p>
            <w:pPr>
              <w:spacing w:after="0"/>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73</w:t>
            </w:r>
          </w:p>
        </w:tc>
      </w:tr>
    </w:tbl>
    <w:p>
      <w:pPr>
        <w:sectPr>
          <w:pgSz w:w="11880" w:h="15480" w:orient="portrait"/>
          <w:cols w:equalWidth="0" w:num="1">
            <w:col w:w="9627"/>
          </w:cols>
          <w:pgMar w:left="1133" w:top="504" w:right="1120" w:bottom="0" w:gutter="0" w:footer="0" w:header="0"/>
        </w:sectPr>
      </w:pPr>
    </w:p>
    <w:bookmarkStart w:id="81" w:name="page82"/>
    <w:bookmarkEnd w:id="81"/>
    <w:p>
      <w:pPr>
        <w:ind w:left="7" w:right="180"/>
        <w:spacing w:after="0" w:line="323" w:lineRule="auto"/>
        <w:rPr>
          <w:sz w:val="20"/>
          <w:szCs w:val="20"/>
          <w:color w:val="auto"/>
        </w:rPr>
      </w:pPr>
      <w:r>
        <w:rPr>
          <w:rFonts w:ascii="Arial" w:cs="Arial" w:eastAsia="Arial" w:hAnsi="Arial"/>
          <w:sz w:val="33"/>
          <w:szCs w:val="33"/>
          <w:color w:val="0A248E"/>
        </w:rPr>
        <w:t>SECURITY OWNERSHIP OF CERTAIN BENEFICIAL OWNERS AND MANAGEMENT</w:t>
      </w:r>
    </w:p>
    <w:p>
      <w:pPr>
        <w:spacing w:after="0" w:line="348" w:lineRule="exact"/>
        <w:rPr>
          <w:sz w:val="20"/>
          <w:szCs w:val="20"/>
          <w:color w:val="auto"/>
        </w:rPr>
      </w:pPr>
    </w:p>
    <w:p>
      <w:pPr>
        <w:ind w:left="7" w:right="160"/>
        <w:spacing w:after="0" w:line="305"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2026 for:</w:t>
      </w:r>
    </w:p>
    <w:p>
      <w:pPr>
        <w:spacing w:after="0" w:line="110" w:lineRule="exact"/>
        <w:rPr>
          <w:sz w:val="20"/>
          <w:szCs w:val="20"/>
          <w:color w:val="auto"/>
        </w:rPr>
      </w:pPr>
    </w:p>
    <w:p>
      <w:pPr>
        <w:ind w:left="347" w:hanging="347"/>
        <w:spacing w:after="0"/>
        <w:tabs>
          <w:tab w:leader="none" w:pos="347" w:val="left"/>
        </w:tabs>
        <w:numPr>
          <w:ilvl w:val="0"/>
          <w:numId w:val="96"/>
        </w:numPr>
        <w:rPr>
          <w:rFonts w:ascii="Arial" w:cs="Arial" w:eastAsia="Arial" w:hAnsi="Arial"/>
          <w:sz w:val="18"/>
          <w:szCs w:val="18"/>
          <w:color w:val="0A248E"/>
        </w:rPr>
      </w:pPr>
      <w:r>
        <w:rPr>
          <w:rFonts w:ascii="Arial" w:cs="Arial" w:eastAsia="Arial" w:hAnsi="Arial"/>
          <w:sz w:val="18"/>
          <w:szCs w:val="18"/>
          <w:color w:val="auto"/>
        </w:rPr>
        <w:t>each of our directors;</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96"/>
        </w:numPr>
        <w:rPr>
          <w:rFonts w:ascii="Arial" w:cs="Arial" w:eastAsia="Arial" w:hAnsi="Arial"/>
          <w:sz w:val="18"/>
          <w:szCs w:val="18"/>
          <w:color w:val="0A248E"/>
        </w:rPr>
      </w:pPr>
      <w:r>
        <w:rPr>
          <w:rFonts w:ascii="Arial" w:cs="Arial" w:eastAsia="Arial" w:hAnsi="Arial"/>
          <w:sz w:val="18"/>
          <w:szCs w:val="18"/>
          <w:color w:val="auto"/>
        </w:rPr>
        <w:t>each of our named executive officers;</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96"/>
        </w:numPr>
        <w:rPr>
          <w:rFonts w:ascii="Arial" w:cs="Arial" w:eastAsia="Arial" w:hAnsi="Arial"/>
          <w:sz w:val="18"/>
          <w:szCs w:val="18"/>
          <w:color w:val="0A248E"/>
        </w:rPr>
      </w:pPr>
      <w:r>
        <w:rPr>
          <w:rFonts w:ascii="Arial" w:cs="Arial" w:eastAsia="Arial" w:hAnsi="Arial"/>
          <w:sz w:val="18"/>
          <w:szCs w:val="18"/>
          <w:color w:val="auto"/>
        </w:rPr>
        <w:t>all of our current directors and executive officers as a group; and</w:t>
      </w:r>
    </w:p>
    <w:p>
      <w:pPr>
        <w:spacing w:after="0" w:line="200" w:lineRule="exact"/>
        <w:rPr>
          <w:rFonts w:ascii="Arial" w:cs="Arial" w:eastAsia="Arial" w:hAnsi="Arial"/>
          <w:sz w:val="18"/>
          <w:szCs w:val="18"/>
          <w:color w:val="0A248E"/>
        </w:rPr>
      </w:pPr>
    </w:p>
    <w:p>
      <w:pPr>
        <w:ind w:left="347" w:hanging="347"/>
        <w:spacing w:after="0"/>
        <w:tabs>
          <w:tab w:leader="none" w:pos="347" w:val="left"/>
        </w:tabs>
        <w:numPr>
          <w:ilvl w:val="0"/>
          <w:numId w:val="96"/>
        </w:numPr>
        <w:rPr>
          <w:rFonts w:ascii="Arial" w:cs="Arial" w:eastAsia="Arial" w:hAnsi="Arial"/>
          <w:sz w:val="17"/>
          <w:szCs w:val="17"/>
          <w:color w:val="0A248E"/>
        </w:rPr>
      </w:pPr>
      <w:r>
        <w:rPr>
          <w:rFonts w:ascii="Arial" w:cs="Arial" w:eastAsia="Arial" w:hAnsi="Arial"/>
          <w:sz w:val="17"/>
          <w:szCs w:val="17"/>
          <w:color w:val="auto"/>
        </w:rPr>
        <w:t>each person or group known by us to be the beneficial owner of more than 5% of our Class A or Class B common stock.</w:t>
      </w:r>
    </w:p>
    <w:p>
      <w:pPr>
        <w:spacing w:after="0" w:line="212" w:lineRule="exact"/>
        <w:rPr>
          <w:sz w:val="20"/>
          <w:szCs w:val="20"/>
          <w:color w:val="auto"/>
        </w:rPr>
      </w:pPr>
    </w:p>
    <w:p>
      <w:pPr>
        <w:ind w:left="7" w:right="160"/>
        <w:spacing w:after="0" w:line="282"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32" w:lineRule="exact"/>
        <w:rPr>
          <w:sz w:val="20"/>
          <w:szCs w:val="20"/>
          <w:color w:val="auto"/>
        </w:rPr>
      </w:pPr>
    </w:p>
    <w:p>
      <w:pPr>
        <w:ind w:left="7" w:right="180"/>
        <w:spacing w:after="0" w:line="294" w:lineRule="auto"/>
        <w:rPr>
          <w:sz w:val="20"/>
          <w:szCs w:val="20"/>
          <w:color w:val="auto"/>
        </w:rPr>
      </w:pPr>
      <w:r>
        <w:rPr>
          <w:rFonts w:ascii="Arial" w:cs="Arial" w:eastAsia="Arial" w:hAnsi="Arial"/>
          <w:sz w:val="17"/>
          <w:szCs w:val="17"/>
          <w:color w:val="auto"/>
        </w:rPr>
        <w:t>We have based our calculation of the percentage of beneficial ownership on 163,263,829 shares of our Class A common stock, 75,374,718 shares of our Class B common stock, and no shares of our Class C common stock outstanding as of March 31, 2026. We have deemed shares of our common stock subject to stock options that are currently exercisable or exercisable within 60 days of March 31, 2026 or issuable pursuant to RSUs which are subject to vesting and settlement conditions expected to occur within 60 days of March 31, 2026,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26" w:lineRule="exact"/>
        <w:rPr>
          <w:sz w:val="20"/>
          <w:szCs w:val="20"/>
          <w:color w:val="auto"/>
        </w:rPr>
      </w:pPr>
    </w:p>
    <w:p>
      <w:pPr>
        <w:jc w:val="both"/>
        <w:ind w:left="7" w:right="80"/>
        <w:spacing w:after="0" w:line="285" w:lineRule="auto"/>
        <w:rPr>
          <w:sz w:val="20"/>
          <w:szCs w:val="20"/>
          <w:color w:val="auto"/>
        </w:rPr>
      </w:pPr>
      <w:r>
        <w:rPr>
          <w:rFonts w:ascii="Arial" w:cs="Arial" w:eastAsia="Arial" w:hAnsi="Arial"/>
          <w:sz w:val="18"/>
          <w:szCs w:val="18"/>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2406650</wp:posOffset>
                </wp:positionH>
                <wp:positionV relativeFrom="paragraph">
                  <wp:posOffset>34925</wp:posOffset>
                </wp:positionV>
                <wp:extent cx="17780" cy="36195"/>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6195"/>
                        </a:xfrm>
                        <a:prstGeom prst="rect">
                          <a:avLst/>
                        </a:prstGeom>
                        <a:solidFill>
                          <a:srgbClr val="FFFFFF"/>
                        </a:solidFill>
                      </wps:spPr>
                      <wps:bodyPr/>
                    </wps:wsp>
                  </a:graphicData>
                </a:graphic>
              </wp:anchor>
            </w:drawing>
          </mc:Choice>
          <mc:Fallback>
            <w:pict>
              <v:rect id="Shape 338" o:spid="_x0000_s1363" style="position:absolute;margin-left:189.5pt;margin-top:2.75pt;width:1.4pt;height: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5378450</wp:posOffset>
                </wp:positionH>
                <wp:positionV relativeFrom="paragraph">
                  <wp:posOffset>34925</wp:posOffset>
                </wp:positionV>
                <wp:extent cx="17780" cy="36195"/>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6195"/>
                        </a:xfrm>
                        <a:prstGeom prst="rect">
                          <a:avLst/>
                        </a:prstGeom>
                        <a:solidFill>
                          <a:srgbClr val="FFFFFF"/>
                        </a:solidFill>
                      </wps:spPr>
                      <wps:bodyPr/>
                    </wps:wsp>
                  </a:graphicData>
                </a:graphic>
              </wp:anchor>
            </w:drawing>
          </mc:Choice>
          <mc:Fallback>
            <w:pict>
              <v:rect id="Shape 339" o:spid="_x0000_s1364" style="position:absolute;margin-left:423.5pt;margin-top:2.75pt;width:1.4pt;height: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56"/>
        </w:trPr>
        <w:tc>
          <w:tcPr>
            <w:tcW w:w="378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3960" w:type="dxa"/>
            <w:vAlign w:val="bottom"/>
            <w:gridSpan w:val="7"/>
            <w:vMerge w:val="restart"/>
            <w:shd w:val="clear" w:color="auto" w:fill="0A248E"/>
          </w:tcPr>
          <w:p>
            <w:pPr>
              <w:ind w:left="720"/>
              <w:spacing w:after="0"/>
              <w:rPr>
                <w:sz w:val="20"/>
                <w:szCs w:val="20"/>
                <w:color w:val="auto"/>
              </w:rPr>
            </w:pPr>
            <w:r>
              <w:rPr>
                <w:rFonts w:ascii="Arial" w:cs="Arial" w:eastAsia="Arial" w:hAnsi="Arial"/>
                <w:sz w:val="15"/>
                <w:szCs w:val="15"/>
                <w:b w:val="1"/>
                <w:bCs w:val="1"/>
                <w:color w:val="FFFFFF"/>
              </w:rPr>
              <w:t>Amount and nature of beneficial ownership</w:t>
            </w:r>
          </w:p>
        </w:tc>
        <w:tc>
          <w:tcPr>
            <w:tcW w:w="68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shd w:val="clear" w:color="auto" w:fill="0A248E"/>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3780" w:type="dxa"/>
            <w:vAlign w:val="bottom"/>
            <w:tcBorders>
              <w:bottom w:val="single" w:sz="8" w:color="0A248E"/>
            </w:tcBorders>
            <w:shd w:val="clear" w:color="auto" w:fill="0A248E"/>
          </w:tcPr>
          <w:p>
            <w:pPr>
              <w:spacing w:after="0"/>
              <w:rPr>
                <w:sz w:val="24"/>
                <w:szCs w:val="24"/>
                <w:color w:val="auto"/>
              </w:rPr>
            </w:pPr>
          </w:p>
        </w:tc>
        <w:tc>
          <w:tcPr>
            <w:tcW w:w="40" w:type="dxa"/>
            <w:vAlign w:val="bottom"/>
            <w:tcBorders>
              <w:right w:val="single" w:sz="8" w:color="0A248E"/>
            </w:tcBorders>
          </w:tcPr>
          <w:p>
            <w:pPr>
              <w:spacing w:after="0"/>
              <w:rPr>
                <w:sz w:val="24"/>
                <w:szCs w:val="24"/>
                <w:color w:val="auto"/>
              </w:rPr>
            </w:pPr>
          </w:p>
        </w:tc>
        <w:tc>
          <w:tcPr>
            <w:tcW w:w="3960" w:type="dxa"/>
            <w:vAlign w:val="bottom"/>
            <w:tcBorders>
              <w:bottom w:val="single" w:sz="8" w:color="0A248E"/>
            </w:tcBorders>
            <w:gridSpan w:val="7"/>
            <w:vMerge w:val="continue"/>
            <w:shd w:val="clear" w:color="auto" w:fill="0A248E"/>
          </w:tcPr>
          <w:p>
            <w:pPr>
              <w:spacing w:after="0"/>
              <w:rPr>
                <w:sz w:val="24"/>
                <w:szCs w:val="24"/>
                <w:color w:val="auto"/>
              </w:rPr>
            </w:pPr>
          </w:p>
        </w:tc>
        <w:tc>
          <w:tcPr>
            <w:tcW w:w="680" w:type="dxa"/>
            <w:vAlign w:val="bottom"/>
            <w:tcBorders>
              <w:bottom w:val="single" w:sz="8" w:color="0A248E"/>
            </w:tcBorders>
            <w:shd w:val="clear" w:color="auto" w:fill="0A248E"/>
          </w:tcPr>
          <w:p>
            <w:pPr>
              <w:spacing w:after="0"/>
              <w:rPr>
                <w:sz w:val="24"/>
                <w:szCs w:val="24"/>
                <w:color w:val="auto"/>
              </w:rPr>
            </w:pPr>
          </w:p>
        </w:tc>
        <w:tc>
          <w:tcPr>
            <w:tcW w:w="40" w:type="dxa"/>
            <w:vAlign w:val="bottom"/>
            <w:tcBorders>
              <w:right w:val="single" w:sz="8" w:color="0A248E"/>
            </w:tcBorders>
          </w:tcPr>
          <w:p>
            <w:pPr>
              <w:spacing w:after="0"/>
              <w:rPr>
                <w:sz w:val="24"/>
                <w:szCs w:val="24"/>
                <w:color w:val="auto"/>
              </w:rPr>
            </w:pPr>
          </w:p>
        </w:tc>
        <w:tc>
          <w:tcPr>
            <w:tcW w:w="114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780" w:type="dxa"/>
            <w:vAlign w:val="bottom"/>
            <w:tcBorders>
              <w:bottom w:val="single" w:sz="8" w:color="0A248E"/>
            </w:tcBorders>
            <w:shd w:val="clear" w:color="auto" w:fill="0A248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0A248E"/>
            </w:tcBorders>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Borders>
              <w:bottom w:val="single" w:sz="8" w:color="0A248E"/>
            </w:tcBorders>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0A248E"/>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0A248E"/>
            </w:tcBorders>
          </w:tcPr>
          <w:p>
            <w:pPr>
              <w:spacing w:after="0"/>
              <w:rPr>
                <w:sz w:val="3"/>
                <w:szCs w:val="3"/>
                <w:color w:val="auto"/>
              </w:rPr>
            </w:pPr>
          </w:p>
        </w:tc>
        <w:tc>
          <w:tcPr>
            <w:tcW w:w="680" w:type="dxa"/>
            <w:vAlign w:val="bottom"/>
            <w:tcBorders>
              <w:bottom w:val="single" w:sz="8" w:color="0A248E"/>
            </w:tcBorders>
          </w:tcPr>
          <w:p>
            <w:pPr>
              <w:spacing w:after="0"/>
              <w:rPr>
                <w:sz w:val="3"/>
                <w:szCs w:val="3"/>
                <w:color w:val="auto"/>
              </w:rPr>
            </w:pPr>
          </w:p>
        </w:tc>
        <w:tc>
          <w:tcPr>
            <w:tcW w:w="40" w:type="dxa"/>
            <w:vAlign w:val="bottom"/>
            <w:tcBorders>
              <w:right w:val="single" w:sz="8" w:color="0A248E"/>
            </w:tcBorders>
          </w:tcPr>
          <w:p>
            <w:pPr>
              <w:spacing w:after="0"/>
              <w:rPr>
                <w:sz w:val="3"/>
                <w:szCs w:val="3"/>
                <w:color w:val="auto"/>
              </w:rPr>
            </w:pPr>
          </w:p>
        </w:tc>
        <w:tc>
          <w:tcPr>
            <w:tcW w:w="1140" w:type="dxa"/>
            <w:vAlign w:val="bottom"/>
            <w:tcBorders>
              <w:bottom w:val="single" w:sz="8" w:color="0A248E"/>
            </w:tcBorders>
            <w:shd w:val="clear" w:color="auto" w:fill="0A248E"/>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3780" w:type="dxa"/>
            <w:vAlign w:val="bottom"/>
            <w:shd w:val="clear" w:color="auto" w:fill="0A248E"/>
          </w:tcPr>
          <w:p>
            <w:pPr>
              <w:spacing w:after="0"/>
              <w:rPr>
                <w:sz w:val="21"/>
                <w:szCs w:val="21"/>
                <w:color w:val="auto"/>
              </w:rPr>
            </w:pPr>
          </w:p>
        </w:tc>
        <w:tc>
          <w:tcPr>
            <w:tcW w:w="40" w:type="dxa"/>
            <w:vAlign w:val="bottom"/>
            <w:tcBorders>
              <w:right w:val="single" w:sz="8" w:color="0A248E"/>
            </w:tcBorders>
            <w:shd w:val="clear" w:color="auto" w:fill="0A248E"/>
          </w:tcPr>
          <w:p>
            <w:pPr>
              <w:spacing w:after="0"/>
              <w:rPr>
                <w:sz w:val="21"/>
                <w:szCs w:val="21"/>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Class A</w:t>
            </w:r>
          </w:p>
        </w:tc>
        <w:tc>
          <w:tcPr>
            <w:tcW w:w="40" w:type="dxa"/>
            <w:vAlign w:val="bottom"/>
            <w:tcBorders>
              <w:left w:val="single" w:sz="8" w:color="0A248E"/>
            </w:tcBorders>
          </w:tcPr>
          <w:p>
            <w:pPr>
              <w:spacing w:after="0"/>
              <w:rPr>
                <w:sz w:val="21"/>
                <w:szCs w:val="21"/>
                <w:color w:val="auto"/>
              </w:rPr>
            </w:pPr>
          </w:p>
        </w:tc>
        <w:tc>
          <w:tcPr>
            <w:tcW w:w="840" w:type="dxa"/>
            <w:vAlign w:val="bottom"/>
            <w:shd w:val="clear" w:color="auto" w:fill="0A248E"/>
          </w:tcPr>
          <w:p>
            <w:pPr>
              <w:spacing w:after="0"/>
              <w:rPr>
                <w:sz w:val="21"/>
                <w:szCs w:val="21"/>
                <w:color w:val="auto"/>
              </w:rPr>
            </w:pPr>
          </w:p>
        </w:tc>
        <w:tc>
          <w:tcPr>
            <w:tcW w:w="20" w:type="dxa"/>
            <w:vAlign w:val="bottom"/>
            <w:shd w:val="clear" w:color="auto" w:fill="0A248E"/>
          </w:tcPr>
          <w:p>
            <w:pPr>
              <w:spacing w:after="0"/>
              <w:rPr>
                <w:sz w:val="21"/>
                <w:szCs w:val="21"/>
                <w:color w:val="auto"/>
              </w:rPr>
            </w:pPr>
          </w:p>
        </w:tc>
        <w:tc>
          <w:tcPr>
            <w:tcW w:w="14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Class B</w:t>
            </w:r>
          </w:p>
        </w:tc>
        <w:tc>
          <w:tcPr>
            <w:tcW w:w="40" w:type="dxa"/>
            <w:vAlign w:val="bottom"/>
            <w:tcBorders>
              <w:left w:val="single" w:sz="8" w:color="0A248E"/>
            </w:tcBorders>
          </w:tcPr>
          <w:p>
            <w:pPr>
              <w:spacing w:after="0"/>
              <w:rPr>
                <w:sz w:val="21"/>
                <w:szCs w:val="21"/>
                <w:color w:val="auto"/>
              </w:rPr>
            </w:pPr>
          </w:p>
        </w:tc>
        <w:tc>
          <w:tcPr>
            <w:tcW w:w="160" w:type="dxa"/>
            <w:vAlign w:val="bottom"/>
            <w:shd w:val="clear" w:color="auto" w:fill="0A248E"/>
          </w:tcPr>
          <w:p>
            <w:pPr>
              <w:spacing w:after="0"/>
              <w:rPr>
                <w:sz w:val="21"/>
                <w:szCs w:val="21"/>
                <w:color w:val="auto"/>
              </w:rPr>
            </w:pPr>
          </w:p>
        </w:tc>
        <w:tc>
          <w:tcPr>
            <w:tcW w:w="680" w:type="dxa"/>
            <w:vAlign w:val="bottom"/>
            <w:shd w:val="clear" w:color="auto" w:fill="0A248E"/>
          </w:tcPr>
          <w:p>
            <w:pPr>
              <w:spacing w:after="0"/>
              <w:rPr>
                <w:sz w:val="21"/>
                <w:szCs w:val="21"/>
                <w:color w:val="auto"/>
              </w:rPr>
            </w:pPr>
          </w:p>
        </w:tc>
        <w:tc>
          <w:tcPr>
            <w:tcW w:w="40" w:type="dxa"/>
            <w:vAlign w:val="bottom"/>
            <w:tcBorders>
              <w:right w:val="single" w:sz="8" w:color="0A248E"/>
            </w:tcBorders>
          </w:tcPr>
          <w:p>
            <w:pPr>
              <w:spacing w:after="0"/>
              <w:rPr>
                <w:sz w:val="21"/>
                <w:szCs w:val="21"/>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 of total</w:t>
            </w:r>
          </w:p>
        </w:tc>
        <w:tc>
          <w:tcPr>
            <w:tcW w:w="0" w:type="dxa"/>
            <w:vAlign w:val="bottom"/>
          </w:tcPr>
          <w:p>
            <w:pPr>
              <w:spacing w:after="0"/>
              <w:rPr>
                <w:sz w:val="1"/>
                <w:szCs w:val="1"/>
                <w:color w:val="auto"/>
              </w:rPr>
            </w:pPr>
          </w:p>
        </w:tc>
      </w:tr>
      <w:tr>
        <w:trPr>
          <w:trHeight w:val="244"/>
        </w:trPr>
        <w:tc>
          <w:tcPr>
            <w:tcW w:w="3780" w:type="dxa"/>
            <w:vAlign w:val="bottom"/>
            <w:shd w:val="clear" w:color="auto" w:fill="0A248E"/>
          </w:tcPr>
          <w:p>
            <w:pPr>
              <w:ind w:left="40"/>
              <w:spacing w:after="0"/>
              <w:rPr>
                <w:sz w:val="20"/>
                <w:szCs w:val="20"/>
                <w:color w:val="auto"/>
              </w:rPr>
            </w:pPr>
            <w:r>
              <w:rPr>
                <w:rFonts w:ascii="Arial" w:cs="Arial" w:eastAsia="Arial" w:hAnsi="Arial"/>
                <w:sz w:val="15"/>
                <w:szCs w:val="15"/>
                <w:b w:val="1"/>
                <w:bCs w:val="1"/>
                <w:color w:val="FFFFFF"/>
              </w:rPr>
              <w:t>Name of beneficial owner</w:t>
            </w:r>
          </w:p>
        </w:tc>
        <w:tc>
          <w:tcPr>
            <w:tcW w:w="40" w:type="dxa"/>
            <w:vAlign w:val="bottom"/>
            <w:tcBorders>
              <w:right w:val="single" w:sz="8" w:color="0A248E"/>
            </w:tcBorders>
            <w:shd w:val="clear" w:color="auto" w:fill="0A248E"/>
          </w:tcPr>
          <w:p>
            <w:pPr>
              <w:spacing w:after="0"/>
              <w:rPr>
                <w:sz w:val="21"/>
                <w:szCs w:val="21"/>
                <w:color w:val="auto"/>
              </w:rPr>
            </w:pPr>
          </w:p>
        </w:tc>
        <w:tc>
          <w:tcPr>
            <w:tcW w:w="14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Common Stock</w:t>
            </w:r>
          </w:p>
        </w:tc>
        <w:tc>
          <w:tcPr>
            <w:tcW w:w="40" w:type="dxa"/>
            <w:vAlign w:val="bottom"/>
            <w:tcBorders>
              <w:left w:val="single" w:sz="8" w:color="0A248E"/>
            </w:tcBorders>
          </w:tcPr>
          <w:p>
            <w:pPr>
              <w:spacing w:after="0"/>
              <w:rPr>
                <w:sz w:val="21"/>
                <w:szCs w:val="21"/>
                <w:color w:val="auto"/>
              </w:rPr>
            </w:pPr>
          </w:p>
        </w:tc>
        <w:tc>
          <w:tcPr>
            <w:tcW w:w="840" w:type="dxa"/>
            <w:vAlign w:val="bottom"/>
            <w:shd w:val="clear" w:color="auto" w:fill="0A248E"/>
          </w:tcPr>
          <w:p>
            <w:pPr>
              <w:jc w:val="right"/>
              <w:ind w:right="272"/>
              <w:spacing w:after="0"/>
              <w:rPr>
                <w:sz w:val="20"/>
                <w:szCs w:val="20"/>
                <w:color w:val="auto"/>
              </w:rPr>
            </w:pPr>
            <w:r>
              <w:rPr>
                <w:rFonts w:ascii="Arial" w:cs="Arial" w:eastAsia="Arial" w:hAnsi="Arial"/>
                <w:sz w:val="15"/>
                <w:szCs w:val="15"/>
                <w:b w:val="1"/>
                <w:bCs w:val="1"/>
                <w:color w:val="FFFFFF"/>
              </w:rPr>
              <w:t>%</w:t>
            </w:r>
          </w:p>
        </w:tc>
        <w:tc>
          <w:tcPr>
            <w:tcW w:w="20" w:type="dxa"/>
            <w:vAlign w:val="bottom"/>
            <w:shd w:val="clear" w:color="auto" w:fill="0A248E"/>
          </w:tcPr>
          <w:p>
            <w:pPr>
              <w:spacing w:after="0"/>
              <w:rPr>
                <w:sz w:val="21"/>
                <w:szCs w:val="21"/>
                <w:color w:val="auto"/>
              </w:rPr>
            </w:pPr>
          </w:p>
        </w:tc>
        <w:tc>
          <w:tcPr>
            <w:tcW w:w="14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Common Stock</w:t>
            </w:r>
            <w:r>
              <w:rPr>
                <w:rFonts w:ascii="Arial" w:cs="Arial" w:eastAsia="Arial" w:hAnsi="Arial"/>
                <w:sz w:val="19"/>
                <w:szCs w:val="19"/>
                <w:b w:val="1"/>
                <w:bCs w:val="1"/>
                <w:color w:val="FFFFFF"/>
                <w:vertAlign w:val="superscript"/>
              </w:rPr>
              <w:t>†</w:t>
            </w:r>
          </w:p>
        </w:tc>
        <w:tc>
          <w:tcPr>
            <w:tcW w:w="40" w:type="dxa"/>
            <w:vAlign w:val="bottom"/>
            <w:tcBorders>
              <w:left w:val="single" w:sz="8" w:color="0A248E"/>
            </w:tcBorders>
          </w:tcPr>
          <w:p>
            <w:pPr>
              <w:spacing w:after="0"/>
              <w:rPr>
                <w:sz w:val="21"/>
                <w:szCs w:val="21"/>
                <w:color w:val="auto"/>
              </w:rPr>
            </w:pPr>
          </w:p>
        </w:tc>
        <w:tc>
          <w:tcPr>
            <w:tcW w:w="160" w:type="dxa"/>
            <w:vAlign w:val="bottom"/>
            <w:shd w:val="clear" w:color="auto" w:fill="0A248E"/>
          </w:tcPr>
          <w:p>
            <w:pPr>
              <w:spacing w:after="0"/>
              <w:rPr>
                <w:sz w:val="21"/>
                <w:szCs w:val="21"/>
                <w:color w:val="auto"/>
              </w:rPr>
            </w:pPr>
          </w:p>
        </w:tc>
        <w:tc>
          <w:tcPr>
            <w:tcW w:w="680" w:type="dxa"/>
            <w:vAlign w:val="bottom"/>
            <w:shd w:val="clear" w:color="auto" w:fill="0A248E"/>
          </w:tcPr>
          <w:p>
            <w:pPr>
              <w:jc w:val="right"/>
              <w:ind w:right="272"/>
              <w:spacing w:after="0"/>
              <w:rPr>
                <w:sz w:val="20"/>
                <w:szCs w:val="20"/>
                <w:color w:val="auto"/>
              </w:rPr>
            </w:pPr>
            <w:r>
              <w:rPr>
                <w:rFonts w:ascii="Arial" w:cs="Arial" w:eastAsia="Arial" w:hAnsi="Arial"/>
                <w:sz w:val="15"/>
                <w:szCs w:val="15"/>
                <w:b w:val="1"/>
                <w:bCs w:val="1"/>
                <w:color w:val="FFFFFF"/>
              </w:rPr>
              <w:t>%</w:t>
            </w:r>
          </w:p>
        </w:tc>
        <w:tc>
          <w:tcPr>
            <w:tcW w:w="40" w:type="dxa"/>
            <w:vAlign w:val="bottom"/>
            <w:tcBorders>
              <w:right w:val="single" w:sz="8" w:color="0A248E"/>
            </w:tcBorders>
          </w:tcPr>
          <w:p>
            <w:pPr>
              <w:spacing w:after="0"/>
              <w:rPr>
                <w:sz w:val="21"/>
                <w:szCs w:val="21"/>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voting power</w:t>
            </w:r>
            <w:r>
              <w:rPr>
                <w:rFonts w:ascii="Arial" w:cs="Arial" w:eastAsia="Arial" w:hAnsi="Arial"/>
                <w:sz w:val="19"/>
                <w:szCs w:val="19"/>
                <w:b w:val="1"/>
                <w:bCs w:val="1"/>
                <w:color w:val="FFFFFF"/>
                <w:vertAlign w:val="superscript"/>
              </w:rPr>
              <w:t>#</w:t>
            </w:r>
          </w:p>
        </w:tc>
        <w:tc>
          <w:tcPr>
            <w:tcW w:w="0" w:type="dxa"/>
            <w:vAlign w:val="bottom"/>
          </w:tcPr>
          <w:p>
            <w:pPr>
              <w:spacing w:after="0"/>
              <w:rPr>
                <w:sz w:val="1"/>
                <w:szCs w:val="1"/>
                <w:color w:val="auto"/>
              </w:rPr>
            </w:pPr>
          </w:p>
        </w:tc>
      </w:tr>
      <w:tr>
        <w:trPr>
          <w:trHeight w:val="61"/>
        </w:trPr>
        <w:tc>
          <w:tcPr>
            <w:tcW w:w="3780" w:type="dxa"/>
            <w:vAlign w:val="bottom"/>
            <w:shd w:val="clear" w:color="auto" w:fill="0A248E"/>
          </w:tcPr>
          <w:p>
            <w:pPr>
              <w:spacing w:after="0"/>
              <w:rPr>
                <w:sz w:val="5"/>
                <w:szCs w:val="5"/>
                <w:color w:val="auto"/>
              </w:rPr>
            </w:pPr>
          </w:p>
        </w:tc>
        <w:tc>
          <w:tcPr>
            <w:tcW w:w="40" w:type="dxa"/>
            <w:vAlign w:val="bottom"/>
            <w:tcBorders>
              <w:right w:val="single" w:sz="8" w:color="0A248E"/>
            </w:tcBorders>
          </w:tcPr>
          <w:p>
            <w:pPr>
              <w:spacing w:after="0"/>
              <w:rPr>
                <w:sz w:val="5"/>
                <w:szCs w:val="5"/>
                <w:color w:val="auto"/>
              </w:rPr>
            </w:pPr>
          </w:p>
        </w:tc>
        <w:tc>
          <w:tcPr>
            <w:tcW w:w="142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shd w:val="clear" w:color="auto" w:fill="0A248E"/>
          </w:tcPr>
          <w:p>
            <w:pPr>
              <w:spacing w:after="0"/>
              <w:rPr>
                <w:sz w:val="5"/>
                <w:szCs w:val="5"/>
                <w:color w:val="auto"/>
              </w:rPr>
            </w:pPr>
          </w:p>
        </w:tc>
        <w:tc>
          <w:tcPr>
            <w:tcW w:w="680" w:type="dxa"/>
            <w:vAlign w:val="bottom"/>
            <w:shd w:val="clear" w:color="auto" w:fill="0A248E"/>
          </w:tcPr>
          <w:p>
            <w:pPr>
              <w:spacing w:after="0"/>
              <w:rPr>
                <w:sz w:val="5"/>
                <w:szCs w:val="5"/>
                <w:color w:val="auto"/>
              </w:rPr>
            </w:pPr>
          </w:p>
        </w:tc>
        <w:tc>
          <w:tcPr>
            <w:tcW w:w="40" w:type="dxa"/>
            <w:vAlign w:val="bottom"/>
            <w:tcBorders>
              <w:right w:val="single" w:sz="8" w:color="0A248E"/>
            </w:tcBorders>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378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40" w:type="dxa"/>
            <w:vAlign w:val="bottom"/>
            <w:tcBorders>
              <w:right w:val="single" w:sz="8" w:color="E6E6E6"/>
            </w:tcBorders>
            <w:shd w:val="clear" w:color="auto" w:fill="E6E6E6"/>
          </w:tcPr>
          <w:p>
            <w:pPr>
              <w:spacing w:after="0"/>
              <w:rPr>
                <w:sz w:val="23"/>
                <w:szCs w:val="23"/>
                <w:color w:val="auto"/>
              </w:rPr>
            </w:pPr>
          </w:p>
        </w:tc>
        <w:tc>
          <w:tcPr>
            <w:tcW w:w="1420" w:type="dxa"/>
            <w:vAlign w:val="bottom"/>
            <w:shd w:val="clear" w:color="auto" w:fill="E6E6E6"/>
          </w:tcPr>
          <w:p>
            <w:pPr>
              <w:spacing w:after="0"/>
              <w:rPr>
                <w:sz w:val="23"/>
                <w:szCs w:val="23"/>
                <w:color w:val="auto"/>
              </w:rPr>
            </w:pPr>
          </w:p>
        </w:tc>
        <w:tc>
          <w:tcPr>
            <w:tcW w:w="40" w:type="dxa"/>
            <w:vAlign w:val="bottom"/>
            <w:tcBorders>
              <w:left w:val="single" w:sz="8" w:color="E6E6E6"/>
            </w:tcBorders>
          </w:tcPr>
          <w:p>
            <w:pPr>
              <w:spacing w:after="0"/>
              <w:rPr>
                <w:sz w:val="23"/>
                <w:szCs w:val="23"/>
                <w:color w:val="auto"/>
              </w:rPr>
            </w:pPr>
          </w:p>
        </w:tc>
        <w:tc>
          <w:tcPr>
            <w:tcW w:w="840" w:type="dxa"/>
            <w:vAlign w:val="bottom"/>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40" w:type="dxa"/>
            <w:vAlign w:val="bottom"/>
            <w:tcBorders>
              <w:right w:val="single" w:sz="8" w:color="E6E6E6"/>
            </w:tcBorders>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line="230" w:lineRule="exact"/>
              <w:rPr>
                <w:sz w:val="20"/>
                <w:szCs w:val="20"/>
                <w:color w:val="auto"/>
              </w:rPr>
            </w:pPr>
            <w:r>
              <w:rPr>
                <w:rFonts w:ascii="Arial" w:cs="Arial" w:eastAsia="Arial" w:hAnsi="Arial"/>
                <w:sz w:val="18"/>
                <w:szCs w:val="18"/>
                <w:color w:val="auto"/>
              </w:rPr>
              <w:t>Andrew W. Houston</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9,427,838</w:t>
            </w:r>
          </w:p>
        </w:tc>
        <w:tc>
          <w:tcPr>
            <w:tcW w:w="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5.77</w:t>
            </w:r>
          </w:p>
        </w:tc>
        <w:tc>
          <w:tcPr>
            <w:tcW w:w="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74,616,889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ind w:right="32"/>
              <w:spacing w:after="0"/>
              <w:rPr>
                <w:sz w:val="20"/>
                <w:szCs w:val="20"/>
                <w:color w:val="auto"/>
              </w:rPr>
            </w:pPr>
            <w:r>
              <w:rPr>
                <w:rFonts w:ascii="Arial" w:cs="Arial" w:eastAsia="Arial" w:hAnsi="Arial"/>
                <w:sz w:val="18"/>
                <w:szCs w:val="18"/>
                <w:color w:val="auto"/>
                <w:w w:val="97"/>
              </w:rPr>
              <w:t>98.99</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82.40</w:t>
            </w:r>
          </w:p>
        </w:tc>
        <w:tc>
          <w:tcPr>
            <w:tcW w:w="0" w:type="dxa"/>
            <w:vAlign w:val="bottom"/>
          </w:tcPr>
          <w:p>
            <w:pPr>
              <w:spacing w:after="0"/>
              <w:rPr>
                <w:sz w:val="1"/>
                <w:szCs w:val="1"/>
                <w:color w:val="auto"/>
              </w:rPr>
            </w:pPr>
          </w:p>
        </w:tc>
      </w:tr>
      <w:tr>
        <w:trPr>
          <w:trHeight w:val="229"/>
        </w:trPr>
        <w:tc>
          <w:tcPr>
            <w:tcW w:w="3780" w:type="dxa"/>
            <w:vAlign w:val="bottom"/>
            <w:shd w:val="clear" w:color="auto" w:fill="E6E6E6"/>
          </w:tcPr>
          <w:p>
            <w:pPr>
              <w:ind w:left="40"/>
              <w:spacing w:after="0"/>
              <w:rPr>
                <w:sz w:val="20"/>
                <w:szCs w:val="20"/>
                <w:color w:val="auto"/>
              </w:rPr>
            </w:pPr>
            <w:r>
              <w:rPr>
                <w:rFonts w:ascii="Arial" w:cs="Arial" w:eastAsia="Arial" w:hAnsi="Arial"/>
                <w:sz w:val="18"/>
                <w:szCs w:val="18"/>
                <w:color w:val="auto"/>
              </w:rPr>
              <w:t>Ross Tennenbaum</w:t>
            </w:r>
          </w:p>
        </w:tc>
        <w:tc>
          <w:tcPr>
            <w:tcW w:w="40" w:type="dxa"/>
            <w:vAlign w:val="bottom"/>
            <w:tcBorders>
              <w:right w:val="single" w:sz="8" w:color="E6E6E6"/>
            </w:tcBorders>
            <w:shd w:val="clear" w:color="auto" w:fill="E6E6E6"/>
          </w:tcPr>
          <w:p>
            <w:pPr>
              <w:spacing w:after="0"/>
              <w:rPr>
                <w:sz w:val="19"/>
                <w:szCs w:val="19"/>
                <w:color w:val="auto"/>
              </w:rPr>
            </w:pP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36,406</w:t>
            </w:r>
          </w:p>
        </w:tc>
        <w:tc>
          <w:tcPr>
            <w:tcW w:w="40" w:type="dxa"/>
            <w:vAlign w:val="bottom"/>
            <w:tcBorders>
              <w:left w:val="single" w:sz="8" w:color="E6E6E6"/>
            </w:tcBorders>
          </w:tcPr>
          <w:p>
            <w:pPr>
              <w:spacing w:after="0"/>
              <w:rPr>
                <w:sz w:val="19"/>
                <w:szCs w:val="19"/>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9"/>
                <w:szCs w:val="19"/>
                <w:color w:val="auto"/>
              </w:rPr>
            </w:pPr>
          </w:p>
        </w:tc>
        <w:tc>
          <w:tcPr>
            <w:tcW w:w="14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shd w:val="clear" w:color="auto" w:fill="E6E6E6"/>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Borders>
              <w:right w:val="single" w:sz="8" w:color="E6E6E6"/>
            </w:tcBorders>
            <w:shd w:val="clear" w:color="auto" w:fill="E6E6E6"/>
          </w:tcPr>
          <w:p>
            <w:pPr>
              <w:spacing w:after="0"/>
              <w:rPr>
                <w:sz w:val="19"/>
                <w:szCs w:val="19"/>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color w:val="auto"/>
              </w:rPr>
              <w:t>Timothy Regan</w:t>
            </w:r>
          </w:p>
        </w:tc>
        <w:tc>
          <w:tcPr>
            <w:tcW w:w="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92,067</w:t>
            </w:r>
          </w:p>
        </w:tc>
        <w:tc>
          <w:tcPr>
            <w:tcW w:w="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E6E6E6"/>
          </w:tcPr>
          <w:p>
            <w:pPr>
              <w:ind w:left="40"/>
              <w:spacing w:after="0"/>
              <w:rPr>
                <w:sz w:val="20"/>
                <w:szCs w:val="20"/>
                <w:color w:val="auto"/>
              </w:rPr>
            </w:pPr>
            <w:r>
              <w:rPr>
                <w:rFonts w:ascii="Arial" w:cs="Arial" w:eastAsia="Arial" w:hAnsi="Arial"/>
                <w:sz w:val="18"/>
                <w:szCs w:val="18"/>
                <w:color w:val="auto"/>
              </w:rPr>
              <w:t>William Yoon</w:t>
            </w:r>
          </w:p>
        </w:tc>
        <w:tc>
          <w:tcPr>
            <w:tcW w:w="40" w:type="dxa"/>
            <w:vAlign w:val="bottom"/>
            <w:tcBorders>
              <w:right w:val="single" w:sz="8" w:color="E6E6E6"/>
            </w:tcBorders>
            <w:shd w:val="clear" w:color="auto" w:fill="E6E6E6"/>
          </w:tcPr>
          <w:p>
            <w:pPr>
              <w:spacing w:after="0"/>
              <w:rPr>
                <w:sz w:val="19"/>
                <w:szCs w:val="19"/>
                <w:color w:val="auto"/>
              </w:rPr>
            </w:pP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13,460</w:t>
            </w:r>
          </w:p>
        </w:tc>
        <w:tc>
          <w:tcPr>
            <w:tcW w:w="40" w:type="dxa"/>
            <w:vAlign w:val="bottom"/>
            <w:tcBorders>
              <w:left w:val="single" w:sz="8" w:color="E6E6E6"/>
            </w:tcBorders>
          </w:tcPr>
          <w:p>
            <w:pPr>
              <w:spacing w:after="0"/>
              <w:rPr>
                <w:sz w:val="19"/>
                <w:szCs w:val="19"/>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9"/>
                <w:szCs w:val="19"/>
                <w:color w:val="auto"/>
              </w:rPr>
            </w:pPr>
          </w:p>
        </w:tc>
        <w:tc>
          <w:tcPr>
            <w:tcW w:w="14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shd w:val="clear" w:color="auto" w:fill="E6E6E6"/>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Borders>
              <w:right w:val="single" w:sz="8" w:color="E6E6E6"/>
            </w:tcBorders>
            <w:shd w:val="clear" w:color="auto" w:fill="E6E6E6"/>
          </w:tcPr>
          <w:p>
            <w:pPr>
              <w:spacing w:after="0"/>
              <w:rPr>
                <w:sz w:val="19"/>
                <w:szCs w:val="19"/>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Ashraf Alkarmi</w:t>
            </w:r>
          </w:p>
        </w:tc>
        <w:tc>
          <w:tcPr>
            <w:tcW w:w="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44,830</w:t>
            </w:r>
          </w:p>
        </w:tc>
        <w:tc>
          <w:tcPr>
            <w:tcW w:w="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E6E6E6"/>
          </w:tcPr>
          <w:p>
            <w:pPr>
              <w:ind w:left="40"/>
              <w:spacing w:after="0"/>
              <w:rPr>
                <w:sz w:val="20"/>
                <w:szCs w:val="20"/>
                <w:color w:val="auto"/>
              </w:rPr>
            </w:pPr>
            <w:r>
              <w:rPr>
                <w:rFonts w:ascii="Arial" w:cs="Arial" w:eastAsia="Arial" w:hAnsi="Arial"/>
                <w:sz w:val="18"/>
                <w:szCs w:val="18"/>
                <w:color w:val="auto"/>
              </w:rPr>
              <w:t>Ali Dasdan</w:t>
            </w:r>
          </w:p>
        </w:tc>
        <w:tc>
          <w:tcPr>
            <w:tcW w:w="40" w:type="dxa"/>
            <w:vAlign w:val="bottom"/>
            <w:tcBorders>
              <w:right w:val="single" w:sz="8" w:color="E6E6E6"/>
            </w:tcBorders>
            <w:shd w:val="clear" w:color="auto" w:fill="E6E6E6"/>
          </w:tcPr>
          <w:p>
            <w:pPr>
              <w:spacing w:after="0"/>
              <w:rPr>
                <w:sz w:val="19"/>
                <w:szCs w:val="19"/>
                <w:color w:val="auto"/>
              </w:rPr>
            </w:pP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41,684</w:t>
            </w:r>
          </w:p>
        </w:tc>
        <w:tc>
          <w:tcPr>
            <w:tcW w:w="40" w:type="dxa"/>
            <w:vAlign w:val="bottom"/>
            <w:tcBorders>
              <w:left w:val="single" w:sz="8" w:color="E6E6E6"/>
            </w:tcBorders>
          </w:tcPr>
          <w:p>
            <w:pPr>
              <w:spacing w:after="0"/>
              <w:rPr>
                <w:sz w:val="19"/>
                <w:szCs w:val="19"/>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9"/>
                <w:szCs w:val="19"/>
                <w:color w:val="auto"/>
              </w:rPr>
            </w:pPr>
          </w:p>
        </w:tc>
        <w:tc>
          <w:tcPr>
            <w:tcW w:w="14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shd w:val="clear" w:color="auto" w:fill="E6E6E6"/>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Borders>
              <w:right w:val="single" w:sz="8" w:color="E6E6E6"/>
            </w:tcBorders>
            <w:shd w:val="clear" w:color="auto" w:fill="E6E6E6"/>
          </w:tcPr>
          <w:p>
            <w:pPr>
              <w:spacing w:after="0"/>
              <w:rPr>
                <w:sz w:val="19"/>
                <w:szCs w:val="19"/>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color w:val="auto"/>
              </w:rPr>
              <w:t>Lisa Campbell</w:t>
            </w:r>
          </w:p>
        </w:tc>
        <w:tc>
          <w:tcPr>
            <w:tcW w:w="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10,777</w:t>
            </w:r>
          </w:p>
        </w:tc>
        <w:tc>
          <w:tcPr>
            <w:tcW w:w="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E6E6E6"/>
          </w:tcPr>
          <w:p>
            <w:pPr>
              <w:ind w:left="40"/>
              <w:spacing w:after="0" w:line="230" w:lineRule="exact"/>
              <w:rPr>
                <w:sz w:val="20"/>
                <w:szCs w:val="20"/>
                <w:color w:val="auto"/>
              </w:rPr>
            </w:pPr>
            <w:r>
              <w:rPr>
                <w:rFonts w:ascii="Arial" w:cs="Arial" w:eastAsia="Arial" w:hAnsi="Arial"/>
                <w:sz w:val="18"/>
                <w:szCs w:val="18"/>
                <w:color w:val="auto"/>
              </w:rPr>
              <w:t>Paul E. Jacobs</w:t>
            </w:r>
            <w:r>
              <w:rPr>
                <w:rFonts w:ascii="Arial" w:cs="Arial" w:eastAsia="Arial" w:hAnsi="Arial"/>
                <w:sz w:val="23"/>
                <w:szCs w:val="23"/>
                <w:color w:val="auto"/>
                <w:vertAlign w:val="superscript"/>
              </w:rPr>
              <w:t>(2)</w:t>
            </w:r>
          </w:p>
        </w:tc>
        <w:tc>
          <w:tcPr>
            <w:tcW w:w="40" w:type="dxa"/>
            <w:vAlign w:val="bottom"/>
            <w:tcBorders>
              <w:right w:val="single" w:sz="8" w:color="E6E6E6"/>
            </w:tcBorders>
            <w:shd w:val="clear" w:color="auto" w:fill="E6E6E6"/>
          </w:tcPr>
          <w:p>
            <w:pPr>
              <w:spacing w:after="0"/>
              <w:rPr>
                <w:sz w:val="19"/>
                <w:szCs w:val="19"/>
                <w:color w:val="auto"/>
              </w:rPr>
            </w:pP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313,459</w:t>
            </w:r>
          </w:p>
        </w:tc>
        <w:tc>
          <w:tcPr>
            <w:tcW w:w="40" w:type="dxa"/>
            <w:vAlign w:val="bottom"/>
            <w:tcBorders>
              <w:left w:val="single" w:sz="8" w:color="E6E6E6"/>
            </w:tcBorders>
          </w:tcPr>
          <w:p>
            <w:pPr>
              <w:spacing w:after="0"/>
              <w:rPr>
                <w:sz w:val="19"/>
                <w:szCs w:val="19"/>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9"/>
                <w:szCs w:val="19"/>
                <w:color w:val="auto"/>
              </w:rPr>
            </w:pPr>
          </w:p>
        </w:tc>
        <w:tc>
          <w:tcPr>
            <w:tcW w:w="14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shd w:val="clear" w:color="auto" w:fill="E6E6E6"/>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Borders>
              <w:right w:val="single" w:sz="8" w:color="E6E6E6"/>
            </w:tcBorders>
            <w:shd w:val="clear" w:color="auto" w:fill="E6E6E6"/>
          </w:tcPr>
          <w:p>
            <w:pPr>
              <w:spacing w:after="0"/>
              <w:rPr>
                <w:sz w:val="19"/>
                <w:szCs w:val="19"/>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Karen Peacock</w:t>
            </w:r>
          </w:p>
        </w:tc>
        <w:tc>
          <w:tcPr>
            <w:tcW w:w="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12,852</w:t>
            </w:r>
          </w:p>
        </w:tc>
        <w:tc>
          <w:tcPr>
            <w:tcW w:w="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E6E6E6"/>
          </w:tcPr>
          <w:p>
            <w:pPr>
              <w:ind w:left="40"/>
              <w:spacing w:after="0"/>
              <w:rPr>
                <w:sz w:val="20"/>
                <w:szCs w:val="20"/>
                <w:color w:val="auto"/>
              </w:rPr>
            </w:pPr>
            <w:r>
              <w:rPr>
                <w:rFonts w:ascii="Arial" w:cs="Arial" w:eastAsia="Arial" w:hAnsi="Arial"/>
                <w:sz w:val="18"/>
                <w:szCs w:val="18"/>
                <w:color w:val="auto"/>
              </w:rPr>
              <w:t>Michael Seibel</w:t>
            </w:r>
          </w:p>
        </w:tc>
        <w:tc>
          <w:tcPr>
            <w:tcW w:w="40" w:type="dxa"/>
            <w:vAlign w:val="bottom"/>
            <w:tcBorders>
              <w:right w:val="single" w:sz="8" w:color="E6E6E6"/>
            </w:tcBorders>
            <w:shd w:val="clear" w:color="auto" w:fill="E6E6E6"/>
          </w:tcPr>
          <w:p>
            <w:pPr>
              <w:spacing w:after="0"/>
              <w:rPr>
                <w:sz w:val="19"/>
                <w:szCs w:val="19"/>
                <w:color w:val="auto"/>
              </w:rPr>
            </w:pP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22,775</w:t>
            </w:r>
          </w:p>
        </w:tc>
        <w:tc>
          <w:tcPr>
            <w:tcW w:w="40" w:type="dxa"/>
            <w:vAlign w:val="bottom"/>
            <w:tcBorders>
              <w:left w:val="single" w:sz="8" w:color="E6E6E6"/>
            </w:tcBorders>
          </w:tcPr>
          <w:p>
            <w:pPr>
              <w:spacing w:after="0"/>
              <w:rPr>
                <w:sz w:val="19"/>
                <w:szCs w:val="19"/>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9"/>
                <w:szCs w:val="19"/>
                <w:color w:val="auto"/>
              </w:rPr>
            </w:pPr>
          </w:p>
        </w:tc>
        <w:tc>
          <w:tcPr>
            <w:tcW w:w="14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shd w:val="clear" w:color="auto" w:fill="E6E6E6"/>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Borders>
              <w:right w:val="single" w:sz="8" w:color="E6E6E6"/>
            </w:tcBorders>
            <w:shd w:val="clear" w:color="auto" w:fill="E6E6E6"/>
          </w:tcPr>
          <w:p>
            <w:pPr>
              <w:spacing w:after="0"/>
              <w:rPr>
                <w:sz w:val="19"/>
                <w:szCs w:val="19"/>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color w:val="auto"/>
              </w:rPr>
              <w:t>Abhay Parasnis</w:t>
            </w:r>
          </w:p>
        </w:tc>
        <w:tc>
          <w:tcPr>
            <w:tcW w:w="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30,297</w:t>
            </w:r>
          </w:p>
        </w:tc>
        <w:tc>
          <w:tcPr>
            <w:tcW w:w="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E6E6E6"/>
          </w:tcPr>
          <w:p>
            <w:pPr>
              <w:ind w:left="40"/>
              <w:spacing w:after="0"/>
              <w:rPr>
                <w:sz w:val="20"/>
                <w:szCs w:val="20"/>
                <w:color w:val="auto"/>
              </w:rPr>
            </w:pPr>
            <w:r>
              <w:rPr>
                <w:rFonts w:ascii="Arial" w:cs="Arial" w:eastAsia="Arial" w:hAnsi="Arial"/>
                <w:sz w:val="18"/>
                <w:szCs w:val="18"/>
                <w:color w:val="auto"/>
              </w:rPr>
              <w:t>Andrew Moore</w:t>
            </w:r>
          </w:p>
        </w:tc>
        <w:tc>
          <w:tcPr>
            <w:tcW w:w="40" w:type="dxa"/>
            <w:vAlign w:val="bottom"/>
            <w:tcBorders>
              <w:right w:val="single" w:sz="8" w:color="E6E6E6"/>
            </w:tcBorders>
            <w:shd w:val="clear" w:color="auto" w:fill="E6E6E6"/>
          </w:tcPr>
          <w:p>
            <w:pPr>
              <w:spacing w:after="0"/>
              <w:rPr>
                <w:sz w:val="19"/>
                <w:szCs w:val="19"/>
                <w:color w:val="auto"/>
              </w:rPr>
            </w:pP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9"/>
                <w:szCs w:val="19"/>
                <w:color w:val="auto"/>
              </w:rPr>
            </w:pPr>
          </w:p>
        </w:tc>
        <w:tc>
          <w:tcPr>
            <w:tcW w:w="14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left w:val="single" w:sz="8" w:color="E6E6E6"/>
            </w:tcBorders>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shd w:val="clear" w:color="auto" w:fill="E6E6E6"/>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Borders>
              <w:right w:val="single" w:sz="8" w:color="E6E6E6"/>
            </w:tcBorders>
            <w:shd w:val="clear" w:color="auto" w:fill="E6E6E6"/>
          </w:tcPr>
          <w:p>
            <w:pPr>
              <w:spacing w:after="0"/>
              <w:rPr>
                <w:sz w:val="19"/>
                <w:szCs w:val="19"/>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Warren Jenson</w:t>
            </w:r>
          </w:p>
        </w:tc>
        <w:tc>
          <w:tcPr>
            <w:tcW w:w="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2,739</w:t>
            </w:r>
          </w:p>
        </w:tc>
        <w:tc>
          <w:tcPr>
            <w:tcW w:w="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E6E6E6"/>
          </w:tcPr>
          <w:p>
            <w:pPr>
              <w:ind w:left="40"/>
              <w:spacing w:after="0"/>
              <w:rPr>
                <w:sz w:val="20"/>
                <w:szCs w:val="20"/>
                <w:color w:val="auto"/>
              </w:rPr>
            </w:pPr>
            <w:r>
              <w:rPr>
                <w:rFonts w:ascii="Arial" w:cs="Arial" w:eastAsia="Arial" w:hAnsi="Arial"/>
                <w:sz w:val="18"/>
                <w:szCs w:val="18"/>
                <w:color w:val="auto"/>
                <w:w w:val="99"/>
              </w:rPr>
              <w:t>All current directors and executive officers as a</w:t>
            </w:r>
          </w:p>
        </w:tc>
        <w:tc>
          <w:tcPr>
            <w:tcW w:w="40" w:type="dxa"/>
            <w:vAlign w:val="bottom"/>
            <w:tcBorders>
              <w:right w:val="single" w:sz="8" w:color="E6E6E6"/>
            </w:tcBorders>
            <w:shd w:val="clear" w:color="auto" w:fill="E6E6E6"/>
          </w:tcPr>
          <w:p>
            <w:pPr>
              <w:spacing w:after="0"/>
              <w:rPr>
                <w:sz w:val="19"/>
                <w:szCs w:val="19"/>
                <w:color w:val="auto"/>
              </w:rPr>
            </w:pPr>
          </w:p>
        </w:tc>
        <w:tc>
          <w:tcPr>
            <w:tcW w:w="1420" w:type="dxa"/>
            <w:vAlign w:val="bottom"/>
            <w:shd w:val="clear" w:color="auto" w:fill="E6E6E6"/>
          </w:tcPr>
          <w:p>
            <w:pPr>
              <w:spacing w:after="0"/>
              <w:rPr>
                <w:sz w:val="19"/>
                <w:szCs w:val="19"/>
                <w:color w:val="auto"/>
              </w:rPr>
            </w:pPr>
          </w:p>
        </w:tc>
        <w:tc>
          <w:tcPr>
            <w:tcW w:w="40" w:type="dxa"/>
            <w:vAlign w:val="bottom"/>
            <w:tcBorders>
              <w:left w:val="single" w:sz="8" w:color="E6E6E6"/>
            </w:tcBorders>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40" w:type="dxa"/>
            <w:vAlign w:val="bottom"/>
            <w:shd w:val="clear" w:color="auto" w:fill="E6E6E6"/>
          </w:tcPr>
          <w:p>
            <w:pPr>
              <w:spacing w:after="0"/>
              <w:rPr>
                <w:sz w:val="19"/>
                <w:szCs w:val="19"/>
                <w:color w:val="auto"/>
              </w:rPr>
            </w:pPr>
          </w:p>
        </w:tc>
        <w:tc>
          <w:tcPr>
            <w:tcW w:w="40" w:type="dxa"/>
            <w:vAlign w:val="bottom"/>
            <w:tcBorders>
              <w:left w:val="single" w:sz="8" w:color="E6E6E6"/>
            </w:tcBorders>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40" w:type="dxa"/>
            <w:vAlign w:val="bottom"/>
            <w:tcBorders>
              <w:right w:val="single" w:sz="8" w:color="E6E6E6"/>
            </w:tcBorders>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780" w:type="dxa"/>
            <w:vAlign w:val="bottom"/>
            <w:shd w:val="clear" w:color="auto" w:fill="E6E6E6"/>
          </w:tcPr>
          <w:p>
            <w:pPr>
              <w:ind w:left="40"/>
              <w:spacing w:after="0"/>
              <w:rPr>
                <w:sz w:val="20"/>
                <w:szCs w:val="20"/>
                <w:color w:val="auto"/>
              </w:rPr>
            </w:pPr>
            <w:r>
              <w:rPr>
                <w:rFonts w:ascii="Arial" w:cs="Arial" w:eastAsia="Arial" w:hAnsi="Arial"/>
                <w:sz w:val="18"/>
                <w:szCs w:val="18"/>
                <w:color w:val="auto"/>
              </w:rPr>
              <w:t>group (14 persons)</w:t>
            </w:r>
          </w:p>
        </w:tc>
        <w:tc>
          <w:tcPr>
            <w:tcW w:w="40" w:type="dxa"/>
            <w:vAlign w:val="bottom"/>
            <w:tcBorders>
              <w:right w:val="single" w:sz="8" w:color="E6E6E6"/>
            </w:tcBorders>
            <w:shd w:val="clear" w:color="auto" w:fill="E6E6E6"/>
          </w:tcPr>
          <w:p>
            <w:pPr>
              <w:spacing w:after="0"/>
              <w:rPr>
                <w:sz w:val="24"/>
                <w:szCs w:val="24"/>
                <w:color w:val="auto"/>
              </w:rPr>
            </w:pP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10,049,184</w:t>
            </w:r>
          </w:p>
        </w:tc>
        <w:tc>
          <w:tcPr>
            <w:tcW w:w="40" w:type="dxa"/>
            <w:vAlign w:val="bottom"/>
            <w:tcBorders>
              <w:left w:val="single" w:sz="8" w:color="E6E6E6"/>
            </w:tcBorders>
          </w:tcPr>
          <w:p>
            <w:pPr>
              <w:spacing w:after="0"/>
              <w:rPr>
                <w:sz w:val="24"/>
                <w:szCs w:val="24"/>
                <w:color w:val="auto"/>
              </w:rPr>
            </w:pPr>
          </w:p>
        </w:tc>
        <w:tc>
          <w:tcPr>
            <w:tcW w:w="8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6"/>
              </w:rPr>
              <w:t>6.16</w:t>
            </w:r>
          </w:p>
        </w:tc>
        <w:tc>
          <w:tcPr>
            <w:tcW w:w="20" w:type="dxa"/>
            <w:vAlign w:val="bottom"/>
            <w:shd w:val="clear" w:color="auto" w:fill="E6E6E6"/>
          </w:tcPr>
          <w:p>
            <w:pPr>
              <w:spacing w:after="0"/>
              <w:rPr>
                <w:sz w:val="24"/>
                <w:szCs w:val="24"/>
                <w:color w:val="auto"/>
              </w:rPr>
            </w:pPr>
          </w:p>
        </w:tc>
        <w:tc>
          <w:tcPr>
            <w:tcW w:w="14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74,616,889</w:t>
            </w:r>
          </w:p>
        </w:tc>
        <w:tc>
          <w:tcPr>
            <w:tcW w:w="40" w:type="dxa"/>
            <w:vAlign w:val="bottom"/>
            <w:tcBorders>
              <w:left w:val="single" w:sz="8" w:color="E6E6E6"/>
            </w:tcBorders>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80" w:type="dxa"/>
            <w:vAlign w:val="bottom"/>
            <w:shd w:val="clear" w:color="auto" w:fill="E6E6E6"/>
          </w:tcPr>
          <w:p>
            <w:pPr>
              <w:jc w:val="center"/>
              <w:ind w:right="32"/>
              <w:spacing w:after="0"/>
              <w:rPr>
                <w:sz w:val="20"/>
                <w:szCs w:val="20"/>
                <w:color w:val="auto"/>
              </w:rPr>
            </w:pPr>
            <w:r>
              <w:rPr>
                <w:rFonts w:ascii="Arial" w:cs="Arial" w:eastAsia="Arial" w:hAnsi="Arial"/>
                <w:sz w:val="18"/>
                <w:szCs w:val="18"/>
                <w:color w:val="auto"/>
                <w:w w:val="97"/>
              </w:rPr>
              <w:t>98.99</w:t>
            </w:r>
          </w:p>
        </w:tc>
        <w:tc>
          <w:tcPr>
            <w:tcW w:w="40" w:type="dxa"/>
            <w:vAlign w:val="bottom"/>
            <w:tcBorders>
              <w:right w:val="single" w:sz="8" w:color="E6E6E6"/>
            </w:tcBorders>
            <w:shd w:val="clear" w:color="auto" w:fill="E6E6E6"/>
          </w:tcPr>
          <w:p>
            <w:pPr>
              <w:spacing w:after="0"/>
              <w:rPr>
                <w:sz w:val="24"/>
                <w:szCs w:val="24"/>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82.47</w:t>
            </w:r>
          </w:p>
        </w:tc>
        <w:tc>
          <w:tcPr>
            <w:tcW w:w="0" w:type="dxa"/>
            <w:vAlign w:val="bottom"/>
          </w:tcPr>
          <w:p>
            <w:pPr>
              <w:spacing w:after="0"/>
              <w:rPr>
                <w:sz w:val="1"/>
                <w:szCs w:val="1"/>
                <w:color w:val="auto"/>
              </w:rPr>
            </w:pPr>
          </w:p>
        </w:tc>
      </w:tr>
      <w:tr>
        <w:trPr>
          <w:trHeight w:val="28"/>
        </w:trPr>
        <w:tc>
          <w:tcPr>
            <w:tcW w:w="3780" w:type="dxa"/>
            <w:vAlign w:val="bottom"/>
            <w:shd w:val="clear" w:color="auto" w:fill="E6E6E6"/>
          </w:tcPr>
          <w:p>
            <w:pPr>
              <w:spacing w:after="0"/>
              <w:rPr>
                <w:sz w:val="2"/>
                <w:szCs w:val="2"/>
                <w:color w:val="auto"/>
              </w:rPr>
            </w:pPr>
          </w:p>
        </w:tc>
        <w:tc>
          <w:tcPr>
            <w:tcW w:w="40" w:type="dxa"/>
            <w:vAlign w:val="bottom"/>
            <w:tcBorders>
              <w:right w:val="single" w:sz="8" w:color="E6E6E6"/>
            </w:tcBorders>
            <w:shd w:val="clear" w:color="auto" w:fill="E6E6E6"/>
          </w:tcPr>
          <w:p>
            <w:pPr>
              <w:spacing w:after="0"/>
              <w:rPr>
                <w:sz w:val="2"/>
                <w:szCs w:val="2"/>
                <w:color w:val="auto"/>
              </w:rPr>
            </w:pPr>
          </w:p>
        </w:tc>
        <w:tc>
          <w:tcPr>
            <w:tcW w:w="1420" w:type="dxa"/>
            <w:vAlign w:val="bottom"/>
            <w:shd w:val="clear" w:color="auto" w:fill="E6E6E6"/>
          </w:tcPr>
          <w:p>
            <w:pPr>
              <w:spacing w:after="0"/>
              <w:rPr>
                <w:sz w:val="2"/>
                <w:szCs w:val="2"/>
                <w:color w:val="auto"/>
              </w:rPr>
            </w:pPr>
          </w:p>
        </w:tc>
        <w:tc>
          <w:tcPr>
            <w:tcW w:w="40" w:type="dxa"/>
            <w:vAlign w:val="bottom"/>
            <w:tcBorders>
              <w:left w:val="single" w:sz="8" w:color="E6E6E6"/>
            </w:tcBorders>
          </w:tcPr>
          <w:p>
            <w:pPr>
              <w:spacing w:after="0"/>
              <w:rPr>
                <w:sz w:val="2"/>
                <w:szCs w:val="2"/>
                <w:color w:val="auto"/>
              </w:rPr>
            </w:pPr>
          </w:p>
        </w:tc>
        <w:tc>
          <w:tcPr>
            <w:tcW w:w="840" w:type="dxa"/>
            <w:vAlign w:val="bottom"/>
            <w:shd w:val="clear" w:color="auto" w:fill="E6E6E6"/>
          </w:tcPr>
          <w:p>
            <w:pPr>
              <w:spacing w:after="0"/>
              <w:rPr>
                <w:sz w:val="2"/>
                <w:szCs w:val="2"/>
                <w:color w:val="auto"/>
              </w:rPr>
            </w:pPr>
          </w:p>
        </w:tc>
        <w:tc>
          <w:tcPr>
            <w:tcW w:w="20" w:type="dxa"/>
            <w:vAlign w:val="bottom"/>
            <w:shd w:val="clear" w:color="auto" w:fill="E6E6E6"/>
          </w:tcPr>
          <w:p>
            <w:pPr>
              <w:spacing w:after="0"/>
              <w:rPr>
                <w:sz w:val="2"/>
                <w:szCs w:val="2"/>
                <w:color w:val="auto"/>
              </w:rPr>
            </w:pPr>
          </w:p>
        </w:tc>
        <w:tc>
          <w:tcPr>
            <w:tcW w:w="1440" w:type="dxa"/>
            <w:vAlign w:val="bottom"/>
            <w:shd w:val="clear" w:color="auto" w:fill="E6E6E6"/>
          </w:tcPr>
          <w:p>
            <w:pPr>
              <w:spacing w:after="0"/>
              <w:rPr>
                <w:sz w:val="2"/>
                <w:szCs w:val="2"/>
                <w:color w:val="auto"/>
              </w:rPr>
            </w:pPr>
          </w:p>
        </w:tc>
        <w:tc>
          <w:tcPr>
            <w:tcW w:w="40" w:type="dxa"/>
            <w:vAlign w:val="bottom"/>
            <w:tcBorders>
              <w:left w:val="single" w:sz="8" w:color="E6E6E6"/>
            </w:tcBorders>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680" w:type="dxa"/>
            <w:vAlign w:val="bottom"/>
            <w:shd w:val="clear" w:color="auto" w:fill="E6E6E6"/>
          </w:tcPr>
          <w:p>
            <w:pPr>
              <w:spacing w:after="0"/>
              <w:rPr>
                <w:sz w:val="2"/>
                <w:szCs w:val="2"/>
                <w:color w:val="auto"/>
              </w:rPr>
            </w:pPr>
          </w:p>
        </w:tc>
        <w:tc>
          <w:tcPr>
            <w:tcW w:w="40" w:type="dxa"/>
            <w:vAlign w:val="bottom"/>
            <w:tcBorders>
              <w:right w:val="single" w:sz="8" w:color="E6E6E6"/>
            </w:tcBorders>
            <w:shd w:val="clear" w:color="auto" w:fill="E6E6E6"/>
          </w:tcPr>
          <w:p>
            <w:pPr>
              <w:spacing w:after="0"/>
              <w:rPr>
                <w:sz w:val="2"/>
                <w:szCs w:val="2"/>
                <w:color w:val="auto"/>
              </w:rPr>
            </w:pPr>
          </w:p>
        </w:tc>
        <w:tc>
          <w:tcPr>
            <w:tcW w:w="114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2415540</wp:posOffset>
                </wp:positionH>
                <wp:positionV relativeFrom="paragraph">
                  <wp:posOffset>-3046095</wp:posOffset>
                </wp:positionV>
                <wp:extent cx="0" cy="184785"/>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78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2pt,-239.8499pt" to="190.2pt,-225.2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4829175</wp:posOffset>
                </wp:positionH>
                <wp:positionV relativeFrom="paragraph">
                  <wp:posOffset>-2807970</wp:posOffset>
                </wp:positionV>
                <wp:extent cx="0" cy="33274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274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25pt,-221.0999pt" to="380.25pt,-194.8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2415540</wp:posOffset>
                </wp:positionH>
                <wp:positionV relativeFrom="paragraph">
                  <wp:posOffset>-2787015</wp:posOffset>
                </wp:positionV>
                <wp:extent cx="0" cy="83185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18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2pt,-219.4499pt" to="190.2pt,-153.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3343275</wp:posOffset>
                </wp:positionH>
                <wp:positionV relativeFrom="paragraph">
                  <wp:posOffset>-2787015</wp:posOffset>
                </wp:positionV>
                <wp:extent cx="0" cy="83185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185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25pt,-219.4499pt" to="263.25pt,-153.9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-2807970</wp:posOffset>
                </wp:positionV>
                <wp:extent cx="0" cy="852805"/>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280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221.0999pt" to="307.2pt,-153.9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4829175</wp:posOffset>
                </wp:positionH>
                <wp:positionV relativeFrom="paragraph">
                  <wp:posOffset>-2100580</wp:posOffset>
                </wp:positionV>
                <wp:extent cx="0" cy="145415"/>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25pt,-165.3999pt" to="380.25pt,-153.9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-3046095</wp:posOffset>
                </wp:positionV>
                <wp:extent cx="0" cy="109093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093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239.8499pt" to="424.2pt,-153.9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2415540</wp:posOffset>
                </wp:positionH>
                <wp:positionV relativeFrom="paragraph">
                  <wp:posOffset>-1806575</wp:posOffset>
                </wp:positionV>
                <wp:extent cx="0" cy="145415"/>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2pt,-142.2499pt" to="190.2pt,-130.7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3343275</wp:posOffset>
                </wp:positionH>
                <wp:positionV relativeFrom="paragraph">
                  <wp:posOffset>-1806575</wp:posOffset>
                </wp:positionV>
                <wp:extent cx="0" cy="145415"/>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25pt,-142.2499pt" to="263.25pt,-130.7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-1806575</wp:posOffset>
                </wp:positionV>
                <wp:extent cx="0" cy="145415"/>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142.2499pt" to="307.2pt,-130.7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4829175</wp:posOffset>
                </wp:positionH>
                <wp:positionV relativeFrom="paragraph">
                  <wp:posOffset>-1806575</wp:posOffset>
                </wp:positionV>
                <wp:extent cx="0" cy="145415"/>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25pt,-142.2499pt" to="380.25pt,-130.7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-1806575</wp:posOffset>
                </wp:positionV>
                <wp:extent cx="0" cy="145415"/>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142.2499pt" to="424.2pt,-130.7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2415540</wp:posOffset>
                </wp:positionH>
                <wp:positionV relativeFrom="paragraph">
                  <wp:posOffset>-1515110</wp:posOffset>
                </wp:positionV>
                <wp:extent cx="0" cy="145415"/>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2pt,-119.2999pt" to="190.2pt,-107.8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3343275</wp:posOffset>
                </wp:positionH>
                <wp:positionV relativeFrom="paragraph">
                  <wp:posOffset>-1515110</wp:posOffset>
                </wp:positionV>
                <wp:extent cx="0" cy="145415"/>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25pt,-119.2999pt" to="263.25pt,-107.8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-1515110</wp:posOffset>
                </wp:positionV>
                <wp:extent cx="0" cy="145415"/>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119.2999pt" to="307.2pt,-107.8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4829175</wp:posOffset>
                </wp:positionH>
                <wp:positionV relativeFrom="paragraph">
                  <wp:posOffset>-1515110</wp:posOffset>
                </wp:positionV>
                <wp:extent cx="0" cy="145415"/>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25pt,-119.2999pt" to="380.25pt,-107.8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-1515110</wp:posOffset>
                </wp:positionV>
                <wp:extent cx="0" cy="145415"/>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119.2999pt" to="424.2pt,-107.8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2415540</wp:posOffset>
                </wp:positionH>
                <wp:positionV relativeFrom="paragraph">
                  <wp:posOffset>-1221105</wp:posOffset>
                </wp:positionV>
                <wp:extent cx="0" cy="145415"/>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2pt,-96.1499pt" to="190.2pt,-84.6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3343275</wp:posOffset>
                </wp:positionH>
                <wp:positionV relativeFrom="paragraph">
                  <wp:posOffset>-1221105</wp:posOffset>
                </wp:positionV>
                <wp:extent cx="0" cy="145415"/>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25pt,-96.1499pt" to="263.25pt,-84.6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-1221105</wp:posOffset>
                </wp:positionV>
                <wp:extent cx="0" cy="145415"/>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96.1499pt" to="307.2pt,-84.6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4829175</wp:posOffset>
                </wp:positionH>
                <wp:positionV relativeFrom="paragraph">
                  <wp:posOffset>-1221105</wp:posOffset>
                </wp:positionV>
                <wp:extent cx="0" cy="145415"/>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25pt,-96.1499pt" to="380.25pt,-84.6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-1221105</wp:posOffset>
                </wp:positionV>
                <wp:extent cx="0" cy="145415"/>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96.1499pt" to="424.2pt,-84.6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2415540</wp:posOffset>
                </wp:positionH>
                <wp:positionV relativeFrom="paragraph">
                  <wp:posOffset>-929640</wp:posOffset>
                </wp:positionV>
                <wp:extent cx="0" cy="145415"/>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2pt,-73.1999pt" to="190.2pt,-61.7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3343275</wp:posOffset>
                </wp:positionH>
                <wp:positionV relativeFrom="paragraph">
                  <wp:posOffset>-929640</wp:posOffset>
                </wp:positionV>
                <wp:extent cx="0" cy="145415"/>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25pt,-73.1999pt" to="263.25pt,-61.7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-929640</wp:posOffset>
                </wp:positionV>
                <wp:extent cx="0" cy="145415"/>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73.1999pt" to="307.2pt,-61.7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4829175</wp:posOffset>
                </wp:positionH>
                <wp:positionV relativeFrom="paragraph">
                  <wp:posOffset>-929640</wp:posOffset>
                </wp:positionV>
                <wp:extent cx="0" cy="145415"/>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25pt,-73.1999pt" to="380.25pt,-61.7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-929640</wp:posOffset>
                </wp:positionV>
                <wp:extent cx="0" cy="145415"/>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73.1999pt" to="424.2pt,-61.7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2415540</wp:posOffset>
                </wp:positionH>
                <wp:positionV relativeFrom="paragraph">
                  <wp:posOffset>-635635</wp:posOffset>
                </wp:positionV>
                <wp:extent cx="0" cy="635635"/>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63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2pt,-50.0499pt" to="190.2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3343275</wp:posOffset>
                </wp:positionH>
                <wp:positionV relativeFrom="paragraph">
                  <wp:posOffset>-635635</wp:posOffset>
                </wp:positionV>
                <wp:extent cx="0" cy="635635"/>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63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25pt,-50.0499pt" to="263.25pt,0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3901440</wp:posOffset>
                </wp:positionH>
                <wp:positionV relativeFrom="paragraph">
                  <wp:posOffset>-635635</wp:posOffset>
                </wp:positionV>
                <wp:extent cx="0" cy="635635"/>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63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pt,-50.0499pt" to="307.2pt,0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4829175</wp:posOffset>
                </wp:positionH>
                <wp:positionV relativeFrom="paragraph">
                  <wp:posOffset>-635635</wp:posOffset>
                </wp:positionV>
                <wp:extent cx="0" cy="635635"/>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63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25pt,-50.0499pt" to="380.25pt,0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-635635</wp:posOffset>
                </wp:positionV>
                <wp:extent cx="0" cy="635635"/>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63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50.0499pt" to="424.2pt,0pt" o:allowincell="f" strokecolor="#FFFFFF" strokeweight="1.404pt"/>
            </w:pict>
          </mc:Fallback>
        </mc:AlternateConten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7" w:hanging="475"/>
        <w:spacing w:after="0"/>
        <w:tabs>
          <w:tab w:leader="none" w:pos="527"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47"/>
          </w:cols>
          <w:pgMar w:left="1133" w:top="340" w:right="1100" w:bottom="0" w:gutter="0" w:footer="0" w:header="0"/>
          <w:type w:val="continuous"/>
        </w:sectPr>
      </w:pPr>
    </w:p>
    <w:bookmarkStart w:id="82" w:name="page83"/>
    <w:bookmarkEnd w:id="82"/>
    <w:p>
      <w:pPr>
        <w:ind w:left="7" w:right="180"/>
        <w:spacing w:after="0" w:line="323" w:lineRule="auto"/>
        <w:rPr>
          <w:sz w:val="20"/>
          <w:szCs w:val="20"/>
          <w:color w:val="auto"/>
        </w:rPr>
      </w:pPr>
      <w:r>
        <w:rPr>
          <w:rFonts w:ascii="Arial" w:cs="Arial" w:eastAsia="Arial" w:hAnsi="Arial"/>
          <w:sz w:val="33"/>
          <w:szCs w:val="33"/>
          <w:color w:val="0A248E"/>
        </w:rPr>
        <w:t>SECURITY OWNERSHIP OF CERTAIN BENEFICIAL OWNERS AND MANAGEMENT (continued)</w:t>
      </w:r>
    </w:p>
    <w:p>
      <w:pPr>
        <w:spacing w:after="0" w:line="375" w:lineRule="exact"/>
        <w:rPr>
          <w:sz w:val="20"/>
          <w:szCs w:val="20"/>
          <w:color w:val="auto"/>
        </w:rPr>
      </w:pPr>
    </w:p>
    <w:tbl>
      <w:tblPr>
        <w:tblLayout w:type="fixed"/>
        <w:tblInd w:w="7" w:type="dxa"/>
        <w:tblCellMar>
          <w:top w:w="0" w:type="dxa"/>
          <w:left w:w="0" w:type="dxa"/>
          <w:bottom w:w="0" w:type="dxa"/>
          <w:right w:w="0" w:type="dxa"/>
        </w:tblCellMar>
      </w:tblPr>
      <w:tr>
        <w:trPr>
          <w:trHeight w:val="56"/>
        </w:trPr>
        <w:tc>
          <w:tcPr>
            <w:tcW w:w="4200" w:type="dxa"/>
            <w:vAlign w:val="bottom"/>
            <w:shd w:val="clear" w:color="auto" w:fill="0A248E"/>
          </w:tcPr>
          <w:p>
            <w:pPr>
              <w:spacing w:after="0"/>
              <w:rPr>
                <w:sz w:val="4"/>
                <w:szCs w:val="4"/>
                <w:color w:val="auto"/>
              </w:rPr>
            </w:pPr>
          </w:p>
        </w:tc>
        <w:tc>
          <w:tcPr>
            <w:tcW w:w="60" w:type="dxa"/>
            <w:vAlign w:val="bottom"/>
            <w:tcBorders>
              <w:right w:val="single" w:sz="8" w:color="0A248E"/>
            </w:tcBorders>
          </w:tcPr>
          <w:p>
            <w:pPr>
              <w:spacing w:after="0"/>
              <w:rPr>
                <w:sz w:val="4"/>
                <w:szCs w:val="4"/>
                <w:color w:val="auto"/>
              </w:rPr>
            </w:pPr>
          </w:p>
        </w:tc>
        <w:tc>
          <w:tcPr>
            <w:tcW w:w="3720" w:type="dxa"/>
            <w:vAlign w:val="bottom"/>
            <w:gridSpan w:val="7"/>
            <w:vMerge w:val="restart"/>
            <w:shd w:val="clear" w:color="auto" w:fill="0A248E"/>
          </w:tcPr>
          <w:p>
            <w:pPr>
              <w:ind w:left="480"/>
              <w:spacing w:after="0"/>
              <w:rPr>
                <w:sz w:val="20"/>
                <w:szCs w:val="20"/>
                <w:color w:val="auto"/>
              </w:rPr>
            </w:pPr>
            <w:r>
              <w:rPr>
                <w:rFonts w:ascii="Arial" w:cs="Arial" w:eastAsia="Arial" w:hAnsi="Arial"/>
                <w:sz w:val="15"/>
                <w:szCs w:val="15"/>
                <w:b w:val="1"/>
                <w:bCs w:val="1"/>
                <w:color w:val="FFFFFF"/>
              </w:rPr>
              <w:t>Amount and nature of beneficial ownership</w:t>
            </w:r>
          </w:p>
        </w:tc>
        <w:tc>
          <w:tcPr>
            <w:tcW w:w="480" w:type="dxa"/>
            <w:vAlign w:val="bottom"/>
            <w:shd w:val="clear" w:color="auto" w:fill="0A248E"/>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shd w:val="clear" w:color="auto" w:fill="0A248E"/>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4200" w:type="dxa"/>
            <w:vAlign w:val="bottom"/>
            <w:tcBorders>
              <w:bottom w:val="single" w:sz="8" w:color="0A248E"/>
            </w:tcBorders>
            <w:shd w:val="clear" w:color="auto" w:fill="0A248E"/>
          </w:tcPr>
          <w:p>
            <w:pPr>
              <w:spacing w:after="0"/>
              <w:rPr>
                <w:sz w:val="24"/>
                <w:szCs w:val="24"/>
                <w:color w:val="auto"/>
              </w:rPr>
            </w:pPr>
          </w:p>
        </w:tc>
        <w:tc>
          <w:tcPr>
            <w:tcW w:w="60" w:type="dxa"/>
            <w:vAlign w:val="bottom"/>
            <w:tcBorders>
              <w:bottom w:val="single" w:sz="8" w:color="0A248E"/>
              <w:right w:val="single" w:sz="8" w:color="0A248E"/>
            </w:tcBorders>
            <w:shd w:val="clear" w:color="auto" w:fill="0A248E"/>
          </w:tcPr>
          <w:p>
            <w:pPr>
              <w:spacing w:after="0"/>
              <w:rPr>
                <w:sz w:val="24"/>
                <w:szCs w:val="24"/>
                <w:color w:val="auto"/>
              </w:rPr>
            </w:pPr>
          </w:p>
        </w:tc>
        <w:tc>
          <w:tcPr>
            <w:tcW w:w="3720" w:type="dxa"/>
            <w:vAlign w:val="bottom"/>
            <w:tcBorders>
              <w:bottom w:val="single" w:sz="8" w:color="0A248E"/>
            </w:tcBorders>
            <w:gridSpan w:val="7"/>
            <w:vMerge w:val="continue"/>
            <w:shd w:val="clear" w:color="auto" w:fill="0A248E"/>
          </w:tcPr>
          <w:p>
            <w:pPr>
              <w:spacing w:after="0"/>
              <w:rPr>
                <w:sz w:val="24"/>
                <w:szCs w:val="24"/>
                <w:color w:val="auto"/>
              </w:rPr>
            </w:pPr>
          </w:p>
        </w:tc>
        <w:tc>
          <w:tcPr>
            <w:tcW w:w="480" w:type="dxa"/>
            <w:vAlign w:val="bottom"/>
            <w:tcBorders>
              <w:bottom w:val="single" w:sz="8" w:color="0A248E"/>
            </w:tcBorders>
            <w:shd w:val="clear" w:color="auto" w:fill="0A248E"/>
          </w:tcPr>
          <w:p>
            <w:pPr>
              <w:spacing w:after="0"/>
              <w:rPr>
                <w:sz w:val="24"/>
                <w:szCs w:val="24"/>
                <w:color w:val="auto"/>
              </w:rPr>
            </w:pPr>
          </w:p>
        </w:tc>
        <w:tc>
          <w:tcPr>
            <w:tcW w:w="40" w:type="dxa"/>
            <w:vAlign w:val="bottom"/>
            <w:tcBorders>
              <w:right w:val="single" w:sz="8" w:color="0A248E"/>
            </w:tcBorders>
          </w:tcPr>
          <w:p>
            <w:pPr>
              <w:spacing w:after="0"/>
              <w:rPr>
                <w:sz w:val="24"/>
                <w:szCs w:val="24"/>
                <w:color w:val="auto"/>
              </w:rPr>
            </w:pPr>
          </w:p>
        </w:tc>
        <w:tc>
          <w:tcPr>
            <w:tcW w:w="114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200" w:type="dxa"/>
            <w:vAlign w:val="bottom"/>
            <w:tcBorders>
              <w:bottom w:val="single" w:sz="8" w:color="0A248E"/>
            </w:tcBorders>
            <w:shd w:val="clear" w:color="auto" w:fill="0A248E"/>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Borders>
              <w:bottom w:val="single" w:sz="8" w:color="0A248E"/>
            </w:tcBorders>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0A248E"/>
            </w:tcBorders>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bottom w:val="single" w:sz="8" w:color="0A248E"/>
            </w:tcBorders>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bottom w:val="single" w:sz="8" w:color="0A248E"/>
            </w:tcBorders>
          </w:tcPr>
          <w:p>
            <w:pPr>
              <w:spacing w:after="0"/>
              <w:rPr>
                <w:sz w:val="3"/>
                <w:szCs w:val="3"/>
                <w:color w:val="auto"/>
              </w:rPr>
            </w:pPr>
          </w:p>
        </w:tc>
        <w:tc>
          <w:tcPr>
            <w:tcW w:w="480" w:type="dxa"/>
            <w:vAlign w:val="bottom"/>
            <w:tcBorders>
              <w:bottom w:val="single" w:sz="8" w:color="0A248E"/>
            </w:tcBorders>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Borders>
              <w:bottom w:val="single" w:sz="8" w:color="0A248E"/>
            </w:tcBorders>
            <w:shd w:val="clear" w:color="auto" w:fill="0A248E"/>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4200" w:type="dxa"/>
            <w:vAlign w:val="bottom"/>
            <w:shd w:val="clear" w:color="auto" w:fill="0A248E"/>
          </w:tcPr>
          <w:p>
            <w:pPr>
              <w:spacing w:after="0"/>
              <w:rPr>
                <w:sz w:val="21"/>
                <w:szCs w:val="21"/>
                <w:color w:val="auto"/>
              </w:rPr>
            </w:pPr>
          </w:p>
        </w:tc>
        <w:tc>
          <w:tcPr>
            <w:tcW w:w="60" w:type="dxa"/>
            <w:vAlign w:val="bottom"/>
            <w:tcBorders>
              <w:right w:val="single" w:sz="8" w:color="0A248E"/>
            </w:tcBorders>
          </w:tcPr>
          <w:p>
            <w:pPr>
              <w:spacing w:after="0"/>
              <w:rPr>
                <w:sz w:val="21"/>
                <w:szCs w:val="21"/>
                <w:color w:val="auto"/>
              </w:rPr>
            </w:pPr>
          </w:p>
        </w:tc>
        <w:tc>
          <w:tcPr>
            <w:tcW w:w="128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Class A</w:t>
            </w:r>
          </w:p>
        </w:tc>
        <w:tc>
          <w:tcPr>
            <w:tcW w:w="40" w:type="dxa"/>
            <w:vAlign w:val="bottom"/>
            <w:tcBorders>
              <w:left w:val="single" w:sz="8" w:color="0A248E"/>
            </w:tcBorders>
          </w:tcPr>
          <w:p>
            <w:pPr>
              <w:spacing w:after="0"/>
              <w:rPr>
                <w:sz w:val="21"/>
                <w:szCs w:val="21"/>
                <w:color w:val="auto"/>
              </w:rPr>
            </w:pPr>
          </w:p>
        </w:tc>
        <w:tc>
          <w:tcPr>
            <w:tcW w:w="740" w:type="dxa"/>
            <w:vAlign w:val="bottom"/>
            <w:shd w:val="clear" w:color="auto" w:fill="0A248E"/>
          </w:tcPr>
          <w:p>
            <w:pPr>
              <w:spacing w:after="0"/>
              <w:rPr>
                <w:sz w:val="21"/>
                <w:szCs w:val="21"/>
                <w:color w:val="auto"/>
              </w:rPr>
            </w:pPr>
          </w:p>
        </w:tc>
        <w:tc>
          <w:tcPr>
            <w:tcW w:w="40" w:type="dxa"/>
            <w:vAlign w:val="bottom"/>
            <w:tcBorders>
              <w:left w:val="single" w:sz="8" w:color="0A248E"/>
            </w:tcBorders>
          </w:tcPr>
          <w:p>
            <w:pPr>
              <w:spacing w:after="0"/>
              <w:rPr>
                <w:sz w:val="21"/>
                <w:szCs w:val="21"/>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Class B</w:t>
            </w:r>
          </w:p>
        </w:tc>
        <w:tc>
          <w:tcPr>
            <w:tcW w:w="40" w:type="dxa"/>
            <w:vAlign w:val="bottom"/>
            <w:tcBorders>
              <w:left w:val="single" w:sz="8" w:color="0A248E"/>
            </w:tcBorders>
          </w:tcPr>
          <w:p>
            <w:pPr>
              <w:spacing w:after="0"/>
              <w:rPr>
                <w:sz w:val="21"/>
                <w:szCs w:val="21"/>
                <w:color w:val="auto"/>
              </w:rPr>
            </w:pPr>
          </w:p>
        </w:tc>
        <w:tc>
          <w:tcPr>
            <w:tcW w:w="260" w:type="dxa"/>
            <w:vAlign w:val="bottom"/>
            <w:shd w:val="clear" w:color="auto" w:fill="0A248E"/>
          </w:tcPr>
          <w:p>
            <w:pPr>
              <w:spacing w:after="0"/>
              <w:rPr>
                <w:sz w:val="21"/>
                <w:szCs w:val="21"/>
                <w:color w:val="auto"/>
              </w:rPr>
            </w:pPr>
          </w:p>
        </w:tc>
        <w:tc>
          <w:tcPr>
            <w:tcW w:w="480" w:type="dxa"/>
            <w:vAlign w:val="bottom"/>
            <w:shd w:val="clear" w:color="auto" w:fill="0A248E"/>
          </w:tcPr>
          <w:p>
            <w:pPr>
              <w:spacing w:after="0"/>
              <w:rPr>
                <w:sz w:val="21"/>
                <w:szCs w:val="21"/>
                <w:color w:val="auto"/>
              </w:rPr>
            </w:pPr>
          </w:p>
        </w:tc>
        <w:tc>
          <w:tcPr>
            <w:tcW w:w="40" w:type="dxa"/>
            <w:vAlign w:val="bottom"/>
            <w:tcBorders>
              <w:right w:val="single" w:sz="8" w:color="0A248E"/>
            </w:tcBorders>
          </w:tcPr>
          <w:p>
            <w:pPr>
              <w:spacing w:after="0"/>
              <w:rPr>
                <w:sz w:val="21"/>
                <w:szCs w:val="21"/>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 of total</w:t>
            </w:r>
          </w:p>
        </w:tc>
        <w:tc>
          <w:tcPr>
            <w:tcW w:w="0" w:type="dxa"/>
            <w:vAlign w:val="bottom"/>
          </w:tcPr>
          <w:p>
            <w:pPr>
              <w:spacing w:after="0"/>
              <w:rPr>
                <w:sz w:val="1"/>
                <w:szCs w:val="1"/>
                <w:color w:val="auto"/>
              </w:rPr>
            </w:pPr>
          </w:p>
        </w:tc>
      </w:tr>
      <w:tr>
        <w:trPr>
          <w:trHeight w:val="244"/>
        </w:trPr>
        <w:tc>
          <w:tcPr>
            <w:tcW w:w="4200" w:type="dxa"/>
            <w:vAlign w:val="bottom"/>
            <w:shd w:val="clear" w:color="auto" w:fill="0A248E"/>
          </w:tcPr>
          <w:p>
            <w:pPr>
              <w:ind w:left="100"/>
              <w:spacing w:after="0"/>
              <w:rPr>
                <w:sz w:val="20"/>
                <w:szCs w:val="20"/>
                <w:color w:val="auto"/>
              </w:rPr>
            </w:pPr>
            <w:r>
              <w:rPr>
                <w:rFonts w:ascii="Arial" w:cs="Arial" w:eastAsia="Arial" w:hAnsi="Arial"/>
                <w:sz w:val="15"/>
                <w:szCs w:val="15"/>
                <w:b w:val="1"/>
                <w:bCs w:val="1"/>
                <w:color w:val="FFFFFF"/>
              </w:rPr>
              <w:t>Name of beneficial owner</w:t>
            </w:r>
          </w:p>
        </w:tc>
        <w:tc>
          <w:tcPr>
            <w:tcW w:w="60" w:type="dxa"/>
            <w:vAlign w:val="bottom"/>
            <w:tcBorders>
              <w:right w:val="single" w:sz="8" w:color="0A248E"/>
            </w:tcBorders>
          </w:tcPr>
          <w:p>
            <w:pPr>
              <w:spacing w:after="0"/>
              <w:rPr>
                <w:sz w:val="21"/>
                <w:szCs w:val="21"/>
                <w:color w:val="auto"/>
              </w:rPr>
            </w:pPr>
          </w:p>
        </w:tc>
        <w:tc>
          <w:tcPr>
            <w:tcW w:w="128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shd w:val="clear" w:color="auto" w:fill="0A248E"/>
              </w:rPr>
              <w:t>Common Stock</w:t>
            </w:r>
          </w:p>
        </w:tc>
        <w:tc>
          <w:tcPr>
            <w:tcW w:w="40" w:type="dxa"/>
            <w:vAlign w:val="bottom"/>
            <w:tcBorders>
              <w:left w:val="single" w:sz="8" w:color="0A248E"/>
            </w:tcBorders>
          </w:tcPr>
          <w:p>
            <w:pPr>
              <w:spacing w:after="0"/>
              <w:rPr>
                <w:sz w:val="21"/>
                <w:szCs w:val="21"/>
                <w:color w:val="auto"/>
              </w:rPr>
            </w:pPr>
          </w:p>
        </w:tc>
        <w:tc>
          <w:tcPr>
            <w:tcW w:w="740" w:type="dxa"/>
            <w:vAlign w:val="bottom"/>
            <w:shd w:val="clear" w:color="auto" w:fill="0A248E"/>
          </w:tcPr>
          <w:p>
            <w:pPr>
              <w:jc w:val="right"/>
              <w:ind w:right="214"/>
              <w:spacing w:after="0"/>
              <w:rPr>
                <w:sz w:val="20"/>
                <w:szCs w:val="20"/>
                <w:color w:val="auto"/>
              </w:rPr>
            </w:pPr>
            <w:r>
              <w:rPr>
                <w:rFonts w:ascii="Arial" w:cs="Arial" w:eastAsia="Arial" w:hAnsi="Arial"/>
                <w:sz w:val="15"/>
                <w:szCs w:val="15"/>
                <w:b w:val="1"/>
                <w:bCs w:val="1"/>
                <w:color w:val="FFFFFF"/>
              </w:rPr>
              <w:t>%</w:t>
            </w:r>
          </w:p>
        </w:tc>
        <w:tc>
          <w:tcPr>
            <w:tcW w:w="40" w:type="dxa"/>
            <w:vAlign w:val="bottom"/>
            <w:tcBorders>
              <w:left w:val="single" w:sz="8" w:color="0A248E"/>
            </w:tcBorders>
          </w:tcPr>
          <w:p>
            <w:pPr>
              <w:spacing w:after="0"/>
              <w:rPr>
                <w:sz w:val="21"/>
                <w:szCs w:val="21"/>
                <w:color w:val="auto"/>
              </w:rPr>
            </w:pPr>
          </w:p>
        </w:tc>
        <w:tc>
          <w:tcPr>
            <w:tcW w:w="132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Common Stock</w:t>
            </w:r>
            <w:r>
              <w:rPr>
                <w:rFonts w:ascii="Arial" w:cs="Arial" w:eastAsia="Arial" w:hAnsi="Arial"/>
                <w:sz w:val="19"/>
                <w:szCs w:val="19"/>
                <w:b w:val="1"/>
                <w:bCs w:val="1"/>
                <w:color w:val="FFFFFF"/>
                <w:vertAlign w:val="superscript"/>
              </w:rPr>
              <w:t>†</w:t>
            </w:r>
          </w:p>
        </w:tc>
        <w:tc>
          <w:tcPr>
            <w:tcW w:w="40" w:type="dxa"/>
            <w:vAlign w:val="bottom"/>
            <w:tcBorders>
              <w:left w:val="single" w:sz="8" w:color="0A248E"/>
            </w:tcBorders>
          </w:tcPr>
          <w:p>
            <w:pPr>
              <w:spacing w:after="0"/>
              <w:rPr>
                <w:sz w:val="21"/>
                <w:szCs w:val="21"/>
                <w:color w:val="auto"/>
              </w:rPr>
            </w:pPr>
          </w:p>
        </w:tc>
        <w:tc>
          <w:tcPr>
            <w:tcW w:w="260" w:type="dxa"/>
            <w:vAlign w:val="bottom"/>
            <w:shd w:val="clear" w:color="auto" w:fill="0A248E"/>
          </w:tcPr>
          <w:p>
            <w:pPr>
              <w:spacing w:after="0"/>
              <w:rPr>
                <w:sz w:val="21"/>
                <w:szCs w:val="21"/>
                <w:color w:val="auto"/>
              </w:rPr>
            </w:pPr>
          </w:p>
        </w:tc>
        <w:tc>
          <w:tcPr>
            <w:tcW w:w="480" w:type="dxa"/>
            <w:vAlign w:val="bottom"/>
            <w:shd w:val="clear" w:color="auto" w:fill="0A248E"/>
          </w:tcPr>
          <w:p>
            <w:pPr>
              <w:ind w:left="40"/>
              <w:spacing w:after="0"/>
              <w:rPr>
                <w:sz w:val="20"/>
                <w:szCs w:val="20"/>
                <w:color w:val="auto"/>
              </w:rPr>
            </w:pPr>
            <w:r>
              <w:rPr>
                <w:rFonts w:ascii="Arial" w:cs="Arial" w:eastAsia="Arial" w:hAnsi="Arial"/>
                <w:sz w:val="15"/>
                <w:szCs w:val="15"/>
                <w:b w:val="1"/>
                <w:bCs w:val="1"/>
                <w:color w:val="FFFFFF"/>
              </w:rPr>
              <w:t>%</w:t>
            </w:r>
          </w:p>
        </w:tc>
        <w:tc>
          <w:tcPr>
            <w:tcW w:w="40" w:type="dxa"/>
            <w:vAlign w:val="bottom"/>
            <w:tcBorders>
              <w:right w:val="single" w:sz="8" w:color="0A248E"/>
            </w:tcBorders>
          </w:tcPr>
          <w:p>
            <w:pPr>
              <w:spacing w:after="0"/>
              <w:rPr>
                <w:sz w:val="21"/>
                <w:szCs w:val="21"/>
                <w:color w:val="auto"/>
              </w:rPr>
            </w:pPr>
          </w:p>
        </w:tc>
        <w:tc>
          <w:tcPr>
            <w:tcW w:w="1140" w:type="dxa"/>
            <w:vAlign w:val="bottom"/>
            <w:shd w:val="clear" w:color="auto" w:fill="0A248E"/>
          </w:tcPr>
          <w:p>
            <w:pPr>
              <w:jc w:val="center"/>
              <w:spacing w:after="0"/>
              <w:rPr>
                <w:sz w:val="20"/>
                <w:szCs w:val="20"/>
                <w:color w:val="auto"/>
              </w:rPr>
            </w:pPr>
            <w:r>
              <w:rPr>
                <w:rFonts w:ascii="Arial" w:cs="Arial" w:eastAsia="Arial" w:hAnsi="Arial"/>
                <w:sz w:val="15"/>
                <w:szCs w:val="15"/>
                <w:b w:val="1"/>
                <w:bCs w:val="1"/>
                <w:color w:val="FFFFFF"/>
              </w:rPr>
              <w:t>voting power</w:t>
            </w:r>
            <w:r>
              <w:rPr>
                <w:rFonts w:ascii="Arial" w:cs="Arial" w:eastAsia="Arial" w:hAnsi="Arial"/>
                <w:sz w:val="19"/>
                <w:szCs w:val="19"/>
                <w:b w:val="1"/>
                <w:bCs w:val="1"/>
                <w:color w:val="FFFFFF"/>
                <w:vertAlign w:val="superscript"/>
              </w:rPr>
              <w:t>#</w:t>
            </w:r>
          </w:p>
        </w:tc>
        <w:tc>
          <w:tcPr>
            <w:tcW w:w="0" w:type="dxa"/>
            <w:vAlign w:val="bottom"/>
          </w:tcPr>
          <w:p>
            <w:pPr>
              <w:spacing w:after="0"/>
              <w:rPr>
                <w:sz w:val="1"/>
                <w:szCs w:val="1"/>
                <w:color w:val="auto"/>
              </w:rPr>
            </w:pPr>
          </w:p>
        </w:tc>
      </w:tr>
      <w:tr>
        <w:trPr>
          <w:trHeight w:val="61"/>
        </w:trPr>
        <w:tc>
          <w:tcPr>
            <w:tcW w:w="4200" w:type="dxa"/>
            <w:vAlign w:val="bottom"/>
            <w:shd w:val="clear" w:color="auto" w:fill="0A248E"/>
          </w:tcPr>
          <w:p>
            <w:pPr>
              <w:spacing w:after="0"/>
              <w:rPr>
                <w:sz w:val="5"/>
                <w:szCs w:val="5"/>
                <w:color w:val="auto"/>
              </w:rPr>
            </w:pPr>
          </w:p>
        </w:tc>
        <w:tc>
          <w:tcPr>
            <w:tcW w:w="60" w:type="dxa"/>
            <w:vAlign w:val="bottom"/>
            <w:tcBorders>
              <w:right w:val="single" w:sz="8" w:color="0A248E"/>
            </w:tcBorders>
          </w:tcPr>
          <w:p>
            <w:pPr>
              <w:spacing w:after="0"/>
              <w:rPr>
                <w:sz w:val="5"/>
                <w:szCs w:val="5"/>
                <w:color w:val="auto"/>
              </w:rPr>
            </w:pPr>
          </w:p>
        </w:tc>
        <w:tc>
          <w:tcPr>
            <w:tcW w:w="128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shd w:val="clear" w:color="auto" w:fill="0A248E"/>
          </w:tcPr>
          <w:p>
            <w:pPr>
              <w:spacing w:after="0"/>
              <w:rPr>
                <w:sz w:val="5"/>
                <w:szCs w:val="5"/>
                <w:color w:val="auto"/>
              </w:rPr>
            </w:pPr>
          </w:p>
        </w:tc>
        <w:tc>
          <w:tcPr>
            <w:tcW w:w="480" w:type="dxa"/>
            <w:vAlign w:val="bottom"/>
            <w:shd w:val="clear" w:color="auto" w:fill="0A248E"/>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420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auto"/>
              </w:rPr>
              <w:t>Greater than 5% stockholders</w:t>
            </w:r>
          </w:p>
        </w:tc>
        <w:tc>
          <w:tcPr>
            <w:tcW w:w="60" w:type="dxa"/>
            <w:vAlign w:val="bottom"/>
            <w:tcBorders>
              <w:right w:val="single" w:sz="8" w:color="E6E6E6"/>
            </w:tcBorders>
          </w:tcPr>
          <w:p>
            <w:pPr>
              <w:spacing w:after="0"/>
              <w:rPr>
                <w:sz w:val="23"/>
                <w:szCs w:val="23"/>
                <w:color w:val="auto"/>
              </w:rPr>
            </w:pPr>
          </w:p>
        </w:tc>
        <w:tc>
          <w:tcPr>
            <w:tcW w:w="1280" w:type="dxa"/>
            <w:vAlign w:val="bottom"/>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480" w:type="dxa"/>
            <w:vAlign w:val="bottom"/>
            <w:shd w:val="clear" w:color="auto" w:fill="E6E6E6"/>
          </w:tcPr>
          <w:p>
            <w:pPr>
              <w:spacing w:after="0"/>
              <w:rPr>
                <w:sz w:val="23"/>
                <w:szCs w:val="23"/>
                <w:color w:val="auto"/>
              </w:rPr>
            </w:pPr>
          </w:p>
        </w:tc>
        <w:tc>
          <w:tcPr>
            <w:tcW w:w="40" w:type="dxa"/>
            <w:vAlign w:val="bottom"/>
            <w:tcBorders>
              <w:right w:val="single" w:sz="8" w:color="E6E6E6"/>
            </w:tcBorders>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00"/>
              <w:spacing w:after="0" w:line="234" w:lineRule="exact"/>
              <w:rPr>
                <w:sz w:val="20"/>
                <w:szCs w:val="20"/>
                <w:color w:val="auto"/>
              </w:rPr>
            </w:pPr>
            <w:r>
              <w:rPr>
                <w:rFonts w:ascii="Arial" w:cs="Arial" w:eastAsia="Arial" w:hAnsi="Arial"/>
                <w:sz w:val="18"/>
                <w:szCs w:val="18"/>
                <w:color w:val="auto"/>
              </w:rPr>
              <w:t>Entities affiliated with The Vanguard Group</w:t>
            </w:r>
            <w:r>
              <w:rPr>
                <w:rFonts w:ascii="Arial" w:cs="Arial" w:eastAsia="Arial" w:hAnsi="Arial"/>
                <w:sz w:val="23"/>
                <w:szCs w:val="23"/>
                <w:color w:val="auto"/>
                <w:vertAlign w:val="superscript"/>
              </w:rPr>
              <w:t>(3)</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27,494,824</w:t>
            </w:r>
          </w:p>
        </w:tc>
        <w:tc>
          <w:tcPr>
            <w:tcW w:w="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16.84</w:t>
            </w:r>
          </w:p>
        </w:tc>
        <w:tc>
          <w:tcPr>
            <w:tcW w:w="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3.00</w:t>
            </w:r>
          </w:p>
        </w:tc>
        <w:tc>
          <w:tcPr>
            <w:tcW w:w="0" w:type="dxa"/>
            <w:vAlign w:val="bottom"/>
          </w:tcPr>
          <w:p>
            <w:pPr>
              <w:spacing w:after="0"/>
              <w:rPr>
                <w:sz w:val="1"/>
                <w:szCs w:val="1"/>
                <w:color w:val="auto"/>
              </w:rPr>
            </w:pPr>
          </w:p>
        </w:tc>
      </w:tr>
      <w:tr>
        <w:trPr>
          <w:trHeight w:val="234"/>
        </w:trPr>
        <w:tc>
          <w:tcPr>
            <w:tcW w:w="4200" w:type="dxa"/>
            <w:vAlign w:val="bottom"/>
            <w:shd w:val="clear" w:color="auto" w:fill="E6E6E6"/>
          </w:tcPr>
          <w:p>
            <w:pPr>
              <w:ind w:left="100"/>
              <w:spacing w:after="0" w:line="230" w:lineRule="exact"/>
              <w:rPr>
                <w:sz w:val="20"/>
                <w:szCs w:val="20"/>
                <w:color w:val="auto"/>
              </w:rPr>
            </w:pPr>
            <w:r>
              <w:rPr>
                <w:rFonts w:ascii="Arial" w:cs="Arial" w:eastAsia="Arial" w:hAnsi="Arial"/>
                <w:sz w:val="18"/>
                <w:szCs w:val="18"/>
                <w:color w:val="auto"/>
              </w:rPr>
              <w:t>Entities affiliated with BlackRock, Inc.</w:t>
            </w:r>
            <w:r>
              <w:rPr>
                <w:rFonts w:ascii="Arial" w:cs="Arial" w:eastAsia="Arial" w:hAnsi="Arial"/>
                <w:sz w:val="23"/>
                <w:szCs w:val="23"/>
                <w:color w:val="auto"/>
                <w:vertAlign w:val="superscript"/>
              </w:rPr>
              <w:t>(4)</w:t>
            </w:r>
          </w:p>
        </w:tc>
        <w:tc>
          <w:tcPr>
            <w:tcW w:w="60" w:type="dxa"/>
            <w:vAlign w:val="bottom"/>
            <w:tcBorders>
              <w:right w:val="single" w:sz="8" w:color="E6E6E6"/>
            </w:tcBorders>
          </w:tcPr>
          <w:p>
            <w:pPr>
              <w:spacing w:after="0"/>
              <w:rPr>
                <w:sz w:val="20"/>
                <w:szCs w:val="20"/>
                <w:color w:val="auto"/>
              </w:rPr>
            </w:pPr>
          </w:p>
        </w:tc>
        <w:tc>
          <w:tcPr>
            <w:tcW w:w="12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21,859,416</w:t>
            </w:r>
          </w:p>
        </w:tc>
        <w:tc>
          <w:tcPr>
            <w:tcW w:w="40" w:type="dxa"/>
            <w:vAlign w:val="bottom"/>
            <w:tcBorders>
              <w:left w:val="single" w:sz="8" w:color="E6E6E6"/>
            </w:tcBorders>
          </w:tcPr>
          <w:p>
            <w:pPr>
              <w:spacing w:after="0"/>
              <w:rPr>
                <w:sz w:val="20"/>
                <w:szCs w:val="20"/>
                <w:color w:val="auto"/>
              </w:rPr>
            </w:pPr>
          </w:p>
        </w:tc>
        <w:tc>
          <w:tcPr>
            <w:tcW w:w="7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13.39</w:t>
            </w:r>
          </w:p>
        </w:tc>
        <w:tc>
          <w:tcPr>
            <w:tcW w:w="40" w:type="dxa"/>
            <w:vAlign w:val="bottom"/>
            <w:tcBorders>
              <w:left w:val="single" w:sz="8" w:color="E6E6E6"/>
            </w:tcBorders>
          </w:tcPr>
          <w:p>
            <w:pPr>
              <w:spacing w:after="0"/>
              <w:rPr>
                <w:sz w:val="20"/>
                <w:szCs w:val="20"/>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Borders>
              <w:left w:val="single" w:sz="8" w:color="E6E6E6"/>
            </w:tcBorders>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48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E6E6E6"/>
            </w:tcBorders>
            <w:shd w:val="clear" w:color="auto" w:fill="E6E6E6"/>
          </w:tcPr>
          <w:p>
            <w:pPr>
              <w:spacing w:after="0"/>
              <w:rPr>
                <w:sz w:val="20"/>
                <w:szCs w:val="20"/>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6"/>
              </w:rPr>
              <w:t>2.38</w:t>
            </w:r>
          </w:p>
        </w:tc>
        <w:tc>
          <w:tcPr>
            <w:tcW w:w="0" w:type="dxa"/>
            <w:vAlign w:val="bottom"/>
          </w:tcPr>
          <w:p>
            <w:pPr>
              <w:spacing w:after="0"/>
              <w:rPr>
                <w:sz w:val="1"/>
                <w:szCs w:val="1"/>
                <w:color w:val="auto"/>
              </w:rPr>
            </w:pPr>
          </w:p>
        </w:tc>
      </w:tr>
      <w:tr>
        <w:trPr>
          <w:trHeight w:val="229"/>
        </w:trPr>
        <w:tc>
          <w:tcPr>
            <w:tcW w:w="4200" w:type="dxa"/>
            <w:vAlign w:val="bottom"/>
          </w:tcPr>
          <w:p>
            <w:pPr>
              <w:ind w:left="100"/>
              <w:spacing w:after="0" w:line="230" w:lineRule="exact"/>
              <w:rPr>
                <w:sz w:val="20"/>
                <w:szCs w:val="20"/>
                <w:color w:val="auto"/>
              </w:rPr>
            </w:pPr>
            <w:r>
              <w:rPr>
                <w:rFonts w:ascii="Arial" w:cs="Arial" w:eastAsia="Arial" w:hAnsi="Arial"/>
                <w:sz w:val="18"/>
                <w:szCs w:val="18"/>
                <w:color w:val="auto"/>
              </w:rPr>
              <w:t>LSV Asset Management</w:t>
            </w:r>
            <w:r>
              <w:rPr>
                <w:rFonts w:ascii="Arial" w:cs="Arial" w:eastAsia="Arial" w:hAnsi="Arial"/>
                <w:sz w:val="23"/>
                <w:szCs w:val="23"/>
                <w:color w:val="auto"/>
                <w:vertAlign w:val="superscript"/>
              </w:rPr>
              <w:t>(5)</w:t>
            </w:r>
          </w:p>
        </w:tc>
        <w:tc>
          <w:tcPr>
            <w:tcW w:w="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11,613,642</w:t>
            </w:r>
          </w:p>
        </w:tc>
        <w:tc>
          <w:tcPr>
            <w:tcW w:w="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7.11</w:t>
            </w:r>
          </w:p>
        </w:tc>
        <w:tc>
          <w:tcPr>
            <w:tcW w:w="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1.27</w:t>
            </w:r>
          </w:p>
        </w:tc>
        <w:tc>
          <w:tcPr>
            <w:tcW w:w="0" w:type="dxa"/>
            <w:vAlign w:val="bottom"/>
          </w:tcPr>
          <w:p>
            <w:pPr>
              <w:spacing w:after="0"/>
              <w:rPr>
                <w:sz w:val="1"/>
                <w:szCs w:val="1"/>
                <w:color w:val="auto"/>
              </w:rPr>
            </w:pPr>
          </w:p>
        </w:tc>
      </w:tr>
      <w:tr>
        <w:trPr>
          <w:trHeight w:val="234"/>
        </w:trPr>
        <w:tc>
          <w:tcPr>
            <w:tcW w:w="4200" w:type="dxa"/>
            <w:vAlign w:val="bottom"/>
            <w:shd w:val="clear" w:color="auto" w:fill="E6E6E6"/>
          </w:tcPr>
          <w:p>
            <w:pPr>
              <w:ind w:left="100"/>
              <w:spacing w:after="0" w:line="234" w:lineRule="exact"/>
              <w:rPr>
                <w:sz w:val="20"/>
                <w:szCs w:val="20"/>
                <w:color w:val="auto"/>
              </w:rPr>
            </w:pPr>
            <w:r>
              <w:rPr>
                <w:rFonts w:ascii="Arial" w:cs="Arial" w:eastAsia="Arial" w:hAnsi="Arial"/>
                <w:sz w:val="18"/>
                <w:szCs w:val="18"/>
                <w:color w:val="auto"/>
              </w:rPr>
              <w:t>Renaissance Technologies LLC</w:t>
            </w:r>
            <w:r>
              <w:rPr>
                <w:rFonts w:ascii="Arial" w:cs="Arial" w:eastAsia="Arial" w:hAnsi="Arial"/>
                <w:sz w:val="23"/>
                <w:szCs w:val="23"/>
                <w:color w:val="auto"/>
                <w:vertAlign w:val="superscript"/>
              </w:rPr>
              <w:t>(6)</w:t>
            </w:r>
          </w:p>
        </w:tc>
        <w:tc>
          <w:tcPr>
            <w:tcW w:w="1340" w:type="dxa"/>
            <w:vAlign w:val="bottom"/>
            <w:gridSpan w:val="2"/>
            <w:shd w:val="clear" w:color="auto" w:fill="E6E6E6"/>
          </w:tcPr>
          <w:p>
            <w:pPr>
              <w:jc w:val="center"/>
              <w:spacing w:after="0"/>
              <w:rPr>
                <w:sz w:val="20"/>
                <w:szCs w:val="20"/>
                <w:color w:val="auto"/>
              </w:rPr>
            </w:pPr>
            <w:r>
              <w:rPr>
                <w:rFonts w:ascii="Arial" w:cs="Arial" w:eastAsia="Arial" w:hAnsi="Arial"/>
                <w:sz w:val="18"/>
                <w:szCs w:val="18"/>
                <w:color w:val="auto"/>
                <w:w w:val="97"/>
              </w:rPr>
              <w:t>8,376,364</w:t>
            </w:r>
          </w:p>
        </w:tc>
        <w:tc>
          <w:tcPr>
            <w:tcW w:w="780" w:type="dxa"/>
            <w:vAlign w:val="bottom"/>
            <w:tcBorders>
              <w:left w:val="single" w:sz="8" w:color="E6E6E6"/>
            </w:tcBorders>
            <w:gridSpan w:val="2"/>
            <w:shd w:val="clear" w:color="auto" w:fill="E6E6E6"/>
          </w:tcPr>
          <w:p>
            <w:pPr>
              <w:jc w:val="center"/>
              <w:spacing w:after="0"/>
              <w:rPr>
                <w:sz w:val="20"/>
                <w:szCs w:val="20"/>
                <w:color w:val="auto"/>
              </w:rPr>
            </w:pPr>
            <w:r>
              <w:rPr>
                <w:rFonts w:ascii="Arial" w:cs="Arial" w:eastAsia="Arial" w:hAnsi="Arial"/>
                <w:sz w:val="18"/>
                <w:szCs w:val="18"/>
                <w:color w:val="auto"/>
                <w:w w:val="96"/>
              </w:rPr>
              <w:t>5.13</w:t>
            </w:r>
          </w:p>
        </w:tc>
        <w:tc>
          <w:tcPr>
            <w:tcW w:w="40" w:type="dxa"/>
            <w:vAlign w:val="bottom"/>
            <w:tcBorders>
              <w:left w:val="single" w:sz="8" w:color="E6E6E6"/>
            </w:tcBorders>
          </w:tcPr>
          <w:p>
            <w:pPr>
              <w:spacing w:after="0"/>
              <w:rPr>
                <w:sz w:val="20"/>
                <w:szCs w:val="20"/>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Borders>
              <w:left w:val="single" w:sz="8" w:color="E6E6E6"/>
            </w:tcBorders>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480" w:type="dxa"/>
            <w:vAlign w:val="bottom"/>
            <w:shd w:val="clear" w:color="auto" w:fill="E6E6E6"/>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E6E6E6"/>
            </w:tcBorders>
            <w:shd w:val="clear" w:color="auto" w:fill="E6E6E6"/>
          </w:tcPr>
          <w:p>
            <w:pPr>
              <w:spacing w:after="0"/>
              <w:rPr>
                <w:sz w:val="20"/>
                <w:szCs w:val="20"/>
                <w:color w:val="auto"/>
              </w:rPr>
            </w:pPr>
          </w:p>
        </w:tc>
        <w:tc>
          <w:tcPr>
            <w:tcW w:w="11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6"/>
              </w:rPr>
              <w:t>0.91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5378450</wp:posOffset>
                </wp:positionH>
                <wp:positionV relativeFrom="paragraph">
                  <wp:posOffset>-1405255</wp:posOffset>
                </wp:positionV>
                <wp:extent cx="17780" cy="3556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5560"/>
                        </a:xfrm>
                        <a:prstGeom prst="rect">
                          <a:avLst/>
                        </a:prstGeom>
                        <a:solidFill>
                          <a:srgbClr val="FFFFFF"/>
                        </a:solidFill>
                      </wps:spPr>
                      <wps:bodyPr/>
                    </wps:wsp>
                  </a:graphicData>
                </a:graphic>
              </wp:anchor>
            </w:drawing>
          </mc:Choice>
          <mc:Fallback>
            <w:pict>
              <v:rect id="Shape 372" o:spid="_x0000_s1397" style="position:absolute;margin-left:423.5pt;margin-top:-110.6499pt;width:1.4pt;height: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2674620</wp:posOffset>
                </wp:positionH>
                <wp:positionV relativeFrom="paragraph">
                  <wp:posOffset>-1369695</wp:posOffset>
                </wp:positionV>
                <wp:extent cx="0" cy="18415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pt,-107.8499pt" to="210.6pt,-93.3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-1369695</wp:posOffset>
                </wp:positionV>
                <wp:extent cx="0" cy="18415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107.8499pt" to="424.2pt,-93.3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2674620</wp:posOffset>
                </wp:positionH>
                <wp:positionV relativeFrom="paragraph">
                  <wp:posOffset>-1111250</wp:posOffset>
                </wp:positionV>
                <wp:extent cx="0" cy="31242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242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pt,-87.4999pt" to="210.6pt,-62.8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3538855</wp:posOffset>
                </wp:positionH>
                <wp:positionV relativeFrom="paragraph">
                  <wp:posOffset>-1111250</wp:posOffset>
                </wp:positionV>
                <wp:extent cx="0" cy="31242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242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65pt,-87.4999pt" to="278.65pt,-62.8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4029710</wp:posOffset>
                </wp:positionH>
                <wp:positionV relativeFrom="paragraph">
                  <wp:posOffset>-1111250</wp:posOffset>
                </wp:positionV>
                <wp:extent cx="0" cy="31242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242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3pt,-87.4999pt" to="317.3pt,-62.89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4894580</wp:posOffset>
                </wp:positionH>
                <wp:positionV relativeFrom="paragraph">
                  <wp:posOffset>-1111250</wp:posOffset>
                </wp:positionV>
                <wp:extent cx="0" cy="31242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242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4pt,-87.4999pt" to="385.4pt,-62.89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2674620</wp:posOffset>
                </wp:positionH>
                <wp:positionV relativeFrom="paragraph">
                  <wp:posOffset>-760730</wp:posOffset>
                </wp:positionV>
                <wp:extent cx="0" cy="169545"/>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954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pt,-59.8999pt" to="210.6pt,-46.5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-1111250</wp:posOffset>
                </wp:positionV>
                <wp:extent cx="0" cy="520065"/>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06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87.4999pt" to="424.2pt,-46.5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2674620</wp:posOffset>
                </wp:positionH>
                <wp:positionV relativeFrom="paragraph">
                  <wp:posOffset>-442595</wp:posOffset>
                </wp:positionV>
                <wp:extent cx="0" cy="14859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5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pt,-34.8499pt" to="210.6pt,-23.1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3538855</wp:posOffset>
                </wp:positionH>
                <wp:positionV relativeFrom="paragraph">
                  <wp:posOffset>-442595</wp:posOffset>
                </wp:positionV>
                <wp:extent cx="0" cy="14859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5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65pt,-34.8499pt" to="278.65pt,-23.1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4029710</wp:posOffset>
                </wp:positionH>
                <wp:positionV relativeFrom="paragraph">
                  <wp:posOffset>-442595</wp:posOffset>
                </wp:positionV>
                <wp:extent cx="0" cy="14859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5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3pt,-34.8499pt" to="317.3pt,-23.1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4894580</wp:posOffset>
                </wp:positionH>
                <wp:positionV relativeFrom="paragraph">
                  <wp:posOffset>-442595</wp:posOffset>
                </wp:positionV>
                <wp:extent cx="0" cy="14859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590"/>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4pt,-34.8499pt" to="385.4pt,-23.1499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-442595</wp:posOffset>
                </wp:positionV>
                <wp:extent cx="0" cy="14859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5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34.8499pt" to="424.2pt,-23.1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4029710</wp:posOffset>
                </wp:positionH>
                <wp:positionV relativeFrom="paragraph">
                  <wp:posOffset>-147955</wp:posOffset>
                </wp:positionV>
                <wp:extent cx="0" cy="147955"/>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3pt,-11.6499pt" to="317.3pt,0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4894580</wp:posOffset>
                </wp:positionH>
                <wp:positionV relativeFrom="paragraph">
                  <wp:posOffset>-147955</wp:posOffset>
                </wp:positionV>
                <wp:extent cx="0" cy="147955"/>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17831">
                          <a:solidFill>
                            <a:srgbClr val="FFFFFF"/>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4pt,-11.6499pt" to="385.4pt,0pt" o:allowincell="f" strokecolor="#FFFFFF" strokeweight="1.404pt"/>
            </w:pict>
          </mc:Fallback>
        </mc:AlternateContent>
        <mc:AlternateContent>
          <mc:Choice Requires="wps">
            <w:drawing>
              <wp:anchor simplePos="0" relativeHeight="251657728" behindDoc="1" locked="0" layoutInCell="0" allowOverlap="1">
                <wp:simplePos x="0" y="0"/>
                <wp:positionH relativeFrom="column">
                  <wp:posOffset>5387340</wp:posOffset>
                </wp:positionH>
                <wp:positionV relativeFrom="paragraph">
                  <wp:posOffset>-147955</wp:posOffset>
                </wp:positionV>
                <wp:extent cx="0" cy="147955"/>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2pt,-11.6499pt" to="424.2pt,0pt" o:allowincell="f" strokecolor="#FFFFFF" strokeweight="1.4039pt"/>
            </w:pict>
          </mc:Fallback>
        </mc:AlternateContent>
      </w:r>
    </w:p>
    <w:p>
      <w:pPr>
        <w:ind w:left="347" w:right="200" w:hanging="347"/>
        <w:spacing w:after="0" w:line="299" w:lineRule="auto"/>
        <w:tabs>
          <w:tab w:leader="none" w:pos="347"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347" w:right="120" w:hanging="347"/>
        <w:spacing w:after="0" w:line="293" w:lineRule="auto"/>
        <w:tabs>
          <w:tab w:leader="none" w:pos="347" w:val="left"/>
        </w:tabs>
        <w:numPr>
          <w:ilvl w:val="0"/>
          <w:numId w:val="99"/>
        </w:numPr>
        <w:rPr>
          <w:rFonts w:ascii="Arial" w:cs="Arial" w:eastAsia="Arial" w:hAnsi="Arial"/>
          <w:sz w:val="15"/>
          <w:szCs w:val="15"/>
          <w:color w:val="auto"/>
        </w:rPr>
      </w:pPr>
      <w:r>
        <w:rPr>
          <w:rFonts w:ascii="Arial" w:cs="Arial" w:eastAsia="Arial" w:hAnsi="Arial"/>
          <w:sz w:val="15"/>
          <w:szCs w:val="15"/>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ind w:left="347" w:hanging="347"/>
        <w:spacing w:after="0"/>
        <w:tabs>
          <w:tab w:leader="none" w:pos="34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Represents beneficial ownership of less than one percent (1%) of the outstanding shares of our common stock.</w:t>
      </w:r>
    </w:p>
    <w:p>
      <w:pPr>
        <w:spacing w:after="0" w:line="277" w:lineRule="exact"/>
        <w:rPr>
          <w:sz w:val="20"/>
          <w:szCs w:val="20"/>
          <w:color w:val="auto"/>
        </w:rPr>
      </w:pPr>
    </w:p>
    <w:p>
      <w:pPr>
        <w:ind w:left="347" w:hanging="347"/>
        <w:spacing w:after="0" w:line="276" w:lineRule="auto"/>
        <w:tabs>
          <w:tab w:leader="none" w:pos="347" w:val="left"/>
        </w:tabs>
        <w:numPr>
          <w:ilvl w:val="0"/>
          <w:numId w:val="101"/>
        </w:numPr>
        <w:rPr>
          <w:rFonts w:ascii="Arial" w:cs="Arial" w:eastAsia="Arial" w:hAnsi="Arial"/>
          <w:sz w:val="20"/>
          <w:szCs w:val="20"/>
          <w:color w:val="auto"/>
          <w:vertAlign w:val="superscript"/>
        </w:rPr>
      </w:pPr>
      <w:r>
        <w:rPr>
          <w:rFonts w:ascii="Arial" w:cs="Arial" w:eastAsia="Arial" w:hAnsi="Arial"/>
          <w:sz w:val="15"/>
          <w:szCs w:val="15"/>
          <w:color w:val="auto"/>
        </w:rPr>
        <w:t>Consists of (i) 716,728 shares of Class A Common Stock and 7,608,764 shares of Class B Common Stock held by the Houston Remainder Trust u/a/ 12/30/2010, for which Mr. Houston serves as trustee, (ii) 66,507,625 shares of Class B Common Stock were held by Andrew Houston Revocable Trust u/a/d 9/7/2011, for which Mr. Houston serves as trustee, (iii) 500,500 shares of Class B common stock held by the Houston 2012 Irrevocable Children’s Trust dated 4/12/2012, for which Mr. Houston serves as trustee, (iv) 444,444 shares of Class A Common Stock held by the Erin Yu Revocable Trust u/a/d 1/18/2024, for which Mr. Houston's spouse serves as a trustee, and (v) 8,266,666 shares of Class A common stock underlying RSAs subject to Mr. Houston’s Co-Founder Grant.</w:t>
      </w:r>
    </w:p>
    <w:p>
      <w:pPr>
        <w:spacing w:after="0" w:line="2" w:lineRule="exact"/>
        <w:rPr>
          <w:rFonts w:ascii="Arial" w:cs="Arial" w:eastAsia="Arial" w:hAnsi="Arial"/>
          <w:sz w:val="20"/>
          <w:szCs w:val="20"/>
          <w:color w:val="auto"/>
          <w:vertAlign w:val="superscript"/>
        </w:rPr>
      </w:pPr>
    </w:p>
    <w:p>
      <w:pPr>
        <w:ind w:left="347" w:right="440" w:hanging="347"/>
        <w:spacing w:after="0" w:line="255" w:lineRule="auto"/>
        <w:tabs>
          <w:tab w:leader="none" w:pos="347" w:val="left"/>
        </w:tabs>
        <w:numPr>
          <w:ilvl w:val="0"/>
          <w:numId w:val="101"/>
        </w:numPr>
        <w:rPr>
          <w:rFonts w:ascii="Arial" w:cs="Arial" w:eastAsia="Arial" w:hAnsi="Arial"/>
          <w:sz w:val="20"/>
          <w:szCs w:val="20"/>
          <w:color w:val="auto"/>
          <w:vertAlign w:val="superscript"/>
        </w:rPr>
      </w:pPr>
      <w:r>
        <w:rPr>
          <w:rFonts w:ascii="Arial" w:cs="Arial" w:eastAsia="Arial" w:hAnsi="Arial"/>
          <w:sz w:val="15"/>
          <w:szCs w:val="15"/>
          <w:color w:val="auto"/>
        </w:rPr>
        <w:t>Consists of (i) 178,058 shares of Class A common stock held by the Paul E. Jacobs Trust dated November 7, 2014, for which Dr. Jacobs serves as trustee, and (ii) 135,401 shares of Class A common stock held by Dr. Jacobs.</w:t>
      </w:r>
    </w:p>
    <w:p>
      <w:pPr>
        <w:spacing w:after="0" w:line="2" w:lineRule="exact"/>
        <w:rPr>
          <w:rFonts w:ascii="Arial" w:cs="Arial" w:eastAsia="Arial" w:hAnsi="Arial"/>
          <w:sz w:val="20"/>
          <w:szCs w:val="20"/>
          <w:color w:val="auto"/>
          <w:vertAlign w:val="superscript"/>
        </w:rPr>
      </w:pPr>
    </w:p>
    <w:p>
      <w:pPr>
        <w:ind w:left="347" w:hanging="347"/>
        <w:spacing w:after="0" w:line="280" w:lineRule="auto"/>
        <w:tabs>
          <w:tab w:leader="none" w:pos="347" w:val="left"/>
        </w:tabs>
        <w:numPr>
          <w:ilvl w:val="0"/>
          <w:numId w:val="101"/>
        </w:numPr>
        <w:rPr>
          <w:rFonts w:ascii="Arial" w:cs="Arial" w:eastAsia="Arial" w:hAnsi="Arial"/>
          <w:sz w:val="20"/>
          <w:szCs w:val="20"/>
          <w:color w:val="auto"/>
          <w:vertAlign w:val="superscript"/>
        </w:rPr>
      </w:pPr>
      <w:r>
        <w:rPr>
          <w:rFonts w:ascii="Arial" w:cs="Arial" w:eastAsia="Arial" w:hAnsi="Arial"/>
          <w:sz w:val="15"/>
          <w:szCs w:val="15"/>
          <w:color w:val="auto"/>
        </w:rPr>
        <w:t>Consists of shares of Class A common stock beneficially owned as of December 31, 2024 according to a Schedule 13G/A filed with the SEC by The Vanguard Group, Inc. (“</w:t>
      </w:r>
      <w:r>
        <w:rPr>
          <w:rFonts w:ascii="Arial" w:cs="Arial" w:eastAsia="Arial" w:hAnsi="Arial"/>
          <w:sz w:val="15"/>
          <w:szCs w:val="15"/>
          <w:b w:val="1"/>
          <w:bCs w:val="1"/>
          <w:i w:val="1"/>
          <w:iCs w:val="1"/>
          <w:color w:val="auto"/>
        </w:rPr>
        <w:t>Vanguard</w:t>
      </w:r>
      <w:r>
        <w:rPr>
          <w:rFonts w:ascii="Arial" w:cs="Arial" w:eastAsia="Arial" w:hAnsi="Arial"/>
          <w:sz w:val="15"/>
          <w:szCs w:val="15"/>
          <w:color w:val="auto"/>
        </w:rPr>
        <w:t>”) on January 30, 2025. Vanguard has beneficial ownership of 27,494,824 shares of Class A common stock. The Schedule 13G/A reports that Vanguard has shared voting power with respect to 120,622 shares of Class A common stock, sole dispositive power with respect to 27,094,978 shares of Class A common stock and shared dispositive power over 399,846 shares of Class A common stock. On March 26, 2026, Vanguard filed a Schedule 13G/A reporting that Vanguard went through an internal realignment whereby certain subsidiaries or business divisions of subsidiaries of Vanguard that formerly had, or were deemed to have beneficial ownership with Vanguard will report beneficial ownership separately (on a disaggregated basis) from Vanguard. Vanguard reported that it no longer has, or is deemed to have, beneficial ownership over securities beneficially owned by such subsidiaries and/or business divisions and, as of March 31, 2026, such entities have not filed beneficial ownership reports with respect to the company's securities. The address for Vanguard is 100 Vanguard Blvd., Malvern, PA 19355.</w:t>
      </w:r>
    </w:p>
    <w:p>
      <w:pPr>
        <w:spacing w:after="0" w:line="3" w:lineRule="exact"/>
        <w:rPr>
          <w:rFonts w:ascii="Arial" w:cs="Arial" w:eastAsia="Arial" w:hAnsi="Arial"/>
          <w:sz w:val="20"/>
          <w:szCs w:val="20"/>
          <w:color w:val="auto"/>
          <w:vertAlign w:val="superscript"/>
        </w:rPr>
      </w:pPr>
    </w:p>
    <w:p>
      <w:pPr>
        <w:ind w:left="347" w:right="300" w:hanging="347"/>
        <w:spacing w:after="0" w:line="266" w:lineRule="auto"/>
        <w:tabs>
          <w:tab w:leader="none" w:pos="347" w:val="left"/>
        </w:tabs>
        <w:numPr>
          <w:ilvl w:val="0"/>
          <w:numId w:val="101"/>
        </w:numPr>
        <w:rPr>
          <w:rFonts w:ascii="Arial" w:cs="Arial" w:eastAsia="Arial" w:hAnsi="Arial"/>
          <w:sz w:val="20"/>
          <w:szCs w:val="20"/>
          <w:color w:val="auto"/>
          <w:vertAlign w:val="superscript"/>
        </w:rPr>
      </w:pPr>
      <w:r>
        <w:rPr>
          <w:rFonts w:ascii="Arial" w:cs="Arial" w:eastAsia="Arial" w:hAnsi="Arial"/>
          <w:sz w:val="15"/>
          <w:szCs w:val="15"/>
          <w:color w:val="auto"/>
        </w:rPr>
        <w:t>Consists of shares of Class A common stock beneficially owned as of March 31, 2025 according to a Schedule 13G/A filed with the SEC by BlackRock, Inc. (“</w:t>
      </w:r>
      <w:r>
        <w:rPr>
          <w:rFonts w:ascii="Arial" w:cs="Arial" w:eastAsia="Arial" w:hAnsi="Arial"/>
          <w:sz w:val="15"/>
          <w:szCs w:val="15"/>
          <w:b w:val="1"/>
          <w:bCs w:val="1"/>
          <w:i w:val="1"/>
          <w:iCs w:val="1"/>
          <w:color w:val="auto"/>
        </w:rPr>
        <w:t>BlackRock</w:t>
      </w:r>
      <w:r>
        <w:rPr>
          <w:rFonts w:ascii="Arial" w:cs="Arial" w:eastAsia="Arial" w:hAnsi="Arial"/>
          <w:sz w:val="15"/>
          <w:szCs w:val="15"/>
          <w:color w:val="auto"/>
        </w:rPr>
        <w:t>”) on April 23, 2025. BlackRock has beneficial ownership of 21,859,416 shares of Class A common stock. The address for BlackRock is 50 Hudson Yards, New York, New York 10001.</w:t>
      </w:r>
    </w:p>
    <w:p>
      <w:pPr>
        <w:spacing w:after="0" w:line="3" w:lineRule="exact"/>
        <w:rPr>
          <w:rFonts w:ascii="Arial" w:cs="Arial" w:eastAsia="Arial" w:hAnsi="Arial"/>
          <w:sz w:val="20"/>
          <w:szCs w:val="20"/>
          <w:color w:val="auto"/>
          <w:vertAlign w:val="superscript"/>
        </w:rPr>
      </w:pPr>
    </w:p>
    <w:p>
      <w:pPr>
        <w:ind w:left="347" w:right="100" w:hanging="347"/>
        <w:spacing w:after="0" w:line="264" w:lineRule="auto"/>
        <w:tabs>
          <w:tab w:leader="none" w:pos="346" w:val="left"/>
        </w:tabs>
        <w:numPr>
          <w:ilvl w:val="0"/>
          <w:numId w:val="101"/>
        </w:numPr>
        <w:rPr>
          <w:rFonts w:ascii="Arial" w:cs="Arial" w:eastAsia="Arial" w:hAnsi="Arial"/>
          <w:sz w:val="20"/>
          <w:szCs w:val="20"/>
          <w:color w:val="auto"/>
          <w:vertAlign w:val="superscript"/>
        </w:rPr>
      </w:pPr>
      <w:r>
        <w:rPr>
          <w:rFonts w:ascii="Arial" w:cs="Arial" w:eastAsia="Arial" w:hAnsi="Arial"/>
          <w:sz w:val="15"/>
          <w:szCs w:val="15"/>
          <w:color w:val="auto"/>
        </w:rPr>
        <w:t>Consists of shares of Class A common stock beneficially owned as of September 30, 2025 according to a Schedule 13G filed with the SEC by LSV Asset Management on November 7, 2025. LSV Asset Management has beneficial ownership of 11,613,642 shares of Class A common stock. The address for LSV Asset Management is 155 North Wacker Drive, Suite 4600 Chicago, Illinois 60606.</w:t>
      </w:r>
    </w:p>
    <w:p>
      <w:pPr>
        <w:spacing w:after="0" w:line="4" w:lineRule="exact"/>
        <w:rPr>
          <w:rFonts w:ascii="Arial" w:cs="Arial" w:eastAsia="Arial" w:hAnsi="Arial"/>
          <w:sz w:val="20"/>
          <w:szCs w:val="20"/>
          <w:color w:val="auto"/>
          <w:vertAlign w:val="superscript"/>
        </w:rPr>
      </w:pPr>
    </w:p>
    <w:p>
      <w:pPr>
        <w:ind w:left="347" w:hanging="347"/>
        <w:spacing w:after="0" w:line="273" w:lineRule="auto"/>
        <w:tabs>
          <w:tab w:leader="none" w:pos="347" w:val="left"/>
        </w:tabs>
        <w:numPr>
          <w:ilvl w:val="0"/>
          <w:numId w:val="101"/>
        </w:numPr>
        <w:rPr>
          <w:rFonts w:ascii="Arial" w:cs="Arial" w:eastAsia="Arial" w:hAnsi="Arial"/>
          <w:sz w:val="20"/>
          <w:szCs w:val="20"/>
          <w:color w:val="auto"/>
          <w:vertAlign w:val="superscript"/>
        </w:rPr>
      </w:pPr>
      <w:r>
        <w:rPr>
          <w:rFonts w:ascii="Arial" w:cs="Arial" w:eastAsia="Arial" w:hAnsi="Arial"/>
          <w:sz w:val="15"/>
          <w:szCs w:val="15"/>
          <w:color w:val="auto"/>
        </w:rPr>
        <w:t>Consists of shares of Class A common stock beneficially owned as of December 31, 2025 according to a Schedule 13G/A filed with the SEC by Renaissance Technologies LLC ("</w:t>
      </w:r>
      <w:r>
        <w:rPr>
          <w:rFonts w:ascii="Arial" w:cs="Arial" w:eastAsia="Arial" w:hAnsi="Arial"/>
          <w:sz w:val="15"/>
          <w:szCs w:val="15"/>
          <w:b w:val="1"/>
          <w:bCs w:val="1"/>
          <w:i w:val="1"/>
          <w:iCs w:val="1"/>
          <w:color w:val="auto"/>
        </w:rPr>
        <w:t>Renaissance Technologies</w:t>
      </w:r>
      <w:r>
        <w:rPr>
          <w:rFonts w:ascii="Arial" w:cs="Arial" w:eastAsia="Arial" w:hAnsi="Arial"/>
          <w:sz w:val="15"/>
          <w:szCs w:val="15"/>
          <w:color w:val="auto"/>
        </w:rPr>
        <w:t>") on February 12, 2026. Renaissance Technologies has beneficial ownership of 8,376,364 shares of Class A common stock. The address for Renaissance Technologies is 800 Third Avenue New York, New York 10022.</w:t>
      </w:r>
    </w:p>
    <w:p>
      <w:pPr>
        <w:sectPr>
          <w:pgSz w:w="11880" w:h="15480" w:orient="portrait"/>
          <w:cols w:equalWidth="0" w:num="1">
            <w:col w:w="9647"/>
          </w:cols>
          <w:pgMar w:left="1133" w:top="3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87"/>
        <w:spacing w:after="0"/>
        <w:tabs>
          <w:tab w:leader="none" w:pos="9406"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75</w:t>
      </w:r>
    </w:p>
    <w:p>
      <w:pPr>
        <w:sectPr>
          <w:pgSz w:w="11880" w:h="15480" w:orient="portrait"/>
          <w:cols w:equalWidth="0" w:num="1">
            <w:col w:w="9647"/>
          </w:cols>
          <w:pgMar w:left="1133" w:top="340" w:right="1100" w:bottom="0" w:gutter="0" w:footer="0" w:header="0"/>
          <w:type w:val="continuous"/>
        </w:sectPr>
      </w:pPr>
    </w:p>
    <w:bookmarkStart w:id="83" w:name="page84"/>
    <w:bookmarkEnd w:id="83"/>
    <w:p>
      <w:pPr>
        <w:ind w:right="600"/>
        <w:spacing w:after="0" w:line="323" w:lineRule="auto"/>
        <w:rPr>
          <w:sz w:val="20"/>
          <w:szCs w:val="20"/>
          <w:color w:val="auto"/>
        </w:rPr>
      </w:pPr>
      <w:r>
        <w:rPr>
          <w:rFonts w:ascii="Arial" w:cs="Arial" w:eastAsia="Arial" w:hAnsi="Arial"/>
          <w:sz w:val="33"/>
          <w:szCs w:val="33"/>
          <w:color w:val="0A248E"/>
        </w:rPr>
        <w:t>CERTAIN RELATIONSHIPS, RELATED PARTY AND OTHER TRANSACTIONS</w:t>
      </w:r>
    </w:p>
    <w:p>
      <w:pPr>
        <w:spacing w:after="0" w:line="309" w:lineRule="exact"/>
        <w:rPr>
          <w:sz w:val="20"/>
          <w:szCs w:val="20"/>
          <w:color w:val="auto"/>
        </w:rPr>
      </w:pPr>
    </w:p>
    <w:p>
      <w:pPr>
        <w:ind w:right="20"/>
        <w:spacing w:after="0" w:line="305" w:lineRule="auto"/>
        <w:rPr>
          <w:sz w:val="20"/>
          <w:szCs w:val="20"/>
          <w:color w:val="auto"/>
        </w:rPr>
      </w:pPr>
      <w:r>
        <w:rPr>
          <w:rFonts w:ascii="Arial" w:cs="Arial" w:eastAsia="Arial" w:hAnsi="Arial"/>
          <w:sz w:val="18"/>
          <w:szCs w:val="18"/>
          <w:color w:val="auto"/>
        </w:rPr>
        <w:t>Since the beginning of our last fiscal year we have not engaged in any transactions that would require disclosure under Item 404(a) of Regulation S-K, and are not aware of any such transactions currently proposed.</w:t>
      </w:r>
    </w:p>
    <w:p>
      <w:pPr>
        <w:spacing w:after="0" w:line="359" w:lineRule="exact"/>
        <w:rPr>
          <w:sz w:val="20"/>
          <w:szCs w:val="20"/>
          <w:color w:val="auto"/>
        </w:rPr>
      </w:pPr>
    </w:p>
    <w:p>
      <w:pPr>
        <w:spacing w:after="0"/>
        <w:rPr>
          <w:sz w:val="20"/>
          <w:szCs w:val="20"/>
          <w:color w:val="auto"/>
        </w:rPr>
      </w:pPr>
      <w:r>
        <w:rPr>
          <w:rFonts w:ascii="Arial" w:cs="Arial" w:eastAsia="Arial" w:hAnsi="Arial"/>
          <w:sz w:val="28"/>
          <w:szCs w:val="28"/>
          <w:color w:val="0A248E"/>
        </w:rPr>
        <w:t>Policies and Procedures for Related Person Transactions</w:t>
      </w:r>
    </w:p>
    <w:p>
      <w:pPr>
        <w:spacing w:after="0" w:line="291"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Under this policy, all related person transactions may be consummated or continued only if approved or ratified by our audit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committee. In determining whether to approve or ratify any such proposal, our audit committee will take into account, among</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other factors it deems appropriate, (i) whether the transaction is on terms no less favorable than terms generally available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an unaffiliated third party and (ii) the extent of the related person’s interest in the transaction. The policy grants standing pre-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approval of certain transactions, including (i) executive compensation governed by our standard compensation and benefits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policies, (ii) director compensation arrangements governed by our standard director compensation policies, (iii) transactions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with another company at which a related person’s only relationship is as an employee (other than an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director, or beneficial owner of less than 10% equity interest of that company, if the aggregate amount involved does not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exceed the greater of $200,000 or 2% of the recipient’s consolidated gross revenues, (iv) charitable contributions, grants or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endowments by us to a charitable organization, foundation or university where the related person’s only relationship is as 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employee (other than an executive officer), or director, if the aggregate amount involved does not exceed the lesser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$1,000,000 or 2% of the charitable organization’s total annual receipts, (v) any transaction available to all U.S. employees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generally, and (vi) transactions where a related person’s interest arises solely from the ownership of our common stock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all holders of our common stock received the same benefit on a pro rata basis.</w:t>
      </w:r>
    </w:p>
    <w:p>
      <w:pPr>
        <w:sectPr>
          <w:pgSz w:w="11880" w:h="15480" w:orient="portrait"/>
          <w:cols w:equalWidth="0" w:num="1">
            <w:col w:w="9620"/>
          </w:cols>
          <w:pgMar w:left="1140" w:top="3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hanging="475"/>
        <w:spacing w:after="0"/>
        <w:tabs>
          <w:tab w:leader="none" w:pos="520"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p>
    <w:p>
      <w:pPr>
        <w:sectPr>
          <w:pgSz w:w="11880" w:h="15480" w:orient="portrait"/>
          <w:cols w:equalWidth="0" w:num="1">
            <w:col w:w="9620"/>
          </w:cols>
          <w:pgMar w:left="1140" w:top="340" w:right="1120" w:bottom="0" w:gutter="0" w:footer="0" w:header="0"/>
          <w:type w:val="continuous"/>
        </w:sectPr>
      </w:pPr>
    </w:p>
    <w:bookmarkStart w:id="84" w:name="page85"/>
    <w:bookmarkEnd w:id="84"/>
    <w:p>
      <w:pPr>
        <w:spacing w:after="0"/>
        <w:rPr>
          <w:sz w:val="20"/>
          <w:szCs w:val="20"/>
          <w:color w:val="auto"/>
        </w:rPr>
      </w:pPr>
      <w:r>
        <w:rPr>
          <w:rFonts w:ascii="Arial" w:cs="Arial" w:eastAsia="Arial" w:hAnsi="Arial"/>
          <w:sz w:val="33"/>
          <w:szCs w:val="33"/>
          <w:color w:val="0A248E"/>
        </w:rPr>
        <w:t>OTHER MATTERS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8"/>
          <w:szCs w:val="28"/>
          <w:color w:val="0A248E"/>
        </w:rPr>
        <w:t>Section 16(a) Beneficial Ownership Reporting Compliance</w:t>
      </w:r>
    </w:p>
    <w:p>
      <w:pPr>
        <w:spacing w:after="0" w:line="295" w:lineRule="exact"/>
        <w:rPr>
          <w:sz w:val="20"/>
          <w:szCs w:val="20"/>
          <w:color w:val="auto"/>
        </w:rPr>
      </w:pPr>
    </w:p>
    <w:p>
      <w:pPr>
        <w:jc w:val="both"/>
        <w:ind w:right="120"/>
        <w:spacing w:after="0" w:line="312" w:lineRule="auto"/>
        <w:rPr>
          <w:sz w:val="20"/>
          <w:szCs w:val="20"/>
          <w:color w:val="auto"/>
        </w:rPr>
      </w:pPr>
      <w:r>
        <w:rPr>
          <w:rFonts w:ascii="Arial" w:cs="Arial" w:eastAsia="Arial" w:hAnsi="Arial"/>
          <w:sz w:val="17"/>
          <w:szCs w:val="17"/>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0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2025, all executive officers, directors and greater than 10% stockholders complied with all applicable SEC filing requirements.</w:t>
      </w:r>
    </w:p>
    <w:p>
      <w:pPr>
        <w:spacing w:after="0" w:line="376" w:lineRule="exact"/>
        <w:rPr>
          <w:sz w:val="20"/>
          <w:szCs w:val="20"/>
          <w:color w:val="auto"/>
        </w:rPr>
      </w:pPr>
    </w:p>
    <w:p>
      <w:pPr>
        <w:spacing w:after="0"/>
        <w:rPr>
          <w:sz w:val="20"/>
          <w:szCs w:val="20"/>
          <w:color w:val="auto"/>
        </w:rPr>
      </w:pPr>
      <w:r>
        <w:rPr>
          <w:rFonts w:ascii="Arial" w:cs="Arial" w:eastAsia="Arial" w:hAnsi="Arial"/>
          <w:sz w:val="28"/>
          <w:szCs w:val="28"/>
          <w:color w:val="0A248E"/>
        </w:rPr>
        <w:t>Fiscal Year 2025 Annual Report and SEC Filings</w:t>
      </w:r>
    </w:p>
    <w:p>
      <w:pPr>
        <w:spacing w:after="0" w:line="29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financial statements for our fiscal year ended December 31, 2025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95" w:lineRule="exact"/>
        <w:rPr>
          <w:sz w:val="20"/>
          <w:szCs w:val="20"/>
          <w:color w:val="auto"/>
        </w:rPr>
      </w:pPr>
    </w:p>
    <w:p>
      <w:pPr>
        <w:spacing w:after="0" w:line="315" w:lineRule="auto"/>
        <w:rPr>
          <w:sz w:val="20"/>
          <w:szCs w:val="20"/>
          <w:color w:val="auto"/>
        </w:rPr>
      </w:pPr>
      <w:r>
        <w:rPr>
          <w:rFonts w:ascii="Arial" w:cs="Arial" w:eastAsia="Arial" w:hAnsi="Arial"/>
          <w:sz w:val="17"/>
          <w:szCs w:val="17"/>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0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7, 2026</w:t>
      </w:r>
    </w:p>
    <w:p>
      <w:pPr>
        <w:sectPr>
          <w:pgSz w:w="11880" w:h="15480" w:orient="portrait"/>
          <w:cols w:equalWidth="0" w:num="1">
            <w:col w:w="9600"/>
          </w:cols>
          <w:pgMar w:left="1140" w:top="3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80"/>
        <w:spacing w:after="0"/>
        <w:tabs>
          <w:tab w:leader="none" w:pos="9400" w:val="left"/>
        </w:tabs>
        <w:rPr>
          <w:sz w:val="20"/>
          <w:szCs w:val="20"/>
          <w:color w:val="auto"/>
        </w:rPr>
      </w:pPr>
      <w:r>
        <w:rPr>
          <w:rFonts w:ascii="Arial" w:cs="Arial" w:eastAsia="Arial" w:hAnsi="Arial"/>
          <w:sz w:val="15"/>
          <w:szCs w:val="15"/>
          <w:b w:val="1"/>
          <w:bCs w:val="1"/>
          <w:color w:val="0A248E"/>
        </w:rPr>
        <w:t xml:space="preserve">Dropbox, Inc. </w:t>
      </w:r>
      <w:r>
        <w:rPr>
          <w:rFonts w:ascii="Arial" w:cs="Arial" w:eastAsia="Arial" w:hAnsi="Arial"/>
          <w:sz w:val="15"/>
          <w:szCs w:val="15"/>
          <w:color w:val="0A248E"/>
        </w:rPr>
        <w:t>Proxy Statement and Notice of 2026 Annual Meeting of Stockholders</w:t>
      </w:r>
      <w:r>
        <w:rPr>
          <w:sz w:val="20"/>
          <w:szCs w:val="20"/>
          <w:color w:val="auto"/>
        </w:rPr>
        <w:tab/>
      </w:r>
      <w:r>
        <w:rPr>
          <w:rFonts w:ascii="Arial" w:cs="Arial" w:eastAsia="Arial" w:hAnsi="Arial"/>
          <w:sz w:val="15"/>
          <w:szCs w:val="15"/>
          <w:b w:val="1"/>
          <w:bCs w:val="1"/>
          <w:color w:val="auto"/>
        </w:rPr>
        <w:t>77</w:t>
      </w:r>
    </w:p>
    <w:p>
      <w:pPr>
        <w:sectPr>
          <w:pgSz w:w="11880" w:h="15480" w:orient="portrait"/>
          <w:cols w:equalWidth="0" w:num="1">
            <w:col w:w="9600"/>
          </w:cols>
          <w:pgMar w:left="1140" w:top="340" w:right="1140" w:bottom="0" w:gutter="0" w:footer="0" w:header="0"/>
          <w:type w:val="continuous"/>
        </w:sectPr>
      </w:pPr>
    </w:p>
    <w:bookmarkStart w:id="85" w:name="page86"/>
    <w:bookmarkEnd w:id="85"/>
    <w:p>
      <w:pPr>
        <w:spacing w:after="0"/>
        <w:tabs>
          <w:tab w:leader="none" w:pos="9400" w:val="left"/>
        </w:tabs>
        <w:rPr>
          <w:sz w:val="20"/>
          <w:szCs w:val="20"/>
          <w:color w:val="auto"/>
        </w:rPr>
      </w:pPr>
    </w:p>
    <w:p>
      <w:pPr>
        <w:sectPr>
          <w:pgSz w:w="11880" w:h="15480"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rFonts w:ascii="Arial" w:cs="Arial" w:eastAsia="Arial" w:hAnsi="Arial"/>
          <w:sz w:val="33"/>
          <w:szCs w:val="33"/>
          <w:color w:val="0A248E"/>
        </w:rPr>
        <w:t>APPENDIX 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8"/>
          <w:szCs w:val="28"/>
          <w:color w:val="0A248E"/>
        </w:rPr>
        <w:t>Reconciliation of GAAP financial measures to non-GAAP financial measures</w:t>
      </w:r>
    </w:p>
    <w:p>
      <w:pPr>
        <w:spacing w:after="0" w:line="29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This proxy statement contains information regarding two non-GAAP financial measures: non-GAAP operating margin and free cash flow, each of which are not calculated in accordance with GAAP. Non-GAAP operating margin is calculated as our non-GAAP income (loss) from operations divided by revenue. Non-GAAP income (loss) from operations differs from GAAP in that it excludes stock-based compensation expense, amortization of acquired intangible assets, other acquisition-related expenses, which include third-party diligence costs and expenses related to key employee holdback agreements, net (gain) loss on real estate assets, and expenses related to our reduction in workforce. Free cash flow differs from GAAP net cash provided by operating activities in that it treats capital expenditures as a reduction to net cash provided by operating activities.</w:t>
      </w:r>
    </w:p>
    <w:p>
      <w:pPr>
        <w:spacing w:after="0" w:line="136"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We believe that these non-GAAP financial measures are appropriate to enhance an overall understanding of our fiscal 2025 performance in relation to the principal elements of Dropbox’s annual executive compensation program considered by the talent and compensation committee, as described in the section titled “Executive Compensation</w:t>
      </w:r>
      <w:r>
        <w:rPr>
          <w:rFonts w:ascii="Arial" w:cs="Arial" w:eastAsia="Arial" w:hAnsi="Arial"/>
          <w:sz w:val="18"/>
          <w:szCs w:val="18"/>
          <w:i w:val="1"/>
          <w:iCs w:val="1"/>
          <w:color w:val="auto"/>
        </w:rPr>
        <w:t>—Compensation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w:t>
      </w:r>
      <w:r>
        <w:rPr>
          <w:rFonts w:ascii="Arial" w:cs="Arial" w:eastAsia="Arial" w:hAnsi="Arial"/>
          <w:sz w:val="18"/>
          <w:szCs w:val="18"/>
          <w:color w:val="auto"/>
        </w:rPr>
        <w:t>”</w:t>
      </w:r>
    </w:p>
    <w:p>
      <w:pPr>
        <w:spacing w:after="0" w:line="125"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The use of non-GAAP operating margin and free cash flow has certain limitations as they do not reflect all items of income, expense, and cash expenditures, as applicable, that affect Dropbox’s operations.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w:t>
      </w:r>
    </w:p>
    <w:p>
      <w:pPr>
        <w:spacing w:after="0" w:line="126"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color w:val="auto"/>
        </w:rPr>
        <w:t>Stockholders should review the reconciliation of non-GAAP operating margin and free cash flow to their most directly comparable GAAP financial measures, as provided in the following tables (in millions, except for percentages, which may not foot due to rounding):</w:t>
      </w:r>
    </w:p>
    <w:p>
      <w:pPr>
        <w:sectPr>
          <w:pgSz w:w="11880" w:h="15480" w:orient="portrait"/>
          <w:cols w:equalWidth="0" w:num="1">
            <w:col w:w="9640"/>
          </w:cols>
          <w:pgMar w:left="1140" w:top="340" w:right="1100" w:bottom="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Non-GAAP operating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161290</wp:posOffset>
                </wp:positionV>
                <wp:extent cx="426085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0850" cy="4763"/>
                        </a:xfrm>
                        <a:prstGeom prst="line">
                          <a:avLst/>
                        </a:prstGeom>
                        <a:solidFill>
                          <a:srgbClr val="FFFFFF"/>
                        </a:solidFill>
                        <a:ln w="38633">
                          <a:solidFill>
                            <a:srgbClr val="0A248E"/>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7pt" to="335.2pt,12.7pt" o:allowincell="f" strokecolor="#0A248E" strokeweight="3.042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180975</wp:posOffset>
                </wp:positionV>
                <wp:extent cx="4261485" cy="169545"/>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1485" cy="169545"/>
                        </a:xfrm>
                        <a:prstGeom prst="rect">
                          <a:avLst/>
                        </a:prstGeom>
                        <a:solidFill>
                          <a:srgbClr val="0A248E"/>
                        </a:solidFill>
                      </wps:spPr>
                      <wps:bodyPr/>
                    </wps:wsp>
                  </a:graphicData>
                </a:graphic>
              </wp:anchor>
            </w:drawing>
          </mc:Choice>
          <mc:Fallback>
            <w:pict>
              <v:rect id="Shape 390" o:spid="_x0000_s1415" style="position:absolute;margin-left:-0.2999pt;margin-top:14.25pt;width:335.55pt;height:13.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369570</wp:posOffset>
                </wp:positionV>
                <wp:extent cx="4260850"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0850" cy="4763"/>
                        </a:xfrm>
                        <a:prstGeom prst="line">
                          <a:avLst/>
                        </a:prstGeom>
                        <a:solidFill>
                          <a:srgbClr val="FFFFFF"/>
                        </a:solidFill>
                        <a:ln w="38633">
                          <a:solidFill>
                            <a:srgbClr val="0A248E"/>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9.1pt" to="335.2pt,29.1pt" o:allowincell="f" strokecolor="#0A248E" strokeweight="3.042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415290</wp:posOffset>
                </wp:positionV>
                <wp:extent cx="4260850"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0850" cy="4763"/>
                        </a:xfrm>
                        <a:prstGeom prst="line">
                          <a:avLst/>
                        </a:prstGeom>
                        <a:solidFill>
                          <a:srgbClr val="FFFFFF"/>
                        </a:solidFill>
                        <a:ln w="17830">
                          <a:solidFill>
                            <a:srgbClr val="EDECF5"/>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2.7pt" to="335.2pt,32.7pt" o:allowincell="f" strokecolor="#EDECF5" strokeweight="1.4039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424815</wp:posOffset>
                </wp:positionV>
                <wp:extent cx="4261485" cy="172085"/>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1485" cy="172085"/>
                        </a:xfrm>
                        <a:prstGeom prst="rect">
                          <a:avLst/>
                        </a:prstGeom>
                        <a:solidFill>
                          <a:srgbClr val="EDECF5"/>
                        </a:solidFill>
                      </wps:spPr>
                      <wps:bodyPr/>
                    </wps:wsp>
                  </a:graphicData>
                </a:graphic>
              </wp:anchor>
            </w:drawing>
          </mc:Choice>
          <mc:Fallback>
            <w:pict>
              <v:rect id="Shape 393" o:spid="_x0000_s1418" style="position:absolute;margin-left:-0.2999pt;margin-top:33.45pt;width:335.55pt;height:1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CF5"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614680</wp:posOffset>
                </wp:positionV>
                <wp:extent cx="4260850"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0850" cy="4763"/>
                        </a:xfrm>
                        <a:prstGeom prst="line">
                          <a:avLst/>
                        </a:prstGeom>
                        <a:solidFill>
                          <a:srgbClr val="FFFFFF"/>
                        </a:solidFill>
                        <a:ln w="35661">
                          <a:solidFill>
                            <a:srgbClr val="EDECF5"/>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48.4pt" to="335.2pt,48.4pt" o:allowincell="f" strokecolor="#EDECF5" strokeweight="2.80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20"/>
        <w:spacing w:after="0"/>
        <w:rPr>
          <w:sz w:val="20"/>
          <w:szCs w:val="20"/>
          <w:color w:val="auto"/>
        </w:rPr>
      </w:pPr>
      <w:r>
        <w:rPr>
          <w:rFonts w:ascii="Arial" w:cs="Arial" w:eastAsia="Arial" w:hAnsi="Arial"/>
          <w:sz w:val="18"/>
          <w:szCs w:val="18"/>
          <w:color w:val="auto"/>
        </w:rPr>
        <w:t>GAAP income from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-118745</wp:posOffset>
                </wp:positionV>
                <wp:extent cx="4261485" cy="14478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1485" cy="144780"/>
                        </a:xfrm>
                        <a:prstGeom prst="rect">
                          <a:avLst/>
                        </a:prstGeom>
                        <a:solidFill>
                          <a:srgbClr val="E6E6E6"/>
                        </a:solidFill>
                      </wps:spPr>
                      <wps:bodyPr/>
                    </wps:wsp>
                  </a:graphicData>
                </a:graphic>
              </wp:anchor>
            </w:drawing>
          </mc:Choice>
          <mc:Fallback>
            <w:pict>
              <v:rect id="Shape 395" o:spid="_x0000_s1420" style="position:absolute;margin-left:0.35pt;margin-top:-9.3499pt;width:335.5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8" w:lineRule="exact"/>
        <w:rPr>
          <w:sz w:val="20"/>
          <w:szCs w:val="20"/>
          <w:color w:val="auto"/>
        </w:rPr>
      </w:pPr>
    </w:p>
    <w:p>
      <w:pPr>
        <w:jc w:val="center"/>
        <w:ind w:right="3500"/>
        <w:spacing w:after="0"/>
        <w:rPr>
          <w:sz w:val="20"/>
          <w:szCs w:val="20"/>
          <w:color w:val="auto"/>
        </w:rPr>
      </w:pPr>
      <w:r>
        <w:rPr>
          <w:rFonts w:ascii="Arial" w:cs="Arial" w:eastAsia="Arial" w:hAnsi="Arial"/>
          <w:sz w:val="18"/>
          <w:szCs w:val="18"/>
          <w:i w:val="1"/>
          <w:iCs w:val="1"/>
          <w:color w:val="auto"/>
        </w:rPr>
        <w:t>GAAP operating margin</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-129540</wp:posOffset>
                </wp:positionV>
                <wp:extent cx="4261485" cy="16891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1485" cy="168910"/>
                        </a:xfrm>
                        <a:prstGeom prst="rect">
                          <a:avLst/>
                        </a:prstGeom>
                        <a:solidFill>
                          <a:srgbClr val="E6E6E6"/>
                        </a:solidFill>
                      </wps:spPr>
                      <wps:bodyPr/>
                    </wps:wsp>
                  </a:graphicData>
                </a:graphic>
              </wp:anchor>
            </w:drawing>
          </mc:Choice>
          <mc:Fallback>
            <w:pict>
              <v:rect id="Shape 396" o:spid="_x0000_s1421" style="position:absolute;margin-left:0.4pt;margin-top:-10.1999pt;width:335.55pt;height:13.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-120650</wp:posOffset>
                </wp:positionV>
                <wp:extent cx="4205605" cy="147955"/>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5605" cy="147955"/>
                        </a:xfrm>
                        <a:prstGeom prst="rect">
                          <a:avLst/>
                        </a:prstGeom>
                        <a:solidFill>
                          <a:srgbClr val="E6E6E6"/>
                        </a:solidFill>
                      </wps:spPr>
                      <wps:bodyPr/>
                    </wps:wsp>
                  </a:graphicData>
                </a:graphic>
              </wp:anchor>
            </w:drawing>
          </mc:Choice>
          <mc:Fallback>
            <w:pict>
              <v:rect id="Shape 397" o:spid="_x0000_s1422" style="position:absolute;margin-left:2.2pt;margin-top:-9.4999pt;width:331.1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Acquisition-related and other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-118745</wp:posOffset>
                </wp:positionV>
                <wp:extent cx="4261485" cy="145415"/>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1485" cy="145415"/>
                        </a:xfrm>
                        <a:prstGeom prst="rect">
                          <a:avLst/>
                        </a:prstGeom>
                        <a:solidFill>
                          <a:srgbClr val="E6E6E6"/>
                        </a:solidFill>
                      </wps:spPr>
                      <wps:bodyPr/>
                    </wps:wsp>
                  </a:graphicData>
                </a:graphic>
              </wp:anchor>
            </w:drawing>
          </mc:Choice>
          <mc:Fallback>
            <w:pict>
              <v:rect id="Shape 398" o:spid="_x0000_s1423" style="position:absolute;margin-left:0.35pt;margin-top:-9.3499pt;width:335.5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-118110</wp:posOffset>
                </wp:positionV>
                <wp:extent cx="4205605" cy="14478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5605" cy="144780"/>
                        </a:xfrm>
                        <a:prstGeom prst="rect">
                          <a:avLst/>
                        </a:prstGeom>
                        <a:solidFill>
                          <a:srgbClr val="E6E6E6"/>
                        </a:solidFill>
                      </wps:spPr>
                      <wps:bodyPr/>
                    </wps:wsp>
                  </a:graphicData>
                </a:graphic>
              </wp:anchor>
            </w:drawing>
          </mc:Choice>
          <mc:Fallback>
            <w:pict>
              <v:rect id="Shape 399" o:spid="_x0000_s1424" style="position:absolute;margin-left:2.2pt;margin-top:-9.2999pt;width:331.1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of acquired intangible assets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(gain) loss on real estate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-118110</wp:posOffset>
                </wp:positionV>
                <wp:extent cx="4261485" cy="14478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1485" cy="144780"/>
                        </a:xfrm>
                        <a:prstGeom prst="rect">
                          <a:avLst/>
                        </a:prstGeom>
                        <a:solidFill>
                          <a:srgbClr val="E6E6E6"/>
                        </a:solidFill>
                      </wps:spPr>
                      <wps:bodyPr/>
                    </wps:wsp>
                  </a:graphicData>
                </a:graphic>
              </wp:anchor>
            </w:drawing>
          </mc:Choice>
          <mc:Fallback>
            <w:pict>
              <v:rect id="Shape 400" o:spid="_x0000_s1425" style="position:absolute;margin-left:0.35pt;margin-top:-9.2999pt;width:335.5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Workforce reduction expense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Non-GAAP income from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-118745</wp:posOffset>
                </wp:positionV>
                <wp:extent cx="4261485" cy="14478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1485" cy="144780"/>
                        </a:xfrm>
                        <a:prstGeom prst="rect">
                          <a:avLst/>
                        </a:prstGeom>
                        <a:solidFill>
                          <a:srgbClr val="E6E6E6"/>
                        </a:solidFill>
                      </wps:spPr>
                      <wps:bodyPr/>
                    </wps:wsp>
                  </a:graphicData>
                </a:graphic>
              </wp:anchor>
            </w:drawing>
          </mc:Choice>
          <mc:Fallback>
            <w:pict>
              <v:rect id="Shape 401" o:spid="_x0000_s1426" style="position:absolute;margin-left:0.35pt;margin-top:-9.3499pt;width:335.5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Non-GAAP operating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shd w:val="clear" w:color="auto" w:fill="0A248E"/>
        </w:rPr>
        <w:t>Twelve Months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-140970</wp:posOffset>
                </wp:positionV>
                <wp:extent cx="184531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5310" cy="4763"/>
                        </a:xfrm>
                        <a:prstGeom prst="line">
                          <a:avLst/>
                        </a:prstGeom>
                        <a:solidFill>
                          <a:srgbClr val="FFFFFF"/>
                        </a:solidFill>
                        <a:ln w="38633">
                          <a:solidFill>
                            <a:srgbClr val="0A248E"/>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pt,-11.0999pt" to="147.15pt,-11.0999pt" o:allowincell="f" strokecolor="#0A248E" strokeweight="3.042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-160020</wp:posOffset>
                </wp:positionV>
                <wp:extent cx="17780" cy="38735"/>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38735"/>
                        </a:xfrm>
                        <a:prstGeom prst="rect">
                          <a:avLst/>
                        </a:prstGeom>
                        <a:solidFill>
                          <a:srgbClr val="FFFFFF"/>
                        </a:solidFill>
                      </wps:spPr>
                      <wps:bodyPr/>
                    </wps:wsp>
                  </a:graphicData>
                </a:graphic>
              </wp:anchor>
            </w:drawing>
          </mc:Choice>
          <mc:Fallback>
            <w:pict>
              <v:rect id="Shape 403" o:spid="_x0000_s1428" style="position:absolute;margin-left:0.45pt;margin-top:-12.5999pt;width:1.4pt;height: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12065</wp:posOffset>
                </wp:positionH>
                <wp:positionV relativeFrom="paragraph">
                  <wp:posOffset>-121285</wp:posOffset>
                </wp:positionV>
                <wp:extent cx="1857375" cy="16891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7375" cy="168910"/>
                        </a:xfrm>
                        <a:prstGeom prst="rect">
                          <a:avLst/>
                        </a:prstGeom>
                        <a:solidFill>
                          <a:srgbClr val="0A248E"/>
                        </a:solidFill>
                      </wps:spPr>
                      <wps:bodyPr/>
                    </wps:wsp>
                  </a:graphicData>
                </a:graphic>
              </wp:anchor>
            </w:drawing>
          </mc:Choice>
          <mc:Fallback>
            <w:pict>
              <v:rect id="Shape 404" o:spid="_x0000_s1429" style="position:absolute;margin-left:0.95pt;margin-top:-9.5499pt;width:146.25pt;height:13.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A248E"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-121285</wp:posOffset>
                </wp:positionV>
                <wp:extent cx="0" cy="168275"/>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275"/>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9.5499pt" to="1.15pt,3.7pt" o:allowincell="f" strokecolor="#FFFFFF" strokeweight="1.4039pt"/>
            </w:pict>
          </mc:Fallback>
        </mc:AlternateConten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61"/>
        </w:trPr>
        <w:tc>
          <w:tcPr>
            <w:tcW w:w="60" w:type="dxa"/>
            <w:vAlign w:val="bottom"/>
          </w:tcPr>
          <w:p>
            <w:pPr>
              <w:spacing w:after="0"/>
              <w:rPr>
                <w:sz w:val="5"/>
                <w:szCs w:val="5"/>
                <w:color w:val="auto"/>
              </w:rPr>
            </w:pPr>
          </w:p>
        </w:tc>
        <w:tc>
          <w:tcPr>
            <w:tcW w:w="140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1420" w:type="dxa"/>
            <w:vAlign w:val="bottom"/>
            <w:tcBorders>
              <w:left w:val="single" w:sz="8" w:color="0A248E"/>
            </w:tcBorders>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400" w:type="dxa"/>
            <w:vAlign w:val="bottom"/>
            <w:tcBorders>
              <w:bottom w:val="single" w:sz="8" w:color="EDECF5"/>
            </w:tcBorders>
          </w:tcPr>
          <w:p>
            <w:pPr>
              <w:spacing w:after="0"/>
              <w:rPr>
                <w:sz w:val="3"/>
                <w:szCs w:val="3"/>
                <w:color w:val="auto"/>
              </w:rPr>
            </w:pPr>
          </w:p>
        </w:tc>
        <w:tc>
          <w:tcPr>
            <w:tcW w:w="20" w:type="dxa"/>
            <w:vAlign w:val="bottom"/>
            <w:tcBorders>
              <w:bottom w:val="single" w:sz="8" w:color="EDECF5"/>
            </w:tcBorders>
          </w:tcPr>
          <w:p>
            <w:pPr>
              <w:spacing w:after="0"/>
              <w:rPr>
                <w:sz w:val="3"/>
                <w:szCs w:val="3"/>
                <w:color w:val="auto"/>
              </w:rPr>
            </w:pPr>
          </w:p>
        </w:tc>
        <w:tc>
          <w:tcPr>
            <w:tcW w:w="20" w:type="dxa"/>
            <w:vAlign w:val="bottom"/>
            <w:tcBorders>
              <w:bottom w:val="single" w:sz="8" w:color="EDECF5"/>
            </w:tcBorders>
          </w:tcPr>
          <w:p>
            <w:pPr>
              <w:spacing w:after="0"/>
              <w:rPr>
                <w:sz w:val="3"/>
                <w:szCs w:val="3"/>
                <w:color w:val="auto"/>
              </w:rPr>
            </w:pPr>
          </w:p>
        </w:tc>
        <w:tc>
          <w:tcPr>
            <w:tcW w:w="1420" w:type="dxa"/>
            <w:vAlign w:val="bottom"/>
            <w:tcBorders>
              <w:bottom w:val="single" w:sz="8" w:color="EDECF5"/>
            </w:tcBorders>
          </w:tcPr>
          <w:p>
            <w:pPr>
              <w:spacing w:after="0"/>
              <w:rPr>
                <w:sz w:val="3"/>
                <w:szCs w:val="3"/>
                <w:color w:val="auto"/>
              </w:rPr>
            </w:pPr>
          </w:p>
        </w:tc>
        <w:tc>
          <w:tcPr>
            <w:tcW w:w="20" w:type="dxa"/>
            <w:vAlign w:val="bottom"/>
            <w:tcBorders>
              <w:bottom w:val="single" w:sz="8" w:color="EDECF5"/>
            </w:tcBorders>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60" w:type="dxa"/>
            <w:vAlign w:val="bottom"/>
            <w:tcBorders>
              <w:right w:val="single" w:sz="8" w:color="EDECF5"/>
            </w:tcBorders>
          </w:tcPr>
          <w:p>
            <w:pPr>
              <w:spacing w:after="0"/>
              <w:rPr>
                <w:sz w:val="24"/>
                <w:szCs w:val="24"/>
                <w:color w:val="auto"/>
              </w:rPr>
            </w:pPr>
          </w:p>
        </w:tc>
        <w:tc>
          <w:tcPr>
            <w:tcW w:w="1400" w:type="dxa"/>
            <w:vAlign w:val="bottom"/>
            <w:tcBorders>
              <w:bottom w:val="single" w:sz="8" w:color="EDECF5"/>
            </w:tcBorders>
            <w:shd w:val="clear" w:color="auto" w:fill="EDECF5"/>
          </w:tcPr>
          <w:p>
            <w:pPr>
              <w:jc w:val="right"/>
              <w:ind w:right="452"/>
              <w:spacing w:after="0"/>
              <w:rPr>
                <w:sz w:val="20"/>
                <w:szCs w:val="20"/>
                <w:color w:val="auto"/>
              </w:rPr>
            </w:pPr>
            <w:r>
              <w:rPr>
                <w:rFonts w:ascii="Arial" w:cs="Arial" w:eastAsia="Arial" w:hAnsi="Arial"/>
                <w:sz w:val="15"/>
                <w:szCs w:val="15"/>
                <w:b w:val="1"/>
                <w:bCs w:val="1"/>
                <w:color w:val="0A248E"/>
              </w:rPr>
              <w:t>2025</w:t>
            </w:r>
          </w:p>
        </w:tc>
        <w:tc>
          <w:tcPr>
            <w:tcW w:w="20" w:type="dxa"/>
            <w:vAlign w:val="bottom"/>
            <w:tcBorders>
              <w:bottom w:val="single" w:sz="8" w:color="EDECF5"/>
            </w:tcBorders>
            <w:shd w:val="clear" w:color="auto" w:fill="EDECF5"/>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Borders>
              <w:left w:val="single" w:sz="8" w:color="EDECF5"/>
              <w:bottom w:val="single" w:sz="8" w:color="EDECF5"/>
            </w:tcBorders>
            <w:shd w:val="clear" w:color="auto" w:fill="EDECF5"/>
          </w:tcPr>
          <w:p>
            <w:pPr>
              <w:jc w:val="right"/>
              <w:ind w:right="453"/>
              <w:spacing w:after="0"/>
              <w:rPr>
                <w:sz w:val="20"/>
                <w:szCs w:val="20"/>
                <w:color w:val="auto"/>
              </w:rPr>
            </w:pPr>
            <w:r>
              <w:rPr>
                <w:rFonts w:ascii="Arial" w:cs="Arial" w:eastAsia="Arial" w:hAnsi="Arial"/>
                <w:sz w:val="15"/>
                <w:szCs w:val="15"/>
                <w:b w:val="1"/>
                <w:bCs w:val="1"/>
                <w:color w:val="0A248E"/>
              </w:rPr>
              <w:t>2024</w:t>
            </w:r>
          </w:p>
        </w:tc>
        <w:tc>
          <w:tcPr>
            <w:tcW w:w="20" w:type="dxa"/>
            <w:vAlign w:val="bottom"/>
            <w:tcBorders>
              <w:bottom w:val="single" w:sz="8" w:color="EDECF5"/>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right w:val="single" w:sz="8" w:color="E6E6E6"/>
            </w:tcBorders>
          </w:tcPr>
          <w:p>
            <w:pPr>
              <w:spacing w:after="0"/>
              <w:rPr>
                <w:sz w:val="19"/>
                <w:szCs w:val="19"/>
                <w:color w:val="auto"/>
              </w:rPr>
            </w:pPr>
          </w:p>
        </w:tc>
        <w:tc>
          <w:tcPr>
            <w:tcW w:w="14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$689.1</w:t>
            </w:r>
          </w:p>
        </w:tc>
        <w:tc>
          <w:tcPr>
            <w:tcW w:w="20" w:type="dxa"/>
            <w:vAlign w:val="bottom"/>
            <w:shd w:val="clear" w:color="auto" w:fill="E6E6E6"/>
          </w:tcPr>
          <w:p>
            <w:pPr>
              <w:spacing w:after="0"/>
              <w:rPr>
                <w:sz w:val="19"/>
                <w:szCs w:val="19"/>
                <w:color w:val="auto"/>
              </w:rPr>
            </w:pPr>
          </w:p>
        </w:tc>
        <w:tc>
          <w:tcPr>
            <w:tcW w:w="20" w:type="dxa"/>
            <w:vAlign w:val="bottom"/>
            <w:vMerge w:val="continue"/>
          </w:tcPr>
          <w:p>
            <w:pPr>
              <w:spacing w:after="0"/>
              <w:rPr>
                <w:sz w:val="19"/>
                <w:szCs w:val="19"/>
                <w:color w:val="auto"/>
              </w:rPr>
            </w:pPr>
          </w:p>
        </w:tc>
        <w:tc>
          <w:tcPr>
            <w:tcW w:w="1420" w:type="dxa"/>
            <w:vAlign w:val="bottom"/>
            <w:tcBorders>
              <w:lef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$486.2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27.3%</w:t>
            </w:r>
          </w:p>
        </w:tc>
        <w:tc>
          <w:tcPr>
            <w:tcW w:w="20" w:type="dxa"/>
            <w:vAlign w:val="bottom"/>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7"/>
              </w:rPr>
              <w:t>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60" w:type="dxa"/>
            <w:vAlign w:val="bottom"/>
            <w:tcBorders>
              <w:right w:val="single" w:sz="8" w:color="E6E6E6"/>
            </w:tcBorders>
          </w:tcPr>
          <w:p>
            <w:pPr>
              <w:spacing w:after="0"/>
              <w:rPr>
                <w:sz w:val="23"/>
                <w:szCs w:val="23"/>
                <w:color w:val="auto"/>
              </w:rPr>
            </w:pPr>
          </w:p>
        </w:tc>
        <w:tc>
          <w:tcPr>
            <w:tcW w:w="1400" w:type="dxa"/>
            <w:vAlign w:val="bottom"/>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Borders>
              <w:left w:val="single" w:sz="8" w:color="E6E6E6"/>
            </w:tcBorders>
            <w:shd w:val="clear" w:color="auto" w:fill="E6E6E6"/>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300.8</w:t>
            </w:r>
          </w:p>
        </w:tc>
        <w:tc>
          <w:tcPr>
            <w:tcW w:w="20" w:type="dxa"/>
            <w:vAlign w:val="bottom"/>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7"/>
              </w:rPr>
              <w:t>346.5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E6E6E6"/>
            </w:tcBorders>
          </w:tcPr>
          <w:p>
            <w:pPr>
              <w:spacing w:after="0"/>
              <w:rPr>
                <w:sz w:val="19"/>
                <w:szCs w:val="19"/>
                <w:color w:val="auto"/>
              </w:rPr>
            </w:pPr>
          </w:p>
        </w:tc>
        <w:tc>
          <w:tcPr>
            <w:tcW w:w="140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8.0</w:t>
            </w:r>
          </w:p>
        </w:tc>
        <w:tc>
          <w:tcPr>
            <w:tcW w:w="20" w:type="dxa"/>
            <w:vAlign w:val="bottom"/>
            <w:shd w:val="clear" w:color="auto" w:fill="E6E6E6"/>
          </w:tcPr>
          <w:p>
            <w:pPr>
              <w:spacing w:after="0"/>
              <w:rPr>
                <w:sz w:val="19"/>
                <w:szCs w:val="19"/>
                <w:color w:val="auto"/>
              </w:rPr>
            </w:pPr>
          </w:p>
        </w:tc>
        <w:tc>
          <w:tcPr>
            <w:tcW w:w="20" w:type="dxa"/>
            <w:vAlign w:val="bottom"/>
            <w:vMerge w:val="continue"/>
          </w:tcPr>
          <w:p>
            <w:pPr>
              <w:spacing w:after="0"/>
              <w:rPr>
                <w:sz w:val="19"/>
                <w:szCs w:val="19"/>
                <w:color w:val="auto"/>
              </w:rPr>
            </w:pPr>
          </w:p>
        </w:tc>
        <w:tc>
          <w:tcPr>
            <w:tcW w:w="1420" w:type="dxa"/>
            <w:vAlign w:val="bottom"/>
            <w:tcBorders>
              <w:lef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6"/>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23.6</w:t>
            </w:r>
          </w:p>
        </w:tc>
        <w:tc>
          <w:tcPr>
            <w:tcW w:w="20" w:type="dxa"/>
            <w:vAlign w:val="bottom"/>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6"/>
              </w:rPr>
              <w:t>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E6E6E6"/>
            </w:tcBorders>
          </w:tcPr>
          <w:p>
            <w:pPr>
              <w:spacing w:after="0"/>
              <w:rPr>
                <w:sz w:val="19"/>
                <w:szCs w:val="19"/>
                <w:color w:val="auto"/>
              </w:rPr>
            </w:pPr>
          </w:p>
        </w:tc>
        <w:tc>
          <w:tcPr>
            <w:tcW w:w="14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(1.3)</w:t>
            </w:r>
          </w:p>
        </w:tc>
        <w:tc>
          <w:tcPr>
            <w:tcW w:w="20" w:type="dxa"/>
            <w:vAlign w:val="bottom"/>
            <w:shd w:val="clear" w:color="auto" w:fill="E6E6E6"/>
          </w:tcPr>
          <w:p>
            <w:pPr>
              <w:spacing w:after="0"/>
              <w:rPr>
                <w:sz w:val="19"/>
                <w:szCs w:val="19"/>
                <w:color w:val="auto"/>
              </w:rPr>
            </w:pPr>
          </w:p>
        </w:tc>
        <w:tc>
          <w:tcPr>
            <w:tcW w:w="20" w:type="dxa"/>
            <w:vAlign w:val="bottom"/>
            <w:vMerge w:val="continue"/>
          </w:tcPr>
          <w:p>
            <w:pPr>
              <w:spacing w:after="0"/>
              <w:rPr>
                <w:sz w:val="19"/>
                <w:szCs w:val="19"/>
                <w:color w:val="auto"/>
              </w:rPr>
            </w:pPr>
          </w:p>
        </w:tc>
        <w:tc>
          <w:tcPr>
            <w:tcW w:w="1420" w:type="dxa"/>
            <w:vAlign w:val="bottom"/>
            <w:tcBorders>
              <w:lef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5"/>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6"/>
              </w:rPr>
              <w:t>47.2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E6E6E6"/>
            </w:tcBorders>
          </w:tcPr>
          <w:p>
            <w:pPr>
              <w:spacing w:after="0"/>
              <w:rPr>
                <w:sz w:val="19"/>
                <w:szCs w:val="19"/>
                <w:color w:val="auto"/>
              </w:rPr>
            </w:pPr>
          </w:p>
        </w:tc>
        <w:tc>
          <w:tcPr>
            <w:tcW w:w="14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6"/>
              </w:rPr>
              <w:t>1,023.9</w:t>
            </w:r>
          </w:p>
        </w:tc>
        <w:tc>
          <w:tcPr>
            <w:tcW w:w="20" w:type="dxa"/>
            <w:vAlign w:val="bottom"/>
            <w:shd w:val="clear" w:color="auto" w:fill="E6E6E6"/>
          </w:tcPr>
          <w:p>
            <w:pPr>
              <w:spacing w:after="0"/>
              <w:rPr>
                <w:sz w:val="19"/>
                <w:szCs w:val="19"/>
                <w:color w:val="auto"/>
              </w:rPr>
            </w:pPr>
          </w:p>
        </w:tc>
        <w:tc>
          <w:tcPr>
            <w:tcW w:w="20" w:type="dxa"/>
            <w:vAlign w:val="bottom"/>
            <w:vMerge w:val="continue"/>
          </w:tcPr>
          <w:p>
            <w:pPr>
              <w:spacing w:after="0"/>
              <w:rPr>
                <w:sz w:val="19"/>
                <w:szCs w:val="19"/>
                <w:color w:val="auto"/>
              </w:rPr>
            </w:pPr>
          </w:p>
        </w:tc>
        <w:tc>
          <w:tcPr>
            <w:tcW w:w="1420" w:type="dxa"/>
            <w:vAlign w:val="bottom"/>
            <w:tcBorders>
              <w:lef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927.5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40.6%</w:t>
            </w:r>
          </w:p>
        </w:tc>
        <w:tc>
          <w:tcPr>
            <w:tcW w:w="20" w:type="dxa"/>
            <w:vAlign w:val="bottom"/>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7"/>
              </w:rPr>
              <w:t>36.4%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-1874520</wp:posOffset>
                </wp:positionV>
                <wp:extent cx="0" cy="188341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8341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147.5999pt" to="1.15pt,0.7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941705</wp:posOffset>
                </wp:positionH>
                <wp:positionV relativeFrom="paragraph">
                  <wp:posOffset>-1874520</wp:posOffset>
                </wp:positionV>
                <wp:extent cx="0" cy="188341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8341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15pt,-147.5999pt" to="74.15pt,0.7pt" o:allowincell="f" strokecolor="#FFFFFF" strokeweight="1.4039pt"/>
            </w:pict>
          </mc:Fallback>
        </mc:AlternateContent>
      </w:r>
    </w:p>
    <w:p>
      <w:pPr>
        <w:spacing w:after="0" w:line="200" w:lineRule="exact"/>
        <w:rPr>
          <w:sz w:val="20"/>
          <w:szCs w:val="20"/>
          <w:color w:val="auto"/>
        </w:rPr>
      </w:pPr>
    </w:p>
    <w:p>
      <w:pPr>
        <w:sectPr>
          <w:pgSz w:w="11880" w:h="15480" w:orient="portrait"/>
          <w:cols w:equalWidth="0" w:num="2">
            <w:col w:w="5980" w:space="720"/>
            <w:col w:w="2940"/>
          </w:cols>
          <w:pgMar w:left="1140" w:top="340" w:right="1100" w:bottom="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A248E"/>
        </w:rPr>
        <w:t>Free cash flow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61"/>
        </w:trPr>
        <w:tc>
          <w:tcPr>
            <w:tcW w:w="6700" w:type="dxa"/>
            <w:vAlign w:val="bottom"/>
            <w:shd w:val="clear" w:color="auto" w:fill="0A248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right w:val="single" w:sz="8" w:color="0A248E"/>
            </w:tcBorders>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1410" w:type="dxa"/>
            <w:vAlign w:val="bottom"/>
            <w:tcBorders>
              <w:left w:val="single" w:sz="8" w:color="0A248E"/>
            </w:tcBorders>
            <w:shd w:val="clear" w:color="auto" w:fill="0A248E"/>
          </w:tcPr>
          <w:p>
            <w:pPr>
              <w:spacing w:after="0"/>
              <w:rPr>
                <w:sz w:val="5"/>
                <w:szCs w:val="5"/>
                <w:color w:val="auto"/>
              </w:rPr>
            </w:pPr>
          </w:p>
        </w:tc>
        <w:tc>
          <w:tcPr>
            <w:tcW w:w="3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6700" w:type="dxa"/>
            <w:vAlign w:val="bottom"/>
            <w:tcBorders>
              <w:bottom w:val="single" w:sz="8" w:color="0A248E"/>
            </w:tcBorders>
            <w:shd w:val="clear" w:color="auto" w:fill="0A248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0A248E"/>
            </w:tcBorders>
            <w:shd w:val="clear" w:color="auto" w:fill="0A248E"/>
          </w:tcPr>
          <w:p>
            <w:pPr>
              <w:spacing w:after="0"/>
              <w:rPr>
                <w:sz w:val="21"/>
                <w:szCs w:val="21"/>
                <w:color w:val="auto"/>
              </w:rPr>
            </w:pPr>
          </w:p>
        </w:tc>
        <w:tc>
          <w:tcPr>
            <w:tcW w:w="2870" w:type="dxa"/>
            <w:vAlign w:val="bottom"/>
            <w:tcBorders>
              <w:left w:val="single" w:sz="8" w:color="0A248E"/>
              <w:bottom w:val="single" w:sz="8" w:color="0A248E"/>
            </w:tcBorders>
            <w:gridSpan w:val="3"/>
            <w:shd w:val="clear" w:color="auto" w:fill="0A248E"/>
          </w:tcPr>
          <w:p>
            <w:pPr>
              <w:jc w:val="right"/>
              <w:ind w:right="4"/>
              <w:spacing w:after="0"/>
              <w:rPr>
                <w:sz w:val="20"/>
                <w:szCs w:val="20"/>
                <w:color w:val="auto"/>
              </w:rPr>
            </w:pPr>
            <w:r>
              <w:rPr>
                <w:rFonts w:ascii="Arial" w:cs="Arial" w:eastAsia="Arial" w:hAnsi="Arial"/>
                <w:sz w:val="15"/>
                <w:szCs w:val="15"/>
                <w:b w:val="1"/>
                <w:bCs w:val="1"/>
                <w:color w:val="FFFFFF"/>
                <w:shd w:val="clear" w:color="auto" w:fill="0A248E"/>
              </w:rPr>
              <w:t>Twelve Months Ended December 31,</w:t>
            </w:r>
          </w:p>
        </w:tc>
        <w:tc>
          <w:tcPr>
            <w:tcW w:w="30" w:type="dxa"/>
            <w:vAlign w:val="bottom"/>
            <w:tcBorders>
              <w:bottom w:val="single" w:sz="8" w:color="0A248E"/>
            </w:tcBorders>
            <w:shd w:val="clear" w:color="auto" w:fill="0A248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700" w:type="dxa"/>
            <w:vAlign w:val="bottom"/>
            <w:shd w:val="clear" w:color="auto" w:fill="0A248E"/>
          </w:tcPr>
          <w:p>
            <w:pPr>
              <w:spacing w:after="0"/>
              <w:rPr>
                <w:sz w:val="5"/>
                <w:szCs w:val="5"/>
                <w:color w:val="auto"/>
              </w:rPr>
            </w:pPr>
          </w:p>
        </w:tc>
        <w:tc>
          <w:tcPr>
            <w:tcW w:w="40" w:type="dxa"/>
            <w:vAlign w:val="bottom"/>
            <w:gridSpan w:val="2"/>
          </w:tcPr>
          <w:p>
            <w:pPr>
              <w:spacing w:after="0"/>
              <w:rPr>
                <w:sz w:val="5"/>
                <w:szCs w:val="5"/>
                <w:color w:val="auto"/>
              </w:rPr>
            </w:pPr>
          </w:p>
        </w:tc>
        <w:tc>
          <w:tcPr>
            <w:tcW w:w="1440" w:type="dxa"/>
            <w:vAlign w:val="bottom"/>
            <w:tcBorders>
              <w:right w:val="single" w:sz="8" w:color="0A248E"/>
            </w:tcBorders>
            <w:shd w:val="clear" w:color="auto" w:fill="0A248E"/>
          </w:tcPr>
          <w:p>
            <w:pPr>
              <w:spacing w:after="0"/>
              <w:rPr>
                <w:sz w:val="5"/>
                <w:szCs w:val="5"/>
                <w:color w:val="auto"/>
              </w:rPr>
            </w:pPr>
          </w:p>
        </w:tc>
        <w:tc>
          <w:tcPr>
            <w:tcW w:w="20" w:type="dxa"/>
            <w:vAlign w:val="bottom"/>
            <w:shd w:val="clear" w:color="auto" w:fill="0A248E"/>
          </w:tcPr>
          <w:p>
            <w:pPr>
              <w:spacing w:after="0"/>
              <w:rPr>
                <w:sz w:val="5"/>
                <w:szCs w:val="5"/>
                <w:color w:val="auto"/>
              </w:rPr>
            </w:pPr>
          </w:p>
        </w:tc>
        <w:tc>
          <w:tcPr>
            <w:tcW w:w="1410" w:type="dxa"/>
            <w:vAlign w:val="bottom"/>
            <w:tcBorders>
              <w:left w:val="single" w:sz="8" w:color="0A248E"/>
            </w:tcBorders>
            <w:shd w:val="clear" w:color="auto" w:fill="0A248E"/>
          </w:tcPr>
          <w:p>
            <w:pPr>
              <w:spacing w:after="0"/>
              <w:rPr>
                <w:sz w:val="5"/>
                <w:szCs w:val="5"/>
                <w:color w:val="auto"/>
              </w:rPr>
            </w:pPr>
          </w:p>
        </w:tc>
        <w:tc>
          <w:tcPr>
            <w:tcW w:w="30" w:type="dxa"/>
            <w:vAlign w:val="bottom"/>
            <w:shd w:val="clear" w:color="auto" w:fill="0A248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6700" w:type="dxa"/>
            <w:vAlign w:val="bottom"/>
            <w:tcBorders>
              <w:bottom w:val="single" w:sz="8" w:color="0A248E"/>
            </w:tcBorders>
          </w:tcPr>
          <w:p>
            <w:pPr>
              <w:spacing w:after="0"/>
              <w:rPr>
                <w:sz w:val="3"/>
                <w:szCs w:val="3"/>
                <w:color w:val="auto"/>
              </w:rPr>
            </w:pPr>
          </w:p>
        </w:tc>
        <w:tc>
          <w:tcPr>
            <w:tcW w:w="40" w:type="dxa"/>
            <w:vAlign w:val="bottom"/>
            <w:gridSpan w:val="2"/>
          </w:tcPr>
          <w:p>
            <w:pPr>
              <w:spacing w:after="0"/>
              <w:rPr>
                <w:sz w:val="3"/>
                <w:szCs w:val="3"/>
                <w:color w:val="auto"/>
              </w:rPr>
            </w:pPr>
          </w:p>
        </w:tc>
        <w:tc>
          <w:tcPr>
            <w:tcW w:w="1440" w:type="dxa"/>
            <w:vAlign w:val="bottom"/>
            <w:tcBorders>
              <w:bottom w:val="single" w:sz="8" w:color="0A248E"/>
            </w:tcBorders>
          </w:tcPr>
          <w:p>
            <w:pPr>
              <w:spacing w:after="0"/>
              <w:rPr>
                <w:sz w:val="3"/>
                <w:szCs w:val="3"/>
                <w:color w:val="auto"/>
              </w:rPr>
            </w:pPr>
          </w:p>
        </w:tc>
        <w:tc>
          <w:tcPr>
            <w:tcW w:w="20" w:type="dxa"/>
            <w:vAlign w:val="bottom"/>
          </w:tcPr>
          <w:p>
            <w:pPr>
              <w:spacing w:after="0"/>
              <w:rPr>
                <w:sz w:val="3"/>
                <w:szCs w:val="3"/>
                <w:color w:val="auto"/>
              </w:rPr>
            </w:pPr>
          </w:p>
        </w:tc>
        <w:tc>
          <w:tcPr>
            <w:tcW w:w="1410" w:type="dxa"/>
            <w:vAlign w:val="bottom"/>
            <w:tcBorders>
              <w:bottom w:val="single" w:sz="8" w:color="0A248E"/>
            </w:tcBorders>
          </w:tcPr>
          <w:p>
            <w:pPr>
              <w:spacing w:after="0"/>
              <w:rPr>
                <w:sz w:val="3"/>
                <w:szCs w:val="3"/>
                <w:color w:val="auto"/>
              </w:rPr>
            </w:pPr>
          </w:p>
        </w:tc>
        <w:tc>
          <w:tcPr>
            <w:tcW w:w="30" w:type="dxa"/>
            <w:vAlign w:val="bottom"/>
            <w:tcBorders>
              <w:bottom w:val="single" w:sz="8" w:color="0A248E"/>
            </w:tcBorders>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6700" w:type="dxa"/>
            <w:vAlign w:val="bottom"/>
            <w:tcBorders>
              <w:bottom w:val="single" w:sz="8" w:color="0A248E"/>
            </w:tcBorders>
            <w:shd w:val="clear" w:color="auto" w:fill="0A248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Borders>
              <w:left w:val="single" w:sz="8" w:color="0A248E"/>
              <w:bottom w:val="single" w:sz="8" w:color="0A248E"/>
              <w:right w:val="single" w:sz="8" w:color="0A248E"/>
            </w:tcBorders>
            <w:shd w:val="clear" w:color="auto" w:fill="0A248E"/>
          </w:tcPr>
          <w:p>
            <w:pPr>
              <w:jc w:val="right"/>
              <w:ind w:right="476"/>
              <w:spacing w:after="0"/>
              <w:rPr>
                <w:sz w:val="20"/>
                <w:szCs w:val="20"/>
                <w:color w:val="auto"/>
              </w:rPr>
            </w:pPr>
            <w:r>
              <w:rPr>
                <w:rFonts w:ascii="Arial" w:cs="Arial" w:eastAsia="Arial" w:hAnsi="Arial"/>
                <w:sz w:val="15"/>
                <w:szCs w:val="15"/>
                <w:b w:val="1"/>
                <w:bCs w:val="1"/>
                <w:color w:val="FFFFFF"/>
              </w:rPr>
              <w:t>2025</w:t>
            </w:r>
          </w:p>
        </w:tc>
        <w:tc>
          <w:tcPr>
            <w:tcW w:w="20" w:type="dxa"/>
            <w:vAlign w:val="bottom"/>
          </w:tcPr>
          <w:p>
            <w:pPr>
              <w:spacing w:after="0"/>
              <w:rPr>
                <w:sz w:val="24"/>
                <w:szCs w:val="24"/>
                <w:color w:val="auto"/>
              </w:rPr>
            </w:pPr>
          </w:p>
        </w:tc>
        <w:tc>
          <w:tcPr>
            <w:tcW w:w="1410" w:type="dxa"/>
            <w:vAlign w:val="bottom"/>
            <w:tcBorders>
              <w:left w:val="single" w:sz="8" w:color="0A248E"/>
              <w:bottom w:val="single" w:sz="8" w:color="0A248E"/>
            </w:tcBorders>
            <w:shd w:val="clear" w:color="auto" w:fill="0A248E"/>
          </w:tcPr>
          <w:p>
            <w:pPr>
              <w:jc w:val="right"/>
              <w:ind w:right="444"/>
              <w:spacing w:after="0"/>
              <w:rPr>
                <w:sz w:val="20"/>
                <w:szCs w:val="20"/>
                <w:color w:val="auto"/>
              </w:rPr>
            </w:pPr>
            <w:r>
              <w:rPr>
                <w:rFonts w:ascii="Arial" w:cs="Arial" w:eastAsia="Arial" w:hAnsi="Arial"/>
                <w:sz w:val="15"/>
                <w:szCs w:val="15"/>
                <w:b w:val="1"/>
                <w:bCs w:val="1"/>
                <w:color w:val="FFFFFF"/>
              </w:rPr>
              <w:t>2024</w:t>
            </w:r>
          </w:p>
        </w:tc>
        <w:tc>
          <w:tcPr>
            <w:tcW w:w="30" w:type="dxa"/>
            <w:vAlign w:val="bottom"/>
            <w:tcBorders>
              <w:bottom w:val="single" w:sz="8" w:color="0A248E"/>
            </w:tcBorders>
            <w:shd w:val="clear" w:color="auto" w:fill="0A248E"/>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10" w:type="dxa"/>
            <w:vAlign w:val="bottom"/>
          </w:tcPr>
          <w:p>
            <w:pPr>
              <w:spacing w:after="0"/>
              <w:rPr>
                <w:sz w:val="2"/>
                <w:szCs w:val="2"/>
                <w:color w:val="auto"/>
              </w:rPr>
            </w:pPr>
          </w:p>
        </w:tc>
        <w:tc>
          <w:tcPr>
            <w:tcW w:w="3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700" w:type="dxa"/>
            <w:vAlign w:val="bottom"/>
            <w:shd w:val="clear" w:color="auto" w:fill="E6E6E6"/>
          </w:tcPr>
          <w:p>
            <w:pPr>
              <w:ind w:left="40"/>
              <w:spacing w:after="0" w:line="201"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E6E6E6"/>
          </w:tcPr>
          <w:p>
            <w:pPr>
              <w:spacing w:after="0"/>
              <w:rPr>
                <w:sz w:val="17"/>
                <w:szCs w:val="17"/>
                <w:color w:val="auto"/>
              </w:rPr>
            </w:pPr>
          </w:p>
        </w:tc>
        <w:tc>
          <w:tcPr>
            <w:tcW w:w="20" w:type="dxa"/>
            <w:vAlign w:val="bottom"/>
            <w:vMerge w:val="continue"/>
          </w:tcPr>
          <w:p>
            <w:pPr>
              <w:spacing w:after="0"/>
              <w:rPr>
                <w:sz w:val="17"/>
                <w:szCs w:val="17"/>
                <w:color w:val="auto"/>
              </w:rPr>
            </w:pPr>
          </w:p>
        </w:tc>
        <w:tc>
          <w:tcPr>
            <w:tcW w:w="1440" w:type="dxa"/>
            <w:vAlign w:val="bottom"/>
            <w:tcBorders>
              <w:left w:val="single" w:sz="8" w:color="E6E6E6"/>
              <w:right w:val="single" w:sz="8" w:color="E6E6E6"/>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8"/>
              </w:rPr>
              <w:t>$951.8</w:t>
            </w:r>
          </w:p>
        </w:tc>
        <w:tc>
          <w:tcPr>
            <w:tcW w:w="20" w:type="dxa"/>
            <w:vAlign w:val="bottom"/>
            <w:vMerge w:val="continue"/>
          </w:tcPr>
          <w:p>
            <w:pPr>
              <w:spacing w:after="0"/>
              <w:rPr>
                <w:sz w:val="17"/>
                <w:szCs w:val="17"/>
                <w:color w:val="auto"/>
              </w:rPr>
            </w:pPr>
          </w:p>
        </w:tc>
        <w:tc>
          <w:tcPr>
            <w:tcW w:w="1410" w:type="dxa"/>
            <w:vAlign w:val="bottom"/>
            <w:tcBorders>
              <w:left w:val="single" w:sz="8" w:color="E6E6E6"/>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8"/>
              </w:rPr>
              <w:t>$894.1</w:t>
            </w:r>
          </w:p>
        </w:tc>
        <w:tc>
          <w:tcPr>
            <w:tcW w:w="3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700" w:type="dxa"/>
            <w:vAlign w:val="bottom"/>
          </w:tcPr>
          <w:p>
            <w:pPr>
              <w:ind w:left="40"/>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10" w:type="dxa"/>
            <w:vAlign w:val="bottom"/>
          </w:tcPr>
          <w:p>
            <w:pPr>
              <w:spacing w:after="0"/>
              <w:rPr>
                <w:sz w:val="22"/>
                <w:szCs w:val="22"/>
                <w:color w:val="auto"/>
              </w:rPr>
            </w:pPr>
          </w:p>
        </w:tc>
        <w:tc>
          <w:tcPr>
            <w:tcW w:w="3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E6E6E6"/>
          </w:tcPr>
          <w:p>
            <w:pPr>
              <w:ind w:left="320"/>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left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(21.0)</w:t>
            </w:r>
          </w:p>
        </w:tc>
        <w:tc>
          <w:tcPr>
            <w:tcW w:w="20" w:type="dxa"/>
            <w:vAlign w:val="bottom"/>
          </w:tcPr>
          <w:p>
            <w:pPr>
              <w:spacing w:after="0"/>
              <w:rPr>
                <w:sz w:val="18"/>
                <w:szCs w:val="18"/>
                <w:color w:val="auto"/>
              </w:rPr>
            </w:pPr>
          </w:p>
        </w:tc>
        <w:tc>
          <w:tcPr>
            <w:tcW w:w="1410" w:type="dxa"/>
            <w:vAlign w:val="bottom"/>
            <w:tcBorders>
              <w:lef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(22.5)</w:t>
            </w:r>
          </w:p>
        </w:tc>
        <w:tc>
          <w:tcPr>
            <w:tcW w:w="3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70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930.8</w:t>
            </w:r>
          </w:p>
        </w:tc>
        <w:tc>
          <w:tcPr>
            <w:tcW w:w="20" w:type="dxa"/>
            <w:vAlign w:val="bottom"/>
          </w:tcPr>
          <w:p>
            <w:pPr>
              <w:spacing w:after="0"/>
              <w:rPr>
                <w:sz w:val="20"/>
                <w:szCs w:val="20"/>
                <w:color w:val="auto"/>
              </w:rPr>
            </w:pPr>
          </w:p>
        </w:tc>
        <w:tc>
          <w:tcPr>
            <w:tcW w:w="1410" w:type="dxa"/>
            <w:vAlign w:val="bottom"/>
          </w:tcPr>
          <w:p>
            <w:pPr>
              <w:jc w:val="center"/>
              <w:spacing w:after="0"/>
              <w:rPr>
                <w:sz w:val="20"/>
                <w:szCs w:val="20"/>
                <w:color w:val="auto"/>
              </w:rPr>
            </w:pPr>
            <w:r>
              <w:rPr>
                <w:rFonts w:ascii="Arial" w:cs="Arial" w:eastAsia="Arial" w:hAnsi="Arial"/>
                <w:sz w:val="18"/>
                <w:szCs w:val="18"/>
                <w:color w:val="auto"/>
                <w:w w:val="97"/>
              </w:rPr>
              <w:t>871.6</w:t>
            </w:r>
          </w:p>
        </w:tc>
        <w:tc>
          <w:tcPr>
            <w:tcW w:w="3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4269105</wp:posOffset>
                </wp:positionH>
                <wp:positionV relativeFrom="paragraph">
                  <wp:posOffset>-1049655</wp:posOffset>
                </wp:positionV>
                <wp:extent cx="0" cy="89789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789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15pt,-82.6499pt" to="336.15pt,-11.9499pt" o:allowincell="f" strokecolor="#FFFFFF" strokeweight="1.4039pt"/>
            </w:pict>
          </mc:Fallback>
        </mc:AlternateContent>
        <mc:AlternateContent>
          <mc:Choice Requires="wps">
            <w:drawing>
              <wp:anchor simplePos="0" relativeHeight="251657728" behindDoc="1" locked="0" layoutInCell="0" allowOverlap="1">
                <wp:simplePos x="0" y="0"/>
                <wp:positionH relativeFrom="column">
                  <wp:posOffset>5196205</wp:posOffset>
                </wp:positionH>
                <wp:positionV relativeFrom="paragraph">
                  <wp:posOffset>-805815</wp:posOffset>
                </wp:positionV>
                <wp:extent cx="0" cy="65405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4050"/>
                        </a:xfrm>
                        <a:prstGeom prst="line">
                          <a:avLst/>
                        </a:prstGeom>
                        <a:solidFill>
                          <a:srgbClr val="FFFFFF"/>
                        </a:solidFill>
                        <a:ln w="17830">
                          <a:solidFill>
                            <a:srgbClr val="FFFFFF"/>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15pt,-63.4499pt" to="409.15pt,-11.9499pt" o:allowincell="f" strokecolor="#FFFFFF" strokeweight="1.4039pt"/>
            </w:pict>
          </mc:Fallback>
        </mc:AlternateContent>
      </w:r>
    </w:p>
    <w:p>
      <w:pPr>
        <w:sectPr>
          <w:pgSz w:w="11880" w:h="15480" w:orient="portrait"/>
          <w:cols w:equalWidth="0" w:num="1">
            <w:col w:w="9640"/>
          </w:cols>
          <w:pgMar w:left="1140" w:top="340"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A-1</w:t>
      </w:r>
    </w:p>
    <w:p>
      <w:pPr>
        <w:sectPr>
          <w:pgSz w:w="11880" w:h="15480" w:orient="portrait"/>
          <w:cols w:equalWidth="0" w:num="1">
            <w:col w:w="9640"/>
          </w:cols>
          <w:pgMar w:left="1140" w:top="340" w:right="1100" w:bottom="0" w:gutter="0" w:footer="0" w:header="0"/>
          <w:type w:val="continuous"/>
        </w:sectPr>
      </w:pPr>
    </w:p>
    <w:bookmarkStart w:id="87" w:name="page88"/>
    <w:bookmarkEnd w:id="87"/>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rFonts w:ascii="Arial" w:cs="Arial" w:eastAsia="Arial" w:hAnsi="Arial"/>
          <w:sz w:val="33"/>
          <w:szCs w:val="33"/>
          <w:color w:val="0A248E"/>
        </w:rPr>
        <w:t>APPENDIX B</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A248E"/>
        </w:rPr>
        <w:t>AMENDED AND RESTATED</w:t>
      </w:r>
      <w:r>
        <w:rPr>
          <w:rFonts w:ascii="Arial" w:cs="Arial" w:eastAsia="Arial" w:hAnsi="Arial"/>
          <w:sz w:val="18"/>
          <w:szCs w:val="18"/>
          <w:b w:val="1"/>
          <w:bCs w:val="1"/>
          <w:color w:val="0A248E"/>
        </w:rPr>
        <w:t xml:space="preserve"> </w:t>
      </w:r>
      <w:r>
        <w:rPr>
          <w:rFonts w:ascii="Arial" w:cs="Arial" w:eastAsia="Arial" w:hAnsi="Arial"/>
          <w:sz w:val="18"/>
          <w:szCs w:val="18"/>
          <w:b w:val="1"/>
          <w:bCs w:val="1"/>
          <w:color w:val="000000"/>
        </w:rPr>
        <w:t>ARTICLES OF INCORPORATION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CORPORATION</w:t>
      </w:r>
    </w:p>
    <w:p>
      <w:pPr>
        <w:spacing w:after="0" w:line="269" w:lineRule="exact"/>
        <w:rPr>
          <w:sz w:val="20"/>
          <w:szCs w:val="20"/>
          <w:color w:val="auto"/>
        </w:rPr>
      </w:pPr>
    </w:p>
    <w:p>
      <w:pPr>
        <w:jc w:val="both"/>
        <w:ind w:firstLine="702"/>
        <w:spacing w:after="0" w:line="299" w:lineRule="auto"/>
        <w:rPr>
          <w:sz w:val="20"/>
          <w:szCs w:val="20"/>
          <w:color w:val="auto"/>
        </w:rPr>
      </w:pPr>
      <w:r>
        <w:rPr>
          <w:rFonts w:ascii="Arial" w:cs="Arial" w:eastAsia="Arial" w:hAnsi="Arial"/>
          <w:sz w:val="18"/>
          <w:szCs w:val="18"/>
          <w:color w:val="auto"/>
        </w:rPr>
        <w:t>The name of the corporation is Dropbox,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xml:space="preserve">”). </w:t>
      </w:r>
      <w:r>
        <w:rPr>
          <w:rFonts w:ascii="Arial" w:cs="Arial" w:eastAsia="Arial" w:hAnsi="Arial"/>
          <w:sz w:val="18"/>
          <w:szCs w:val="18"/>
          <w:color w:val="FC0011"/>
          <w:strike w:val="1"/>
        </w:rPr>
        <w:t>The Corporation is the resulting entity in the</w:t>
      </w:r>
      <w:r>
        <w:rPr>
          <w:rFonts w:ascii="Arial" w:cs="Arial" w:eastAsia="Arial" w:hAnsi="Arial"/>
          <w:sz w:val="18"/>
          <w:szCs w:val="18"/>
          <w:color w:val="auto"/>
        </w:rPr>
        <w:t xml:space="preserve"> </w:t>
      </w:r>
      <w:r>
        <w:rPr>
          <w:rFonts w:ascii="Arial" w:cs="Arial" w:eastAsia="Arial" w:hAnsi="Arial"/>
          <w:sz w:val="18"/>
          <w:szCs w:val="18"/>
          <w:color w:val="FC0011"/>
          <w:strike w:val="1"/>
        </w:rPr>
        <w:t xml:space="preserve">conversion of </w:t>
      </w:r>
      <w:r>
        <w:rPr>
          <w:rFonts w:ascii="Arial" w:cs="Arial" w:eastAsia="Arial" w:hAnsi="Arial"/>
          <w:sz w:val="18"/>
          <w:szCs w:val="18"/>
          <w:color w:val="00421B"/>
          <w:strike w:val="1"/>
        </w:rPr>
        <w:t>Dropbox, Inc., a Delaware corporation</w:t>
      </w:r>
      <w:r>
        <w:rPr>
          <w:rFonts w:ascii="Arial" w:cs="Arial" w:eastAsia="Arial" w:hAnsi="Arial"/>
          <w:sz w:val="18"/>
          <w:szCs w:val="18"/>
          <w:color w:val="FC0011"/>
          <w:strike w:val="1"/>
        </w:rPr>
        <w:t xml:space="preserve"> (the “</w:t>
      </w:r>
      <w:r>
        <w:rPr>
          <w:rFonts w:ascii="Arial" w:cs="Arial" w:eastAsia="Arial" w:hAnsi="Arial"/>
          <w:sz w:val="18"/>
          <w:szCs w:val="18"/>
          <w:b w:val="1"/>
          <w:bCs w:val="1"/>
          <w:i w:val="1"/>
          <w:iCs w:val="1"/>
          <w:color w:val="FC0011"/>
          <w:strike w:val="1"/>
        </w:rPr>
        <w:t>Delaware Corporation</w:t>
      </w:r>
      <w:r>
        <w:rPr>
          <w:rFonts w:ascii="Arial" w:cs="Arial" w:eastAsia="Arial" w:hAnsi="Arial"/>
          <w:sz w:val="18"/>
          <w:szCs w:val="18"/>
          <w:color w:val="FC0011"/>
          <w:strike w:val="1"/>
        </w:rPr>
        <w:t>”), into a Nevada corporation (the “</w:t>
      </w:r>
      <w:r>
        <w:rPr>
          <w:rFonts w:ascii="Arial" w:cs="Arial" w:eastAsia="Arial" w:hAnsi="Arial"/>
          <w:sz w:val="18"/>
          <w:szCs w:val="18"/>
          <w:b w:val="1"/>
          <w:bCs w:val="1"/>
          <w:i w:val="1"/>
          <w:iCs w:val="1"/>
          <w:color w:val="FC0011"/>
          <w:strike w:val="1"/>
        </w:rPr>
        <w:t>Conversion</w:t>
      </w:r>
      <w:r>
        <w:rPr>
          <w:rFonts w:ascii="Arial" w:cs="Arial" w:eastAsia="Arial" w:hAnsi="Arial"/>
          <w:sz w:val="18"/>
          <w:szCs w:val="18"/>
          <w:color w:val="FC0011"/>
          <w:strike w:val="1"/>
        </w:rPr>
        <w:t xml:space="preserve">”) and is a continuation of the existence thereof pursuant to Chapter 92A of the Nevada Revised Statutes (as amended </w:t>
      </w:r>
      <w:r>
        <w:rPr>
          <w:rFonts w:ascii="Arial" w:cs="Arial" w:eastAsia="Arial" w:hAnsi="Arial"/>
          <w:sz w:val="18"/>
          <w:szCs w:val="18"/>
          <w:color w:val="00421B"/>
          <w:strike w:val="1"/>
        </w:rPr>
        <w:t>from time to time, the “</w:t>
      </w:r>
      <w:r>
        <w:rPr>
          <w:rFonts w:ascii="Arial" w:cs="Arial" w:eastAsia="Arial" w:hAnsi="Arial"/>
          <w:sz w:val="18"/>
          <w:szCs w:val="18"/>
          <w:b w:val="1"/>
          <w:bCs w:val="1"/>
          <w:i w:val="1"/>
          <w:iCs w:val="1"/>
          <w:color w:val="FC0011"/>
          <w:strike w:val="1"/>
        </w:rPr>
        <w:t>NRS</w:t>
      </w:r>
      <w:r>
        <w:rPr>
          <w:rFonts w:ascii="Arial" w:cs="Arial" w:eastAsia="Arial" w:hAnsi="Arial"/>
          <w:sz w:val="18"/>
          <w:szCs w:val="18"/>
          <w:color w:val="FC0011"/>
          <w:strike w:val="1"/>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 AND REGISTERED OFFICE</w:t>
      </w:r>
    </w:p>
    <w:p>
      <w:pPr>
        <w:spacing w:after="0" w:line="273" w:lineRule="exact"/>
        <w:rPr>
          <w:sz w:val="20"/>
          <w:szCs w:val="20"/>
          <w:color w:val="auto"/>
        </w:rPr>
      </w:pPr>
    </w:p>
    <w:p>
      <w:pPr>
        <w:jc w:val="both"/>
        <w:ind w:firstLine="702"/>
        <w:spacing w:after="0" w:line="293" w:lineRule="auto"/>
        <w:rPr>
          <w:sz w:val="20"/>
          <w:szCs w:val="20"/>
          <w:color w:val="auto"/>
        </w:rPr>
      </w:pPr>
      <w:r>
        <w:rPr>
          <w:rFonts w:ascii="Arial" w:cs="Arial" w:eastAsia="Arial" w:hAnsi="Arial"/>
          <w:sz w:val="18"/>
          <w:szCs w:val="18"/>
          <w:color w:val="auto"/>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89"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ARTICLE III</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PURPOSE</w:t>
      </w:r>
    </w:p>
    <w:p>
      <w:pPr>
        <w:spacing w:after="0" w:line="269" w:lineRule="exact"/>
        <w:rPr>
          <w:sz w:val="20"/>
          <w:szCs w:val="20"/>
          <w:color w:val="auto"/>
        </w:rPr>
      </w:pPr>
    </w:p>
    <w:p>
      <w:pPr>
        <w:jc w:val="both"/>
        <w:ind w:firstLine="702"/>
        <w:spacing w:after="0" w:line="321" w:lineRule="auto"/>
        <w:rPr>
          <w:sz w:val="20"/>
          <w:szCs w:val="20"/>
          <w:color w:val="auto"/>
        </w:rPr>
      </w:pPr>
      <w:r>
        <w:rPr>
          <w:rFonts w:ascii="Arial" w:cs="Arial" w:eastAsia="Arial" w:hAnsi="Arial"/>
          <w:sz w:val="18"/>
          <w:szCs w:val="18"/>
          <w:color w:val="auto"/>
        </w:rPr>
        <w:t xml:space="preserve">The purpose of the Corporation is to engage in any lawful act or activity for which a corporation may be organized under the NRS </w:t>
      </w:r>
      <w:r>
        <w:rPr>
          <w:rFonts w:ascii="Arial" w:cs="Arial" w:eastAsia="Arial" w:hAnsi="Arial"/>
          <w:sz w:val="18"/>
          <w:szCs w:val="18"/>
          <w:color w:val="0A248E"/>
        </w:rPr>
        <w:t>(as defined below)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732790</wp:posOffset>
                </wp:positionH>
                <wp:positionV relativeFrom="paragraph">
                  <wp:posOffset>-62865</wp:posOffset>
                </wp:positionV>
                <wp:extent cx="941705"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1705"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pt,-4.9499pt" to="131.85pt,-4.9499pt" o:allowincell="f" strokecolor="#0A248E" strokeweight="0.702pt"/>
            </w:pict>
          </mc:Fallback>
        </mc:AlternateConten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SHARES</w:t>
      </w:r>
    </w:p>
    <w:p>
      <w:pPr>
        <w:spacing w:after="0" w:line="269" w:lineRule="exact"/>
        <w:rPr>
          <w:sz w:val="20"/>
          <w:szCs w:val="20"/>
          <w:color w:val="auto"/>
        </w:rPr>
      </w:pPr>
    </w:p>
    <w:p>
      <w:pPr>
        <w:jc w:val="both"/>
        <w:ind w:firstLine="702"/>
        <w:spacing w:after="0" w:line="287" w:lineRule="auto"/>
        <w:rPr>
          <w:sz w:val="20"/>
          <w:szCs w:val="20"/>
          <w:color w:val="auto"/>
        </w:rPr>
      </w:pPr>
      <w:r>
        <w:rPr>
          <w:rFonts w:ascii="Arial" w:cs="Arial" w:eastAsia="Arial" w:hAnsi="Arial"/>
          <w:sz w:val="18"/>
          <w:szCs w:val="18"/>
          <w:color w:val="auto"/>
        </w:rPr>
        <w:t xml:space="preserve">This Corporation is authorized to issue two classes of stock to be designated, respectively,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Stock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Preferred Stock</w:t>
      </w:r>
      <w:r>
        <w:rPr>
          <w:rFonts w:ascii="Arial" w:cs="Arial" w:eastAsia="Arial" w:hAnsi="Arial"/>
          <w:sz w:val="18"/>
          <w:szCs w:val="18"/>
          <w:color w:val="auto"/>
        </w:rPr>
        <w:t>. The total number of shares of Common Stock authorized to be issued is 3,675,000,000,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2,400,000,000 shares of which are designated Class A Common Stock, par value $0.00001 per share (the “</w:t>
      </w:r>
      <w:r>
        <w:rPr>
          <w:rFonts w:ascii="Arial" w:cs="Arial" w:eastAsia="Arial" w:hAnsi="Arial"/>
          <w:sz w:val="18"/>
          <w:szCs w:val="18"/>
          <w:b w:val="1"/>
          <w:bCs w:val="1"/>
          <w:i w:val="1"/>
          <w:iCs w:val="1"/>
          <w:color w:val="auto"/>
        </w:rPr>
        <w:t>Class A 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475,000,000 shares of which are designated Class B Common Stock, par value $0.00001 per share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and 800,000,000 shares of which are designated Class C Common Stock, par value $0.00001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Class C Common Stock</w:t>
      </w:r>
      <w:r>
        <w:rPr>
          <w:rFonts w:ascii="Arial" w:cs="Arial" w:eastAsia="Arial" w:hAnsi="Arial"/>
          <w:sz w:val="18"/>
          <w:szCs w:val="18"/>
          <w:color w:val="auto"/>
        </w:rPr>
        <w:t>”). The total number of shares of Preferred Stock authorized to be issued is 240,000,000 shares, par value $0.00001 per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rights, powers, preferences, privileges, restrictions and other matters relating to the Common Stock are 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70" w:lineRule="exact"/>
        <w:rPr>
          <w:sz w:val="20"/>
          <w:szCs w:val="20"/>
          <w:color w:val="auto"/>
        </w:rPr>
      </w:pPr>
    </w:p>
    <w:p>
      <w:pPr>
        <w:ind w:left="1400" w:hanging="704"/>
        <w:spacing w:after="0"/>
        <w:tabs>
          <w:tab w:leader="none" w:pos="140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For purposes of </w:t>
      </w:r>
      <w:r>
        <w:rPr>
          <w:rFonts w:ascii="Arial" w:cs="Arial" w:eastAsia="Arial" w:hAnsi="Arial"/>
          <w:sz w:val="17"/>
          <w:szCs w:val="17"/>
          <w:color w:val="FC0011"/>
          <w:strike w:val="1"/>
        </w:rPr>
        <w:t>this</w:t>
      </w:r>
      <w:r>
        <w:rPr>
          <w:rFonts w:ascii="Arial" w:cs="Arial" w:eastAsia="Arial" w:hAnsi="Arial"/>
          <w:sz w:val="17"/>
          <w:szCs w:val="17"/>
          <w:color w:val="auto"/>
        </w:rPr>
        <w:t xml:space="preserve"> </w:t>
      </w:r>
      <w:r>
        <w:rPr>
          <w:rFonts w:ascii="Arial" w:cs="Arial" w:eastAsia="Arial" w:hAnsi="Arial"/>
          <w:sz w:val="17"/>
          <w:szCs w:val="17"/>
          <w:u w:val="single" w:color="auto"/>
          <w:color w:val="FC0011"/>
          <w:strike w:val="1"/>
        </w:rPr>
        <w:t>Article V</w:t>
      </w:r>
      <w:r>
        <w:rPr>
          <w:rFonts w:ascii="Arial" w:cs="Arial" w:eastAsia="Arial" w:hAnsi="Arial"/>
          <w:sz w:val="17"/>
          <w:szCs w:val="17"/>
          <w:u w:val="single" w:color="auto"/>
          <w:color w:val="0A248E"/>
        </w:rPr>
        <w:t>these Articles (as defined below)</w:t>
      </w:r>
      <w:r>
        <w:rPr>
          <w:rFonts w:ascii="Arial" w:cs="Arial" w:eastAsia="Arial" w:hAnsi="Arial"/>
          <w:sz w:val="17"/>
          <w:szCs w:val="17"/>
          <w:color w:val="auto"/>
        </w:rPr>
        <w:t>, the following definitions apply;</w:t>
      </w:r>
    </w:p>
    <w:p>
      <w:pPr>
        <w:spacing w:after="0" w:line="277" w:lineRule="exact"/>
        <w:rPr>
          <w:sz w:val="20"/>
          <w:szCs w:val="20"/>
          <w:color w:val="auto"/>
        </w:rPr>
      </w:pPr>
    </w:p>
    <w:p>
      <w:pPr>
        <w:jc w:val="both"/>
        <w:ind w:firstLine="1404"/>
        <w:spacing w:after="0" w:line="304" w:lineRule="auto"/>
        <w:rPr>
          <w:sz w:val="20"/>
          <w:szCs w:val="20"/>
          <w:color w:val="auto"/>
        </w:rPr>
      </w:pPr>
      <w:r>
        <w:rPr>
          <w:rFonts w:ascii="Arial" w:cs="Arial" w:eastAsia="Arial" w:hAnsi="Arial"/>
          <w:sz w:val="17"/>
          <w:szCs w:val="17"/>
          <w:color w:val="auto"/>
        </w:rPr>
        <w:t>1.1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xml:space="preserve">”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w:t>
      </w:r>
      <w:r>
        <w:rPr>
          <w:rFonts w:ascii="Arial" w:cs="Arial" w:eastAsia="Arial" w:hAnsi="Arial"/>
          <w:sz w:val="17"/>
          <w:szCs w:val="17"/>
          <w:u w:val="single" w:color="auto"/>
          <w:color w:val="auto"/>
        </w:rPr>
        <w:t>Section V.1.1</w:t>
      </w:r>
      <w:r>
        <w:rPr>
          <w:rFonts w:ascii="Arial" w:cs="Arial" w:eastAsia="Arial" w:hAnsi="Arial"/>
          <w:sz w:val="17"/>
          <w:szCs w:val="17"/>
          <w:color w:val="auto"/>
        </w:rPr>
        <w:t>,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w:t>
      </w:r>
    </w:p>
    <w:p>
      <w:pPr>
        <w:sectPr>
          <w:pgSz w:w="11880" w:h="15480" w:orient="portrait"/>
          <w:cols w:equalWidth="0" w:num="1">
            <w:col w:w="9640"/>
          </w:cols>
          <w:pgMar w:left="1140" w:top="340" w:right="1100" w:bottom="0" w:gutter="0" w:footer="0" w:header="0"/>
        </w:sectPr>
      </w:pPr>
    </w:p>
    <w:p>
      <w:pPr>
        <w:spacing w:after="0" w:line="200" w:lineRule="exact"/>
        <w:rPr>
          <w:sz w:val="20"/>
          <w:szCs w:val="20"/>
          <w:color w:val="auto"/>
        </w:rPr>
      </w:pP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B-1</w:t>
      </w:r>
    </w:p>
    <w:p>
      <w:pPr>
        <w:sectPr>
          <w:pgSz w:w="11880" w:h="15480" w:orient="portrait"/>
          <w:cols w:equalWidth="0" w:num="1">
            <w:col w:w="9640"/>
          </w:cols>
          <w:pgMar w:left="1140" w:top="340" w:right="1100" w:bottom="0" w:gutter="0" w:footer="0" w:header="0"/>
          <w:type w:val="continuous"/>
        </w:sectPr>
      </w:pPr>
    </w:p>
    <w:bookmarkStart w:id="89" w:name="page90"/>
    <w:bookmarkEnd w:id="89"/>
    <w:p>
      <w:pPr>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192" w:lineRule="exact"/>
        <w:rPr>
          <w:sz w:val="20"/>
          <w:szCs w:val="20"/>
          <w:color w:val="auto"/>
        </w:rPr>
      </w:pPr>
    </w:p>
    <w:p>
      <w:pPr>
        <w:jc w:val="both"/>
        <w:ind w:right="20" w:firstLine="1404"/>
        <w:spacing w:after="0" w:line="316"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xml:space="preserve">” means these </w:t>
      </w:r>
      <w:r>
        <w:rPr>
          <w:rFonts w:ascii="Arial" w:cs="Arial" w:eastAsia="Arial" w:hAnsi="Arial"/>
          <w:sz w:val="18"/>
          <w:szCs w:val="18"/>
          <w:u w:val="single" w:color="auto"/>
          <w:color w:val="0A248E"/>
        </w:rPr>
        <w:t>Amended and Restated</w:t>
      </w:r>
      <w:r>
        <w:rPr>
          <w:rFonts w:ascii="Arial" w:cs="Arial" w:eastAsia="Arial" w:hAnsi="Arial"/>
          <w:sz w:val="18"/>
          <w:szCs w:val="18"/>
          <w:color w:val="auto"/>
        </w:rPr>
        <w:t xml:space="preserve"> Articles of Incorporation of the Corporation, as </w:t>
      </w:r>
      <w:r>
        <w:rPr>
          <w:rFonts w:ascii="Arial" w:cs="Arial" w:eastAsia="Arial" w:hAnsi="Arial"/>
          <w:sz w:val="18"/>
          <w:szCs w:val="18"/>
          <w:u w:val="single" w:color="auto"/>
          <w:color w:val="0A248E"/>
        </w:rPr>
        <w:t>further</w:t>
      </w:r>
      <w:r>
        <w:rPr>
          <w:rFonts w:ascii="Arial" w:cs="Arial" w:eastAsia="Arial" w:hAnsi="Arial"/>
          <w:sz w:val="18"/>
          <w:szCs w:val="18"/>
          <w:color w:val="0A248E"/>
        </w:rPr>
        <w:t xml:space="preserve"> </w:t>
      </w:r>
      <w:r>
        <w:rPr>
          <w:rFonts w:ascii="Arial" w:cs="Arial" w:eastAsia="Arial" w:hAnsi="Arial"/>
          <w:sz w:val="18"/>
          <w:szCs w:val="18"/>
          <w:color w:val="000000"/>
        </w:rPr>
        <w:t>amended</w:t>
      </w:r>
      <w:r>
        <w:rPr>
          <w:rFonts w:ascii="Arial" w:cs="Arial" w:eastAsia="Arial" w:hAnsi="Arial"/>
          <w:sz w:val="18"/>
          <w:szCs w:val="18"/>
          <w:color w:val="0A248E"/>
        </w:rPr>
        <w:t xml:space="preserve"> </w:t>
      </w:r>
      <w:r>
        <w:rPr>
          <w:rFonts w:ascii="Arial" w:cs="Arial" w:eastAsia="Arial" w:hAnsi="Arial"/>
          <w:sz w:val="18"/>
          <w:szCs w:val="18"/>
          <w:u w:val="single" w:color="auto"/>
          <w:color w:val="0A248E"/>
        </w:rPr>
        <w:t>and/or restated</w:t>
      </w:r>
      <w:r>
        <w:rPr>
          <w:rFonts w:ascii="Arial" w:cs="Arial" w:eastAsia="Arial" w:hAnsi="Arial"/>
          <w:sz w:val="18"/>
          <w:szCs w:val="18"/>
          <w:color w:val="0A248E"/>
        </w:rPr>
        <w:t xml:space="preserve"> </w:t>
      </w:r>
      <w:r>
        <w:rPr>
          <w:rFonts w:ascii="Arial" w:cs="Arial" w:eastAsia="Arial" w:hAnsi="Arial"/>
          <w:sz w:val="18"/>
          <w:szCs w:val="18"/>
          <w:color w:val="000000"/>
        </w:rPr>
        <w:t>from time to time.</w:t>
      </w:r>
    </w:p>
    <w:p>
      <w:pPr>
        <w:spacing w:after="0" w:line="171" w:lineRule="exact"/>
        <w:rPr>
          <w:sz w:val="20"/>
          <w:szCs w:val="20"/>
          <w:color w:val="auto"/>
        </w:rPr>
      </w:pPr>
    </w:p>
    <w:p>
      <w:pPr>
        <w:jc w:val="both"/>
        <w:ind w:right="20" w:firstLine="1404"/>
        <w:spacing w:after="0" w:line="321"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i w:val="1"/>
          <w:iCs w:val="1"/>
          <w:color w:val="auto"/>
        </w:rPr>
        <w:t>Asset Transfer</w:t>
      </w:r>
      <w:r>
        <w:rPr>
          <w:rFonts w:ascii="Arial" w:cs="Arial" w:eastAsia="Arial" w:hAnsi="Arial"/>
          <w:sz w:val="18"/>
          <w:szCs w:val="18"/>
          <w:color w:val="auto"/>
        </w:rPr>
        <w:t>” means a sale, lease, exclusive license or other disposition of all or substantially all of the assets of the Corporation.</w:t>
      </w:r>
    </w:p>
    <w:p>
      <w:pPr>
        <w:spacing w:after="0" w:line="167" w:lineRule="exact"/>
        <w:rPr>
          <w:sz w:val="20"/>
          <w:szCs w:val="20"/>
          <w:color w:val="auto"/>
        </w:rPr>
      </w:pPr>
    </w:p>
    <w:p>
      <w:pPr>
        <w:ind w:left="1400"/>
        <w:spacing w:after="0"/>
        <w:tabs>
          <w:tab w:leader="none" w:pos="20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Corporation.</w:t>
      </w:r>
    </w:p>
    <w:p>
      <w:pPr>
        <w:spacing w:after="0" w:line="266" w:lineRule="exact"/>
        <w:rPr>
          <w:sz w:val="20"/>
          <w:szCs w:val="20"/>
          <w:color w:val="auto"/>
        </w:rPr>
      </w:pPr>
    </w:p>
    <w:p>
      <w:pPr>
        <w:jc w:val="both"/>
        <w:ind w:firstLine="1404"/>
        <w:spacing w:after="0" w:line="301"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i w:val="1"/>
          <w:iCs w:val="1"/>
          <w:color w:val="auto"/>
        </w:rPr>
        <w:t>Controlled Company Exemption</w:t>
      </w:r>
      <w:r>
        <w:rPr>
          <w:rFonts w:ascii="Arial" w:cs="Arial" w:eastAsia="Arial" w:hAnsi="Arial"/>
          <w:sz w:val="18"/>
          <w:szCs w:val="18"/>
          <w:color w:val="auto"/>
        </w:rPr>
        <w:t>” means, if and to the extent otherwise applicable to the Corporation, the exemptions from the Listing Standards available to any company that constitutes a “controlled company” within the meaning of the Listing Standards.</w:t>
      </w:r>
    </w:p>
    <w:p>
      <w:pPr>
        <w:spacing w:after="0" w:line="185" w:lineRule="exact"/>
        <w:rPr>
          <w:sz w:val="20"/>
          <w:szCs w:val="20"/>
          <w:color w:val="auto"/>
        </w:rPr>
      </w:pPr>
    </w:p>
    <w:p>
      <w:pPr>
        <w:ind w:left="1400"/>
        <w:spacing w:after="0"/>
        <w:tabs>
          <w:tab w:leader="none" w:pos="2080" w:val="left"/>
        </w:tabs>
        <w:rPr>
          <w:sz w:val="20"/>
          <w:szCs w:val="20"/>
          <w:color w:val="auto"/>
        </w:rPr>
      </w:pPr>
      <w:r>
        <w:rPr>
          <w:rFonts w:ascii="Arial" w:cs="Arial" w:eastAsia="Arial" w:hAnsi="Arial"/>
          <w:sz w:val="18"/>
          <w:szCs w:val="18"/>
          <w:color w:val="0A248E"/>
        </w:rPr>
        <w:t>1.6</w:t>
      </w:r>
      <w:r>
        <w:rPr>
          <w:sz w:val="20"/>
          <w:szCs w:val="20"/>
          <w:color w:val="auto"/>
        </w:rPr>
        <w:tab/>
      </w:r>
      <w:r>
        <w:rPr>
          <w:rFonts w:ascii="Arial" w:cs="Arial" w:eastAsia="Arial" w:hAnsi="Arial"/>
          <w:sz w:val="17"/>
          <w:szCs w:val="17"/>
          <w:color w:val="0A248E"/>
        </w:rPr>
        <w:t>“</w:t>
      </w:r>
      <w:r>
        <w:rPr>
          <w:rFonts w:ascii="Arial" w:cs="Arial" w:eastAsia="Arial" w:hAnsi="Arial"/>
          <w:sz w:val="17"/>
          <w:szCs w:val="17"/>
          <w:b w:val="1"/>
          <w:bCs w:val="1"/>
          <w:i w:val="1"/>
          <w:iCs w:val="1"/>
          <w:color w:val="0A248E"/>
        </w:rPr>
        <w:t>Conversion</w:t>
      </w:r>
      <w:r>
        <w:rPr>
          <w:rFonts w:ascii="Arial" w:cs="Arial" w:eastAsia="Arial" w:hAnsi="Arial"/>
          <w:sz w:val="17"/>
          <w:szCs w:val="17"/>
          <w:color w:val="0A248E"/>
        </w:rPr>
        <w:t>” means the conversion of the Delaware Corporation into the Corporation on March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1905</wp:posOffset>
                </wp:positionV>
                <wp:extent cx="5239385"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9385"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0.15pt" to="482.4pt,0.15pt" o:allowincell="f" strokecolor="#0A248E" strokeweight="0.702pt"/>
            </w:pict>
          </mc:Fallback>
        </mc:AlternateConten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A248E"/>
        </w:rPr>
        <w:t>5, 2025, and the continuation of the existence thereof pursuant to the NRS.</w:t>
      </w:r>
    </w:p>
    <w:p>
      <w:pPr>
        <w:spacing w:after="0" w:line="270" w:lineRule="exact"/>
        <w:rPr>
          <w:sz w:val="20"/>
          <w:szCs w:val="20"/>
          <w:color w:val="auto"/>
        </w:rPr>
      </w:pPr>
    </w:p>
    <w:p>
      <w:pPr>
        <w:ind w:left="1400"/>
        <w:spacing w:after="0"/>
        <w:tabs>
          <w:tab w:leader="none" w:pos="2080" w:val="left"/>
        </w:tabs>
        <w:rPr>
          <w:sz w:val="20"/>
          <w:szCs w:val="20"/>
          <w:color w:val="auto"/>
        </w:rPr>
      </w:pPr>
      <w:r>
        <w:rPr>
          <w:rFonts w:ascii="Arial" w:cs="Arial" w:eastAsia="Arial" w:hAnsi="Arial"/>
          <w:sz w:val="18"/>
          <w:szCs w:val="18"/>
          <w:color w:val="0A248E"/>
        </w:rPr>
        <w:t>1.7</w:t>
      </w:r>
      <w:r>
        <w:rPr>
          <w:sz w:val="20"/>
          <w:szCs w:val="20"/>
          <w:color w:val="auto"/>
        </w:rPr>
        <w:tab/>
      </w:r>
      <w:r>
        <w:rPr>
          <w:rFonts w:ascii="Arial" w:cs="Arial" w:eastAsia="Arial" w:hAnsi="Arial"/>
          <w:sz w:val="17"/>
          <w:szCs w:val="17"/>
          <w:color w:val="0A248E"/>
        </w:rPr>
        <w:t>“</w:t>
      </w:r>
      <w:r>
        <w:rPr>
          <w:rFonts w:ascii="Arial" w:cs="Arial" w:eastAsia="Arial" w:hAnsi="Arial"/>
          <w:sz w:val="17"/>
          <w:szCs w:val="17"/>
          <w:b w:val="1"/>
          <w:bCs w:val="1"/>
          <w:i w:val="1"/>
          <w:iCs w:val="1"/>
          <w:color w:val="0A248E"/>
        </w:rPr>
        <w:t>Delaware Corporation</w:t>
      </w:r>
      <w:r>
        <w:rPr>
          <w:rFonts w:ascii="Arial" w:cs="Arial" w:eastAsia="Arial" w:hAnsi="Arial"/>
          <w:sz w:val="17"/>
          <w:szCs w:val="17"/>
          <w:color w:val="0A248E"/>
        </w:rPr>
        <w:t xml:space="preserve">” means </w:t>
      </w:r>
      <w:r>
        <w:rPr>
          <w:rFonts w:ascii="Arial" w:cs="Arial" w:eastAsia="Arial" w:hAnsi="Arial"/>
          <w:sz w:val="17"/>
          <w:szCs w:val="17"/>
          <w:u w:val="single" w:color="auto"/>
          <w:color w:val="00421B"/>
        </w:rPr>
        <w:t>Dropbox, Inc., a Delaware corporation</w:t>
      </w:r>
      <w:r>
        <w:rPr>
          <w:rFonts w:ascii="Arial" w:cs="Arial" w:eastAsia="Arial" w:hAnsi="Arial"/>
          <w:sz w:val="17"/>
          <w:szCs w:val="17"/>
          <w:u w:val="single" w:color="auto"/>
          <w:color w:val="0A248E"/>
        </w:rPr>
        <w:t>, which was converted into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1905</wp:posOffset>
                </wp:positionV>
                <wp:extent cx="2068195"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8195"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0.15pt" to="232.7pt,0.15pt" o:allowincell="f" strokecolor="#0A248E" strokeweight="0.702pt"/>
            </w:pict>
          </mc:Fallback>
        </mc:AlternateConten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A248E"/>
        </w:rPr>
        <w:t>the Corporation.</w:t>
      </w:r>
    </w:p>
    <w:p>
      <w:pPr>
        <w:spacing w:after="0" w:line="270" w:lineRule="exact"/>
        <w:rPr>
          <w:sz w:val="20"/>
          <w:szCs w:val="20"/>
          <w:color w:val="auto"/>
        </w:rPr>
      </w:pPr>
    </w:p>
    <w:p>
      <w:pPr>
        <w:jc w:val="both"/>
        <w:ind w:right="20" w:firstLine="1404"/>
        <w:spacing w:after="0" w:line="302" w:lineRule="auto"/>
        <w:rPr>
          <w:sz w:val="20"/>
          <w:szCs w:val="20"/>
          <w:color w:val="auto"/>
        </w:rPr>
      </w:pPr>
      <w:r>
        <w:rPr>
          <w:rFonts w:ascii="Arial" w:cs="Arial" w:eastAsia="Arial" w:hAnsi="Arial"/>
          <w:sz w:val="17"/>
          <w:szCs w:val="17"/>
          <w:color w:val="0A248E"/>
        </w:rPr>
        <w:t xml:space="preserve">1.8 </w:t>
      </w:r>
      <w:r>
        <w:rPr>
          <w:rFonts w:ascii="Arial" w:cs="Arial" w:eastAsia="Arial" w:hAnsi="Arial"/>
          <w:sz w:val="17"/>
          <w:szCs w:val="17"/>
          <w:color w:val="FC0011"/>
          <w:strike w:val="1"/>
        </w:rPr>
        <w:t>1.6</w:t>
      </w:r>
      <w:r>
        <w:rPr>
          <w:rFonts w:ascii="Arial" w:cs="Arial" w:eastAsia="Arial" w:hAnsi="Arial"/>
          <w:sz w:val="17"/>
          <w:szCs w:val="17"/>
          <w:color w:val="0A248E"/>
        </w:rPr>
        <w:t xml:space="preserve"> </w:t>
      </w:r>
      <w:r>
        <w:rPr>
          <w:rFonts w:ascii="Arial" w:cs="Arial" w:eastAsia="Arial" w:hAnsi="Arial"/>
          <w:sz w:val="17"/>
          <w:szCs w:val="17"/>
          <w:color w:val="000000"/>
        </w:rPr>
        <w:t>“</w:t>
      </w:r>
      <w:r>
        <w:rPr>
          <w:rFonts w:ascii="Arial" w:cs="Arial" w:eastAsia="Arial" w:hAnsi="Arial"/>
          <w:sz w:val="17"/>
          <w:szCs w:val="17"/>
          <w:b w:val="1"/>
          <w:bCs w:val="1"/>
          <w:i w:val="1"/>
          <w:iCs w:val="1"/>
          <w:color w:val="000000"/>
        </w:rPr>
        <w:t>Disability</w:t>
      </w:r>
      <w:r>
        <w:rPr>
          <w:rFonts w:ascii="Arial" w:cs="Arial" w:eastAsia="Arial" w:hAnsi="Arial"/>
          <w:sz w:val="17"/>
          <w:szCs w:val="17"/>
          <w:color w:val="000000"/>
        </w:rPr>
        <w:t>” or “</w:t>
      </w:r>
      <w:r>
        <w:rPr>
          <w:rFonts w:ascii="Arial" w:cs="Arial" w:eastAsia="Arial" w:hAnsi="Arial"/>
          <w:sz w:val="17"/>
          <w:szCs w:val="17"/>
          <w:b w:val="1"/>
          <w:bCs w:val="1"/>
          <w:i w:val="1"/>
          <w:iCs w:val="1"/>
          <w:color w:val="000000"/>
        </w:rPr>
        <w:t>Disabled</w:t>
      </w:r>
      <w:r>
        <w:rPr>
          <w:rFonts w:ascii="Arial" w:cs="Arial" w:eastAsia="Arial" w:hAnsi="Arial"/>
          <w:sz w:val="17"/>
          <w:szCs w:val="17"/>
          <w:color w:val="000000"/>
        </w:rPr>
        <w:t>” means, with respect to a Founder, the permanent and total disability</w:t>
      </w:r>
      <w:r>
        <w:rPr>
          <w:rFonts w:ascii="Arial" w:cs="Arial" w:eastAsia="Arial" w:hAnsi="Arial"/>
          <w:sz w:val="17"/>
          <w:szCs w:val="17"/>
          <w:color w:val="0A248E"/>
        </w:rPr>
        <w:t xml:space="preserve"> </w:t>
      </w:r>
      <w:r>
        <w:rPr>
          <w:rFonts w:ascii="Arial" w:cs="Arial" w:eastAsia="Arial" w:hAnsi="Arial"/>
          <w:sz w:val="17"/>
          <w:szCs w:val="17"/>
          <w:color w:val="000000"/>
        </w:rPr>
        <w:t>of such Founder such that such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-1739900</wp:posOffset>
                </wp:positionV>
                <wp:extent cx="44577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137pt" to="104.95pt,-137pt" o:allowincell="f" strokecolor="#0A248E" strokeweight="0.702pt"/>
            </w:pict>
          </mc:Fallback>
        </mc:AlternateContent>
      </w:r>
    </w:p>
    <w:p>
      <w:pPr>
        <w:spacing w:after="0" w:line="168" w:lineRule="exact"/>
        <w:rPr>
          <w:sz w:val="20"/>
          <w:szCs w:val="20"/>
          <w:color w:val="auto"/>
        </w:rPr>
      </w:pPr>
    </w:p>
    <w:p>
      <w:pPr>
        <w:ind w:left="1400"/>
        <w:spacing w:after="0"/>
        <w:tabs>
          <w:tab w:leader="none" w:pos="2080" w:val="left"/>
        </w:tabs>
        <w:rPr>
          <w:sz w:val="20"/>
          <w:szCs w:val="20"/>
          <w:color w:val="auto"/>
        </w:rPr>
      </w:pPr>
      <w:r>
        <w:rPr>
          <w:rFonts w:ascii="Arial" w:cs="Arial" w:eastAsia="Arial" w:hAnsi="Arial"/>
          <w:sz w:val="18"/>
          <w:szCs w:val="18"/>
          <w:color w:val="0A248E"/>
        </w:rPr>
        <w:t>1.9</w:t>
      </w:r>
      <w:r>
        <w:rPr>
          <w:sz w:val="20"/>
          <w:szCs w:val="20"/>
          <w:color w:val="auto"/>
        </w:rPr>
        <w:tab/>
      </w:r>
      <w:r>
        <w:rPr>
          <w:rFonts w:ascii="Arial" w:cs="Arial" w:eastAsia="Arial" w:hAnsi="Arial"/>
          <w:sz w:val="17"/>
          <w:szCs w:val="17"/>
          <w:color w:val="FC0011"/>
          <w:strike w:val="1"/>
        </w:rPr>
        <w:t xml:space="preserve">1.7 </w:t>
      </w:r>
      <w:r>
        <w:rPr>
          <w:rFonts w:ascii="Arial" w:cs="Arial" w:eastAsia="Arial" w:hAnsi="Arial"/>
          <w:sz w:val="17"/>
          <w:szCs w:val="17"/>
          <w:color w:val="000000"/>
          <w:strike w:val="1"/>
        </w:rPr>
        <w:t>“</w:t>
      </w:r>
      <w:r>
        <w:rPr>
          <w:rFonts w:ascii="Arial" w:cs="Arial" w:eastAsia="Arial" w:hAnsi="Arial"/>
          <w:sz w:val="17"/>
          <w:szCs w:val="17"/>
          <w:b w:val="1"/>
          <w:bCs w:val="1"/>
          <w:i w:val="1"/>
          <w:iCs w:val="1"/>
          <w:color w:val="000000"/>
          <w:strike w:val="1"/>
        </w:rPr>
        <w:t>Final Conversion Date</w:t>
      </w:r>
      <w:r>
        <w:rPr>
          <w:rFonts w:ascii="Arial" w:cs="Arial" w:eastAsia="Arial" w:hAnsi="Arial"/>
          <w:sz w:val="17"/>
          <w:szCs w:val="17"/>
          <w:color w:val="000000"/>
          <w:strike w:val="1"/>
        </w:rPr>
        <w:t>” means: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2540</wp:posOffset>
                </wp:positionV>
                <wp:extent cx="445770"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0.2pt" to="104.95pt,0.2pt" o:allowincell="f" strokecolor="#0A248E" strokeweight="0.702pt"/>
            </w:pict>
          </mc:Fallback>
        </mc:AlternateContent>
      </w:r>
    </w:p>
    <w:p>
      <w:pPr>
        <w:spacing w:after="0" w:line="246" w:lineRule="exact"/>
        <w:rPr>
          <w:sz w:val="20"/>
          <w:szCs w:val="20"/>
          <w:color w:val="auto"/>
        </w:rPr>
      </w:pPr>
    </w:p>
    <w:p>
      <w:pPr>
        <w:ind w:right="20" w:firstLine="2099"/>
        <w:spacing w:after="0" w:line="321" w:lineRule="auto"/>
        <w:tabs>
          <w:tab w:leader="none" w:pos="28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date specified by the holders of two-thirds of the then outstanding shares of Class B Common Stock, voting as a separate class;</w:t>
      </w:r>
    </w:p>
    <w:p>
      <w:pPr>
        <w:spacing w:after="0" w:line="166" w:lineRule="exact"/>
        <w:rPr>
          <w:rFonts w:ascii="Arial" w:cs="Arial" w:eastAsia="Arial" w:hAnsi="Arial"/>
          <w:sz w:val="18"/>
          <w:szCs w:val="18"/>
          <w:color w:val="auto"/>
        </w:rPr>
      </w:pPr>
    </w:p>
    <w:p>
      <w:pPr>
        <w:jc w:val="both"/>
        <w:ind w:right="20" w:firstLine="2099"/>
        <w:spacing w:after="0" w:line="299" w:lineRule="auto"/>
        <w:tabs>
          <w:tab w:leader="none" w:pos="28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first date on which the number of outstanding shares of Class B Common Stock represents less than five percent (5%) of the aggregate number of outstanding shares of Class A Common Stock and Class B Common Stock; or</w:t>
      </w:r>
    </w:p>
    <w:p>
      <w:pPr>
        <w:spacing w:after="0" w:line="185" w:lineRule="exact"/>
        <w:rPr>
          <w:rFonts w:ascii="Arial" w:cs="Arial" w:eastAsia="Arial" w:hAnsi="Arial"/>
          <w:sz w:val="18"/>
          <w:szCs w:val="18"/>
          <w:color w:val="auto"/>
        </w:rPr>
      </w:pPr>
    </w:p>
    <w:p>
      <w:pPr>
        <w:jc w:val="both"/>
        <w:ind w:firstLine="2099"/>
        <w:spacing w:after="0" w:line="326" w:lineRule="auto"/>
        <w:tabs>
          <w:tab w:leader="none" w:pos="280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date that is nine months after the death or Disability of the last to die or become Disabled of the Founders, provided, that such date may be extended but not for a total period of longer than eighteen (18) months from the last applicable death or Disability to a date approved by a majority of the Independent Directors then in office.</w:t>
      </w:r>
    </w:p>
    <w:p>
      <w:pPr>
        <w:spacing w:after="0" w:line="163" w:lineRule="exact"/>
        <w:rPr>
          <w:sz w:val="20"/>
          <w:szCs w:val="20"/>
          <w:color w:val="auto"/>
        </w:rPr>
      </w:pPr>
    </w:p>
    <w:p>
      <w:pPr>
        <w:ind w:left="1400"/>
        <w:spacing w:after="0"/>
        <w:tabs>
          <w:tab w:leader="none" w:pos="2080" w:val="left"/>
        </w:tabs>
        <w:rPr>
          <w:sz w:val="20"/>
          <w:szCs w:val="20"/>
          <w:color w:val="auto"/>
        </w:rPr>
      </w:pPr>
      <w:r>
        <w:rPr>
          <w:rFonts w:ascii="Arial" w:cs="Arial" w:eastAsia="Arial" w:hAnsi="Arial"/>
          <w:sz w:val="18"/>
          <w:szCs w:val="18"/>
          <w:color w:val="0A248E"/>
        </w:rPr>
        <w:t>1.10</w:t>
      </w:r>
      <w:r>
        <w:rPr>
          <w:sz w:val="20"/>
          <w:szCs w:val="20"/>
          <w:color w:val="auto"/>
        </w:rPr>
        <w:tab/>
      </w:r>
      <w:r>
        <w:rPr>
          <w:rFonts w:ascii="Arial" w:cs="Arial" w:eastAsia="Arial" w:hAnsi="Arial"/>
          <w:sz w:val="17"/>
          <w:szCs w:val="17"/>
          <w:color w:val="FC0011"/>
          <w:strike w:val="1"/>
        </w:rPr>
        <w:t xml:space="preserve">1.8 </w:t>
      </w:r>
      <w:r>
        <w:rPr>
          <w:rFonts w:ascii="Arial" w:cs="Arial" w:eastAsia="Arial" w:hAnsi="Arial"/>
          <w:sz w:val="17"/>
          <w:szCs w:val="17"/>
          <w:color w:val="000000"/>
          <w:strike w:val="1"/>
        </w:rPr>
        <w:t>“</w:t>
      </w:r>
      <w:r>
        <w:rPr>
          <w:rFonts w:ascii="Arial" w:cs="Arial" w:eastAsia="Arial" w:hAnsi="Arial"/>
          <w:sz w:val="17"/>
          <w:szCs w:val="17"/>
          <w:b w:val="1"/>
          <w:bCs w:val="1"/>
          <w:i w:val="1"/>
          <w:iCs w:val="1"/>
          <w:color w:val="000000"/>
          <w:strike w:val="1"/>
        </w:rPr>
        <w:t>Founder</w:t>
      </w:r>
      <w:r>
        <w:rPr>
          <w:rFonts w:ascii="Arial" w:cs="Arial" w:eastAsia="Arial" w:hAnsi="Arial"/>
          <w:sz w:val="17"/>
          <w:szCs w:val="17"/>
          <w:color w:val="000000"/>
          <w:strike w:val="1"/>
        </w:rPr>
        <w:t>” means either Andrew Houston or Arash Ferdowsi.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2540</wp:posOffset>
                </wp:positionV>
                <wp:extent cx="44577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0.2pt" to="104.95pt,0.2pt" o:allowincell="f" strokecolor="#0A248E" strokeweight="0.702pt"/>
            </w:pict>
          </mc:Fallback>
        </mc:AlternateContent>
      </w:r>
    </w:p>
    <w:p>
      <w:pPr>
        <w:spacing w:after="0" w:line="251" w:lineRule="exact"/>
        <w:rPr>
          <w:sz w:val="20"/>
          <w:szCs w:val="20"/>
          <w:color w:val="auto"/>
        </w:rPr>
      </w:pPr>
    </w:p>
    <w:p>
      <w:pPr>
        <w:ind w:right="20" w:firstLine="1404"/>
        <w:spacing w:after="0" w:line="321" w:lineRule="auto"/>
        <w:rPr>
          <w:sz w:val="20"/>
          <w:szCs w:val="20"/>
          <w:color w:val="auto"/>
        </w:rPr>
      </w:pPr>
      <w:r>
        <w:rPr>
          <w:rFonts w:ascii="Arial" w:cs="Arial" w:eastAsia="Arial" w:hAnsi="Arial"/>
          <w:sz w:val="18"/>
          <w:szCs w:val="18"/>
          <w:color w:val="0A248E"/>
        </w:rPr>
        <w:t xml:space="preserve">1.11 </w:t>
      </w:r>
      <w:r>
        <w:rPr>
          <w:rFonts w:ascii="Arial" w:cs="Arial" w:eastAsia="Arial" w:hAnsi="Arial"/>
          <w:sz w:val="18"/>
          <w:szCs w:val="18"/>
          <w:color w:val="FC0011"/>
          <w:strike w:val="1"/>
        </w:rPr>
        <w:t>1.9</w:t>
      </w:r>
      <w:r>
        <w:rPr>
          <w:rFonts w:ascii="Arial" w:cs="Arial" w:eastAsia="Arial" w:hAnsi="Arial"/>
          <w:sz w:val="18"/>
          <w:szCs w:val="18"/>
          <w:color w:val="0A248E"/>
        </w:rPr>
        <w:t xml:space="preserve"> </w:t>
      </w:r>
      <w:r>
        <w:rPr>
          <w:rFonts w:ascii="Arial" w:cs="Arial" w:eastAsia="Arial" w:hAnsi="Arial"/>
          <w:sz w:val="18"/>
          <w:szCs w:val="18"/>
          <w:color w:val="000000"/>
        </w:rPr>
        <w:t>“</w:t>
      </w:r>
      <w:r>
        <w:rPr>
          <w:rFonts w:ascii="Arial" w:cs="Arial" w:eastAsia="Arial" w:hAnsi="Arial"/>
          <w:sz w:val="18"/>
          <w:szCs w:val="18"/>
          <w:b w:val="1"/>
          <w:bCs w:val="1"/>
          <w:i w:val="1"/>
          <w:iCs w:val="1"/>
          <w:color w:val="000000"/>
        </w:rPr>
        <w:t>Independent Directors</w:t>
      </w:r>
      <w:r>
        <w:rPr>
          <w:rFonts w:ascii="Arial" w:cs="Arial" w:eastAsia="Arial" w:hAnsi="Arial"/>
          <w:sz w:val="18"/>
          <w:szCs w:val="18"/>
          <w:color w:val="000000"/>
        </w:rPr>
        <w:t>” means the members of the Board designated as independent</w:t>
      </w:r>
      <w:r>
        <w:rPr>
          <w:rFonts w:ascii="Arial" w:cs="Arial" w:eastAsia="Arial" w:hAnsi="Arial"/>
          <w:sz w:val="18"/>
          <w:szCs w:val="18"/>
          <w:color w:val="0A248E"/>
        </w:rPr>
        <w:t xml:space="preserve"> </w:t>
      </w:r>
      <w:r>
        <w:rPr>
          <w:rFonts w:ascii="Arial" w:cs="Arial" w:eastAsia="Arial" w:hAnsi="Arial"/>
          <w:sz w:val="18"/>
          <w:szCs w:val="18"/>
          <w:color w:val="000000"/>
        </w:rPr>
        <w:t>directors in accordance with the Listing Standards.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-217170</wp:posOffset>
                </wp:positionV>
                <wp:extent cx="445770"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17.0999pt" to="104.95pt,-17.0999pt" o:allowincell="f" strokecolor="#0A248E" strokeweight="0.702pt"/>
            </w:pict>
          </mc:Fallback>
        </mc:AlternateContent>
      </w:r>
    </w:p>
    <w:p>
      <w:pPr>
        <w:spacing w:after="0" w:line="147" w:lineRule="exact"/>
        <w:rPr>
          <w:sz w:val="20"/>
          <w:szCs w:val="20"/>
          <w:color w:val="auto"/>
        </w:rPr>
      </w:pPr>
    </w:p>
    <w:p>
      <w:pPr>
        <w:ind w:left="1400"/>
        <w:spacing w:after="0"/>
        <w:tabs>
          <w:tab w:leader="none" w:pos="2080" w:val="left"/>
        </w:tabs>
        <w:rPr>
          <w:sz w:val="20"/>
          <w:szCs w:val="20"/>
          <w:color w:val="auto"/>
        </w:rPr>
      </w:pPr>
      <w:r>
        <w:rPr>
          <w:rFonts w:ascii="Arial" w:cs="Arial" w:eastAsia="Arial" w:hAnsi="Arial"/>
          <w:sz w:val="18"/>
          <w:szCs w:val="18"/>
          <w:color w:val="0A248E"/>
        </w:rPr>
        <w:t>1.12</w:t>
      </w:r>
      <w:r>
        <w:rPr>
          <w:sz w:val="20"/>
          <w:szCs w:val="20"/>
          <w:color w:val="auto"/>
        </w:rPr>
        <w:tab/>
      </w:r>
      <w:r>
        <w:rPr>
          <w:rFonts w:ascii="Arial" w:cs="Arial" w:eastAsia="Arial" w:hAnsi="Arial"/>
          <w:sz w:val="17"/>
          <w:szCs w:val="17"/>
          <w:color w:val="FC0011"/>
          <w:strike w:val="1"/>
        </w:rPr>
        <w:t xml:space="preserve">1.10 </w:t>
      </w:r>
      <w:r>
        <w:rPr>
          <w:rFonts w:ascii="Arial" w:cs="Arial" w:eastAsia="Arial" w:hAnsi="Arial"/>
          <w:sz w:val="17"/>
          <w:szCs w:val="17"/>
          <w:color w:val="000000"/>
          <w:strike w:val="1"/>
        </w:rPr>
        <w:t>“</w:t>
      </w:r>
      <w:r>
        <w:rPr>
          <w:rFonts w:ascii="Arial" w:cs="Arial" w:eastAsia="Arial" w:hAnsi="Arial"/>
          <w:sz w:val="17"/>
          <w:szCs w:val="17"/>
          <w:b w:val="1"/>
          <w:bCs w:val="1"/>
          <w:i w:val="1"/>
          <w:iCs w:val="1"/>
          <w:color w:val="000000"/>
          <w:strike w:val="1"/>
        </w:rPr>
        <w:t>IPO Date</w:t>
      </w:r>
      <w:r>
        <w:rPr>
          <w:rFonts w:ascii="Arial" w:cs="Arial" w:eastAsia="Arial" w:hAnsi="Arial"/>
          <w:sz w:val="17"/>
          <w:szCs w:val="17"/>
          <w:color w:val="000000"/>
          <w:strike w:val="1"/>
        </w:rPr>
        <w:t>” means March 23, 2018.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1905</wp:posOffset>
                </wp:positionV>
                <wp:extent cx="44577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0.15pt" to="104.95pt,0.15pt" o:allowincell="f" strokecolor="#0A248E" strokeweight="0.702pt"/>
            </w:pict>
          </mc:Fallback>
        </mc:AlternateContent>
      </w:r>
    </w:p>
    <w:p>
      <w:pPr>
        <w:sectPr>
          <w:pgSz w:w="11880" w:h="15480" w:orient="portrait"/>
          <w:cols w:equalWidth="0" w:num="1">
            <w:col w:w="9660"/>
          </w:cols>
          <w:pgMar w:left="1140" w:top="780" w:right="1080"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B-2</w:t>
      </w:r>
    </w:p>
    <w:p>
      <w:pPr>
        <w:sectPr>
          <w:pgSz w:w="11880" w:h="15480" w:orient="portrait"/>
          <w:cols w:equalWidth="0" w:num="1">
            <w:col w:w="9660"/>
          </w:cols>
          <w:pgMar w:left="1140" w:top="780" w:right="1080" w:bottom="0" w:gutter="0" w:footer="0" w:header="0"/>
          <w:type w:val="continuous"/>
        </w:sectPr>
      </w:pPr>
    </w:p>
    <w:bookmarkStart w:id="90" w:name="page91"/>
    <w:bookmarkEnd w:id="90"/>
    <w:p>
      <w:pPr>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jc w:val="both"/>
        <w:ind w:right="20" w:firstLine="1404"/>
        <w:spacing w:after="0" w:line="316" w:lineRule="auto"/>
        <w:rPr>
          <w:sz w:val="20"/>
          <w:szCs w:val="20"/>
          <w:color w:val="auto"/>
        </w:rPr>
      </w:pPr>
      <w:r>
        <w:rPr>
          <w:rFonts w:ascii="Arial" w:cs="Arial" w:eastAsia="Arial" w:hAnsi="Arial"/>
          <w:sz w:val="18"/>
          <w:szCs w:val="18"/>
          <w:color w:val="0A248E"/>
        </w:rPr>
        <w:t xml:space="preserve">1.13 </w:t>
      </w:r>
      <w:r>
        <w:rPr>
          <w:rFonts w:ascii="Arial" w:cs="Arial" w:eastAsia="Arial" w:hAnsi="Arial"/>
          <w:sz w:val="18"/>
          <w:szCs w:val="18"/>
          <w:color w:val="FC0011"/>
          <w:strike w:val="1"/>
        </w:rPr>
        <w:t>1.11</w:t>
      </w:r>
      <w:r>
        <w:rPr>
          <w:rFonts w:ascii="Arial" w:cs="Arial" w:eastAsia="Arial" w:hAnsi="Arial"/>
          <w:sz w:val="18"/>
          <w:szCs w:val="18"/>
          <w:color w:val="0A248E"/>
        </w:rPr>
        <w:t xml:space="preserve"> </w:t>
      </w:r>
      <w:r>
        <w:rPr>
          <w:rFonts w:ascii="Arial" w:cs="Arial" w:eastAsia="Arial" w:hAnsi="Arial"/>
          <w:sz w:val="18"/>
          <w:szCs w:val="18"/>
          <w:color w:val="000000"/>
        </w:rPr>
        <w:t>“</w:t>
      </w:r>
      <w:r>
        <w:rPr>
          <w:rFonts w:ascii="Arial" w:cs="Arial" w:eastAsia="Arial" w:hAnsi="Arial"/>
          <w:sz w:val="18"/>
          <w:szCs w:val="18"/>
          <w:b w:val="1"/>
          <w:bCs w:val="1"/>
          <w:i w:val="1"/>
          <w:iCs w:val="1"/>
          <w:color w:val="000000"/>
        </w:rPr>
        <w:t>Liquidation Event</w:t>
      </w:r>
      <w:r>
        <w:rPr>
          <w:rFonts w:ascii="Arial" w:cs="Arial" w:eastAsia="Arial" w:hAnsi="Arial"/>
          <w:sz w:val="18"/>
          <w:szCs w:val="18"/>
          <w:color w:val="000000"/>
        </w:rPr>
        <w:t>” means any liquidation, dissolution, or winding up of the Corporation,</w:t>
      </w:r>
      <w:r>
        <w:rPr>
          <w:rFonts w:ascii="Arial" w:cs="Arial" w:eastAsia="Arial" w:hAnsi="Arial"/>
          <w:sz w:val="18"/>
          <w:szCs w:val="18"/>
          <w:color w:val="0A248E"/>
        </w:rPr>
        <w:t xml:space="preserve"> </w:t>
      </w:r>
      <w:r>
        <w:rPr>
          <w:rFonts w:ascii="Arial" w:cs="Arial" w:eastAsia="Arial" w:hAnsi="Arial"/>
          <w:sz w:val="18"/>
          <w:szCs w:val="18"/>
          <w:color w:val="000000"/>
        </w:rPr>
        <w:t>whether voluntary or involuntary, or any Acquisition or Asset Transfer.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-212090</wp:posOffset>
                </wp:positionV>
                <wp:extent cx="445770"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16.6999pt" to="104.95pt,-16.6999pt" o:allowincell="f" strokecolor="#0A248E" strokeweight="0.702pt"/>
            </w:pict>
          </mc:Fallback>
        </mc:AlternateContent>
      </w:r>
    </w:p>
    <w:p>
      <w:pPr>
        <w:spacing w:after="0" w:line="151" w:lineRule="exact"/>
        <w:rPr>
          <w:sz w:val="20"/>
          <w:szCs w:val="20"/>
          <w:color w:val="auto"/>
        </w:rPr>
      </w:pPr>
    </w:p>
    <w:p>
      <w:pPr>
        <w:jc w:val="both"/>
        <w:ind w:right="20" w:firstLine="1404"/>
        <w:spacing w:after="0" w:line="315" w:lineRule="auto"/>
        <w:rPr>
          <w:sz w:val="20"/>
          <w:szCs w:val="20"/>
          <w:color w:val="auto"/>
        </w:rPr>
      </w:pPr>
      <w:r>
        <w:rPr>
          <w:rFonts w:ascii="Arial" w:cs="Arial" w:eastAsia="Arial" w:hAnsi="Arial"/>
          <w:sz w:val="17"/>
          <w:szCs w:val="17"/>
          <w:color w:val="0A248E"/>
        </w:rPr>
        <w:t xml:space="preserve">1.14 </w:t>
      </w:r>
      <w:r>
        <w:rPr>
          <w:rFonts w:ascii="Arial" w:cs="Arial" w:eastAsia="Arial" w:hAnsi="Arial"/>
          <w:sz w:val="17"/>
          <w:szCs w:val="17"/>
          <w:color w:val="FC0011"/>
          <w:strike w:val="1"/>
        </w:rPr>
        <w:t>1.12</w:t>
      </w:r>
      <w:r>
        <w:rPr>
          <w:rFonts w:ascii="Arial" w:cs="Arial" w:eastAsia="Arial" w:hAnsi="Arial"/>
          <w:sz w:val="17"/>
          <w:szCs w:val="17"/>
          <w:color w:val="0A248E"/>
        </w:rPr>
        <w:t xml:space="preserve"> </w:t>
      </w:r>
      <w:r>
        <w:rPr>
          <w:rFonts w:ascii="Arial" w:cs="Arial" w:eastAsia="Arial" w:hAnsi="Arial"/>
          <w:sz w:val="17"/>
          <w:szCs w:val="17"/>
          <w:color w:val="000000"/>
        </w:rPr>
        <w:t>“</w:t>
      </w:r>
      <w:r>
        <w:rPr>
          <w:rFonts w:ascii="Arial" w:cs="Arial" w:eastAsia="Arial" w:hAnsi="Arial"/>
          <w:sz w:val="17"/>
          <w:szCs w:val="17"/>
          <w:b w:val="1"/>
          <w:bCs w:val="1"/>
          <w:i w:val="1"/>
          <w:iCs w:val="1"/>
          <w:color w:val="000000"/>
        </w:rPr>
        <w:t>Listing Standards</w:t>
      </w:r>
      <w:r>
        <w:rPr>
          <w:rFonts w:ascii="Arial" w:cs="Arial" w:eastAsia="Arial" w:hAnsi="Arial"/>
          <w:sz w:val="17"/>
          <w:szCs w:val="17"/>
          <w:color w:val="000000"/>
        </w:rPr>
        <w:t>” means (i) the requirements of any national stock exchange under which</w:t>
      </w:r>
      <w:r>
        <w:rPr>
          <w:rFonts w:ascii="Arial" w:cs="Arial" w:eastAsia="Arial" w:hAnsi="Arial"/>
          <w:sz w:val="17"/>
          <w:szCs w:val="17"/>
          <w:color w:val="0A248E"/>
        </w:rPr>
        <w:t xml:space="preserve"> </w:t>
      </w:r>
      <w:r>
        <w:rPr>
          <w:rFonts w:ascii="Arial" w:cs="Arial" w:eastAsia="Arial" w:hAnsi="Arial"/>
          <w:sz w:val="17"/>
          <w:szCs w:val="17"/>
          <w:color w:val="000000"/>
        </w:rPr>
        <w:t>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-517525</wp:posOffset>
                </wp:positionV>
                <wp:extent cx="445770"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40.7499pt" to="104.95pt,-40.7499pt" o:allowincell="f" strokecolor="#0A248E" strokeweight="0.702pt"/>
            </w:pict>
          </mc:Fallback>
        </mc:AlternateContent>
      </w:r>
    </w:p>
    <w:p>
      <w:pPr>
        <w:spacing w:after="0" w:line="156" w:lineRule="exact"/>
        <w:rPr>
          <w:sz w:val="20"/>
          <w:szCs w:val="20"/>
          <w:color w:val="auto"/>
        </w:rPr>
      </w:pPr>
    </w:p>
    <w:p>
      <w:pPr>
        <w:jc w:val="both"/>
        <w:ind w:right="20" w:firstLine="1404"/>
        <w:spacing w:after="0" w:line="321" w:lineRule="auto"/>
        <w:rPr>
          <w:sz w:val="20"/>
          <w:szCs w:val="20"/>
          <w:color w:val="auto"/>
        </w:rPr>
      </w:pPr>
      <w:r>
        <w:rPr>
          <w:rFonts w:ascii="Arial" w:cs="Arial" w:eastAsia="Arial" w:hAnsi="Arial"/>
          <w:sz w:val="18"/>
          <w:szCs w:val="18"/>
          <w:color w:val="0A248E"/>
        </w:rPr>
        <w:t>1.15 “</w:t>
      </w:r>
      <w:r>
        <w:rPr>
          <w:rFonts w:ascii="Arial" w:cs="Arial" w:eastAsia="Arial" w:hAnsi="Arial"/>
          <w:sz w:val="18"/>
          <w:szCs w:val="18"/>
          <w:b w:val="1"/>
          <w:bCs w:val="1"/>
          <w:i w:val="1"/>
          <w:iCs w:val="1"/>
          <w:color w:val="0A248E"/>
        </w:rPr>
        <w:t>NRS</w:t>
      </w:r>
      <w:r>
        <w:rPr>
          <w:rFonts w:ascii="Arial" w:cs="Arial" w:eastAsia="Arial" w:hAnsi="Arial"/>
          <w:sz w:val="18"/>
          <w:szCs w:val="18"/>
          <w:color w:val="0A248E"/>
        </w:rPr>
        <w:t xml:space="preserve">” means Chapters 78 and 92A of the Nevada Revised Statutes, as amended from time to </w:t>
      </w:r>
      <w:r>
        <w:rPr>
          <w:rFonts w:ascii="Arial" w:cs="Arial" w:eastAsia="Arial" w:hAnsi="Arial"/>
          <w:sz w:val="18"/>
          <w:szCs w:val="18"/>
          <w:u w:val="single" w:color="auto"/>
          <w:color w:val="0A248E"/>
        </w:rPr>
        <w:t>time, and any successor statutes.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-217170</wp:posOffset>
                </wp:positionV>
                <wp:extent cx="5239385"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9385"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17.0999pt" to="482.4pt,-17.0999pt" o:allowincell="f" strokecolor="#0A248E" strokeweight="0.702pt"/>
            </w:pict>
          </mc:Fallback>
        </mc:AlternateContent>
      </w:r>
    </w:p>
    <w:p>
      <w:pPr>
        <w:spacing w:after="0" w:line="147" w:lineRule="exact"/>
        <w:rPr>
          <w:sz w:val="20"/>
          <w:szCs w:val="20"/>
          <w:color w:val="auto"/>
        </w:rPr>
      </w:pPr>
    </w:p>
    <w:p>
      <w:pPr>
        <w:jc w:val="both"/>
        <w:ind w:right="20" w:firstLine="1404"/>
        <w:spacing w:after="0" w:line="316" w:lineRule="auto"/>
        <w:rPr>
          <w:sz w:val="20"/>
          <w:szCs w:val="20"/>
          <w:color w:val="auto"/>
        </w:rPr>
      </w:pPr>
      <w:r>
        <w:rPr>
          <w:rFonts w:ascii="Arial" w:cs="Arial" w:eastAsia="Arial" w:hAnsi="Arial"/>
          <w:sz w:val="18"/>
          <w:szCs w:val="18"/>
          <w:color w:val="0A248E"/>
        </w:rPr>
        <w:t xml:space="preserve">1.16 </w:t>
      </w:r>
      <w:r>
        <w:rPr>
          <w:rFonts w:ascii="Arial" w:cs="Arial" w:eastAsia="Arial" w:hAnsi="Arial"/>
          <w:sz w:val="18"/>
          <w:szCs w:val="18"/>
          <w:color w:val="FC0011"/>
          <w:strike w:val="1"/>
        </w:rPr>
        <w:t>1.13</w:t>
      </w:r>
      <w:r>
        <w:rPr>
          <w:rFonts w:ascii="Arial" w:cs="Arial" w:eastAsia="Arial" w:hAnsi="Arial"/>
          <w:sz w:val="18"/>
          <w:szCs w:val="18"/>
          <w:color w:val="0A248E"/>
        </w:rPr>
        <w:t xml:space="preserve"> </w:t>
      </w:r>
      <w:r>
        <w:rPr>
          <w:rFonts w:ascii="Arial" w:cs="Arial" w:eastAsia="Arial" w:hAnsi="Arial"/>
          <w:sz w:val="18"/>
          <w:szCs w:val="18"/>
          <w:color w:val="000000"/>
        </w:rPr>
        <w:t>“</w:t>
      </w:r>
      <w:r>
        <w:rPr>
          <w:rFonts w:ascii="Arial" w:cs="Arial" w:eastAsia="Arial" w:hAnsi="Arial"/>
          <w:sz w:val="18"/>
          <w:szCs w:val="18"/>
          <w:b w:val="1"/>
          <w:bCs w:val="1"/>
          <w:i w:val="1"/>
          <w:iCs w:val="1"/>
          <w:color w:val="000000"/>
        </w:rPr>
        <w:t>Parent</w:t>
      </w:r>
      <w:r>
        <w:rPr>
          <w:rFonts w:ascii="Arial" w:cs="Arial" w:eastAsia="Arial" w:hAnsi="Arial"/>
          <w:sz w:val="18"/>
          <w:szCs w:val="18"/>
          <w:color w:val="000000"/>
        </w:rPr>
        <w:t>” of an entity means any entity that directly or indirectly owns or controls a majority of</w:t>
      </w:r>
      <w:r>
        <w:rPr>
          <w:rFonts w:ascii="Arial" w:cs="Arial" w:eastAsia="Arial" w:hAnsi="Arial"/>
          <w:sz w:val="18"/>
          <w:szCs w:val="18"/>
          <w:color w:val="0A248E"/>
        </w:rPr>
        <w:t xml:space="preserve"> </w:t>
      </w:r>
      <w:r>
        <w:rPr>
          <w:rFonts w:ascii="Arial" w:cs="Arial" w:eastAsia="Arial" w:hAnsi="Arial"/>
          <w:sz w:val="18"/>
          <w:szCs w:val="18"/>
          <w:color w:val="000000"/>
        </w:rPr>
        <w:t>the voting power of the voting securities of such entity.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-212090</wp:posOffset>
                </wp:positionV>
                <wp:extent cx="445770"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4">
                          <a:solidFill>
                            <a:srgbClr val="0A248E"/>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16.6999pt" to="104.95pt,-16.6999pt" o:allowincell="f" strokecolor="#0A248E" strokeweight="0.7019pt"/>
            </w:pict>
          </mc:Fallback>
        </mc:AlternateContent>
      </w:r>
    </w:p>
    <w:p>
      <w:pPr>
        <w:spacing w:after="0" w:line="151" w:lineRule="exact"/>
        <w:rPr>
          <w:sz w:val="20"/>
          <w:szCs w:val="20"/>
          <w:color w:val="auto"/>
        </w:rPr>
      </w:pPr>
    </w:p>
    <w:p>
      <w:pPr>
        <w:jc w:val="both"/>
        <w:ind w:right="20" w:firstLine="1404"/>
        <w:spacing w:after="0" w:line="293" w:lineRule="auto"/>
        <w:rPr>
          <w:sz w:val="20"/>
          <w:szCs w:val="20"/>
          <w:color w:val="auto"/>
        </w:rPr>
      </w:pPr>
      <w:r>
        <w:rPr>
          <w:rFonts w:ascii="Arial" w:cs="Arial" w:eastAsia="Arial" w:hAnsi="Arial"/>
          <w:sz w:val="18"/>
          <w:szCs w:val="18"/>
          <w:color w:val="0A248E"/>
        </w:rPr>
        <w:t xml:space="preserve">1.17 </w:t>
      </w:r>
      <w:r>
        <w:rPr>
          <w:rFonts w:ascii="Arial" w:cs="Arial" w:eastAsia="Arial" w:hAnsi="Arial"/>
          <w:sz w:val="18"/>
          <w:szCs w:val="18"/>
          <w:color w:val="FC0011"/>
          <w:strike w:val="1"/>
        </w:rPr>
        <w:t>1.14</w:t>
      </w:r>
      <w:r>
        <w:rPr>
          <w:rFonts w:ascii="Arial" w:cs="Arial" w:eastAsia="Arial" w:hAnsi="Arial"/>
          <w:sz w:val="18"/>
          <w:szCs w:val="18"/>
          <w:color w:val="0A248E"/>
        </w:rPr>
        <w:t xml:space="preserve"> </w:t>
      </w:r>
      <w:r>
        <w:rPr>
          <w:rFonts w:ascii="Arial" w:cs="Arial" w:eastAsia="Arial" w:hAnsi="Arial"/>
          <w:sz w:val="18"/>
          <w:szCs w:val="18"/>
          <w:color w:val="000000"/>
        </w:rPr>
        <w:t>“</w:t>
      </w:r>
      <w:r>
        <w:rPr>
          <w:rFonts w:ascii="Arial" w:cs="Arial" w:eastAsia="Arial" w:hAnsi="Arial"/>
          <w:sz w:val="18"/>
          <w:szCs w:val="18"/>
          <w:b w:val="1"/>
          <w:bCs w:val="1"/>
          <w:i w:val="1"/>
          <w:iCs w:val="1"/>
          <w:color w:val="000000"/>
        </w:rPr>
        <w:t>Permitted Entity</w:t>
      </w:r>
      <w:r>
        <w:rPr>
          <w:rFonts w:ascii="Arial" w:cs="Arial" w:eastAsia="Arial" w:hAnsi="Arial"/>
          <w:sz w:val="18"/>
          <w:szCs w:val="18"/>
          <w:color w:val="000000"/>
        </w:rPr>
        <w:t>” means, with respect to any Qualified Stockholder, any trust, account, plan,</w:t>
      </w:r>
      <w:r>
        <w:rPr>
          <w:rFonts w:ascii="Arial" w:cs="Arial" w:eastAsia="Arial" w:hAnsi="Arial"/>
          <w:sz w:val="18"/>
          <w:szCs w:val="18"/>
          <w:color w:val="0A248E"/>
        </w:rPr>
        <w:t xml:space="preserve"> </w:t>
      </w:r>
      <w:r>
        <w:rPr>
          <w:rFonts w:ascii="Arial" w:cs="Arial" w:eastAsia="Arial" w:hAnsi="Arial"/>
          <w:sz w:val="18"/>
          <w:szCs w:val="18"/>
          <w:color w:val="000000"/>
        </w:rPr>
        <w:t xml:space="preserve">corporation, partnership, or limited liability company specified in </w:t>
      </w:r>
      <w:r>
        <w:rPr>
          <w:rFonts w:ascii="Arial" w:cs="Arial" w:eastAsia="Arial" w:hAnsi="Arial"/>
          <w:sz w:val="18"/>
          <w:szCs w:val="18"/>
          <w:u w:val="single" w:color="auto"/>
          <w:color w:val="000000"/>
        </w:rPr>
        <w:t>Section V.1.15(b)</w:t>
      </w:r>
      <w:r>
        <w:rPr>
          <w:rFonts w:ascii="Arial" w:cs="Arial" w:eastAsia="Arial" w:hAnsi="Arial"/>
          <w:sz w:val="18"/>
          <w:szCs w:val="18"/>
          <w:color w:val="000000"/>
        </w:rPr>
        <w:t xml:space="preserve"> with respect to such Qualified Stockholder, so long as such Permitted Entity meets the requirements of the exception set forth in </w:t>
      </w:r>
      <w:r>
        <w:rPr>
          <w:rFonts w:ascii="Arial" w:cs="Arial" w:eastAsia="Arial" w:hAnsi="Arial"/>
          <w:sz w:val="18"/>
          <w:szCs w:val="18"/>
          <w:u w:val="single" w:color="auto"/>
          <w:color w:val="000000"/>
        </w:rPr>
        <w:t>Section V.1.15</w:t>
      </w:r>
      <w:r>
        <w:rPr>
          <w:rFonts w:ascii="Arial" w:cs="Arial" w:eastAsia="Arial" w:hAnsi="Arial"/>
          <w:sz w:val="18"/>
          <w:szCs w:val="18"/>
          <w:color w:val="000000"/>
        </w:rPr>
        <w:t xml:space="preserve"> applicable to such Permitted Entity.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-508000</wp:posOffset>
                </wp:positionV>
                <wp:extent cx="445770"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4">
                          <a:solidFill>
                            <a:srgbClr val="0A248E"/>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40pt" to="104.95pt,-40pt" o:allowincell="f" strokecolor="#0A248E" strokeweight="0.7019pt"/>
            </w:pict>
          </mc:Fallback>
        </mc:AlternateContent>
      </w:r>
    </w:p>
    <w:p>
      <w:pPr>
        <w:spacing w:after="0" w:line="172" w:lineRule="exact"/>
        <w:rPr>
          <w:sz w:val="20"/>
          <w:szCs w:val="20"/>
          <w:color w:val="auto"/>
        </w:rPr>
      </w:pPr>
    </w:p>
    <w:p>
      <w:pPr>
        <w:ind w:left="1400"/>
        <w:spacing w:after="0"/>
        <w:tabs>
          <w:tab w:leader="none" w:pos="2080" w:val="left"/>
        </w:tabs>
        <w:rPr>
          <w:sz w:val="20"/>
          <w:szCs w:val="20"/>
          <w:color w:val="auto"/>
        </w:rPr>
      </w:pPr>
      <w:r>
        <w:rPr>
          <w:rFonts w:ascii="Arial" w:cs="Arial" w:eastAsia="Arial" w:hAnsi="Arial"/>
          <w:sz w:val="18"/>
          <w:szCs w:val="18"/>
          <w:color w:val="0A248E"/>
        </w:rPr>
        <w:t>1.18</w:t>
      </w:r>
      <w:r>
        <w:rPr>
          <w:sz w:val="20"/>
          <w:szCs w:val="20"/>
          <w:color w:val="auto"/>
        </w:rPr>
        <w:tab/>
      </w:r>
      <w:r>
        <w:rPr>
          <w:rFonts w:ascii="Arial" w:cs="Arial" w:eastAsia="Arial" w:hAnsi="Arial"/>
          <w:sz w:val="17"/>
          <w:szCs w:val="17"/>
          <w:color w:val="FC0011"/>
          <w:strike w:val="1"/>
        </w:rPr>
        <w:t xml:space="preserve">1.15 </w:t>
      </w:r>
      <w:r>
        <w:rPr>
          <w:rFonts w:ascii="Arial" w:cs="Arial" w:eastAsia="Arial" w:hAnsi="Arial"/>
          <w:sz w:val="17"/>
          <w:szCs w:val="17"/>
          <w:color w:val="000000"/>
          <w:strike w:val="1"/>
        </w:rPr>
        <w:t>“</w:t>
      </w:r>
      <w:r>
        <w:rPr>
          <w:rFonts w:ascii="Arial" w:cs="Arial" w:eastAsia="Arial" w:hAnsi="Arial"/>
          <w:sz w:val="17"/>
          <w:szCs w:val="17"/>
          <w:b w:val="1"/>
          <w:bCs w:val="1"/>
          <w:i w:val="1"/>
          <w:iCs w:val="1"/>
          <w:color w:val="000000"/>
          <w:strike w:val="1"/>
        </w:rPr>
        <w:t>Permitted Transfer</w:t>
      </w:r>
      <w:r>
        <w:rPr>
          <w:rFonts w:ascii="Arial" w:cs="Arial" w:eastAsia="Arial" w:hAnsi="Arial"/>
          <w:sz w:val="17"/>
          <w:szCs w:val="17"/>
          <w:color w:val="000000"/>
          <w:strike w:val="1"/>
        </w:rPr>
        <w:t>” means: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1905</wp:posOffset>
                </wp:positionV>
                <wp:extent cx="445770"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0.15pt" to="104.95pt,0.15pt" o:allowincell="f" strokecolor="#0A248E" strokeweight="0.702pt"/>
            </w:pict>
          </mc:Fallback>
        </mc:AlternateContent>
      </w:r>
    </w:p>
    <w:p>
      <w:pPr>
        <w:spacing w:after="0" w:line="250" w:lineRule="exact"/>
        <w:rPr>
          <w:sz w:val="20"/>
          <w:szCs w:val="20"/>
          <w:color w:val="auto"/>
        </w:rPr>
      </w:pPr>
    </w:p>
    <w:p>
      <w:pPr>
        <w:jc w:val="both"/>
        <w:ind w:right="20" w:firstLine="2099"/>
        <w:spacing w:after="0" w:line="299" w:lineRule="auto"/>
        <w:tabs>
          <w:tab w:leader="none" w:pos="28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185" w:lineRule="exact"/>
        <w:rPr>
          <w:rFonts w:ascii="Arial" w:cs="Arial" w:eastAsia="Arial" w:hAnsi="Arial"/>
          <w:sz w:val="18"/>
          <w:szCs w:val="18"/>
          <w:color w:val="auto"/>
        </w:rPr>
      </w:pPr>
    </w:p>
    <w:p>
      <w:pPr>
        <w:jc w:val="both"/>
        <w:ind w:right="20" w:firstLine="2100"/>
        <w:spacing w:after="0" w:line="301" w:lineRule="auto"/>
        <w:tabs>
          <w:tab w:leader="none" w:pos="28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180" w:lineRule="exact"/>
        <w:rPr>
          <w:rFonts w:ascii="Arial" w:cs="Arial" w:eastAsia="Arial" w:hAnsi="Arial"/>
          <w:sz w:val="18"/>
          <w:szCs w:val="18"/>
          <w:color w:val="auto"/>
        </w:rPr>
      </w:pPr>
    </w:p>
    <w:p>
      <w:pPr>
        <w:jc w:val="both"/>
        <w:ind w:right="20" w:firstLine="2802"/>
        <w:spacing w:after="0" w:line="288" w:lineRule="auto"/>
        <w:tabs>
          <w:tab w:leader="none" w:pos="351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98" w:lineRule="exact"/>
        <w:rPr>
          <w:rFonts w:ascii="Arial" w:cs="Arial" w:eastAsia="Arial" w:hAnsi="Arial"/>
          <w:sz w:val="18"/>
          <w:szCs w:val="18"/>
          <w:color w:val="auto"/>
        </w:rPr>
      </w:pPr>
    </w:p>
    <w:p>
      <w:pPr>
        <w:jc w:val="both"/>
        <w:ind w:firstLine="2802"/>
        <w:spacing w:after="0" w:line="286" w:lineRule="auto"/>
        <w:tabs>
          <w:tab w:leader="none" w:pos="351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201" w:lineRule="exact"/>
        <w:rPr>
          <w:rFonts w:ascii="Arial" w:cs="Arial" w:eastAsia="Arial" w:hAnsi="Arial"/>
          <w:sz w:val="18"/>
          <w:szCs w:val="18"/>
          <w:color w:val="auto"/>
        </w:rPr>
      </w:pPr>
    </w:p>
    <w:p>
      <w:pPr>
        <w:jc w:val="both"/>
        <w:ind w:firstLine="2802"/>
        <w:spacing w:after="0" w:line="286" w:lineRule="auto"/>
        <w:tabs>
          <w:tab w:leader="none" w:pos="351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ectPr>
          <w:pgSz w:w="11880" w:h="15480" w:orient="portrait"/>
          <w:cols w:equalWidth="0" w:num="1">
            <w:col w:w="9660"/>
          </w:cols>
          <w:pgMar w:left="1140" w:top="78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B-3</w:t>
      </w:r>
    </w:p>
    <w:p>
      <w:pPr>
        <w:sectPr>
          <w:pgSz w:w="11880" w:h="15480" w:orient="portrait"/>
          <w:cols w:equalWidth="0" w:num="1">
            <w:col w:w="9660"/>
          </w:cols>
          <w:pgMar w:left="1140" w:top="780" w:right="1080" w:bottom="0" w:gutter="0" w:footer="0" w:header="0"/>
          <w:type w:val="continuous"/>
        </w:sectPr>
      </w:pPr>
    </w:p>
    <w:bookmarkStart w:id="91" w:name="page92"/>
    <w:bookmarkEnd w:id="91"/>
    <w:p>
      <w:pPr>
        <w:ind w:left="7"/>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jc w:val="both"/>
        <w:ind w:left="7" w:firstLine="2801"/>
        <w:spacing w:after="0" w:line="297" w:lineRule="auto"/>
        <w:tabs>
          <w:tab w:leader="none" w:pos="351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w:t>
      </w:r>
    </w:p>
    <w:p>
      <w:pPr>
        <w:ind w:left="267" w:hanging="267"/>
        <w:spacing w:after="0"/>
        <w:tabs>
          <w:tab w:leader="none" w:pos="26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fully paid and nonassessable share of Class A Common Stock;</w:t>
      </w:r>
    </w:p>
    <w:p>
      <w:pPr>
        <w:spacing w:after="0" w:line="270" w:lineRule="exact"/>
        <w:rPr>
          <w:rFonts w:ascii="Arial" w:cs="Arial" w:eastAsia="Arial" w:hAnsi="Arial"/>
          <w:sz w:val="18"/>
          <w:szCs w:val="18"/>
          <w:color w:val="auto"/>
        </w:rPr>
      </w:pPr>
    </w:p>
    <w:p>
      <w:pPr>
        <w:jc w:val="both"/>
        <w:ind w:left="7" w:firstLine="2801"/>
        <w:spacing w:after="0" w:line="286" w:lineRule="auto"/>
        <w:tabs>
          <w:tab w:leader="none" w:pos="351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197" w:lineRule="exact"/>
        <w:rPr>
          <w:rFonts w:ascii="Arial" w:cs="Arial" w:eastAsia="Arial" w:hAnsi="Arial"/>
          <w:sz w:val="18"/>
          <w:szCs w:val="18"/>
          <w:color w:val="auto"/>
        </w:rPr>
      </w:pPr>
    </w:p>
    <w:p>
      <w:pPr>
        <w:jc w:val="both"/>
        <w:ind w:left="7" w:firstLine="2802"/>
        <w:spacing w:after="0" w:line="285" w:lineRule="auto"/>
        <w:tabs>
          <w:tab w:leader="none" w:pos="351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98" w:lineRule="exact"/>
        <w:rPr>
          <w:sz w:val="20"/>
          <w:szCs w:val="20"/>
          <w:color w:val="auto"/>
        </w:rPr>
      </w:pPr>
    </w:p>
    <w:p>
      <w:pPr>
        <w:jc w:val="both"/>
        <w:ind w:left="7"/>
        <w:spacing w:after="0" w:line="301" w:lineRule="auto"/>
        <w:rPr>
          <w:sz w:val="20"/>
          <w:szCs w:val="20"/>
          <w:color w:val="auto"/>
        </w:rPr>
      </w:pPr>
      <w:r>
        <w:rPr>
          <w:rFonts w:ascii="Arial" w:cs="Arial" w:eastAsia="Arial" w:hAnsi="Arial"/>
          <w:sz w:val="18"/>
          <w:szCs w:val="18"/>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185" w:lineRule="exact"/>
        <w:rPr>
          <w:sz w:val="20"/>
          <w:szCs w:val="20"/>
          <w:color w:val="auto"/>
        </w:rPr>
      </w:pPr>
    </w:p>
    <w:p>
      <w:pPr>
        <w:jc w:val="both"/>
        <w:ind w:left="7" w:firstLine="1404"/>
        <w:spacing w:after="0" w:line="317" w:lineRule="auto"/>
        <w:rPr>
          <w:sz w:val="20"/>
          <w:szCs w:val="20"/>
          <w:color w:val="auto"/>
        </w:rPr>
      </w:pPr>
      <w:r>
        <w:rPr>
          <w:rFonts w:ascii="Arial" w:cs="Arial" w:eastAsia="Arial" w:hAnsi="Arial"/>
          <w:sz w:val="18"/>
          <w:szCs w:val="18"/>
          <w:color w:val="0A248E"/>
        </w:rPr>
        <w:t xml:space="preserve">1.19 </w:t>
      </w:r>
      <w:r>
        <w:rPr>
          <w:rFonts w:ascii="Arial" w:cs="Arial" w:eastAsia="Arial" w:hAnsi="Arial"/>
          <w:sz w:val="18"/>
          <w:szCs w:val="18"/>
          <w:color w:val="FC0011"/>
          <w:strike w:val="1"/>
        </w:rPr>
        <w:t>1.16</w:t>
      </w:r>
      <w:r>
        <w:rPr>
          <w:rFonts w:ascii="Arial" w:cs="Arial" w:eastAsia="Arial" w:hAnsi="Arial"/>
          <w:sz w:val="18"/>
          <w:szCs w:val="18"/>
          <w:color w:val="0A248E"/>
        </w:rPr>
        <w:t xml:space="preserve"> </w:t>
      </w:r>
      <w:r>
        <w:rPr>
          <w:rFonts w:ascii="Arial" w:cs="Arial" w:eastAsia="Arial" w:hAnsi="Arial"/>
          <w:sz w:val="18"/>
          <w:szCs w:val="18"/>
          <w:color w:val="000000"/>
        </w:rPr>
        <w:t>“</w:t>
      </w:r>
      <w:r>
        <w:rPr>
          <w:rFonts w:ascii="Arial" w:cs="Arial" w:eastAsia="Arial" w:hAnsi="Arial"/>
          <w:sz w:val="18"/>
          <w:szCs w:val="18"/>
          <w:b w:val="1"/>
          <w:bCs w:val="1"/>
          <w:i w:val="1"/>
          <w:iCs w:val="1"/>
          <w:color w:val="000000"/>
        </w:rPr>
        <w:t>Permitted Transferee</w:t>
      </w:r>
      <w:r>
        <w:rPr>
          <w:rFonts w:ascii="Arial" w:cs="Arial" w:eastAsia="Arial" w:hAnsi="Arial"/>
          <w:sz w:val="18"/>
          <w:szCs w:val="18"/>
          <w:color w:val="000000"/>
        </w:rPr>
        <w:t>” means a transferee of shares of Class B Common Stock, or rights</w:t>
      </w:r>
      <w:r>
        <w:rPr>
          <w:rFonts w:ascii="Arial" w:cs="Arial" w:eastAsia="Arial" w:hAnsi="Arial"/>
          <w:sz w:val="18"/>
          <w:szCs w:val="18"/>
          <w:color w:val="0A248E"/>
        </w:rPr>
        <w:t xml:space="preserve"> </w:t>
      </w:r>
      <w:r>
        <w:rPr>
          <w:rFonts w:ascii="Arial" w:cs="Arial" w:eastAsia="Arial" w:hAnsi="Arial"/>
          <w:sz w:val="18"/>
          <w:szCs w:val="18"/>
          <w:color w:val="000000"/>
        </w:rPr>
        <w:t>or interests therein, received in a Transfer that constitutes a Permitted Transfer.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891540</wp:posOffset>
                </wp:positionH>
                <wp:positionV relativeFrom="paragraph">
                  <wp:posOffset>-212090</wp:posOffset>
                </wp:positionV>
                <wp:extent cx="445770"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2pt,-16.6999pt" to="105.3pt,-16.6999pt" o:allowincell="f" strokecolor="#0A248E" strokeweight="0.702pt"/>
            </w:pict>
          </mc:Fallback>
        </mc:AlternateContent>
      </w:r>
    </w:p>
    <w:p>
      <w:pPr>
        <w:spacing w:after="0" w:line="151" w:lineRule="exact"/>
        <w:rPr>
          <w:sz w:val="20"/>
          <w:szCs w:val="20"/>
          <w:color w:val="auto"/>
        </w:rPr>
      </w:pPr>
    </w:p>
    <w:p>
      <w:pPr>
        <w:jc w:val="both"/>
        <w:ind w:left="7" w:firstLine="1405"/>
        <w:spacing w:after="0" w:line="303" w:lineRule="auto"/>
        <w:rPr>
          <w:sz w:val="20"/>
          <w:szCs w:val="20"/>
          <w:color w:val="auto"/>
        </w:rPr>
      </w:pPr>
      <w:r>
        <w:rPr>
          <w:rFonts w:ascii="Arial" w:cs="Arial" w:eastAsia="Arial" w:hAnsi="Arial"/>
          <w:sz w:val="17"/>
          <w:szCs w:val="17"/>
          <w:color w:val="0A248E"/>
        </w:rPr>
        <w:t xml:space="preserve">1.20 </w:t>
      </w:r>
      <w:r>
        <w:rPr>
          <w:rFonts w:ascii="Arial" w:cs="Arial" w:eastAsia="Arial" w:hAnsi="Arial"/>
          <w:sz w:val="17"/>
          <w:szCs w:val="17"/>
          <w:color w:val="FC0011"/>
          <w:strike w:val="1"/>
        </w:rPr>
        <w:t>1.17</w:t>
      </w:r>
      <w:r>
        <w:rPr>
          <w:rFonts w:ascii="Arial" w:cs="Arial" w:eastAsia="Arial" w:hAnsi="Arial"/>
          <w:sz w:val="17"/>
          <w:szCs w:val="17"/>
          <w:color w:val="0A248E"/>
        </w:rPr>
        <w:t xml:space="preserve"> </w:t>
      </w:r>
      <w:r>
        <w:rPr>
          <w:rFonts w:ascii="Arial" w:cs="Arial" w:eastAsia="Arial" w:hAnsi="Arial"/>
          <w:sz w:val="17"/>
          <w:szCs w:val="17"/>
          <w:color w:val="000000"/>
        </w:rPr>
        <w:t>“</w:t>
      </w:r>
      <w:r>
        <w:rPr>
          <w:rFonts w:ascii="Arial" w:cs="Arial" w:eastAsia="Arial" w:hAnsi="Arial"/>
          <w:sz w:val="17"/>
          <w:szCs w:val="17"/>
          <w:b w:val="1"/>
          <w:bCs w:val="1"/>
          <w:i w:val="1"/>
          <w:iCs w:val="1"/>
          <w:color w:val="000000"/>
        </w:rPr>
        <w:t>Qualified Stockholder</w:t>
      </w:r>
      <w:r>
        <w:rPr>
          <w:rFonts w:ascii="Arial" w:cs="Arial" w:eastAsia="Arial" w:hAnsi="Arial"/>
          <w:sz w:val="17"/>
          <w:szCs w:val="17"/>
          <w:color w:val="000000"/>
        </w:rPr>
        <w:t>” means (a) any registered holder of a share of the Delaware</w:t>
      </w:r>
      <w:r>
        <w:rPr>
          <w:rFonts w:ascii="Arial" w:cs="Arial" w:eastAsia="Arial" w:hAnsi="Arial"/>
          <w:sz w:val="17"/>
          <w:szCs w:val="17"/>
          <w:color w:val="0A248E"/>
        </w:rPr>
        <w:t xml:space="preserve"> </w:t>
      </w:r>
      <w:r>
        <w:rPr>
          <w:rFonts w:ascii="Arial" w:cs="Arial" w:eastAsia="Arial" w:hAnsi="Arial"/>
          <w:sz w:val="17"/>
          <w:szCs w:val="17"/>
          <w:color w:val="000000"/>
        </w:rPr>
        <w:t>Corporation’s Class B Common Stock immediately after the IPO Date; (b) the initial registered holder of any shares of the Delaware Corporation’s Class B Common Stock that are originally issued by the Delaware Corporation after the IPO Date or any shares of Class B Common Stock that are issued by the Corporation after the effectiveness of these Articles, in each case, pursuant to the exercise or conversion of options or warrants or settlement of restricted stock units (“</w:t>
      </w:r>
      <w:r>
        <w:rPr>
          <w:rFonts w:ascii="Arial" w:cs="Arial" w:eastAsia="Arial" w:hAnsi="Arial"/>
          <w:sz w:val="17"/>
          <w:szCs w:val="17"/>
          <w:b w:val="1"/>
          <w:bCs w:val="1"/>
          <w:i w:val="1"/>
          <w:iCs w:val="1"/>
          <w:color w:val="000000"/>
        </w:rPr>
        <w:t>RSUs</w:t>
      </w:r>
      <w:r>
        <w:rPr>
          <w:rFonts w:ascii="Arial" w:cs="Arial" w:eastAsia="Arial" w:hAnsi="Arial"/>
          <w:sz w:val="17"/>
          <w:szCs w:val="17"/>
          <w:color w:val="000000"/>
        </w:rPr>
        <w:t>”) that, in each case, were outstanding as the IPO Date or issued in connection with the Conversion, as applicable; (c) a Permitted Transferee; and (d) the initial registered holder of any shares of the Delaware Corporation’s Class B Common Stock that were originally issued by the Delaware Corporation after the IPO Date in compliance with the certificate of incorporation of the Delaware Corporation or any shares of Class B Common Stock that are issued by the Corporation in connection with the Conversion or otherwise issued by the Corporation after the effectiveness of these Articles in compliance with these Articles.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891540</wp:posOffset>
                </wp:positionH>
                <wp:positionV relativeFrom="paragraph">
                  <wp:posOffset>-1433195</wp:posOffset>
                </wp:positionV>
                <wp:extent cx="445770"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2pt,-112.8499pt" to="105.3pt,-112.8499pt" o:allowincell="f" strokecolor="#0A248E" strokeweight="0.702pt"/>
            </w:pict>
          </mc:Fallback>
        </mc:AlternateContent>
      </w:r>
    </w:p>
    <w:p>
      <w:pPr>
        <w:spacing w:after="0" w:line="170" w:lineRule="exact"/>
        <w:rPr>
          <w:sz w:val="20"/>
          <w:szCs w:val="20"/>
          <w:color w:val="auto"/>
        </w:rPr>
      </w:pPr>
    </w:p>
    <w:p>
      <w:pPr>
        <w:jc w:val="both"/>
        <w:ind w:left="7" w:firstLine="1403"/>
        <w:spacing w:after="0" w:line="305" w:lineRule="auto"/>
        <w:rPr>
          <w:sz w:val="20"/>
          <w:szCs w:val="20"/>
          <w:color w:val="auto"/>
        </w:rPr>
      </w:pPr>
      <w:r>
        <w:rPr>
          <w:rFonts w:ascii="Arial" w:cs="Arial" w:eastAsia="Arial" w:hAnsi="Arial"/>
          <w:sz w:val="17"/>
          <w:szCs w:val="17"/>
          <w:color w:val="0A248E"/>
        </w:rPr>
        <w:t xml:space="preserve">1.21 </w:t>
      </w:r>
      <w:r>
        <w:rPr>
          <w:rFonts w:ascii="Arial" w:cs="Arial" w:eastAsia="Arial" w:hAnsi="Arial"/>
          <w:sz w:val="17"/>
          <w:szCs w:val="17"/>
          <w:color w:val="FC0011"/>
          <w:strike w:val="1"/>
        </w:rPr>
        <w:t>1.18</w:t>
      </w:r>
      <w:r>
        <w:rPr>
          <w:rFonts w:ascii="Arial" w:cs="Arial" w:eastAsia="Arial" w:hAnsi="Arial"/>
          <w:sz w:val="17"/>
          <w:szCs w:val="17"/>
          <w:color w:val="0A248E"/>
        </w:rPr>
        <w:t xml:space="preserve"> </w:t>
      </w:r>
      <w:r>
        <w:rPr>
          <w:rFonts w:ascii="Arial" w:cs="Arial" w:eastAsia="Arial" w:hAnsi="Arial"/>
          <w:sz w:val="17"/>
          <w:szCs w:val="17"/>
          <w:color w:val="000000"/>
        </w:rPr>
        <w:t>“</w:t>
      </w:r>
      <w:r>
        <w:rPr>
          <w:rFonts w:ascii="Arial" w:cs="Arial" w:eastAsia="Arial" w:hAnsi="Arial"/>
          <w:sz w:val="17"/>
          <w:szCs w:val="17"/>
          <w:b w:val="1"/>
          <w:bCs w:val="1"/>
          <w:i w:val="1"/>
          <w:iCs w:val="1"/>
          <w:color w:val="000000"/>
        </w:rPr>
        <w:t>Transfer</w:t>
      </w:r>
      <w:r>
        <w:rPr>
          <w:rFonts w:ascii="Arial" w:cs="Arial" w:eastAsia="Arial" w:hAnsi="Arial"/>
          <w:sz w:val="17"/>
          <w:szCs w:val="17"/>
          <w:color w:val="000000"/>
        </w:rPr>
        <w:t>” of a share of Class B Common Stock means, directly or indirectly, any sale,</w:t>
      </w:r>
      <w:r>
        <w:rPr>
          <w:rFonts w:ascii="Arial" w:cs="Arial" w:eastAsia="Arial" w:hAnsi="Arial"/>
          <w:sz w:val="17"/>
          <w:szCs w:val="17"/>
          <w:color w:val="0A248E"/>
        </w:rPr>
        <w:t xml:space="preserve"> </w:t>
      </w:r>
      <w:r>
        <w:rPr>
          <w:rFonts w:ascii="Arial" w:cs="Arial" w:eastAsia="Arial" w:hAnsi="Arial"/>
          <w:sz w:val="17"/>
          <w:szCs w:val="17"/>
          <w:color w:val="000000"/>
        </w:rPr>
        <w:t>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Arial" w:cs="Arial" w:eastAsia="Arial" w:hAnsi="Arial"/>
          <w:sz w:val="17"/>
          <w:szCs w:val="17"/>
          <w:b w:val="1"/>
          <w:bCs w:val="1"/>
          <w:i w:val="1"/>
          <w:iCs w:val="1"/>
          <w:color w:val="000000"/>
        </w:rPr>
        <w:t>Transfer</w:t>
      </w:r>
      <w:r>
        <w:rPr>
          <w:rFonts w:ascii="Arial" w:cs="Arial" w:eastAsia="Arial" w:hAnsi="Arial"/>
          <w:sz w:val="17"/>
          <w:szCs w:val="17"/>
          <w:color w:val="000000"/>
        </w:rPr>
        <w:t>” will also be deemed to have occurred with respect to all shares of Class B Common Stock beneficially held by an entity that is a Qualified Stockholder, if after the IPO Date there is a Transfer of the voting power of the voting securities of such entity 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891540</wp:posOffset>
                </wp:positionH>
                <wp:positionV relativeFrom="paragraph">
                  <wp:posOffset>-1127760</wp:posOffset>
                </wp:positionV>
                <wp:extent cx="445770" cy="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2pt,-88.7999pt" to="105.3pt,-88.7999pt" o:allowincell="f" strokecolor="#0A248E" strokeweight="0.702pt"/>
            </w:pict>
          </mc:Fallback>
        </mc:AlternateContent>
      </w:r>
    </w:p>
    <w:p>
      <w:pPr>
        <w:sectPr>
          <w:pgSz w:w="11880" w:h="15480" w:orient="portrait"/>
          <w:cols w:equalWidth="0" w:num="1">
            <w:col w:w="9647"/>
          </w:cols>
          <w:pgMar w:left="1133" w:top="780" w:right="1100" w:bottom="0" w:gutter="0" w:footer="0" w:header="0"/>
        </w:sectPr>
      </w:pPr>
    </w:p>
    <w:p>
      <w:pPr>
        <w:spacing w:after="0" w:line="200" w:lineRule="exact"/>
        <w:rPr>
          <w:sz w:val="20"/>
          <w:szCs w:val="20"/>
          <w:color w:val="auto"/>
        </w:rPr>
      </w:pPr>
    </w:p>
    <w:p>
      <w:pPr>
        <w:spacing w:after="0" w:line="306" w:lineRule="exact"/>
        <w:rPr>
          <w:sz w:val="20"/>
          <w:szCs w:val="20"/>
          <w:color w:val="auto"/>
        </w:rPr>
      </w:pPr>
    </w:p>
    <w:p>
      <w:pPr>
        <w:ind w:left="9407"/>
        <w:spacing w:after="0"/>
        <w:rPr>
          <w:sz w:val="20"/>
          <w:szCs w:val="20"/>
          <w:color w:val="auto"/>
        </w:rPr>
      </w:pPr>
      <w:r>
        <w:rPr>
          <w:rFonts w:ascii="Arial" w:cs="Arial" w:eastAsia="Arial" w:hAnsi="Arial"/>
          <w:sz w:val="14"/>
          <w:szCs w:val="14"/>
          <w:b w:val="1"/>
          <w:bCs w:val="1"/>
          <w:color w:val="auto"/>
        </w:rPr>
        <w:t>B-4</w:t>
      </w:r>
    </w:p>
    <w:p>
      <w:pPr>
        <w:sectPr>
          <w:pgSz w:w="11880" w:h="15480" w:orient="portrait"/>
          <w:cols w:equalWidth="0" w:num="1">
            <w:col w:w="9647"/>
          </w:cols>
          <w:pgMar w:left="1133" w:top="780" w:right="1100" w:bottom="0" w:gutter="0" w:footer="0" w:header="0"/>
          <w:type w:val="continuous"/>
        </w:sectPr>
      </w:pPr>
    </w:p>
    <w:bookmarkStart w:id="92" w:name="page93"/>
    <w:bookmarkEnd w:id="92"/>
    <w:p>
      <w:pPr>
        <w:ind w:left="7"/>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jc w:val="both"/>
        <w:ind w:left="7"/>
        <w:spacing w:after="0" w:line="304" w:lineRule="auto"/>
        <w:rPr>
          <w:sz w:val="20"/>
          <w:szCs w:val="20"/>
          <w:color w:val="auto"/>
        </w:rPr>
      </w:pPr>
      <w:r>
        <w:rPr>
          <w:rFonts w:ascii="Arial" w:cs="Arial" w:eastAsia="Arial" w:hAnsi="Arial"/>
          <w:sz w:val="18"/>
          <w:szCs w:val="18"/>
          <w:color w:val="auto"/>
        </w:rPr>
        <w:t>any direct or indirect Parent of such entity, such that the previous holders of such voting power no longer retain sole dispositive power and exclusive Voting Control with respect to the shares of Class B Common Stock held by such entity. Notwithstanding the foregoing, the following will not be considered a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w:t>
      </w:r>
    </w:p>
    <w:p>
      <w:pPr>
        <w:spacing w:after="0" w:line="173" w:lineRule="exact"/>
        <w:rPr>
          <w:sz w:val="20"/>
          <w:szCs w:val="20"/>
          <w:color w:val="auto"/>
        </w:rPr>
      </w:pPr>
    </w:p>
    <w:p>
      <w:pPr>
        <w:jc w:val="both"/>
        <w:ind w:left="7" w:firstLine="1397"/>
        <w:spacing w:after="0" w:line="299" w:lineRule="auto"/>
        <w:tabs>
          <w:tab w:leader="none" w:pos="211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185" w:lineRule="exact"/>
        <w:rPr>
          <w:rFonts w:ascii="Arial" w:cs="Arial" w:eastAsia="Arial" w:hAnsi="Arial"/>
          <w:sz w:val="18"/>
          <w:szCs w:val="18"/>
          <w:color w:val="auto"/>
        </w:rPr>
      </w:pPr>
    </w:p>
    <w:p>
      <w:pPr>
        <w:jc w:val="both"/>
        <w:ind w:left="7" w:firstLine="1398"/>
        <w:spacing w:after="0" w:line="296" w:lineRule="auto"/>
        <w:tabs>
          <w:tab w:leader="none" w:pos="211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w:t>
      </w:r>
    </w:p>
    <w:p>
      <w:pPr>
        <w:spacing w:after="0" w:line="1" w:lineRule="exact"/>
        <w:rPr>
          <w:rFonts w:ascii="Arial" w:cs="Arial" w:eastAsia="Arial" w:hAnsi="Arial"/>
          <w:sz w:val="17"/>
          <w:szCs w:val="17"/>
          <w:color w:val="auto"/>
        </w:rPr>
      </w:pPr>
    </w:p>
    <w:p>
      <w:pPr>
        <w:ind w:left="247" w:hanging="247"/>
        <w:spacing w:after="0"/>
        <w:tabs>
          <w:tab w:leader="none" w:pos="2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either has a term not exceeding one year or is terminable by the holder of the shares subject thereto at any time and</w:t>
      </w:r>
    </w:p>
    <w:p>
      <w:pPr>
        <w:spacing w:after="0" w:line="36" w:lineRule="exact"/>
        <w:rPr>
          <w:rFonts w:ascii="Arial" w:cs="Arial" w:eastAsia="Arial" w:hAnsi="Arial"/>
          <w:sz w:val="18"/>
          <w:szCs w:val="18"/>
          <w:color w:val="auto"/>
        </w:rPr>
      </w:pPr>
    </w:p>
    <w:p>
      <w:pPr>
        <w:ind w:left="7" w:hanging="7"/>
        <w:spacing w:after="0" w:line="321" w:lineRule="auto"/>
        <w:tabs>
          <w:tab w:leader="none" w:pos="28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involve any payment of cash, securities, property or other consideration to the holder of the shares subject thereto other than the mutual promise to vote shares in a designated manner;</w:t>
      </w:r>
    </w:p>
    <w:p>
      <w:pPr>
        <w:spacing w:after="0" w:line="166" w:lineRule="exact"/>
        <w:rPr>
          <w:rFonts w:ascii="Arial" w:cs="Arial" w:eastAsia="Arial" w:hAnsi="Arial"/>
          <w:sz w:val="18"/>
          <w:szCs w:val="18"/>
          <w:color w:val="auto"/>
        </w:rPr>
      </w:pPr>
    </w:p>
    <w:p>
      <w:pPr>
        <w:jc w:val="both"/>
        <w:ind w:left="7" w:firstLine="1398"/>
        <w:spacing w:after="0" w:line="315" w:lineRule="auto"/>
        <w:tabs>
          <w:tab w:leader="none" w:pos="211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76" w:lineRule="exact"/>
        <w:rPr>
          <w:rFonts w:ascii="Arial" w:cs="Arial" w:eastAsia="Arial" w:hAnsi="Arial"/>
          <w:sz w:val="17"/>
          <w:szCs w:val="17"/>
          <w:color w:val="auto"/>
        </w:rPr>
      </w:pPr>
    </w:p>
    <w:p>
      <w:pPr>
        <w:jc w:val="both"/>
        <w:ind w:left="7" w:firstLine="1398"/>
        <w:spacing w:after="0" w:line="293" w:lineRule="auto"/>
        <w:tabs>
          <w:tab w:leader="none" w:pos="211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191" w:lineRule="exact"/>
        <w:rPr>
          <w:rFonts w:ascii="Arial" w:cs="Arial" w:eastAsia="Arial" w:hAnsi="Arial"/>
          <w:sz w:val="18"/>
          <w:szCs w:val="18"/>
          <w:color w:val="auto"/>
        </w:rPr>
      </w:pPr>
    </w:p>
    <w:p>
      <w:pPr>
        <w:jc w:val="both"/>
        <w:ind w:left="7" w:firstLine="1397"/>
        <w:spacing w:after="0" w:line="287" w:lineRule="auto"/>
        <w:tabs>
          <w:tab w:leader="none" w:pos="211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199" w:lineRule="exact"/>
        <w:rPr>
          <w:rFonts w:ascii="Arial" w:cs="Arial" w:eastAsia="Arial" w:hAnsi="Arial"/>
          <w:sz w:val="18"/>
          <w:szCs w:val="18"/>
          <w:color w:val="auto"/>
        </w:rPr>
      </w:pPr>
    </w:p>
    <w:p>
      <w:pPr>
        <w:jc w:val="both"/>
        <w:ind w:left="7" w:firstLine="1397"/>
        <w:spacing w:after="0" w:line="301" w:lineRule="auto"/>
        <w:tabs>
          <w:tab w:leader="none" w:pos="211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180" w:lineRule="exact"/>
        <w:rPr>
          <w:rFonts w:ascii="Arial" w:cs="Arial" w:eastAsia="Arial" w:hAnsi="Arial"/>
          <w:sz w:val="18"/>
          <w:szCs w:val="18"/>
          <w:color w:val="auto"/>
        </w:rPr>
      </w:pPr>
    </w:p>
    <w:p>
      <w:pPr>
        <w:jc w:val="both"/>
        <w:ind w:left="7" w:firstLine="1397"/>
        <w:spacing w:after="0" w:line="301" w:lineRule="auto"/>
        <w:tabs>
          <w:tab w:leader="none" w:pos="211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185" w:lineRule="exact"/>
        <w:rPr>
          <w:rFonts w:ascii="Arial" w:cs="Arial" w:eastAsia="Arial" w:hAnsi="Arial"/>
          <w:sz w:val="18"/>
          <w:szCs w:val="18"/>
          <w:color w:val="auto"/>
        </w:rPr>
      </w:pPr>
    </w:p>
    <w:p>
      <w:pPr>
        <w:jc w:val="both"/>
        <w:ind w:left="7" w:firstLine="1397"/>
        <w:spacing w:after="0" w:line="299" w:lineRule="auto"/>
        <w:tabs>
          <w:tab w:leader="none" w:pos="211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85" w:lineRule="exact"/>
        <w:rPr>
          <w:rFonts w:ascii="Arial" w:cs="Arial" w:eastAsia="Arial" w:hAnsi="Arial"/>
          <w:sz w:val="18"/>
          <w:szCs w:val="18"/>
          <w:color w:val="auto"/>
        </w:rPr>
      </w:pPr>
    </w:p>
    <w:p>
      <w:pPr>
        <w:jc w:val="both"/>
        <w:ind w:left="7" w:firstLine="1397"/>
        <w:spacing w:after="0" w:line="299" w:lineRule="auto"/>
        <w:tabs>
          <w:tab w:leader="none" w:pos="211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186" w:lineRule="exact"/>
        <w:rPr>
          <w:sz w:val="20"/>
          <w:szCs w:val="20"/>
          <w:color w:val="auto"/>
        </w:rPr>
      </w:pPr>
    </w:p>
    <w:p>
      <w:pPr>
        <w:jc w:val="both"/>
        <w:ind w:left="7" w:firstLine="1403"/>
        <w:spacing w:after="0" w:line="356" w:lineRule="auto"/>
        <w:rPr>
          <w:sz w:val="20"/>
          <w:szCs w:val="20"/>
          <w:color w:val="auto"/>
        </w:rPr>
      </w:pPr>
      <w:r>
        <w:rPr>
          <w:rFonts w:ascii="Arial" w:cs="Arial" w:eastAsia="Arial" w:hAnsi="Arial"/>
          <w:sz w:val="17"/>
          <w:szCs w:val="17"/>
          <w:color w:val="0A248E"/>
        </w:rPr>
        <w:t xml:space="preserve">1.22 </w:t>
      </w:r>
      <w:r>
        <w:rPr>
          <w:rFonts w:ascii="Arial" w:cs="Arial" w:eastAsia="Arial" w:hAnsi="Arial"/>
          <w:sz w:val="17"/>
          <w:szCs w:val="17"/>
          <w:color w:val="FC0011"/>
          <w:strike w:val="1"/>
        </w:rPr>
        <w:t>1.19</w:t>
      </w:r>
      <w:r>
        <w:rPr>
          <w:rFonts w:ascii="Arial" w:cs="Arial" w:eastAsia="Arial" w:hAnsi="Arial"/>
          <w:sz w:val="17"/>
          <w:szCs w:val="17"/>
          <w:color w:val="0A248E"/>
        </w:rPr>
        <w:t xml:space="preserve"> </w:t>
      </w:r>
      <w:r>
        <w:rPr>
          <w:rFonts w:ascii="Arial" w:cs="Arial" w:eastAsia="Arial" w:hAnsi="Arial"/>
          <w:sz w:val="17"/>
          <w:szCs w:val="17"/>
          <w:color w:val="000000"/>
        </w:rPr>
        <w:t>“</w:t>
      </w:r>
      <w:r>
        <w:rPr>
          <w:rFonts w:ascii="Arial" w:cs="Arial" w:eastAsia="Arial" w:hAnsi="Arial"/>
          <w:sz w:val="17"/>
          <w:szCs w:val="17"/>
          <w:b w:val="1"/>
          <w:bCs w:val="1"/>
          <w:i w:val="1"/>
          <w:iCs w:val="1"/>
          <w:color w:val="000000"/>
        </w:rPr>
        <w:t>Voting Control</w:t>
      </w:r>
      <w:r>
        <w:rPr>
          <w:rFonts w:ascii="Arial" w:cs="Arial" w:eastAsia="Arial" w:hAnsi="Arial"/>
          <w:sz w:val="17"/>
          <w:szCs w:val="17"/>
          <w:color w:val="000000"/>
        </w:rPr>
        <w:t>” means, with respect to a share of capital stock or other security, the power</w:t>
      </w:r>
      <w:r>
        <w:rPr>
          <w:rFonts w:ascii="Arial" w:cs="Arial" w:eastAsia="Arial" w:hAnsi="Arial"/>
          <w:sz w:val="17"/>
          <w:szCs w:val="17"/>
          <w:color w:val="0A248E"/>
        </w:rPr>
        <w:t xml:space="preserve"> </w:t>
      </w:r>
      <w:r>
        <w:rPr>
          <w:rFonts w:ascii="Arial" w:cs="Arial" w:eastAsia="Arial" w:hAnsi="Arial"/>
          <w:sz w:val="17"/>
          <w:szCs w:val="17"/>
          <w:color w:val="000000"/>
        </w:rPr>
        <w:t>(whether exclusive or shared) to vote or direct the voting of such security, including by proxy, voting agreement or otherwise.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891540</wp:posOffset>
                </wp:positionH>
                <wp:positionV relativeFrom="paragraph">
                  <wp:posOffset>-233045</wp:posOffset>
                </wp:positionV>
                <wp:extent cx="445770"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2pt,-18.3499pt" to="105.3pt,-18.3499pt" o:allowincell="f" strokecolor="#0A248E" strokeweight="0.702pt"/>
            </w:pict>
          </mc:Fallback>
        </mc:AlternateContent>
      </w:r>
    </w:p>
    <w:p>
      <w:pPr>
        <w:spacing w:after="0" w:line="123" w:lineRule="exact"/>
        <w:rPr>
          <w:sz w:val="20"/>
          <w:szCs w:val="20"/>
          <w:color w:val="auto"/>
        </w:rPr>
      </w:pPr>
    </w:p>
    <w:p>
      <w:pPr>
        <w:jc w:val="both"/>
        <w:ind w:left="7" w:firstLine="1404"/>
        <w:spacing w:after="0" w:line="299" w:lineRule="auto"/>
        <w:rPr>
          <w:sz w:val="20"/>
          <w:szCs w:val="20"/>
          <w:color w:val="auto"/>
        </w:rPr>
      </w:pPr>
      <w:r>
        <w:rPr>
          <w:rFonts w:ascii="Arial" w:cs="Arial" w:eastAsia="Arial" w:hAnsi="Arial"/>
          <w:sz w:val="18"/>
          <w:szCs w:val="18"/>
          <w:color w:val="0A248E"/>
        </w:rPr>
        <w:t xml:space="preserve">1.23 </w:t>
      </w:r>
      <w:r>
        <w:rPr>
          <w:rFonts w:ascii="Arial" w:cs="Arial" w:eastAsia="Arial" w:hAnsi="Arial"/>
          <w:sz w:val="18"/>
          <w:szCs w:val="18"/>
          <w:color w:val="FC0011"/>
          <w:strike w:val="1"/>
        </w:rPr>
        <w:t>1.20</w:t>
      </w:r>
      <w:r>
        <w:rPr>
          <w:rFonts w:ascii="Arial" w:cs="Arial" w:eastAsia="Arial" w:hAnsi="Arial"/>
          <w:sz w:val="18"/>
          <w:szCs w:val="18"/>
          <w:color w:val="0A248E"/>
        </w:rPr>
        <w:t xml:space="preserve"> </w:t>
      </w:r>
      <w:r>
        <w:rPr>
          <w:rFonts w:ascii="Arial" w:cs="Arial" w:eastAsia="Arial" w:hAnsi="Arial"/>
          <w:sz w:val="18"/>
          <w:szCs w:val="18"/>
          <w:color w:val="000000"/>
        </w:rPr>
        <w:t>“</w:t>
      </w:r>
      <w:r>
        <w:rPr>
          <w:rFonts w:ascii="Arial" w:cs="Arial" w:eastAsia="Arial" w:hAnsi="Arial"/>
          <w:sz w:val="18"/>
          <w:szCs w:val="18"/>
          <w:b w:val="1"/>
          <w:bCs w:val="1"/>
          <w:i w:val="1"/>
          <w:iCs w:val="1"/>
          <w:color w:val="000000"/>
        </w:rPr>
        <w:t>Voting Threshold Date</w:t>
      </w:r>
      <w:r>
        <w:rPr>
          <w:rFonts w:ascii="Arial" w:cs="Arial" w:eastAsia="Arial" w:hAnsi="Arial"/>
          <w:sz w:val="18"/>
          <w:szCs w:val="18"/>
          <w:color w:val="000000"/>
        </w:rPr>
        <w:t>” means the first date on which the outstanding shares of Class B</w:t>
      </w:r>
      <w:r>
        <w:rPr>
          <w:rFonts w:ascii="Arial" w:cs="Arial" w:eastAsia="Arial" w:hAnsi="Arial"/>
          <w:sz w:val="18"/>
          <w:szCs w:val="18"/>
          <w:color w:val="0A248E"/>
        </w:rPr>
        <w:t xml:space="preserve"> </w:t>
      </w:r>
      <w:r>
        <w:rPr>
          <w:rFonts w:ascii="Arial" w:cs="Arial" w:eastAsia="Arial" w:hAnsi="Arial"/>
          <w:sz w:val="18"/>
          <w:szCs w:val="18"/>
          <w:color w:val="000000"/>
        </w:rPr>
        <w:t>Common Stock represent less than a majority of the total voting power of the then outstanding shares of the Corporation entitled to vote generally in the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891540</wp:posOffset>
                </wp:positionH>
                <wp:positionV relativeFrom="paragraph">
                  <wp:posOffset>-356870</wp:posOffset>
                </wp:positionV>
                <wp:extent cx="44577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2pt,-28.0999pt" to="105.3pt,-28.0999pt" o:allowincell="f" strokecolor="#0A248E" strokeweight="0.702pt"/>
            </w:pict>
          </mc:Fallback>
        </mc:AlternateContent>
      </w:r>
    </w:p>
    <w:p>
      <w:pPr>
        <w:sectPr>
          <w:pgSz w:w="11880" w:h="15480" w:orient="portrait"/>
          <w:cols w:equalWidth="0" w:num="1">
            <w:col w:w="9647"/>
          </w:cols>
          <w:pgMar w:left="1133" w:top="780" w:right="1100" w:bottom="0" w:gutter="0" w:footer="0" w:header="0"/>
        </w:sectPr>
      </w:pPr>
    </w:p>
    <w:p>
      <w:pPr>
        <w:spacing w:after="0" w:line="200" w:lineRule="exact"/>
        <w:rPr>
          <w:sz w:val="20"/>
          <w:szCs w:val="20"/>
          <w:color w:val="auto"/>
        </w:rPr>
      </w:pPr>
    </w:p>
    <w:p>
      <w:pPr>
        <w:spacing w:after="0" w:line="349" w:lineRule="exact"/>
        <w:rPr>
          <w:sz w:val="20"/>
          <w:szCs w:val="20"/>
          <w:color w:val="auto"/>
        </w:rPr>
      </w:pPr>
    </w:p>
    <w:p>
      <w:pPr>
        <w:ind w:left="9407"/>
        <w:spacing w:after="0"/>
        <w:rPr>
          <w:sz w:val="20"/>
          <w:szCs w:val="20"/>
          <w:color w:val="auto"/>
        </w:rPr>
      </w:pPr>
      <w:r>
        <w:rPr>
          <w:rFonts w:ascii="Arial" w:cs="Arial" w:eastAsia="Arial" w:hAnsi="Arial"/>
          <w:sz w:val="14"/>
          <w:szCs w:val="14"/>
          <w:b w:val="1"/>
          <w:bCs w:val="1"/>
          <w:color w:val="auto"/>
        </w:rPr>
        <w:t>B-5</w:t>
      </w:r>
    </w:p>
    <w:p>
      <w:pPr>
        <w:sectPr>
          <w:pgSz w:w="11880" w:h="15480" w:orient="portrait"/>
          <w:cols w:equalWidth="0" w:num="1">
            <w:col w:w="9647"/>
          </w:cols>
          <w:pgMar w:left="1133" w:top="780" w:right="1100" w:bottom="0" w:gutter="0" w:footer="0" w:header="0"/>
          <w:type w:val="continuous"/>
        </w:sectPr>
      </w:pPr>
    </w:p>
    <w:bookmarkStart w:id="93" w:name="page94"/>
    <w:bookmarkEnd w:id="93"/>
    <w:p>
      <w:pPr>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ind w:right="20" w:firstLine="1404"/>
        <w:spacing w:after="0" w:line="316" w:lineRule="auto"/>
        <w:rPr>
          <w:sz w:val="20"/>
          <w:szCs w:val="20"/>
          <w:color w:val="auto"/>
        </w:rPr>
      </w:pPr>
      <w:r>
        <w:rPr>
          <w:rFonts w:ascii="Arial" w:cs="Arial" w:eastAsia="Arial" w:hAnsi="Arial"/>
          <w:sz w:val="18"/>
          <w:szCs w:val="18"/>
          <w:color w:val="0A248E"/>
        </w:rPr>
        <w:t xml:space="preserve">1.24 </w:t>
      </w:r>
      <w:r>
        <w:rPr>
          <w:rFonts w:ascii="Arial" w:cs="Arial" w:eastAsia="Arial" w:hAnsi="Arial"/>
          <w:sz w:val="18"/>
          <w:szCs w:val="18"/>
          <w:color w:val="FC0011"/>
          <w:strike w:val="1"/>
        </w:rPr>
        <w:t>1.21</w:t>
      </w:r>
      <w:r>
        <w:rPr>
          <w:rFonts w:ascii="Arial" w:cs="Arial" w:eastAsia="Arial" w:hAnsi="Arial"/>
          <w:sz w:val="18"/>
          <w:szCs w:val="18"/>
          <w:color w:val="0A248E"/>
        </w:rPr>
        <w:t xml:space="preserve"> </w:t>
      </w:r>
      <w:r>
        <w:rPr>
          <w:rFonts w:ascii="Arial" w:cs="Arial" w:eastAsia="Arial" w:hAnsi="Arial"/>
          <w:sz w:val="18"/>
          <w:szCs w:val="18"/>
          <w:color w:val="000000"/>
        </w:rPr>
        <w:t>“</w:t>
      </w:r>
      <w:r>
        <w:rPr>
          <w:rFonts w:ascii="Arial" w:cs="Arial" w:eastAsia="Arial" w:hAnsi="Arial"/>
          <w:sz w:val="18"/>
          <w:szCs w:val="18"/>
          <w:b w:val="1"/>
          <w:bCs w:val="1"/>
          <w:i w:val="1"/>
          <w:iCs w:val="1"/>
          <w:color w:val="000000"/>
        </w:rPr>
        <w:t>Whole Board</w:t>
      </w:r>
      <w:r>
        <w:rPr>
          <w:rFonts w:ascii="Arial" w:cs="Arial" w:eastAsia="Arial" w:hAnsi="Arial"/>
          <w:sz w:val="18"/>
          <w:szCs w:val="18"/>
          <w:color w:val="000000"/>
        </w:rPr>
        <w:t>” means the total number of authorized directors whether or not there exist any</w:t>
      </w:r>
      <w:r>
        <w:rPr>
          <w:rFonts w:ascii="Arial" w:cs="Arial" w:eastAsia="Arial" w:hAnsi="Arial"/>
          <w:sz w:val="18"/>
          <w:szCs w:val="18"/>
          <w:color w:val="0A248E"/>
        </w:rPr>
        <w:t xml:space="preserve"> </w:t>
      </w:r>
      <w:r>
        <w:rPr>
          <w:rFonts w:ascii="Arial" w:cs="Arial" w:eastAsia="Arial" w:hAnsi="Arial"/>
          <w:sz w:val="18"/>
          <w:szCs w:val="18"/>
          <w:color w:val="000000"/>
        </w:rPr>
        <w:t>vacancies or unfilled seats in previously authorized directorships.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887095</wp:posOffset>
                </wp:positionH>
                <wp:positionV relativeFrom="paragraph">
                  <wp:posOffset>-212090</wp:posOffset>
                </wp:positionV>
                <wp:extent cx="445770"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5pt,-16.6999pt" to="104.95pt,-16.6999pt" o:allowincell="f" strokecolor="#0A248E" strokeweight="0.702pt"/>
            </w:pict>
          </mc:Fallback>
        </mc:AlternateContent>
      </w:r>
    </w:p>
    <w:p>
      <w:pPr>
        <w:spacing w:after="0" w:line="151" w:lineRule="exact"/>
        <w:rPr>
          <w:sz w:val="20"/>
          <w:szCs w:val="20"/>
          <w:color w:val="auto"/>
        </w:rPr>
      </w:pPr>
    </w:p>
    <w:p>
      <w:pPr>
        <w:jc w:val="both"/>
        <w:ind w:right="20" w:firstLine="696"/>
        <w:spacing w:after="0" w:line="293" w:lineRule="auto"/>
        <w:tabs>
          <w:tab w:leader="none" w:pos="140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Identical Rights</w:t>
      </w:r>
      <w:r>
        <w:rPr>
          <w:rFonts w:ascii="Arial" w:cs="Arial" w:eastAsia="Arial" w:hAnsi="Arial"/>
          <w:sz w:val="18"/>
          <w:szCs w:val="18"/>
          <w:color w:val="auto"/>
        </w:rPr>
        <w:t xml:space="preserve">. Except as otherwise provided in these Articles or required by applicable law, shares of Common Stock shall have the same rights and powers, rank equally (including as to dividends and </w:t>
      </w:r>
      <w:r>
        <w:rPr>
          <w:rFonts w:ascii="Arial" w:cs="Arial" w:eastAsia="Arial" w:hAnsi="Arial"/>
          <w:sz w:val="18"/>
          <w:szCs w:val="18"/>
          <w:u w:val="single" w:color="auto"/>
          <w:color w:val="0A248E"/>
        </w:rPr>
        <w:t>other</w:t>
      </w:r>
      <w:r>
        <w:rPr>
          <w:rFonts w:ascii="Arial" w:cs="Arial" w:eastAsia="Arial" w:hAnsi="Arial"/>
          <w:sz w:val="18"/>
          <w:szCs w:val="18"/>
          <w:color w:val="auto"/>
        </w:rPr>
        <w:t xml:space="preserve"> distributions, and any liquidation, dissolution or winding up of the corporation but excluding voting and other matters as described in </w:t>
      </w:r>
      <w:r>
        <w:rPr>
          <w:rFonts w:ascii="Arial" w:cs="Arial" w:eastAsia="Arial" w:hAnsi="Arial"/>
          <w:sz w:val="18"/>
          <w:szCs w:val="18"/>
          <w:u w:val="single" w:color="auto"/>
          <w:color w:val="auto"/>
        </w:rPr>
        <w:t>Section V.3</w:t>
      </w:r>
      <w:r>
        <w:rPr>
          <w:rFonts w:ascii="Arial" w:cs="Arial" w:eastAsia="Arial" w:hAnsi="Arial"/>
          <w:sz w:val="18"/>
          <w:szCs w:val="18"/>
          <w:color w:val="auto"/>
        </w:rPr>
        <w:t xml:space="preserve"> below), share ratably and be identical in all respects as to all matters, including:</w:t>
      </w:r>
    </w:p>
    <w:p>
      <w:pPr>
        <w:spacing w:after="0" w:line="192" w:lineRule="exact"/>
        <w:rPr>
          <w:sz w:val="20"/>
          <w:szCs w:val="20"/>
          <w:color w:val="auto"/>
        </w:rPr>
      </w:pPr>
    </w:p>
    <w:p>
      <w:pPr>
        <w:jc w:val="both"/>
        <w:ind w:right="20" w:firstLine="1404"/>
        <w:spacing w:after="0" w:line="287" w:lineRule="auto"/>
        <w:rPr>
          <w:sz w:val="20"/>
          <w:szCs w:val="20"/>
          <w:color w:val="auto"/>
        </w:rPr>
      </w:pPr>
      <w:r>
        <w:rPr>
          <w:rFonts w:ascii="Arial" w:cs="Arial" w:eastAsia="Arial" w:hAnsi="Arial"/>
          <w:sz w:val="18"/>
          <w:szCs w:val="18"/>
          <w:color w:val="auto"/>
        </w:rPr>
        <w:t xml:space="preserve">2.1 Subject to the prior rights of holders of all classes and series of stock at the time outstanding having prior rights as to dividends or </w:t>
      </w:r>
      <w:r>
        <w:rPr>
          <w:rFonts w:ascii="Arial" w:cs="Arial" w:eastAsia="Arial" w:hAnsi="Arial"/>
          <w:sz w:val="18"/>
          <w:szCs w:val="18"/>
          <w:u w:val="single" w:color="auto"/>
          <w:color w:val="0A248E"/>
        </w:rPr>
        <w:t>other</w:t>
      </w:r>
      <w:r>
        <w:rPr>
          <w:rFonts w:ascii="Arial" w:cs="Arial" w:eastAsia="Arial" w:hAnsi="Arial"/>
          <w:sz w:val="18"/>
          <w:szCs w:val="18"/>
          <w:color w:val="auto"/>
        </w:rPr>
        <w:t xml:space="preserve"> distributions, the holders of the Common Stock shall be entitled to receive, when, as and if declared by the Board, out of any assets of the Corporation legally available therefor, such dividends or </w:t>
      </w:r>
      <w:r>
        <w:rPr>
          <w:rFonts w:ascii="Arial" w:cs="Arial" w:eastAsia="Arial" w:hAnsi="Arial"/>
          <w:sz w:val="18"/>
          <w:szCs w:val="18"/>
          <w:u w:val="single" w:color="auto"/>
          <w:color w:val="0A248E"/>
        </w:rPr>
        <w:t>other</w:t>
      </w:r>
      <w:r>
        <w:rPr>
          <w:rFonts w:ascii="Arial" w:cs="Arial" w:eastAsia="Arial" w:hAnsi="Arial"/>
          <w:sz w:val="18"/>
          <w:szCs w:val="18"/>
          <w:color w:val="auto"/>
        </w:rPr>
        <w:t xml:space="preserve"> distributions as may be declared from time to time by the Board. Any dividends or </w:t>
      </w:r>
      <w:r>
        <w:rPr>
          <w:rFonts w:ascii="Arial" w:cs="Arial" w:eastAsia="Arial" w:hAnsi="Arial"/>
          <w:sz w:val="18"/>
          <w:szCs w:val="18"/>
          <w:u w:val="single" w:color="auto"/>
          <w:color w:val="0A248E"/>
        </w:rPr>
        <w:t>other</w:t>
      </w:r>
      <w:r>
        <w:rPr>
          <w:rFonts w:ascii="Arial" w:cs="Arial" w:eastAsia="Arial" w:hAnsi="Arial"/>
          <w:sz w:val="18"/>
          <w:szCs w:val="18"/>
          <w:color w:val="auto"/>
        </w:rPr>
        <w:t xml:space="preserve"> distributions paid to the holders of shares of Common Stock shall be paid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an equal priority,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195" w:lineRule="exact"/>
        <w:rPr>
          <w:sz w:val="20"/>
          <w:szCs w:val="20"/>
          <w:color w:val="auto"/>
        </w:rPr>
      </w:pPr>
    </w:p>
    <w:p>
      <w:pPr>
        <w:jc w:val="both"/>
        <w:ind w:right="20" w:firstLine="1404"/>
        <w:spacing w:after="0" w:line="299" w:lineRule="auto"/>
        <w:rPr>
          <w:sz w:val="20"/>
          <w:szCs w:val="20"/>
          <w:color w:val="auto"/>
        </w:rPr>
      </w:pPr>
      <w:r>
        <w:rPr>
          <w:rFonts w:ascii="Arial" w:cs="Arial" w:eastAsia="Arial" w:hAnsi="Arial"/>
          <w:sz w:val="17"/>
          <w:szCs w:val="17"/>
          <w:color w:val="auto"/>
        </w:rPr>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 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205" w:lineRule="exact"/>
        <w:rPr>
          <w:sz w:val="20"/>
          <w:szCs w:val="20"/>
          <w:color w:val="auto"/>
        </w:rPr>
      </w:pPr>
    </w:p>
    <w:p>
      <w:pPr>
        <w:jc w:val="both"/>
        <w:ind w:firstLine="1404"/>
        <w:spacing w:after="0" w:line="299" w:lineRule="auto"/>
        <w:rPr>
          <w:sz w:val="20"/>
          <w:szCs w:val="20"/>
          <w:color w:val="auto"/>
        </w:rPr>
      </w:pPr>
      <w:r>
        <w:rPr>
          <w:rFonts w:ascii="Arial" w:cs="Arial" w:eastAsia="Arial" w:hAnsi="Arial"/>
          <w:sz w:val="18"/>
          <w:szCs w:val="18"/>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86" w:lineRule="exact"/>
        <w:rPr>
          <w:sz w:val="20"/>
          <w:szCs w:val="20"/>
          <w:color w:val="auto"/>
        </w:rPr>
      </w:pPr>
    </w:p>
    <w:p>
      <w:pPr>
        <w:ind w:left="1400" w:hanging="705"/>
        <w:spacing w:after="0"/>
        <w:tabs>
          <w:tab w:leader="none" w:pos="14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72"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right="20" w:firstLine="2099"/>
        <w:spacing w:after="0" w:line="301" w:lineRule="auto"/>
        <w:tabs>
          <w:tab w:leader="none" w:pos="2808"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Class A Common Stock</w:t>
      </w:r>
      <w:r>
        <w:rPr>
          <w:rFonts w:ascii="Arial" w:cs="Arial" w:eastAsia="Arial" w:hAnsi="Arial"/>
          <w:sz w:val="18"/>
          <w:szCs w:val="18"/>
          <w:color w:val="auto"/>
        </w:rPr>
        <w:t>. Each holder of shares of Class A Common Stock will be entitled to one (1) vote for each share thereof held at the record date for the determination of the stockholders entitled to vote on such matters.</w:t>
      </w:r>
    </w:p>
    <w:p>
      <w:pPr>
        <w:sectPr>
          <w:pgSz w:w="11880" w:h="15480" w:orient="portrait"/>
          <w:cols w:equalWidth="0" w:num="1">
            <w:col w:w="9660"/>
          </w:cols>
          <w:pgMar w:left="1140" w:top="78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B-6</w:t>
      </w:r>
    </w:p>
    <w:p>
      <w:pPr>
        <w:sectPr>
          <w:pgSz w:w="11880" w:h="15480" w:orient="portrait"/>
          <w:cols w:equalWidth="0" w:num="1">
            <w:col w:w="9660"/>
          </w:cols>
          <w:pgMar w:left="1140" w:top="780" w:right="1080" w:bottom="0" w:gutter="0" w:footer="0" w:header="0"/>
          <w:type w:val="continuous"/>
        </w:sectPr>
      </w:pPr>
    </w:p>
    <w:bookmarkStart w:id="94" w:name="page95"/>
    <w:bookmarkEnd w:id="94"/>
    <w:p>
      <w:pPr>
        <w:ind w:left="7"/>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jc w:val="both"/>
        <w:ind w:left="7" w:right="20" w:firstLine="2099"/>
        <w:spacing w:after="0" w:line="299" w:lineRule="auto"/>
        <w:tabs>
          <w:tab w:leader="none" w:pos="281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Class B Common Stock</w:t>
      </w:r>
      <w:r>
        <w:rPr>
          <w:rFonts w:ascii="Arial" w:cs="Arial" w:eastAsia="Arial" w:hAnsi="Arial"/>
          <w:sz w:val="18"/>
          <w:szCs w:val="18"/>
          <w:color w:val="auto"/>
        </w:rPr>
        <w:t>. Each holder of shares of Class B Common Stock will be entitled to ten (10) votes for each share thereof held at the record date for the determination of the stockholders entitled to vote on such matters.</w:t>
      </w:r>
    </w:p>
    <w:p>
      <w:pPr>
        <w:spacing w:after="0" w:line="185" w:lineRule="exact"/>
        <w:rPr>
          <w:rFonts w:ascii="Arial" w:cs="Arial" w:eastAsia="Arial" w:hAnsi="Arial"/>
          <w:sz w:val="18"/>
          <w:szCs w:val="18"/>
          <w:color w:val="auto"/>
        </w:rPr>
      </w:pPr>
    </w:p>
    <w:p>
      <w:pPr>
        <w:jc w:val="both"/>
        <w:ind w:left="7" w:right="20" w:firstLine="2099"/>
        <w:spacing w:after="0" w:line="293" w:lineRule="auto"/>
        <w:tabs>
          <w:tab w:leader="none" w:pos="281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Class C Common Stock</w:t>
      </w:r>
      <w:r>
        <w:rPr>
          <w:rFonts w:ascii="Arial" w:cs="Arial" w:eastAsia="Arial" w:hAnsi="Arial"/>
          <w:sz w:val="18"/>
          <w:szCs w:val="18"/>
          <w:color w:val="auto"/>
        </w:rPr>
        <w:t xml:space="preserve">. Except as required by law, the Class C Common Stock will have no voting rights and no holder thereof shall be entitled to vote on any matter. For the avoidance of doubt, any right of the Class C Common Stock, or any holder thereof, to vote pursuant to NRS 78.2055(3) </w:t>
      </w:r>
      <w:r>
        <w:rPr>
          <w:rFonts w:ascii="Arial" w:cs="Arial" w:eastAsia="Arial" w:hAnsi="Arial"/>
          <w:sz w:val="18"/>
          <w:szCs w:val="18"/>
          <w:color w:val="FC0011"/>
        </w:rPr>
        <w:t>or</w:t>
      </w:r>
      <w:r>
        <w:rPr>
          <w:rFonts w:ascii="Arial" w:cs="Arial" w:eastAsia="Arial" w:hAnsi="Arial"/>
          <w:sz w:val="18"/>
          <w:szCs w:val="18"/>
          <w:u w:val="single" w:color="auto"/>
          <w:color w:val="0A248E"/>
        </w:rPr>
        <w:t>,</w:t>
      </w:r>
      <w:r>
        <w:rPr>
          <w:rFonts w:ascii="Arial" w:cs="Arial" w:eastAsia="Arial" w:hAnsi="Arial"/>
          <w:sz w:val="18"/>
          <w:szCs w:val="18"/>
          <w:color w:val="auto"/>
        </w:rPr>
        <w:t xml:space="preserve"> 78.207(3) </w:t>
      </w:r>
      <w:r>
        <w:rPr>
          <w:rFonts w:ascii="Arial" w:cs="Arial" w:eastAsia="Arial" w:hAnsi="Arial"/>
          <w:sz w:val="18"/>
          <w:szCs w:val="18"/>
          <w:u w:val="single" w:color="auto"/>
          <w:color w:val="0A248E"/>
        </w:rPr>
        <w:t>or 78.390(2)</w:t>
      </w:r>
      <w:r>
        <w:rPr>
          <w:rFonts w:ascii="Arial" w:cs="Arial" w:eastAsia="Arial" w:hAnsi="Arial"/>
          <w:sz w:val="18"/>
          <w:szCs w:val="18"/>
          <w:color w:val="auto"/>
        </w:rPr>
        <w:t xml:space="preserve"> is hereby specifically denied.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3780155</wp:posOffset>
                </wp:positionH>
                <wp:positionV relativeFrom="paragraph">
                  <wp:posOffset>-244475</wp:posOffset>
                </wp:positionV>
                <wp:extent cx="121285"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285" cy="4763"/>
                        </a:xfrm>
                        <a:prstGeom prst="line">
                          <a:avLst/>
                        </a:prstGeom>
                        <a:solidFill>
                          <a:srgbClr val="FFFFFF"/>
                        </a:solidFill>
                        <a:ln w="5943">
                          <a:solidFill>
                            <a:srgbClr val="FC0011"/>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65pt,-19.2499pt" to="307.2pt,-19.2499pt" o:allowincell="f" strokecolor="#FC0011" strokeweight="0.468pt"/>
            </w:pict>
          </mc:Fallback>
        </mc:AlternateContent>
      </w:r>
    </w:p>
    <w:p>
      <w:pPr>
        <w:spacing w:after="0" w:line="172" w:lineRule="exact"/>
        <w:rPr>
          <w:sz w:val="20"/>
          <w:szCs w:val="20"/>
          <w:color w:val="auto"/>
        </w:rPr>
      </w:pPr>
    </w:p>
    <w:p>
      <w:pPr>
        <w:jc w:val="both"/>
        <w:ind w:left="7" w:right="20" w:firstLine="1404"/>
        <w:spacing w:after="0" w:line="29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expressly provided herein or as required by law, the holders of Class A Common Stock, Class B Common Stock and Class C Common Stock will vote together and not as separate series or classes.</w:t>
      </w:r>
    </w:p>
    <w:p>
      <w:pPr>
        <w:spacing w:after="0" w:line="186" w:lineRule="exact"/>
        <w:rPr>
          <w:sz w:val="20"/>
          <w:szCs w:val="20"/>
          <w:color w:val="auto"/>
        </w:rPr>
      </w:pPr>
    </w:p>
    <w:p>
      <w:pPr>
        <w:jc w:val="both"/>
        <w:ind w:left="7" w:right="20" w:firstLine="1404"/>
        <w:spacing w:after="0" w:line="28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Authorized Shares</w:t>
      </w:r>
      <w:r>
        <w:rPr>
          <w:rFonts w:ascii="Arial" w:cs="Arial" w:eastAsia="Arial" w:hAnsi="Arial"/>
          <w:sz w:val="18"/>
          <w:szCs w:val="18"/>
          <w:color w:val="auto"/>
        </w:rPr>
        <w:t xml:space="preserve">.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w:t>
      </w:r>
      <w:r>
        <w:rPr>
          <w:rFonts w:ascii="Arial" w:cs="Arial" w:eastAsia="Arial" w:hAnsi="Arial"/>
          <w:sz w:val="18"/>
          <w:szCs w:val="18"/>
          <w:u w:val="single" w:color="auto"/>
          <w:color w:val="auto"/>
        </w:rPr>
        <w:t>Section V.9</w:t>
      </w:r>
      <w:r>
        <w:rPr>
          <w:rFonts w:ascii="Arial" w:cs="Arial" w:eastAsia="Arial" w:hAnsi="Arial"/>
          <w:sz w:val="18"/>
          <w:szCs w:val="18"/>
          <w:color w:val="auto"/>
        </w:rPr>
        <w:t xml:space="preserve">) by the affirmative vote of the holders of </w:t>
      </w:r>
      <w:r>
        <w:rPr>
          <w:rFonts w:ascii="Arial" w:cs="Arial" w:eastAsia="Arial" w:hAnsi="Arial"/>
          <w:sz w:val="18"/>
          <w:szCs w:val="18"/>
          <w:color w:val="FC0011"/>
          <w:strike w:val="1"/>
        </w:rPr>
        <w:t>a majority of the voting power</w:t>
      </w:r>
      <w:r>
        <w:rPr>
          <w:rFonts w:ascii="Arial" w:cs="Arial" w:eastAsia="Arial" w:hAnsi="Arial"/>
          <w:sz w:val="18"/>
          <w:szCs w:val="18"/>
          <w:color w:val="auto"/>
        </w:rPr>
        <w:t xml:space="preserve"> </w:t>
      </w:r>
      <w:r>
        <w:rPr>
          <w:rFonts w:ascii="Arial" w:cs="Arial" w:eastAsia="Arial" w:hAnsi="Arial"/>
          <w:sz w:val="18"/>
          <w:szCs w:val="18"/>
          <w:color w:val="FC0011"/>
          <w:strike w:val="1"/>
        </w:rPr>
        <w:t>of</w:t>
      </w:r>
      <w:r>
        <w:rPr>
          <w:rFonts w:ascii="Arial" w:cs="Arial" w:eastAsia="Arial" w:hAnsi="Arial"/>
          <w:sz w:val="18"/>
          <w:szCs w:val="18"/>
          <w:color w:val="FC0011"/>
        </w:rPr>
        <w:t xml:space="preserve"> </w:t>
      </w:r>
      <w:r>
        <w:rPr>
          <w:rFonts w:ascii="Arial" w:cs="Arial" w:eastAsia="Arial" w:hAnsi="Arial"/>
          <w:sz w:val="18"/>
          <w:szCs w:val="18"/>
          <w:color w:val="000000"/>
        </w:rPr>
        <w:t>the Class A Common Stock and Class B Common Stock, voting together as a single class, irrespective of any applicable</w:t>
      </w:r>
      <w:r>
        <w:rPr>
          <w:rFonts w:ascii="Arial" w:cs="Arial" w:eastAsia="Arial" w:hAnsi="Arial"/>
          <w:sz w:val="18"/>
          <w:szCs w:val="18"/>
          <w:color w:val="FC0011"/>
        </w:rPr>
        <w:t xml:space="preserve"> </w:t>
      </w:r>
      <w:r>
        <w:rPr>
          <w:rFonts w:ascii="Arial" w:cs="Arial" w:eastAsia="Arial" w:hAnsi="Arial"/>
          <w:sz w:val="18"/>
          <w:szCs w:val="18"/>
          <w:color w:val="000000"/>
        </w:rPr>
        <w:t xml:space="preserve">provisions of NRS </w:t>
      </w:r>
      <w:r>
        <w:rPr>
          <w:rFonts w:ascii="Arial" w:cs="Arial" w:eastAsia="Arial" w:hAnsi="Arial"/>
          <w:sz w:val="18"/>
          <w:szCs w:val="18"/>
          <w:u w:val="single" w:color="auto"/>
          <w:color w:val="0A248E"/>
        </w:rPr>
        <w:t>78.207(3) and NRS</w:t>
      </w:r>
      <w:r>
        <w:rPr>
          <w:rFonts w:ascii="Arial" w:cs="Arial" w:eastAsia="Arial" w:hAnsi="Arial"/>
          <w:sz w:val="18"/>
          <w:szCs w:val="18"/>
          <w:color w:val="000000"/>
        </w:rPr>
        <w:t xml:space="preserve"> 78.390(2); provided, that the number of authorized shares of Class B Common Stock shall not be increased without the affirmative vote of the holders of a majority of the outstanding shares of Class B Common Stock, voting as a separate class.</w:t>
      </w:r>
    </w:p>
    <w:p>
      <w:pPr>
        <w:spacing w:after="0" w:line="198" w:lineRule="exact"/>
        <w:rPr>
          <w:sz w:val="20"/>
          <w:szCs w:val="20"/>
          <w:color w:val="auto"/>
        </w:rPr>
      </w:pPr>
    </w:p>
    <w:p>
      <w:pPr>
        <w:jc w:val="both"/>
        <w:ind w:left="7" w:right="20" w:firstLine="1404"/>
        <w:spacing w:after="0" w:line="29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w:t>
      </w:r>
    </w:p>
    <w:p>
      <w:pPr>
        <w:spacing w:after="0" w:line="2" w:lineRule="exact"/>
        <w:rPr>
          <w:sz w:val="20"/>
          <w:szCs w:val="20"/>
          <w:color w:val="auto"/>
        </w:rPr>
      </w:pPr>
    </w:p>
    <w:p>
      <w:pPr>
        <w:jc w:val="both"/>
        <w:ind w:left="7" w:right="20" w:hanging="7"/>
        <w:spacing w:after="0" w:line="295" w:lineRule="auto"/>
        <w:tabs>
          <w:tab w:leader="none" w:pos="25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from and after the Final Conversion Date, until the Class C Conversion Date, if any, the holders of the Class A Common Stock, voting together as a single class, shall be entitled to elect and remove all directors of the Company and (iii) from and after the Class C Conversion Date, if any, the holders of Common Stock, voting together as a single class, shall be entitled to elect and remove all directors of the Company.</w:t>
      </w:r>
    </w:p>
    <w:p>
      <w:pPr>
        <w:spacing w:after="0" w:line="184" w:lineRule="exact"/>
        <w:rPr>
          <w:rFonts w:ascii="Arial" w:cs="Arial" w:eastAsia="Arial" w:hAnsi="Arial"/>
          <w:sz w:val="18"/>
          <w:szCs w:val="18"/>
          <w:color w:val="auto"/>
        </w:rPr>
      </w:pPr>
    </w:p>
    <w:p>
      <w:pPr>
        <w:jc w:val="both"/>
        <w:ind w:left="7" w:right="20" w:firstLine="696"/>
        <w:spacing w:after="0" w:line="302" w:lineRule="auto"/>
        <w:tabs>
          <w:tab w:leader="none" w:pos="1411"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Liquidation Rights</w:t>
      </w:r>
      <w:r>
        <w:rPr>
          <w:rFonts w:ascii="Arial" w:cs="Arial" w:eastAsia="Arial" w:hAnsi="Arial"/>
          <w:sz w:val="17"/>
          <w:szCs w:val="17"/>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a “distribution to stockholders” for the purpose of this </w:t>
      </w:r>
      <w:r>
        <w:rPr>
          <w:rFonts w:ascii="Arial" w:cs="Arial" w:eastAsia="Arial" w:hAnsi="Arial"/>
          <w:sz w:val="17"/>
          <w:szCs w:val="17"/>
          <w:u w:val="single" w:color="auto"/>
          <w:color w:val="auto"/>
        </w:rPr>
        <w:t>Section V.4</w:t>
      </w:r>
      <w:r>
        <w:rPr>
          <w:rFonts w:ascii="Arial" w:cs="Arial" w:eastAsia="Arial" w:hAnsi="Arial"/>
          <w:sz w:val="17"/>
          <w:szCs w:val="17"/>
          <w:color w:val="auto"/>
        </w:rPr>
        <w:t>; provided, further, however, that shares of such classes may receive, or have the right to elect to receive, different or disproportionate consideration in connection with such consolidation, merger or other transaction if the only difference in the per share consideration to the holders of the Class A Common Stock, Class B Common Stock and Class C Common Stock is that any securities distributed to the holder of a share of Class B Common Stock have ten (10) times the voting power of any securities distributed to the holder of a share of Class A Common Stock and that any securities distributed to the holder of a share of Class C Common Stock have no voting rights or power.</w:t>
      </w:r>
    </w:p>
    <w:p>
      <w:pPr>
        <w:spacing w:after="0" w:line="186" w:lineRule="exact"/>
        <w:rPr>
          <w:rFonts w:ascii="Arial" w:cs="Arial" w:eastAsia="Arial" w:hAnsi="Arial"/>
          <w:sz w:val="17"/>
          <w:szCs w:val="17"/>
          <w:color w:val="auto"/>
        </w:rPr>
      </w:pPr>
    </w:p>
    <w:p>
      <w:pPr>
        <w:ind w:left="7" w:firstLine="695"/>
        <w:spacing w:after="0" w:line="321" w:lineRule="auto"/>
        <w:tabs>
          <w:tab w:leader="none" w:pos="1411"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Conversion of the Class B Common Stock</w:t>
      </w:r>
      <w:r>
        <w:rPr>
          <w:rFonts w:ascii="Arial" w:cs="Arial" w:eastAsia="Arial" w:hAnsi="Arial"/>
          <w:sz w:val="18"/>
          <w:szCs w:val="18"/>
          <w:color w:val="auto"/>
        </w:rPr>
        <w:t>. The Class B Common Stock will be convertible into Class A Common Stock as follows:</w:t>
      </w:r>
    </w:p>
    <w:p>
      <w:pPr>
        <w:spacing w:after="0" w:line="167" w:lineRule="exact"/>
        <w:rPr>
          <w:sz w:val="20"/>
          <w:szCs w:val="20"/>
          <w:color w:val="auto"/>
        </w:rPr>
      </w:pPr>
    </w:p>
    <w:p>
      <w:pPr>
        <w:jc w:val="both"/>
        <w:ind w:left="7" w:right="20" w:firstLine="1404"/>
        <w:spacing w:after="0" w:line="316" w:lineRule="auto"/>
        <w:rPr>
          <w:sz w:val="20"/>
          <w:szCs w:val="20"/>
          <w:color w:val="auto"/>
        </w:rPr>
      </w:pPr>
      <w:r>
        <w:rPr>
          <w:rFonts w:ascii="Arial" w:cs="Arial" w:eastAsia="Arial" w:hAnsi="Arial"/>
          <w:sz w:val="18"/>
          <w:szCs w:val="18"/>
          <w:color w:val="auto"/>
        </w:rPr>
        <w:t>5.1 Each share of Class B Common Stock will automatically convert into one fully paid and nonassessable share of Class A Common Stock on the Final Conversion Date.</w:t>
      </w:r>
    </w:p>
    <w:p>
      <w:pPr>
        <w:spacing w:after="0" w:line="171" w:lineRule="exact"/>
        <w:rPr>
          <w:sz w:val="20"/>
          <w:szCs w:val="20"/>
          <w:color w:val="auto"/>
        </w:rPr>
      </w:pPr>
    </w:p>
    <w:p>
      <w:pPr>
        <w:jc w:val="both"/>
        <w:ind w:left="7" w:right="20" w:firstLine="1404"/>
        <w:spacing w:after="0" w:line="301" w:lineRule="auto"/>
        <w:rPr>
          <w:sz w:val="20"/>
          <w:szCs w:val="20"/>
          <w:color w:val="auto"/>
        </w:rPr>
      </w:pPr>
      <w:r>
        <w:rPr>
          <w:rFonts w:ascii="Arial" w:cs="Arial" w:eastAsia="Arial" w:hAnsi="Arial"/>
          <w:sz w:val="18"/>
          <w:szCs w:val="18"/>
          <w:color w:val="auto"/>
        </w:rPr>
        <w:t>5.2 With respect to any holder of Class B Common Stock, each share of Class B Common Stock held by such holder will automatically be converted into one fully paid and nonassessable share of Class A Common Stock, as follows:</w:t>
      </w:r>
    </w:p>
    <w:p>
      <w:pPr>
        <w:sectPr>
          <w:pgSz w:w="11880" w:h="15480" w:orient="portrait"/>
          <w:cols w:equalWidth="0" w:num="1">
            <w:col w:w="9667"/>
          </w:cols>
          <w:pgMar w:left="1133" w:top="78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407"/>
        <w:spacing w:after="0"/>
        <w:rPr>
          <w:sz w:val="20"/>
          <w:szCs w:val="20"/>
          <w:color w:val="auto"/>
        </w:rPr>
      </w:pPr>
      <w:r>
        <w:rPr>
          <w:rFonts w:ascii="Arial" w:cs="Arial" w:eastAsia="Arial" w:hAnsi="Arial"/>
          <w:sz w:val="14"/>
          <w:szCs w:val="14"/>
          <w:b w:val="1"/>
          <w:bCs w:val="1"/>
          <w:color w:val="auto"/>
        </w:rPr>
        <w:t>B-7</w:t>
      </w:r>
    </w:p>
    <w:p>
      <w:pPr>
        <w:sectPr>
          <w:pgSz w:w="11880" w:h="15480" w:orient="portrait"/>
          <w:cols w:equalWidth="0" w:num="1">
            <w:col w:w="9667"/>
          </w:cols>
          <w:pgMar w:left="1133" w:top="780" w:right="1080" w:bottom="0" w:gutter="0" w:footer="0" w:header="0"/>
          <w:type w:val="continuous"/>
        </w:sectPr>
      </w:pPr>
    </w:p>
    <w:bookmarkStart w:id="95" w:name="page96"/>
    <w:bookmarkEnd w:id="95"/>
    <w:p>
      <w:pPr>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jc w:val="both"/>
        <w:ind w:right="20" w:firstLine="2099"/>
        <w:spacing w:after="0" w:line="299" w:lineRule="auto"/>
        <w:tabs>
          <w:tab w:leader="none" w:pos="280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185" w:lineRule="exact"/>
        <w:rPr>
          <w:rFonts w:ascii="Arial" w:cs="Arial" w:eastAsia="Arial" w:hAnsi="Arial"/>
          <w:sz w:val="18"/>
          <w:szCs w:val="18"/>
          <w:color w:val="auto"/>
        </w:rPr>
      </w:pPr>
    </w:p>
    <w:p>
      <w:pPr>
        <w:ind w:left="2800" w:hanging="701"/>
        <w:spacing w:after="0"/>
        <w:tabs>
          <w:tab w:leader="none" w:pos="28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the occurrence of a Transfer of such share of Class B Common Stock, other than a</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Permitted Transfer; or</w:t>
      </w:r>
    </w:p>
    <w:p>
      <w:pPr>
        <w:spacing w:after="0" w:line="265" w:lineRule="exact"/>
        <w:rPr>
          <w:rFonts w:ascii="Arial" w:cs="Arial" w:eastAsia="Arial" w:hAnsi="Arial"/>
          <w:sz w:val="18"/>
          <w:szCs w:val="18"/>
          <w:color w:val="auto"/>
        </w:rPr>
      </w:pPr>
    </w:p>
    <w:p>
      <w:pPr>
        <w:jc w:val="both"/>
        <w:ind w:firstLine="2099"/>
        <w:spacing w:after="0" w:line="299" w:lineRule="auto"/>
        <w:tabs>
          <w:tab w:leader="none" w:pos="2808"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with respect to the shares of Class B Common Stock held of record by a Founder, such Founder’s Permitted Entities or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w:t>
      </w:r>
      <w:r>
        <w:rPr>
          <w:rFonts w:ascii="Arial" w:cs="Arial" w:eastAsia="Arial" w:hAnsi="Arial"/>
          <w:sz w:val="17"/>
          <w:szCs w:val="17"/>
          <w:u w:val="single" w:color="auto"/>
          <w:color w:val="auto"/>
        </w:rPr>
        <w:t>Section V.1.18</w:t>
      </w:r>
      <w:r>
        <w:rPr>
          <w:rFonts w:ascii="Arial" w:cs="Arial" w:eastAsia="Arial" w:hAnsi="Arial"/>
          <w:sz w:val="17"/>
          <w:szCs w:val="17"/>
          <w:color w:val="auto"/>
        </w:rPr>
        <w:t xml:space="preserve"> of these Articles or, if no such proxy 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Arial" w:cs="Arial" w:eastAsia="Arial" w:hAnsi="Arial"/>
          <w:sz w:val="17"/>
          <w:szCs w:val="17"/>
          <w:i w:val="1"/>
          <w:iCs w:val="1"/>
          <w:u w:val="single" w:color="auto"/>
          <w:color w:val="auto"/>
        </w:rPr>
        <w:t>provided, further</w:t>
      </w:r>
      <w:r>
        <w:rPr>
          <w:rFonts w:ascii="Arial" w:cs="Arial" w:eastAsia="Arial" w:hAnsi="Arial"/>
          <w:sz w:val="17"/>
          <w:szCs w:val="17"/>
          <w:color w:val="auto"/>
        </w:rPr>
        <w:t xml:space="preserve">, that, if both Founders die and/or suffer a Disability simultaneously or the second Founder dies or suffers a Disability following the death or Disability of the other Founder, but prior to the conversion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V.5.2(c)</w:t>
      </w:r>
      <w:r>
        <w:rPr>
          <w:rFonts w:ascii="Arial" w:cs="Arial" w:eastAsia="Arial" w:hAnsi="Arial"/>
          <w:sz w:val="17"/>
          <w:szCs w:val="17"/>
          <w:color w:val="auto"/>
        </w:rPr>
        <w:t xml:space="preserve"> of the shares of Class B Common Stock held of record by such first Founder to die or become Disabled, his Permitted Entities or his Permitted Transferees, a person (including a person 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 (9) months after the date upon which both Founders died and/or suffered a Disability, or such later date not to exceed a total period of eighteen (18) months after the last applicable death or Disability as may be approved by a majority of the Independent Directors then in office.</w:t>
      </w:r>
    </w:p>
    <w:p>
      <w:pPr>
        <w:spacing w:after="0" w:line="201" w:lineRule="exact"/>
        <w:rPr>
          <w:rFonts w:ascii="Arial" w:cs="Arial" w:eastAsia="Arial" w:hAnsi="Arial"/>
          <w:sz w:val="17"/>
          <w:szCs w:val="17"/>
          <w:color w:val="auto"/>
        </w:rPr>
      </w:pPr>
    </w:p>
    <w:p>
      <w:pPr>
        <w:jc w:val="both"/>
        <w:ind w:right="20" w:firstLine="696"/>
        <w:spacing w:after="0" w:line="288" w:lineRule="auto"/>
        <w:tabs>
          <w:tab w:leader="none" w:pos="140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Conversion of the Class C Common Stock</w:t>
      </w:r>
      <w:r>
        <w:rPr>
          <w:rFonts w:ascii="Arial" w:cs="Arial" w:eastAsia="Arial" w:hAnsi="Arial"/>
          <w:sz w:val="18"/>
          <w:szCs w:val="18"/>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Arial" w:cs="Arial" w:eastAsia="Arial" w:hAnsi="Arial"/>
          <w:sz w:val="18"/>
          <w:szCs w:val="18"/>
          <w:b w:val="1"/>
          <w:bCs w:val="1"/>
          <w:i w:val="1"/>
          <w:iCs w:val="1"/>
          <w:color w:val="auto"/>
        </w:rPr>
        <w:t>Class C Conversion Date</w:t>
      </w:r>
      <w:r>
        <w:rPr>
          <w:rFonts w:ascii="Arial" w:cs="Arial" w:eastAsia="Arial" w:hAnsi="Arial"/>
          <w:sz w:val="18"/>
          <w:szCs w:val="18"/>
          <w:color w:val="auto"/>
        </w:rPr>
        <w:t>”), each outstanding share of Class C Capital Stock shall automatically, without further action by the Corporation or the holders thereof, convert into one (1) fully paid and nonassessable share of Class A Common Stock.</w:t>
      </w:r>
    </w:p>
    <w:p>
      <w:pPr>
        <w:spacing w:after="0" w:line="198" w:lineRule="exact"/>
        <w:rPr>
          <w:rFonts w:ascii="Arial" w:cs="Arial" w:eastAsia="Arial" w:hAnsi="Arial"/>
          <w:sz w:val="18"/>
          <w:szCs w:val="18"/>
          <w:color w:val="auto"/>
        </w:rPr>
      </w:pPr>
    </w:p>
    <w:p>
      <w:pPr>
        <w:jc w:val="both"/>
        <w:ind w:firstLine="695"/>
        <w:spacing w:after="0" w:line="286" w:lineRule="auto"/>
        <w:tabs>
          <w:tab w:leader="none" w:pos="140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multi-class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198" w:lineRule="exact"/>
        <w:rPr>
          <w:rFonts w:ascii="Arial" w:cs="Arial" w:eastAsia="Arial" w:hAnsi="Arial"/>
          <w:sz w:val="18"/>
          <w:szCs w:val="18"/>
          <w:color w:val="auto"/>
        </w:rPr>
      </w:pPr>
    </w:p>
    <w:p>
      <w:pPr>
        <w:jc w:val="both"/>
        <w:ind w:right="20" w:firstLine="696"/>
        <w:spacing w:after="0" w:line="311" w:lineRule="auto"/>
        <w:tabs>
          <w:tab w:leader="none" w:pos="1404"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Immediate Effect</w:t>
      </w:r>
      <w:r>
        <w:rPr>
          <w:rFonts w:ascii="Arial" w:cs="Arial" w:eastAsia="Arial" w:hAnsi="Arial"/>
          <w:sz w:val="17"/>
          <w:szCs w:val="17"/>
          <w:color w:val="auto"/>
        </w:rPr>
        <w:t xml:space="preserve">. In the event of and upon a conversion of shares of Class B Common Stock to shares of Class A Common Stock pursuant to </w:t>
      </w:r>
      <w:r>
        <w:rPr>
          <w:rFonts w:ascii="Arial" w:cs="Arial" w:eastAsia="Arial" w:hAnsi="Arial"/>
          <w:sz w:val="17"/>
          <w:szCs w:val="17"/>
          <w:u w:val="single" w:color="auto"/>
          <w:color w:val="auto"/>
        </w:rPr>
        <w:t>Section V.5</w:t>
      </w:r>
      <w:r>
        <w:rPr>
          <w:rFonts w:ascii="Arial" w:cs="Arial" w:eastAsia="Arial" w:hAnsi="Arial"/>
          <w:sz w:val="17"/>
          <w:szCs w:val="17"/>
          <w:color w:val="auto"/>
        </w:rPr>
        <w:t xml:space="preserve"> or Class C Common Stock to Class A Common Stock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V.6</w:t>
      </w:r>
      <w:r>
        <w:rPr>
          <w:rFonts w:ascii="Arial" w:cs="Arial" w:eastAsia="Arial" w:hAnsi="Arial"/>
          <w:sz w:val="17"/>
          <w:szCs w:val="17"/>
          <w:color w:val="auto"/>
        </w:rPr>
        <w:t>,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w:t>
      </w:r>
    </w:p>
    <w:p>
      <w:pPr>
        <w:sectPr>
          <w:pgSz w:w="11880" w:h="15480" w:orient="portrait"/>
          <w:cols w:equalWidth="0" w:num="1">
            <w:col w:w="9660"/>
          </w:cols>
          <w:pgMar w:left="1140" w:top="780" w:right="1080" w:bottom="0" w:gutter="0" w:footer="0" w:header="0"/>
        </w:sectPr>
      </w:pPr>
    </w:p>
    <w:p>
      <w:pPr>
        <w:spacing w:after="0" w:line="200" w:lineRule="exact"/>
        <w:rPr>
          <w:sz w:val="20"/>
          <w:szCs w:val="20"/>
          <w:color w:val="auto"/>
        </w:rPr>
      </w:pPr>
    </w:p>
    <w:p>
      <w:pPr>
        <w:spacing w:after="0" w:line="292"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B-8</w:t>
      </w:r>
    </w:p>
    <w:p>
      <w:pPr>
        <w:sectPr>
          <w:pgSz w:w="11880" w:h="15480" w:orient="portrait"/>
          <w:cols w:equalWidth="0" w:num="1">
            <w:col w:w="9660"/>
          </w:cols>
          <w:pgMar w:left="1140" w:top="780" w:right="1080" w:bottom="0" w:gutter="0" w:footer="0" w:header="0"/>
          <w:type w:val="continuous"/>
        </w:sectPr>
      </w:pPr>
    </w:p>
    <w:bookmarkStart w:id="96" w:name="page97"/>
    <w:bookmarkEnd w:id="96"/>
    <w:p>
      <w:pPr>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Stock) or immediately upon the Class C Conversion Date (in the case of the conversion of Class C Common Stock into Class A Common Stock), if any, subject in all cases to any transition periods specifically provided for in these Articles. Upon any conversion of Class B Common Stock or Class C Common Stock to Class A Common Stock in accordance with these Articles,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84" w:lineRule="exact"/>
        <w:rPr>
          <w:sz w:val="20"/>
          <w:szCs w:val="20"/>
          <w:color w:val="auto"/>
        </w:rPr>
      </w:pPr>
    </w:p>
    <w:p>
      <w:pPr>
        <w:jc w:val="both"/>
        <w:ind w:firstLine="695"/>
        <w:spacing w:after="0" w:line="285" w:lineRule="auto"/>
        <w:tabs>
          <w:tab w:leader="none" w:pos="140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Reservation of Stock Issuable Upon Conversion</w:t>
      </w:r>
      <w:r>
        <w:rPr>
          <w:rFonts w:ascii="Arial" w:cs="Arial" w:eastAsia="Arial" w:hAnsi="Arial"/>
          <w:sz w:val="18"/>
          <w:szCs w:val="18"/>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202" w:lineRule="exact"/>
        <w:rPr>
          <w:rFonts w:ascii="Arial" w:cs="Arial" w:eastAsia="Arial" w:hAnsi="Arial"/>
          <w:sz w:val="18"/>
          <w:szCs w:val="18"/>
          <w:color w:val="auto"/>
        </w:rPr>
      </w:pPr>
    </w:p>
    <w:p>
      <w:pPr>
        <w:jc w:val="both"/>
        <w:ind w:firstLine="695"/>
        <w:spacing w:after="0" w:line="299" w:lineRule="auto"/>
        <w:tabs>
          <w:tab w:leader="none" w:pos="140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Reissuance of Class B Common Stock</w:t>
      </w:r>
      <w:r>
        <w:rPr>
          <w:rFonts w:ascii="Arial" w:cs="Arial" w:eastAsia="Arial" w:hAnsi="Arial"/>
          <w:sz w:val="18"/>
          <w:szCs w:val="18"/>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186" w:lineRule="exact"/>
        <w:rPr>
          <w:rFonts w:ascii="Arial" w:cs="Arial" w:eastAsia="Arial" w:hAnsi="Arial"/>
          <w:sz w:val="18"/>
          <w:szCs w:val="18"/>
          <w:color w:val="auto"/>
        </w:rPr>
      </w:pPr>
    </w:p>
    <w:p>
      <w:pPr>
        <w:jc w:val="both"/>
        <w:ind w:right="20" w:firstLine="696"/>
        <w:spacing w:after="0" w:line="301" w:lineRule="auto"/>
        <w:tabs>
          <w:tab w:leader="none" w:pos="140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Preemptive Rights</w:t>
      </w:r>
      <w:r>
        <w:rPr>
          <w:rFonts w:ascii="Arial" w:cs="Arial" w:eastAsia="Arial" w:hAnsi="Arial"/>
          <w:sz w:val="18"/>
          <w:szCs w:val="18"/>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180" w:lineRule="exact"/>
        <w:rPr>
          <w:rFonts w:ascii="Arial" w:cs="Arial" w:eastAsia="Arial" w:hAnsi="Arial"/>
          <w:sz w:val="18"/>
          <w:szCs w:val="18"/>
          <w:color w:val="auto"/>
        </w:rPr>
      </w:pPr>
    </w:p>
    <w:p>
      <w:pPr>
        <w:jc w:val="both"/>
        <w:ind w:right="20" w:firstLine="695"/>
        <w:spacing w:after="0" w:line="301" w:lineRule="auto"/>
        <w:tabs>
          <w:tab w:leader="none" w:pos="140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Class B Protective Provisions</w:t>
      </w:r>
      <w:r>
        <w:rPr>
          <w:rFonts w:ascii="Arial" w:cs="Arial" w:eastAsia="Arial" w:hAnsi="Arial"/>
          <w:sz w:val="18"/>
          <w:szCs w:val="18"/>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these Articles:</w:t>
      </w:r>
    </w:p>
    <w:p>
      <w:pPr>
        <w:spacing w:after="0" w:line="185" w:lineRule="exact"/>
        <w:rPr>
          <w:sz w:val="20"/>
          <w:szCs w:val="20"/>
          <w:color w:val="auto"/>
        </w:rPr>
      </w:pPr>
    </w:p>
    <w:p>
      <w:pPr>
        <w:jc w:val="both"/>
        <w:ind w:right="20" w:firstLine="1404"/>
        <w:spacing w:after="0" w:line="293" w:lineRule="auto"/>
        <w:rPr>
          <w:sz w:val="20"/>
          <w:szCs w:val="20"/>
          <w:color w:val="auto"/>
        </w:rPr>
      </w:pPr>
      <w:r>
        <w:rPr>
          <w:rFonts w:ascii="Arial" w:cs="Arial" w:eastAsia="Arial" w:hAnsi="Arial"/>
          <w:sz w:val="18"/>
          <w:szCs w:val="18"/>
          <w:color w:val="auto"/>
        </w:rPr>
        <w:t>12.1 directly or indirectly, whether by amendment, or through merger, recapitalization, consolidation or otherwise, amend or repeal, or adopt any provision of these Articles inconsistent with, or otherwise alter, any provision of these Articles that modifies the voting, conversion or other rights, powers, preferences, privileges or restrictions of the Class B Common Stock;</w:t>
      </w:r>
    </w:p>
    <w:p>
      <w:pPr>
        <w:spacing w:after="0" w:line="192" w:lineRule="exact"/>
        <w:rPr>
          <w:sz w:val="20"/>
          <w:szCs w:val="20"/>
          <w:color w:val="auto"/>
        </w:rPr>
      </w:pPr>
    </w:p>
    <w:p>
      <w:pPr>
        <w:jc w:val="both"/>
        <w:ind w:right="20" w:firstLine="1404"/>
        <w:spacing w:after="0" w:line="293" w:lineRule="auto"/>
        <w:rPr>
          <w:sz w:val="20"/>
          <w:szCs w:val="20"/>
          <w:color w:val="auto"/>
        </w:rPr>
      </w:pPr>
      <w:r>
        <w:rPr>
          <w:rFonts w:ascii="Arial" w:cs="Arial" w:eastAsia="Arial" w:hAnsi="Arial"/>
          <w:sz w:val="18"/>
          <w:szCs w:val="18"/>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192" w:lineRule="exact"/>
        <w:rPr>
          <w:sz w:val="20"/>
          <w:szCs w:val="20"/>
          <w:color w:val="auto"/>
        </w:rPr>
      </w:pPr>
    </w:p>
    <w:p>
      <w:pPr>
        <w:jc w:val="both"/>
        <w:ind w:right="20" w:firstLine="1404"/>
        <w:spacing w:after="0" w:line="299" w:lineRule="auto"/>
        <w:rPr>
          <w:sz w:val="20"/>
          <w:szCs w:val="20"/>
          <w:color w:val="auto"/>
        </w:rPr>
      </w:pPr>
      <w:r>
        <w:rPr>
          <w:rFonts w:ascii="Arial" w:cs="Arial" w:eastAsia="Arial" w:hAnsi="Arial"/>
          <w:sz w:val="18"/>
          <w:szCs w:val="18"/>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186" w:lineRule="exact"/>
        <w:rPr>
          <w:sz w:val="20"/>
          <w:szCs w:val="20"/>
          <w:color w:val="auto"/>
        </w:rPr>
      </w:pPr>
    </w:p>
    <w:p>
      <w:pPr>
        <w:jc w:val="both"/>
        <w:ind w:right="20" w:firstLine="1404"/>
        <w:spacing w:after="0" w:line="321" w:lineRule="auto"/>
        <w:rPr>
          <w:sz w:val="20"/>
          <w:szCs w:val="20"/>
          <w:color w:val="auto"/>
        </w:rPr>
      </w:pPr>
      <w:r>
        <w:rPr>
          <w:rFonts w:ascii="Arial" w:cs="Arial" w:eastAsia="Arial" w:hAnsi="Arial"/>
          <w:sz w:val="18"/>
          <w:szCs w:val="18"/>
          <w:color w:val="auto"/>
        </w:rPr>
        <w:t>12.4 authorize, or issue any shares of, any class or series of capital stock of the Corporation having the right to more than (1) vote for each share thereof; or</w:t>
      </w:r>
    </w:p>
    <w:p>
      <w:pPr>
        <w:spacing w:after="0" w:line="162" w:lineRule="exact"/>
        <w:rPr>
          <w:sz w:val="20"/>
          <w:szCs w:val="20"/>
          <w:color w:val="auto"/>
        </w:rPr>
      </w:pPr>
    </w:p>
    <w:p>
      <w:pPr>
        <w:ind w:left="1400"/>
        <w:spacing w:after="0"/>
        <w:tabs>
          <w:tab w:leader="none" w:pos="20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consummate a Liquidation Event.</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ARTICLE VI</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w:t>
      </w:r>
    </w:p>
    <w:p>
      <w:pPr>
        <w:spacing w:after="0" w:line="273" w:lineRule="exact"/>
        <w:rPr>
          <w:sz w:val="20"/>
          <w:szCs w:val="20"/>
          <w:color w:val="auto"/>
        </w:rPr>
      </w:pPr>
    </w:p>
    <w:p>
      <w:pPr>
        <w:jc w:val="both"/>
        <w:ind w:right="20" w:firstLine="696"/>
        <w:spacing w:after="0" w:line="329" w:lineRule="auto"/>
        <w:tabs>
          <w:tab w:leader="none" w:pos="1404"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Rights of Preferred Stock</w:t>
      </w:r>
      <w:r>
        <w:rPr>
          <w:rFonts w:ascii="Arial" w:cs="Arial" w:eastAsia="Arial" w:hAnsi="Arial"/>
          <w:sz w:val="17"/>
          <w:szCs w:val="17"/>
          <w:color w:val="auto"/>
        </w:rPr>
        <w:t>. The Board is authorized, subject to any limitations prescribed by law, to provide for the issuance of shares of Preferred Stock in series, and by filing a certificate of designation pursuant to NRS 78.1955 (such certificate being hereinafter referred to as a “</w:t>
      </w:r>
      <w:r>
        <w:rPr>
          <w:rFonts w:ascii="Arial" w:cs="Arial" w:eastAsia="Arial" w:hAnsi="Arial"/>
          <w:sz w:val="17"/>
          <w:szCs w:val="17"/>
          <w:b w:val="1"/>
          <w:bCs w:val="1"/>
          <w:i w:val="1"/>
          <w:iCs w:val="1"/>
          <w:color w:val="auto"/>
        </w:rPr>
        <w:t>Preferred Stock Designation</w:t>
      </w:r>
      <w:r>
        <w:rPr>
          <w:rFonts w:ascii="Arial" w:cs="Arial" w:eastAsia="Arial" w:hAnsi="Arial"/>
          <w:sz w:val="17"/>
          <w:szCs w:val="17"/>
          <w:color w:val="auto"/>
        </w:rPr>
        <w:t>”), to establish from time to time the number of</w:t>
      </w:r>
    </w:p>
    <w:p>
      <w:pPr>
        <w:sectPr>
          <w:pgSz w:w="11880" w:h="15480" w:orient="portrait"/>
          <w:cols w:equalWidth="0" w:num="1">
            <w:col w:w="9660"/>
          </w:cols>
          <w:pgMar w:left="1140" w:top="780" w:right="1080" w:bottom="0" w:gutter="0" w:footer="0" w:header="0"/>
        </w:sectPr>
      </w:pPr>
    </w:p>
    <w:p>
      <w:pPr>
        <w:spacing w:after="0" w:line="200" w:lineRule="exact"/>
        <w:rPr>
          <w:sz w:val="20"/>
          <w:szCs w:val="20"/>
          <w:color w:val="auto"/>
        </w:rPr>
      </w:pPr>
    </w:p>
    <w:p>
      <w:pPr>
        <w:spacing w:after="0" w:line="3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B-9</w:t>
      </w:r>
    </w:p>
    <w:p>
      <w:pPr>
        <w:sectPr>
          <w:pgSz w:w="11880" w:h="15480" w:orient="portrait"/>
          <w:cols w:equalWidth="0" w:num="1">
            <w:col w:w="9660"/>
          </w:cols>
          <w:pgMar w:left="1140" w:top="780" w:right="1080" w:bottom="0" w:gutter="0" w:footer="0" w:header="0"/>
          <w:type w:val="continuous"/>
        </w:sectPr>
      </w:pPr>
    </w:p>
    <w:bookmarkStart w:id="97" w:name="page98"/>
    <w:bookmarkEnd w:id="97"/>
    <w:p>
      <w:pPr>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shares to be included in each such series, and to fix the designation, powers, preferences, and rights of the shares of each such series and any qualifications, limitations or restrictions thereof.</w:t>
      </w:r>
    </w:p>
    <w:p>
      <w:pPr>
        <w:spacing w:after="0" w:line="171" w:lineRule="exact"/>
        <w:rPr>
          <w:sz w:val="20"/>
          <w:szCs w:val="20"/>
          <w:color w:val="auto"/>
        </w:rPr>
      </w:pPr>
    </w:p>
    <w:p>
      <w:pPr>
        <w:jc w:val="both"/>
        <w:ind w:firstLine="695"/>
        <w:spacing w:after="0" w:line="287" w:lineRule="auto"/>
        <w:tabs>
          <w:tab w:leader="none" w:pos="140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Vote to Increase or Decrease Authorized Shares</w:t>
      </w:r>
      <w:r>
        <w:rPr>
          <w:rFonts w:ascii="Arial" w:cs="Arial" w:eastAsia="Arial" w:hAnsi="Arial"/>
          <w:sz w:val="18"/>
          <w:szCs w:val="18"/>
          <w:color w:val="auto"/>
        </w:rPr>
        <w:t xml:space="preserve">. The number of authorized shares of Preferred Stock may be increased or decreased (but not below the number of shares thereof then outstanding) by the affirmative vote of the holders of </w:t>
      </w:r>
      <w:r>
        <w:rPr>
          <w:rFonts w:ascii="Arial" w:cs="Arial" w:eastAsia="Arial" w:hAnsi="Arial"/>
          <w:sz w:val="18"/>
          <w:szCs w:val="18"/>
          <w:color w:val="FC0011"/>
          <w:strike w:val="1"/>
        </w:rPr>
        <w:t>a majority of the voting power of all of</w:t>
      </w:r>
      <w:r>
        <w:rPr>
          <w:rFonts w:ascii="Arial" w:cs="Arial" w:eastAsia="Arial" w:hAnsi="Arial"/>
          <w:sz w:val="18"/>
          <w:szCs w:val="18"/>
          <w:color w:val="auto"/>
        </w:rPr>
        <w:t xml:space="preserve"> the outstanding shares of stock of the Corporation entitled to vote thereon, without a vote of the holders of the Preferred Stock, or of any series thereof, unless a vote of any such holders is required pursuant to the terms of any Preferred Stock Designation, irrespective of any applicable provisions of NRS </w:t>
      </w:r>
      <w:r>
        <w:rPr>
          <w:rFonts w:ascii="Arial" w:cs="Arial" w:eastAsia="Arial" w:hAnsi="Arial"/>
          <w:sz w:val="18"/>
          <w:szCs w:val="18"/>
          <w:color w:val="FC0011"/>
          <w:strike w:val="1"/>
        </w:rPr>
        <w:t>78.390(2)</w:t>
      </w:r>
      <w:r>
        <w:rPr>
          <w:rFonts w:ascii="Arial" w:cs="Arial" w:eastAsia="Arial" w:hAnsi="Arial"/>
          <w:sz w:val="18"/>
          <w:szCs w:val="18"/>
          <w:u w:val="single" w:color="auto"/>
          <w:color w:val="0A248E"/>
        </w:rPr>
        <w:t>78.207(3) and NRS</w:t>
      </w:r>
      <w:r>
        <w:rPr>
          <w:rFonts w:ascii="Arial" w:cs="Arial" w:eastAsia="Arial" w:hAnsi="Arial"/>
          <w:sz w:val="18"/>
          <w:szCs w:val="18"/>
          <w:color w:val="auto"/>
        </w:rPr>
        <w:t xml:space="preserve"> </w:t>
      </w:r>
      <w:r>
        <w:rPr>
          <w:rFonts w:ascii="Arial" w:cs="Arial" w:eastAsia="Arial" w:hAnsi="Arial"/>
          <w:sz w:val="18"/>
          <w:szCs w:val="18"/>
          <w:u w:val="single" w:color="auto"/>
          <w:color w:val="0A248E"/>
        </w:rPr>
        <w:t>78.390(2) (and, except as set forth in any Preferred Stock Designation, any right to vote thereon as a separate class pursuant to NRS 78.207(3) and NRS 78.390(2) is hereby specifically denied)</w:t>
      </w:r>
      <w:r>
        <w:rPr>
          <w:rFonts w:ascii="Arial" w:cs="Arial" w:eastAsia="Arial" w:hAnsi="Arial"/>
          <w:sz w:val="18"/>
          <w:szCs w:val="18"/>
          <w:color w:val="000000"/>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73" w:lineRule="exact"/>
        <w:rPr>
          <w:sz w:val="20"/>
          <w:szCs w:val="20"/>
          <w:color w:val="auto"/>
        </w:rPr>
      </w:pPr>
    </w:p>
    <w:p>
      <w:pPr>
        <w:jc w:val="both"/>
        <w:ind w:firstLine="696"/>
        <w:spacing w:after="0" w:line="286" w:lineRule="auto"/>
        <w:tabs>
          <w:tab w:leader="none" w:pos="140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Board Size</w:t>
      </w:r>
      <w:r>
        <w:rPr>
          <w:rFonts w:ascii="Arial" w:cs="Arial" w:eastAsia="Arial" w:hAnsi="Arial"/>
          <w:sz w:val="18"/>
          <w:szCs w:val="18"/>
          <w:color w:val="auto"/>
        </w:rPr>
        <w:t xml:space="preserve">. Subject to the rights of the holders of any series of Preferred Stock to elect additional directors under specified circumstances, the number of directors that constitutes the entire Board shall be fixed by, or in the manner provided in, the </w:t>
      </w:r>
      <w:r>
        <w:rPr>
          <w:rFonts w:ascii="Arial" w:cs="Arial" w:eastAsia="Arial" w:hAnsi="Arial"/>
          <w:sz w:val="18"/>
          <w:szCs w:val="18"/>
          <w:color w:val="FC0011"/>
          <w:strike w:val="1"/>
        </w:rPr>
        <w:t>Bylaws</w:t>
      </w:r>
      <w:r>
        <w:rPr>
          <w:rFonts w:ascii="Arial" w:cs="Arial" w:eastAsia="Arial" w:hAnsi="Arial"/>
          <w:sz w:val="18"/>
          <w:szCs w:val="18"/>
          <w:u w:val="single" w:color="auto"/>
          <w:color w:val="0A248E"/>
        </w:rPr>
        <w:t>bylaws</w:t>
      </w:r>
      <w:r>
        <w:rPr>
          <w:rFonts w:ascii="Arial" w:cs="Arial" w:eastAsia="Arial" w:hAnsi="Arial"/>
          <w:sz w:val="18"/>
          <w:szCs w:val="18"/>
          <w:color w:val="auto"/>
        </w:rPr>
        <w:t xml:space="preserve"> of the Corporation </w:t>
      </w:r>
      <w:r>
        <w:rPr>
          <w:rFonts w:ascii="Arial" w:cs="Arial" w:eastAsia="Arial" w:hAnsi="Arial"/>
          <w:sz w:val="18"/>
          <w:szCs w:val="18"/>
          <w:color w:val="0A248E"/>
        </w:rPr>
        <w:t>(as amended and/or restated</w:t>
      </w:r>
      <w:r>
        <w:rPr>
          <w:rFonts w:ascii="Arial" w:cs="Arial" w:eastAsia="Arial" w:hAnsi="Arial"/>
          <w:sz w:val="18"/>
          <w:szCs w:val="18"/>
          <w:color w:val="auto"/>
        </w:rPr>
        <w:t xml:space="preserve"> </w:t>
      </w:r>
      <w:r>
        <w:rPr>
          <w:rFonts w:ascii="Arial" w:cs="Arial" w:eastAsia="Arial" w:hAnsi="Arial"/>
          <w:sz w:val="18"/>
          <w:szCs w:val="18"/>
          <w:u w:val="single" w:color="auto"/>
          <w:color w:val="00421B"/>
        </w:rPr>
        <w:t>from time to time, the “</w:t>
      </w:r>
      <w:r>
        <w:rPr>
          <w:rFonts w:ascii="Arial" w:cs="Arial" w:eastAsia="Arial" w:hAnsi="Arial"/>
          <w:sz w:val="18"/>
          <w:szCs w:val="18"/>
          <w:b w:val="1"/>
          <w:bCs w:val="1"/>
          <w:i w:val="1"/>
          <w:iCs w:val="1"/>
          <w:u w:val="single" w:color="auto"/>
          <w:color w:val="0A248E"/>
        </w:rPr>
        <w:t>Bylaws</w:t>
      </w:r>
      <w:r>
        <w:rPr>
          <w:rFonts w:ascii="Arial" w:cs="Arial" w:eastAsia="Arial" w:hAnsi="Arial"/>
          <w:sz w:val="18"/>
          <w:szCs w:val="18"/>
          <w:u w:val="single" w:color="auto"/>
          <w:color w:val="0A248E"/>
        </w:rPr>
        <w:t>”)</w:t>
      </w:r>
      <w:r>
        <w:rPr>
          <w:rFonts w:ascii="Arial" w:cs="Arial" w:eastAsia="Arial" w:hAnsi="Arial"/>
          <w:sz w:val="18"/>
          <w:szCs w:val="18"/>
          <w:color w:val="auto"/>
        </w:rPr>
        <w:t>.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NRS.</w:t>
      </w:r>
    </w:p>
    <w:p>
      <w:pPr>
        <w:spacing w:after="0" w:line="201" w:lineRule="exact"/>
        <w:rPr>
          <w:rFonts w:ascii="Arial" w:cs="Arial" w:eastAsia="Arial" w:hAnsi="Arial"/>
          <w:sz w:val="18"/>
          <w:szCs w:val="18"/>
          <w:color w:val="auto"/>
        </w:rPr>
      </w:pPr>
    </w:p>
    <w:p>
      <w:pPr>
        <w:jc w:val="both"/>
        <w:ind w:firstLine="696"/>
        <w:spacing w:after="0" w:line="300" w:lineRule="auto"/>
        <w:tabs>
          <w:tab w:leader="none" w:pos="1405"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Board Structure</w:t>
      </w:r>
      <w:r>
        <w:rPr>
          <w:rFonts w:ascii="Arial" w:cs="Arial" w:eastAsia="Arial" w:hAnsi="Arial"/>
          <w:sz w:val="17"/>
          <w:szCs w:val="17"/>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Arial" w:cs="Arial" w:eastAsia="Arial" w:hAnsi="Arial"/>
          <w:sz w:val="17"/>
          <w:szCs w:val="17"/>
          <w:b w:val="1"/>
          <w:bCs w:val="1"/>
          <w:i w:val="1"/>
          <w:iCs w:val="1"/>
          <w:color w:val="auto"/>
        </w:rPr>
        <w:t>Classified Board Effective Date</w:t>
      </w:r>
      <w:r>
        <w:rPr>
          <w:rFonts w:ascii="Arial" w:cs="Arial" w:eastAsia="Arial" w:hAnsi="Arial"/>
          <w:sz w:val="17"/>
          <w:szCs w:val="17"/>
          <w:color w:val="auto"/>
        </w:rPr>
        <w:t xml:space="preserve">”), the term of office of the initial Class II directors shall expire at the second annual meeting of the 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 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w:t>
      </w:r>
      <w:r>
        <w:rPr>
          <w:rFonts w:ascii="Arial" w:cs="Arial" w:eastAsia="Arial" w:hAnsi="Arial"/>
          <w:sz w:val="17"/>
          <w:szCs w:val="17"/>
          <w:u w:val="single" w:color="auto"/>
          <w:color w:val="auto"/>
        </w:rPr>
        <w:t>Section VII.2</w:t>
      </w:r>
      <w:r>
        <w:rPr>
          <w:rFonts w:ascii="Arial" w:cs="Arial" w:eastAsia="Arial" w:hAnsi="Arial"/>
          <w:sz w:val="17"/>
          <w:szCs w:val="17"/>
          <w:color w:val="auto"/>
        </w:rPr>
        <w:t xml:space="preserve"> in the event a Classified Board Effective Date occurs) and until his or her successor shall have been duly elected and qualified. Notwithstanding the foregoing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189" w:lineRule="exact"/>
        <w:rPr>
          <w:rFonts w:ascii="Arial" w:cs="Arial" w:eastAsia="Arial" w:hAnsi="Arial"/>
          <w:sz w:val="17"/>
          <w:szCs w:val="17"/>
          <w:color w:val="auto"/>
        </w:rPr>
      </w:pPr>
    </w:p>
    <w:p>
      <w:pPr>
        <w:jc w:val="both"/>
        <w:ind w:firstLine="695"/>
        <w:spacing w:after="0" w:line="288" w:lineRule="auto"/>
        <w:tabs>
          <w:tab w:leader="none" w:pos="140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Removal; Vacancies</w:t>
      </w:r>
      <w:r>
        <w:rPr>
          <w:rFonts w:ascii="Arial" w:cs="Arial" w:eastAsia="Arial" w:hAnsi="Arial"/>
          <w:sz w:val="18"/>
          <w:szCs w:val="18"/>
          <w:color w:val="auto"/>
        </w:rPr>
        <w:t>. Any director may be removed from office by the stockholders of the Corporation as provided in NRS 78.335.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2479675</wp:posOffset>
                </wp:positionH>
                <wp:positionV relativeFrom="paragraph">
                  <wp:posOffset>-5109210</wp:posOffset>
                </wp:positionV>
                <wp:extent cx="1554480"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4480" cy="4763"/>
                        </a:xfrm>
                        <a:prstGeom prst="line">
                          <a:avLst/>
                        </a:prstGeom>
                        <a:solidFill>
                          <a:srgbClr val="FFFFFF"/>
                        </a:solidFill>
                        <a:ln w="8915">
                          <a:solidFill>
                            <a:srgbClr val="0A248E"/>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25pt,-402.2999pt" to="317.65pt,-402.2999pt" o:allowincell="f" strokecolor="#0A248E" strokeweight="0.702pt"/>
            </w:pict>
          </mc:Fallback>
        </mc:AlternateConten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OF BUSINESS AND CONDUCT OF AFFAIRS</w:t>
      </w:r>
    </w:p>
    <w:p>
      <w:pPr>
        <w:sectPr>
          <w:pgSz w:w="11880" w:h="15480" w:orient="portrait"/>
          <w:cols w:equalWidth="0" w:num="1">
            <w:col w:w="9640"/>
          </w:cols>
          <w:pgMar w:left="1140" w:top="78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300"/>
        <w:spacing w:after="0"/>
        <w:rPr>
          <w:sz w:val="20"/>
          <w:szCs w:val="20"/>
          <w:color w:val="auto"/>
        </w:rPr>
      </w:pPr>
      <w:r>
        <w:rPr>
          <w:rFonts w:ascii="Arial" w:cs="Arial" w:eastAsia="Arial" w:hAnsi="Arial"/>
          <w:sz w:val="15"/>
          <w:szCs w:val="15"/>
          <w:b w:val="1"/>
          <w:bCs w:val="1"/>
          <w:color w:val="auto"/>
        </w:rPr>
        <w:t>B-10</w:t>
      </w:r>
    </w:p>
    <w:p>
      <w:pPr>
        <w:sectPr>
          <w:pgSz w:w="11880" w:h="15480" w:orient="portrait"/>
          <w:cols w:equalWidth="0" w:num="1">
            <w:col w:w="9640"/>
          </w:cols>
          <w:pgMar w:left="1140" w:top="780" w:right="1100" w:bottom="0" w:gutter="0" w:footer="0" w:header="0"/>
          <w:type w:val="continuous"/>
        </w:sectPr>
      </w:pPr>
    </w:p>
    <w:bookmarkStart w:id="98" w:name="page99"/>
    <w:bookmarkEnd w:id="98"/>
    <w:p>
      <w:pPr>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jc w:val="both"/>
        <w:ind w:right="20" w:firstLine="695"/>
        <w:spacing w:after="0" w:line="299" w:lineRule="auto"/>
        <w:tabs>
          <w:tab w:leader="none" w:pos="140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85" w:lineRule="exact"/>
        <w:rPr>
          <w:rFonts w:ascii="Arial" w:cs="Arial" w:eastAsia="Arial" w:hAnsi="Arial"/>
          <w:sz w:val="18"/>
          <w:szCs w:val="18"/>
          <w:color w:val="auto"/>
        </w:rPr>
      </w:pPr>
    </w:p>
    <w:p>
      <w:pPr>
        <w:jc w:val="both"/>
        <w:ind w:right="20" w:firstLine="695"/>
        <w:spacing w:after="0" w:line="293" w:lineRule="auto"/>
        <w:tabs>
          <w:tab w:leader="none" w:pos="1404"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Board Power</w:t>
      </w:r>
      <w:r>
        <w:rPr>
          <w:rFonts w:ascii="Arial" w:cs="Arial" w:eastAsia="Arial" w:hAnsi="Arial"/>
          <w:sz w:val="18"/>
          <w:szCs w:val="18"/>
          <w:color w:val="auto"/>
        </w:rPr>
        <w:t xml:space="preserve">. The business and affairs of the Corporation shall be managed by or under the direction of the Board. In addition to the powers and authority expressly conferred by statute or by these Articles or the Bylaws </w:t>
      </w:r>
      <w:r>
        <w:rPr>
          <w:rFonts w:ascii="Arial" w:cs="Arial" w:eastAsia="Arial" w:hAnsi="Arial"/>
          <w:sz w:val="18"/>
          <w:szCs w:val="18"/>
          <w:color w:val="FC0011"/>
        </w:rPr>
        <w:t>of the</w:t>
      </w:r>
      <w:r>
        <w:rPr>
          <w:rFonts w:ascii="Arial" w:cs="Arial" w:eastAsia="Arial" w:hAnsi="Arial"/>
          <w:sz w:val="18"/>
          <w:szCs w:val="18"/>
          <w:color w:val="auto"/>
        </w:rPr>
        <w:t xml:space="preserve"> </w:t>
      </w:r>
      <w:r>
        <w:rPr>
          <w:rFonts w:ascii="Arial" w:cs="Arial" w:eastAsia="Arial" w:hAnsi="Arial"/>
          <w:sz w:val="18"/>
          <w:szCs w:val="18"/>
          <w:color w:val="FC0011"/>
          <w:strike w:val="1"/>
        </w:rPr>
        <w:t>Corporation</w:t>
      </w:r>
      <w:r>
        <w:rPr>
          <w:rFonts w:ascii="Arial" w:cs="Arial" w:eastAsia="Arial" w:hAnsi="Arial"/>
          <w:sz w:val="18"/>
          <w:szCs w:val="18"/>
          <w:color w:val="000000"/>
        </w:rPr>
        <w:t>, the Board is hereby empowered to exercise all such powers and do all such acts and things as may be exercised</w:t>
      </w:r>
      <w:r>
        <w:rPr>
          <w:rFonts w:ascii="Arial" w:cs="Arial" w:eastAsia="Arial" w:hAnsi="Arial"/>
          <w:sz w:val="18"/>
          <w:szCs w:val="18"/>
          <w:color w:val="FC0011"/>
        </w:rPr>
        <w:t xml:space="preserve"> </w:t>
      </w:r>
      <w:r>
        <w:rPr>
          <w:rFonts w:ascii="Arial" w:cs="Arial" w:eastAsia="Arial" w:hAnsi="Arial"/>
          <w:sz w:val="18"/>
          <w:szCs w:val="18"/>
          <w:color w:val="000000"/>
        </w:rPr>
        <w:t>or done by the Corporation.</w:t>
      </w:r>
    </w:p>
    <w:p>
      <w:pPr>
        <w:spacing w:after="0" w:line="192" w:lineRule="exact"/>
        <w:rPr>
          <w:rFonts w:ascii="Arial" w:cs="Arial" w:eastAsia="Arial" w:hAnsi="Arial"/>
          <w:sz w:val="18"/>
          <w:szCs w:val="18"/>
          <w:color w:val="auto"/>
        </w:rPr>
      </w:pPr>
    </w:p>
    <w:p>
      <w:pPr>
        <w:ind w:right="20" w:firstLine="695"/>
        <w:spacing w:after="0" w:line="321" w:lineRule="auto"/>
        <w:tabs>
          <w:tab w:leader="none" w:pos="1404"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Written Ballot</w:t>
      </w:r>
      <w:r>
        <w:rPr>
          <w:rFonts w:ascii="Arial" w:cs="Arial" w:eastAsia="Arial" w:hAnsi="Arial"/>
          <w:sz w:val="18"/>
          <w:szCs w:val="18"/>
          <w:color w:val="auto"/>
        </w:rPr>
        <w:t xml:space="preserve">. Elections of directors need not be by written ballot unless otherwise provided in the Bylaws </w:t>
      </w:r>
      <w:r>
        <w:rPr>
          <w:rFonts w:ascii="Arial" w:cs="Arial" w:eastAsia="Arial" w:hAnsi="Arial"/>
          <w:sz w:val="18"/>
          <w:szCs w:val="18"/>
          <w:color w:val="FC0011"/>
          <w:strike w:val="1"/>
        </w:rPr>
        <w:t>of the Corporation</w:t>
      </w:r>
      <w:r>
        <w:rPr>
          <w:rFonts w:ascii="Arial" w:cs="Arial" w:eastAsia="Arial" w:hAnsi="Arial"/>
          <w:sz w:val="18"/>
          <w:szCs w:val="18"/>
          <w:color w:val="000000"/>
        </w:rPr>
        <w:t>.</w:t>
      </w:r>
    </w:p>
    <w:p>
      <w:pPr>
        <w:spacing w:after="0" w:line="162" w:lineRule="exact"/>
        <w:rPr>
          <w:rFonts w:ascii="Arial" w:cs="Arial" w:eastAsia="Arial" w:hAnsi="Arial"/>
          <w:sz w:val="18"/>
          <w:szCs w:val="18"/>
          <w:color w:val="auto"/>
        </w:rPr>
      </w:pPr>
    </w:p>
    <w:p>
      <w:pPr>
        <w:ind w:right="20" w:firstLine="695"/>
        <w:spacing w:after="0" w:line="321" w:lineRule="auto"/>
        <w:tabs>
          <w:tab w:leader="none" w:pos="1404"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Amendment of Bylaws</w:t>
      </w:r>
      <w:r>
        <w:rPr>
          <w:rFonts w:ascii="Arial" w:cs="Arial" w:eastAsia="Arial" w:hAnsi="Arial"/>
          <w:sz w:val="18"/>
          <w:szCs w:val="18"/>
          <w:color w:val="auto"/>
        </w:rPr>
        <w:t xml:space="preserve">. In furtherance and not in limitation of the powers conferred by the NRS, the Board is expressly authorized to adopt, amend or repeal the Bylaws </w:t>
      </w:r>
      <w:r>
        <w:rPr>
          <w:rFonts w:ascii="Arial" w:cs="Arial" w:eastAsia="Arial" w:hAnsi="Arial"/>
          <w:sz w:val="18"/>
          <w:szCs w:val="18"/>
          <w:color w:val="FC0011"/>
        </w:rPr>
        <w:t>of the Corporation</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695"/>
        <w:spacing w:after="0" w:line="290" w:lineRule="auto"/>
        <w:tabs>
          <w:tab w:leader="none" w:pos="1404"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xml:space="preserve">.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w:t>
      </w:r>
      <w:r>
        <w:rPr>
          <w:rFonts w:ascii="Arial" w:cs="Arial" w:eastAsia="Arial" w:hAnsi="Arial"/>
          <w:sz w:val="18"/>
          <w:szCs w:val="18"/>
          <w:color w:val="FC0011"/>
        </w:rPr>
        <w:t>of the Corporation</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right="20" w:firstLine="695"/>
        <w:spacing w:after="0" w:line="307" w:lineRule="auto"/>
        <w:tabs>
          <w:tab w:leader="none" w:pos="1404"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Availability of Stockholder Action by Written Consent</w:t>
      </w:r>
      <w:r>
        <w:rPr>
          <w:rFonts w:ascii="Arial" w:cs="Arial" w:eastAsia="Arial" w:hAnsi="Arial"/>
          <w:sz w:val="17"/>
          <w:szCs w:val="17"/>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184" w:lineRule="exact"/>
        <w:rPr>
          <w:rFonts w:ascii="Arial" w:cs="Arial" w:eastAsia="Arial" w:hAnsi="Arial"/>
          <w:sz w:val="17"/>
          <w:szCs w:val="17"/>
          <w:color w:val="auto"/>
        </w:rPr>
      </w:pPr>
    </w:p>
    <w:p>
      <w:pPr>
        <w:ind w:left="1400" w:hanging="705"/>
        <w:spacing w:after="0"/>
        <w:tabs>
          <w:tab w:leader="none" w:pos="14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 Cumulative Voting</w:t>
      </w:r>
      <w:r>
        <w:rPr>
          <w:rFonts w:ascii="Arial" w:cs="Arial" w:eastAsia="Arial" w:hAnsi="Arial"/>
          <w:sz w:val="18"/>
          <w:szCs w:val="18"/>
          <w:color w:val="auto"/>
        </w:rPr>
        <w:t>. No stockholder will be permitted to cumulate votes at any election of directors.</w:t>
      </w:r>
    </w:p>
    <w:p>
      <w:pPr>
        <w:spacing w:after="0" w:line="270" w:lineRule="exact"/>
        <w:rPr>
          <w:rFonts w:ascii="Arial" w:cs="Arial" w:eastAsia="Arial" w:hAnsi="Arial"/>
          <w:sz w:val="18"/>
          <w:szCs w:val="18"/>
          <w:color w:val="auto"/>
        </w:rPr>
      </w:pPr>
    </w:p>
    <w:p>
      <w:pPr>
        <w:jc w:val="both"/>
        <w:ind w:firstLine="695"/>
        <w:spacing w:after="0" w:line="323" w:lineRule="auto"/>
        <w:tabs>
          <w:tab w:leader="none" w:pos="1404"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No Reliance on the Controlled Company Exemption</w:t>
      </w:r>
      <w:r>
        <w:rPr>
          <w:rFonts w:ascii="Arial" w:cs="Arial" w:eastAsia="Arial" w:hAnsi="Arial"/>
          <w:sz w:val="17"/>
          <w:szCs w:val="17"/>
          <w:color w:val="auto"/>
        </w:rPr>
        <w:t>. At any time during which shares of capital stock of the Corporation are listed for trading on the New York Stock Exchange, NASDAQ Global Select Market or NASDAQ Global Market or any successor markets or exchanges, the Corporation shall not rely upon the Controlled Company Exemption.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5775960</wp:posOffset>
                </wp:positionH>
                <wp:positionV relativeFrom="paragraph">
                  <wp:posOffset>-4222750</wp:posOffset>
                </wp:positionV>
                <wp:extent cx="350520"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0520" cy="4763"/>
                        </a:xfrm>
                        <a:prstGeom prst="line">
                          <a:avLst/>
                        </a:prstGeom>
                        <a:solidFill>
                          <a:srgbClr val="FFFFFF"/>
                        </a:solidFill>
                        <a:ln w="5943">
                          <a:solidFill>
                            <a:srgbClr val="FC0011"/>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pt,-332.4999pt" to="482.4pt,-332.4999pt" o:allowincell="f" strokecolor="#FC0011" strokeweight="0.468pt"/>
            </w:pict>
          </mc:Fallback>
        </mc:AlternateContent>
        <mc:AlternateContent>
          <mc:Choice Requires="wps">
            <w:drawing>
              <wp:anchor simplePos="0" relativeHeight="251657728" behindDoc="1" locked="0" layoutInCell="0" allowOverlap="1">
                <wp:simplePos x="0" y="0"/>
                <wp:positionH relativeFrom="column">
                  <wp:posOffset>3006090</wp:posOffset>
                </wp:positionH>
                <wp:positionV relativeFrom="paragraph">
                  <wp:posOffset>-3004820</wp:posOffset>
                </wp:positionV>
                <wp:extent cx="923925"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5943">
                          <a:solidFill>
                            <a:srgbClr val="FC0011"/>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7pt,-236.5999pt" to="309.45pt,-236.5999pt" o:allowincell="f" strokecolor="#FC0011" strokeweight="0.468pt"/>
            </w:pict>
          </mc:Fallback>
        </mc:AlternateContent>
        <mc:AlternateContent>
          <mc:Choice Requires="wps">
            <w:drawing>
              <wp:anchor simplePos="0" relativeHeight="251657728" behindDoc="1" locked="0" layoutInCell="0" allowOverlap="1">
                <wp:simplePos x="0" y="0"/>
                <wp:positionH relativeFrom="column">
                  <wp:posOffset>4462145</wp:posOffset>
                </wp:positionH>
                <wp:positionV relativeFrom="paragraph">
                  <wp:posOffset>-2085975</wp:posOffset>
                </wp:positionV>
                <wp:extent cx="921385"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1385" cy="4763"/>
                        </a:xfrm>
                        <a:prstGeom prst="line">
                          <a:avLst/>
                        </a:prstGeom>
                        <a:solidFill>
                          <a:srgbClr val="FFFFFF"/>
                        </a:solidFill>
                        <a:ln w="5943">
                          <a:solidFill>
                            <a:srgbClr val="FC0011"/>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35pt,-164.2499pt" to="423.9pt,-164.2499pt" o:allowincell="f" strokecolor="#FC0011" strokeweight="0.468pt"/>
            </w:pict>
          </mc:Fallback>
        </mc:AlternateConten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ARTICLE IX</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LIMITATION OF LIABILITY</w:t>
      </w:r>
    </w:p>
    <w:p>
      <w:pPr>
        <w:spacing w:after="0" w:line="273" w:lineRule="exact"/>
        <w:rPr>
          <w:sz w:val="20"/>
          <w:szCs w:val="20"/>
          <w:color w:val="auto"/>
        </w:rPr>
      </w:pPr>
    </w:p>
    <w:p>
      <w:pPr>
        <w:jc w:val="both"/>
        <w:ind w:right="20" w:firstLine="702"/>
        <w:spacing w:after="0" w:line="286" w:lineRule="auto"/>
        <w:rPr>
          <w:sz w:val="20"/>
          <w:szCs w:val="20"/>
          <w:color w:val="auto"/>
        </w:rPr>
      </w:pPr>
      <w:r>
        <w:rPr>
          <w:rFonts w:ascii="Arial" w:cs="Arial" w:eastAsia="Arial" w:hAnsi="Arial"/>
          <w:sz w:val="18"/>
          <w:szCs w:val="18"/>
          <w:color w:val="auto"/>
        </w:rPr>
        <w:t xml:space="preserve">The liability of directors and officers of the Corporation is hereby eliminated or limited to the fullest extent permitted by the NRS. Without limiting the effect of the preceding sentence,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Neither any amendment nor repeal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nor the adoption of any provision of these Articles inconsistent with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eliminate, reduce or otherwise adversely affect any limitation on the personal liability of a director </w:t>
      </w:r>
      <w:r>
        <w:rPr>
          <w:rFonts w:ascii="Arial" w:cs="Arial" w:eastAsia="Arial" w:hAnsi="Arial"/>
          <w:sz w:val="18"/>
          <w:szCs w:val="18"/>
          <w:u w:val="single" w:color="auto"/>
          <w:color w:val="0A248E"/>
        </w:rPr>
        <w:t>or officer</w:t>
      </w:r>
      <w:r>
        <w:rPr>
          <w:rFonts w:ascii="Arial" w:cs="Arial" w:eastAsia="Arial" w:hAnsi="Arial"/>
          <w:sz w:val="18"/>
          <w:szCs w:val="18"/>
          <w:color w:val="auto"/>
        </w:rPr>
        <w:t xml:space="preserve"> of the Corporation existing at the time of such amendment, repeal or adoption of such an inconsistent provision.</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ARTICLE X</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SEVERABILITY AND AMENDMENT</w:t>
      </w:r>
    </w:p>
    <w:p>
      <w:pPr>
        <w:spacing w:after="0" w:line="269" w:lineRule="exact"/>
        <w:rPr>
          <w:sz w:val="20"/>
          <w:szCs w:val="20"/>
          <w:color w:val="auto"/>
        </w:rPr>
      </w:pPr>
    </w:p>
    <w:p>
      <w:pPr>
        <w:jc w:val="both"/>
        <w:ind w:right="20" w:firstLine="695"/>
        <w:spacing w:after="0" w:line="288" w:lineRule="auto"/>
        <w:tabs>
          <w:tab w:leader="none" w:pos="14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any provision of these Articles becomes or is declared on any ground by a court of competent jurisdiction to be illegal, unenforceable or void, portions of such provision, or such provision in its entirety, to the extent necessary, shall be severed from these Articles, and the court will replace such illegal, void or unenforceable provision of these Articles with a valid and enforceable provision that most accurately reflects the Corporation’s intent, in order to achieve, to the maximum extent possible, the same economic, business and other purposes of the illegal, void or unenforceable provision. The balance of these Articles shall be enforceable in accordance with its terms.</w:t>
      </w:r>
    </w:p>
    <w:p>
      <w:pPr>
        <w:sectPr>
          <w:pgSz w:w="11880" w:h="15480" w:orient="portrait"/>
          <w:cols w:equalWidth="0" w:num="1">
            <w:col w:w="9660"/>
          </w:cols>
          <w:pgMar w:left="1140" w:top="780" w:right="1080" w:bottom="0" w:gutter="0" w:footer="0" w:header="0"/>
        </w:sectPr>
      </w:pPr>
    </w:p>
    <w:p>
      <w:pPr>
        <w:spacing w:after="0" w:line="200" w:lineRule="exact"/>
        <w:rPr>
          <w:sz w:val="20"/>
          <w:szCs w:val="20"/>
          <w:color w:val="auto"/>
        </w:rPr>
      </w:pPr>
    </w:p>
    <w:p>
      <w:pPr>
        <w:spacing w:after="0" w:line="363"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B-11</w:t>
      </w:r>
    </w:p>
    <w:p>
      <w:pPr>
        <w:sectPr>
          <w:pgSz w:w="11880" w:h="15480" w:orient="portrait"/>
          <w:cols w:equalWidth="0" w:num="1">
            <w:col w:w="9660"/>
          </w:cols>
          <w:pgMar w:left="1140" w:top="780" w:right="1080" w:bottom="0" w:gutter="0" w:footer="0" w:header="0"/>
          <w:type w:val="continuous"/>
        </w:sectPr>
      </w:pPr>
    </w:p>
    <w:bookmarkStart w:id="99" w:name="page100"/>
    <w:bookmarkEnd w:id="99"/>
    <w:p>
      <w:pPr>
        <w:ind w:left="7"/>
        <w:spacing w:after="0"/>
        <w:rPr>
          <w:sz w:val="20"/>
          <w:szCs w:val="20"/>
          <w:color w:val="auto"/>
        </w:rPr>
      </w:pPr>
      <w:r>
        <w:rPr>
          <w:rFonts w:ascii="Arial" w:cs="Arial" w:eastAsia="Arial" w:hAnsi="Arial"/>
          <w:sz w:val="33"/>
          <w:szCs w:val="33"/>
          <w:color w:val="0A248E"/>
        </w:rPr>
        <w:t>APPENDIX B (continued)</w:t>
      </w:r>
    </w:p>
    <w:p>
      <w:pPr>
        <w:spacing w:after="0" w:line="90" w:lineRule="exact"/>
        <w:rPr>
          <w:sz w:val="20"/>
          <w:szCs w:val="20"/>
          <w:color w:val="auto"/>
        </w:rPr>
      </w:pPr>
    </w:p>
    <w:p>
      <w:pPr>
        <w:jc w:val="both"/>
        <w:ind w:left="7" w:firstLine="695"/>
        <w:spacing w:after="0" w:line="296" w:lineRule="auto"/>
        <w:tabs>
          <w:tab w:leader="none" w:pos="1411"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above, the Corporation reserves the right to amend, alter, change or repeal any provision contained in these Articles, in the manner now or hereafter prescribed by statute, and all rights conferred upon stockholders herein are granted subject to this reservation; provided, however, that, notwithstanding any other provision of these Articles or any provision of law that might otherwise permit a lesser vote, but in addition to any vote of the holders of any class or series of the stock of this Corporation required by law or by these Articles, (i) prior to the Final Conversion Date,</w:t>
      </w:r>
    </w:p>
    <w:p>
      <w:pPr>
        <w:spacing w:after="0" w:line="1" w:lineRule="exact"/>
        <w:rPr>
          <w:rFonts w:ascii="Arial" w:cs="Arial" w:eastAsia="Arial" w:hAnsi="Arial"/>
          <w:sz w:val="17"/>
          <w:szCs w:val="17"/>
          <w:color w:val="auto"/>
        </w:rPr>
      </w:pPr>
    </w:p>
    <w:p>
      <w:pPr>
        <w:jc w:val="both"/>
        <w:ind w:left="7" w:hanging="7"/>
        <w:spacing w:after="0" w:line="303" w:lineRule="auto"/>
        <w:tabs>
          <w:tab w:leader="none" w:pos="2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these Articles or adopt any new provision of these Articles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these Articles inconsistent with,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this clause (i)(b) of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of these Articles (except in either case by virtue of a filing of a Preferred Stock Designation, but subject to any vote required by law or by other provisions of these Articles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these Articles inconsistent with,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ectPr>
          <w:pgSz w:w="11880" w:h="15480" w:orient="portrait"/>
          <w:cols w:equalWidth="0" w:num="1">
            <w:col w:w="9647"/>
          </w:cols>
          <w:pgMar w:left="1133" w:top="78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307"/>
        <w:spacing w:after="0"/>
        <w:rPr>
          <w:sz w:val="20"/>
          <w:szCs w:val="20"/>
          <w:color w:val="auto"/>
        </w:rPr>
      </w:pPr>
      <w:r>
        <w:rPr>
          <w:rFonts w:ascii="Arial" w:cs="Arial" w:eastAsia="Arial" w:hAnsi="Arial"/>
          <w:sz w:val="15"/>
          <w:szCs w:val="15"/>
          <w:b w:val="1"/>
          <w:bCs w:val="1"/>
          <w:color w:val="auto"/>
        </w:rPr>
        <w:t>B-12</w:t>
      </w:r>
    </w:p>
    <w:p>
      <w:pPr>
        <w:sectPr>
          <w:pgSz w:w="11880" w:h="15480" w:orient="portrait"/>
          <w:cols w:equalWidth="0" w:num="1">
            <w:col w:w="9647"/>
          </w:cols>
          <w:pgMar w:left="1133" w:top="780" w:right="1100" w:bottom="0" w:gutter="0" w:footer="0" w:header="0"/>
          <w:type w:val="continuous"/>
        </w:sectPr>
      </w:pPr>
    </w:p>
    <w:bookmarkStart w:id="100" w:name="page101"/>
    <w:bookmarkEnd w:id="100"/>
    <w:p>
      <w:pPr>
        <w:spacing w:after="0"/>
        <w:rPr>
          <w:sz w:val="20"/>
          <w:szCs w:val="20"/>
          <w:color w:val="auto"/>
        </w:rPr>
      </w:pPr>
      <w:r>
        <w:rPr>
          <w:rFonts w:ascii="Arial" w:cs="Arial" w:eastAsia="Arial" w:hAnsi="Arial"/>
          <w:sz w:val="33"/>
          <w:szCs w:val="33"/>
          <w:color w:val="0A248E"/>
        </w:rPr>
        <w:t>APPENDIX B (continued)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A248E"/>
        </w:rPr>
        <w:t>ARTICLE XI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A248E"/>
        </w:rPr>
        <w:t>LIMITED WAIVER OF JURY TRIAL</w:t>
      </w:r>
    </w:p>
    <w:p>
      <w:pPr>
        <w:spacing w:after="0" w:line="273" w:lineRule="exact"/>
        <w:rPr>
          <w:sz w:val="20"/>
          <w:szCs w:val="20"/>
          <w:color w:val="auto"/>
        </w:rPr>
      </w:pPr>
    </w:p>
    <w:p>
      <w:pPr>
        <w:jc w:val="both"/>
        <w:ind w:firstLine="702"/>
        <w:spacing w:after="0" w:line="326" w:lineRule="auto"/>
        <w:rPr>
          <w:sz w:val="20"/>
          <w:szCs w:val="20"/>
          <w:color w:val="auto"/>
        </w:rPr>
      </w:pPr>
      <w:r>
        <w:rPr>
          <w:rFonts w:ascii="Arial" w:cs="Arial" w:eastAsia="Arial" w:hAnsi="Arial"/>
          <w:sz w:val="17"/>
          <w:szCs w:val="17"/>
          <w:u w:val="single" w:color="auto"/>
          <w:color w:val="0A248E"/>
        </w:rPr>
        <w:t>To the fullest extent not inconsistent with any applicable U.S. federal laws, any and all “internal actions” (as defined in NRS 78.046) must be tried in a court of competent jurisdiction before the presiding judge as the trier of fact and not before a jury. This Article XI shall conclusively operate as a waiver of the right to trial by jury by each party to any such internal action.</w:t>
      </w:r>
    </w:p>
    <w:p>
      <w:pPr>
        <w:spacing w:after="0" w:line="163" w:lineRule="exact"/>
        <w:rPr>
          <w:sz w:val="20"/>
          <w:szCs w:val="20"/>
          <w:color w:val="auto"/>
        </w:rPr>
      </w:pPr>
    </w:p>
    <w:p>
      <w:pPr>
        <w:ind w:left="3740"/>
        <w:spacing w:after="0"/>
        <w:tabs>
          <w:tab w:leader="none" w:pos="4420" w:val="left"/>
          <w:tab w:leader="none" w:pos="5120" w:val="left"/>
          <w:tab w:leader="none" w:pos="5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ectPr>
          <w:pgSz w:w="11880" w:h="15480" w:orient="portrait"/>
          <w:cols w:equalWidth="0" w:num="1">
            <w:col w:w="9640"/>
          </w:cols>
          <w:pgMar w:left="1140" w:top="78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300"/>
        <w:spacing w:after="0"/>
        <w:rPr>
          <w:sz w:val="20"/>
          <w:szCs w:val="20"/>
          <w:color w:val="auto"/>
        </w:rPr>
      </w:pPr>
      <w:r>
        <w:rPr>
          <w:rFonts w:ascii="Arial" w:cs="Arial" w:eastAsia="Arial" w:hAnsi="Arial"/>
          <w:sz w:val="15"/>
          <w:szCs w:val="15"/>
          <w:b w:val="1"/>
          <w:bCs w:val="1"/>
          <w:color w:val="auto"/>
        </w:rPr>
        <w:t>B-13</w:t>
      </w:r>
    </w:p>
    <w:p>
      <w:pPr>
        <w:sectPr>
          <w:pgSz w:w="11880" w:h="15480" w:orient="portrait"/>
          <w:cols w:equalWidth="0" w:num="1">
            <w:col w:w="9640"/>
          </w:cols>
          <w:pgMar w:left="1140" w:top="780" w:right="1100" w:bottom="0" w:gutter="0" w:footer="0" w:header="0"/>
          <w:type w:val="continuous"/>
        </w:sectPr>
      </w:pPr>
    </w:p>
    <w:bookmarkStart w:id="101" w:name="page102"/>
    <w:bookmarkEnd w:id="10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02" w:name="page103"/>
    <w:bookmarkEnd w:id="102"/>
    <w:p>
      <w:pPr>
        <w:jc w:val="center"/>
        <w:ind w:right="-81"/>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6"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44"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1"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(Mark One)</w:t>
      </w:r>
    </w:p>
    <w:p>
      <w:pPr>
        <w:spacing w:after="0" w:line="15" w:lineRule="exact"/>
        <w:rPr>
          <w:sz w:val="20"/>
          <w:szCs w:val="20"/>
          <w:color w:val="auto"/>
        </w:rPr>
      </w:pPr>
    </w:p>
    <w:p>
      <w:pPr>
        <w:jc w:val="center"/>
        <w:ind w:left="3242" w:right="60" w:hanging="3242"/>
        <w:spacing w:after="0" w:line="478" w:lineRule="auto"/>
        <w:tabs>
          <w:tab w:leader="none" w:pos="331" w:val="left"/>
        </w:tabs>
        <w:numPr>
          <w:ilvl w:val="0"/>
          <w:numId w:val="124"/>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color w:val="auto"/>
        </w:rPr>
        <w:t xml:space="preserve">ANNUAL REPORT PURSUANT TO SECTION 13 OR 15(d) OF THE SECURITIES EXCHANGE ACT OF 1934 </w:t>
      </w:r>
      <w:r>
        <w:rPr>
          <w:rFonts w:ascii="Times New Roman" w:cs="Times New Roman" w:eastAsia="Times New Roman" w:hAnsi="Times New Roman"/>
          <w:sz w:val="20"/>
          <w:szCs w:val="20"/>
          <w:color w:val="auto"/>
        </w:rPr>
        <w:t>For the fiscal year ended December 31, 2025</w:t>
      </w:r>
    </w:p>
    <w:p>
      <w:pPr>
        <w:jc w:val="center"/>
        <w:ind w:right="-81"/>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2" w:lineRule="exact"/>
        <w:rPr>
          <w:sz w:val="20"/>
          <w:szCs w:val="20"/>
          <w:color w:val="auto"/>
        </w:rPr>
      </w:pPr>
    </w:p>
    <w:p>
      <w:pPr>
        <w:ind w:left="2" w:right="100" w:hanging="2"/>
        <w:spacing w:after="0" w:line="234" w:lineRule="auto"/>
        <w:tabs>
          <w:tab w:leader="none" w:pos="340" w:val="left"/>
        </w:tabs>
        <w:numPr>
          <w:ilvl w:val="0"/>
          <w:numId w:val="125"/>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0"/>
          <w:szCs w:val="20"/>
          <w:color w:val="auto"/>
        </w:rPr>
      </w:pPr>
    </w:p>
    <w:p>
      <w:pPr>
        <w:ind w:left="2882"/>
        <w:spacing w:after="0"/>
        <w:rPr>
          <w:sz w:val="20"/>
          <w:szCs w:val="20"/>
          <w:color w:val="auto"/>
        </w:rPr>
      </w:pPr>
      <w:r>
        <w:rPr>
          <w:rFonts w:ascii="Times New Roman" w:cs="Times New Roman" w:eastAsia="Times New Roman" w:hAnsi="Times New Roman"/>
          <w:sz w:val="20"/>
          <w:szCs w:val="20"/>
          <w:b w:val="1"/>
          <w:bCs w:val="1"/>
          <w:color w:val="auto"/>
        </w:rPr>
        <w:t>For the transition period from________to________</w:t>
      </w:r>
    </w:p>
    <w:p>
      <w:pPr>
        <w:spacing w:after="0" w:line="238"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20"/>
          <w:szCs w:val="20"/>
          <w:b w:val="1"/>
          <w:bCs w:val="1"/>
          <w:color w:val="auto"/>
        </w:rPr>
        <w:t>Commission File Number 001-38434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1592580</wp:posOffset>
                </wp:positionH>
                <wp:positionV relativeFrom="paragraph">
                  <wp:posOffset>280670</wp:posOffset>
                </wp:positionV>
                <wp:extent cx="3166745"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67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4pt,22.1pt" to="374.75pt,22.1pt" o:allowincell="f" strokecolor="#000000" strokeweight="1pt"/>
            </w:pict>
          </mc:Fallback>
        </mc:AlternateContent>
      </w:r>
    </w:p>
    <w:p>
      <w:pPr>
        <w:spacing w:after="0" w:line="200" w:lineRule="exact"/>
        <w:rPr>
          <w:sz w:val="20"/>
          <w:szCs w:val="20"/>
          <w:color w:val="auto"/>
        </w:rPr>
      </w:pPr>
    </w:p>
    <w:p>
      <w:pPr>
        <w:spacing w:after="0" w:line="294"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39"/>
          <w:szCs w:val="39"/>
          <w:b w:val="1"/>
          <w:bCs w:val="1"/>
          <w:color w:val="auto"/>
        </w:rPr>
        <w:t>Dropbox, Inc.</w:t>
      </w:r>
    </w:p>
    <w:p>
      <w:pPr>
        <w:spacing w:after="0" w:line="91"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1592580</wp:posOffset>
                </wp:positionH>
                <wp:positionV relativeFrom="paragraph">
                  <wp:posOffset>24130</wp:posOffset>
                </wp:positionV>
                <wp:extent cx="3166745"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67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4pt,1.9pt" to="374.75pt,1.9pt" o:allowincell="f" strokecolor="#000000" strokeweight="1pt"/>
            </w:pict>
          </mc:Fallback>
        </mc:AlternateContent>
      </w:r>
    </w:p>
    <w:p>
      <w:pPr>
        <w:spacing w:after="0" w:line="200" w:lineRule="exact"/>
        <w:rPr>
          <w:sz w:val="20"/>
          <w:szCs w:val="20"/>
          <w:color w:val="auto"/>
        </w:rPr>
      </w:pPr>
    </w:p>
    <w:p>
      <w:pPr>
        <w:spacing w:after="0" w:line="284" w:lineRule="exact"/>
        <w:rPr>
          <w:sz w:val="20"/>
          <w:szCs w:val="20"/>
          <w:color w:val="auto"/>
        </w:rPr>
      </w:pPr>
    </w:p>
    <w:tbl>
      <w:tblPr>
        <w:tblLayout w:type="fixed"/>
        <w:tblInd w:w="602" w:type="dxa"/>
        <w:tblCellMar>
          <w:top w:w="0" w:type="dxa"/>
          <w:left w:w="0" w:type="dxa"/>
          <w:bottom w:w="0" w:type="dxa"/>
          <w:right w:w="0" w:type="dxa"/>
        </w:tblCellMar>
      </w:tblPr>
      <w:tr>
        <w:trPr>
          <w:trHeight w:val="206"/>
        </w:trPr>
        <w:tc>
          <w:tcPr>
            <w:tcW w:w="880" w:type="dxa"/>
            <w:vAlign w:val="bottom"/>
          </w:tcPr>
          <w:p>
            <w:pPr>
              <w:spacing w:after="0"/>
              <w:rPr>
                <w:sz w:val="17"/>
                <w:szCs w:val="17"/>
                <w:color w:val="auto"/>
              </w:rPr>
            </w:pPr>
          </w:p>
        </w:tc>
        <w:tc>
          <w:tcPr>
            <w:tcW w:w="2220" w:type="dxa"/>
            <w:vAlign w:val="bottom"/>
            <w:gridSpan w:val="2"/>
          </w:tcPr>
          <w:p>
            <w:pPr>
              <w:jc w:val="center"/>
              <w:ind w:right="962"/>
              <w:spacing w:after="0"/>
              <w:rPr>
                <w:sz w:val="20"/>
                <w:szCs w:val="20"/>
                <w:color w:val="auto"/>
              </w:rPr>
            </w:pPr>
            <w:r>
              <w:rPr>
                <w:rFonts w:ascii="Times New Roman" w:cs="Times New Roman" w:eastAsia="Times New Roman" w:hAnsi="Times New Roman"/>
                <w:sz w:val="16"/>
                <w:szCs w:val="16"/>
                <w:b w:val="1"/>
                <w:bCs w:val="1"/>
                <w:color w:val="auto"/>
                <w:w w:val="96"/>
              </w:rPr>
              <w:t>Nevada</w:t>
            </w: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26-0138832</w:t>
            </w:r>
          </w:p>
        </w:tc>
        <w:tc>
          <w:tcPr>
            <w:tcW w:w="180" w:type="dxa"/>
            <w:vAlign w:val="bottom"/>
          </w:tcPr>
          <w:p>
            <w:pPr>
              <w:spacing w:after="0"/>
              <w:rPr>
                <w:sz w:val="17"/>
                <w:szCs w:val="17"/>
                <w:color w:val="auto"/>
              </w:rPr>
            </w:pPr>
          </w:p>
        </w:tc>
      </w:tr>
      <w:tr>
        <w:trPr>
          <w:trHeight w:val="207"/>
        </w:trPr>
        <w:tc>
          <w:tcPr>
            <w:tcW w:w="3100" w:type="dxa"/>
            <w:vAlign w:val="bottom"/>
            <w:gridSpan w:val="3"/>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(State or other jurisdiction of</w:t>
            </w: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06"/>
        </w:trPr>
        <w:tc>
          <w:tcPr>
            <w:tcW w:w="3100" w:type="dxa"/>
            <w:vAlign w:val="bottom"/>
            <w:gridSpan w:val="3"/>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7"/>
              </w:rPr>
              <w:t>incorporation or organization)</w:t>
            </w: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Identification Number)</w:t>
            </w:r>
          </w:p>
        </w:tc>
      </w:tr>
      <w:tr>
        <w:trPr>
          <w:trHeight w:val="516"/>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gridSpan w:val="2"/>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w w:val="97"/>
              </w:rPr>
              <w:t>Dropbox, Inc.</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7"/>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80" w:type="dxa"/>
            <w:vAlign w:val="bottom"/>
            <w:gridSpan w:val="2"/>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w w:val="97"/>
              </w:rPr>
              <w:t>1800 Owens Street</w:t>
            </w: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San Francisco, California 94158</w:t>
            </w: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740" w:type="dxa"/>
            <w:vAlign w:val="bottom"/>
            <w:gridSpan w:val="6"/>
          </w:tcPr>
          <w:p>
            <w:pPr>
              <w:jc w:val="center"/>
              <w:ind w:right="2020"/>
              <w:spacing w:after="0"/>
              <w:rPr>
                <w:sz w:val="20"/>
                <w:szCs w:val="20"/>
                <w:color w:val="auto"/>
              </w:rPr>
            </w:pPr>
            <w:r>
              <w:rPr>
                <w:rFonts w:ascii="Times New Roman" w:cs="Times New Roman" w:eastAsia="Times New Roman" w:hAnsi="Times New Roman"/>
                <w:sz w:val="16"/>
                <w:szCs w:val="16"/>
                <w:b w:val="1"/>
                <w:bCs w:val="1"/>
                <w:color w:val="auto"/>
                <w:w w:val="97"/>
              </w:rPr>
              <w:t>(Address of principal executive offices, including zip code)</w:t>
            </w:r>
          </w:p>
        </w:tc>
      </w:tr>
      <w:tr>
        <w:trPr>
          <w:trHeight w:val="187"/>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20" w:type="dxa"/>
            <w:vAlign w:val="bottom"/>
            <w:gridSpan w:val="2"/>
          </w:tcPr>
          <w:p>
            <w:pPr>
              <w:jc w:val="center"/>
              <w:ind w:left="602"/>
              <w:spacing w:after="0"/>
              <w:rPr>
                <w:sz w:val="20"/>
                <w:szCs w:val="20"/>
                <w:color w:val="auto"/>
              </w:rPr>
            </w:pPr>
            <w:r>
              <w:rPr>
                <w:rFonts w:ascii="Times New Roman" w:cs="Times New Roman" w:eastAsia="Times New Roman" w:hAnsi="Times New Roman"/>
                <w:sz w:val="16"/>
                <w:szCs w:val="16"/>
                <w:b w:val="1"/>
                <w:bCs w:val="1"/>
                <w:color w:val="auto"/>
                <w:w w:val="95"/>
              </w:rPr>
              <w:t>(415) 930-7766</w:t>
            </w:r>
          </w:p>
        </w:tc>
        <w:tc>
          <w:tcPr>
            <w:tcW w:w="10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6"/>
        </w:trPr>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740" w:type="dxa"/>
            <w:vAlign w:val="bottom"/>
            <w:gridSpan w:val="6"/>
          </w:tcPr>
          <w:p>
            <w:pPr>
              <w:jc w:val="center"/>
              <w:ind w:right="2020"/>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w:t>
            </w:r>
          </w:p>
        </w:tc>
      </w:tr>
      <w:tr>
        <w:trPr>
          <w:trHeight w:val="357"/>
        </w:trPr>
        <w:tc>
          <w:tcPr>
            <w:tcW w:w="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spacing w:after="0"/>
              <w:rPr>
                <w:sz w:val="24"/>
                <w:szCs w:val="24"/>
                <w:color w:val="auto"/>
              </w:rPr>
            </w:pPr>
          </w:p>
        </w:tc>
        <w:tc>
          <w:tcPr>
            <w:tcW w:w="2740" w:type="dxa"/>
            <w:vAlign w:val="bottom"/>
            <w:tcBorders>
              <w:bottom w:val="single" w:sz="8" w:color="auto"/>
            </w:tcBorders>
            <w:gridSpan w:val="2"/>
          </w:tcPr>
          <w:p>
            <w:pPr>
              <w:spacing w:after="0"/>
              <w:rPr>
                <w:sz w:val="24"/>
                <w:szCs w:val="24"/>
                <w:color w:val="auto"/>
              </w:rPr>
            </w:pPr>
          </w:p>
        </w:tc>
      </w:tr>
      <w:tr>
        <w:trPr>
          <w:trHeight w:val="262"/>
        </w:trPr>
        <w:tc>
          <w:tcPr>
            <w:tcW w:w="880" w:type="dxa"/>
            <w:vAlign w:val="bottom"/>
          </w:tcPr>
          <w:p>
            <w:pPr>
              <w:spacing w:after="0"/>
              <w:rPr>
                <w:sz w:val="22"/>
                <w:szCs w:val="22"/>
                <w:color w:val="auto"/>
              </w:rPr>
            </w:pPr>
          </w:p>
        </w:tc>
        <w:tc>
          <w:tcPr>
            <w:tcW w:w="2220" w:type="dxa"/>
            <w:vAlign w:val="bottom"/>
            <w:gridSpan w:val="2"/>
          </w:tcPr>
          <w:p>
            <w:pPr>
              <w:jc w:val="center"/>
              <w:ind w:right="982"/>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660" w:type="dxa"/>
            <w:vAlign w:val="bottom"/>
          </w:tcPr>
          <w:p>
            <w:pPr>
              <w:spacing w:after="0"/>
              <w:rPr>
                <w:sz w:val="22"/>
                <w:szCs w:val="22"/>
                <w:color w:val="auto"/>
              </w:rPr>
            </w:pPr>
          </w:p>
        </w:tc>
        <w:tc>
          <w:tcPr>
            <w:tcW w:w="2280" w:type="dxa"/>
            <w:vAlign w:val="bottom"/>
            <w:gridSpan w:val="2"/>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7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Name of exchange on which registered</w:t>
            </w:r>
          </w:p>
        </w:tc>
      </w:tr>
      <w:tr>
        <w:trPr>
          <w:trHeight w:val="20"/>
        </w:trPr>
        <w:tc>
          <w:tcPr>
            <w:tcW w:w="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3100" w:type="dxa"/>
            <w:vAlign w:val="bottom"/>
            <w:gridSpan w:val="3"/>
          </w:tcPr>
          <w:p>
            <w:pPr>
              <w:jc w:val="center"/>
              <w:ind w:right="102"/>
              <w:spacing w:after="0"/>
              <w:rPr>
                <w:sz w:val="20"/>
                <w:szCs w:val="20"/>
                <w:color w:val="auto"/>
              </w:rPr>
            </w:pPr>
            <w:r>
              <w:rPr>
                <w:rFonts w:ascii="Times New Roman" w:cs="Times New Roman" w:eastAsia="Times New Roman" w:hAnsi="Times New Roman"/>
                <w:sz w:val="16"/>
                <w:szCs w:val="16"/>
                <w:color w:val="auto"/>
                <w:w w:val="98"/>
              </w:rPr>
              <w:t>Class A Common Stock, par value $0.00001</w:t>
            </w:r>
          </w:p>
        </w:tc>
        <w:tc>
          <w:tcPr>
            <w:tcW w:w="660" w:type="dxa"/>
            <w:vAlign w:val="bottom"/>
          </w:tcPr>
          <w:p>
            <w:pPr>
              <w:spacing w:after="0"/>
              <w:rPr>
                <w:sz w:val="16"/>
                <w:szCs w:val="16"/>
                <w:color w:val="auto"/>
              </w:rPr>
            </w:pPr>
          </w:p>
        </w:tc>
        <w:tc>
          <w:tcPr>
            <w:tcW w:w="2280" w:type="dxa"/>
            <w:vAlign w:val="bottom"/>
            <w:gridSpan w:val="2"/>
          </w:tcPr>
          <w:p>
            <w:pPr>
              <w:jc w:val="center"/>
              <w:ind w:right="1020"/>
              <w:spacing w:after="0"/>
              <w:rPr>
                <w:sz w:val="20"/>
                <w:szCs w:val="20"/>
                <w:color w:val="auto"/>
              </w:rPr>
            </w:pPr>
            <w:r>
              <w:rPr>
                <w:rFonts w:ascii="Times New Roman" w:cs="Times New Roman" w:eastAsia="Times New Roman" w:hAnsi="Times New Roman"/>
                <w:sz w:val="16"/>
                <w:szCs w:val="16"/>
                <w:color w:val="auto"/>
              </w:rPr>
              <w:t>DBX</w:t>
            </w:r>
          </w:p>
        </w:tc>
        <w:tc>
          <w:tcPr>
            <w:tcW w:w="2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03"/>
        </w:trPr>
        <w:tc>
          <w:tcPr>
            <w:tcW w:w="880" w:type="dxa"/>
            <w:vAlign w:val="bottom"/>
          </w:tcPr>
          <w:p>
            <w:pPr>
              <w:spacing w:after="0"/>
              <w:rPr>
                <w:sz w:val="17"/>
                <w:szCs w:val="17"/>
                <w:color w:val="auto"/>
              </w:rPr>
            </w:pPr>
          </w:p>
        </w:tc>
        <w:tc>
          <w:tcPr>
            <w:tcW w:w="2220" w:type="dxa"/>
            <w:vAlign w:val="bottom"/>
            <w:gridSpan w:val="2"/>
          </w:tcPr>
          <w:p>
            <w:pPr>
              <w:jc w:val="center"/>
              <w:ind w:right="982"/>
              <w:spacing w:after="0"/>
              <w:rPr>
                <w:sz w:val="20"/>
                <w:szCs w:val="20"/>
                <w:color w:val="auto"/>
              </w:rPr>
            </w:pPr>
            <w:r>
              <w:rPr>
                <w:rFonts w:ascii="Times New Roman" w:cs="Times New Roman" w:eastAsia="Times New Roman" w:hAnsi="Times New Roman"/>
                <w:sz w:val="16"/>
                <w:szCs w:val="16"/>
                <w:color w:val="auto"/>
                <w:w w:val="96"/>
              </w:rPr>
              <w:t>per share</w:t>
            </w: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94"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6"/>
          <w:szCs w:val="16"/>
          <w:b w:val="1"/>
          <w:bCs w:val="1"/>
          <w:u w:val="single" w:color="auto"/>
          <w:color w:val="auto"/>
        </w:rPr>
        <w:t>Securities registered pursuant to Section 12(g) of the Act</w:t>
      </w:r>
    </w:p>
    <w:p>
      <w:pPr>
        <w:jc w:val="center"/>
        <w:ind w:right="-41"/>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380365</wp:posOffset>
                </wp:positionH>
                <wp:positionV relativeFrom="paragraph">
                  <wp:posOffset>88900</wp:posOffset>
                </wp:positionV>
                <wp:extent cx="557276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2760" cy="4763"/>
                        </a:xfrm>
                        <a:prstGeom prst="line">
                          <a:avLst/>
                        </a:prstGeom>
                        <a:solidFill>
                          <a:srgbClr val="FFFFFF"/>
                        </a:solidFill>
                        <a:ln w="12383">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5pt,7pt" to="468.75pt,7pt" o:allowincell="f" strokecolor="#000000" strokeweight="0.975pt"/>
            </w:pict>
          </mc:Fallback>
        </mc:AlternateContent>
      </w:r>
    </w:p>
    <w:p>
      <w:pPr>
        <w:spacing w:after="0" w:line="200" w:lineRule="exact"/>
        <w:rPr>
          <w:sz w:val="20"/>
          <w:szCs w:val="20"/>
          <w:color w:val="auto"/>
        </w:rPr>
      </w:pPr>
    </w:p>
    <w:p>
      <w:pPr>
        <w:spacing w:after="0" w:line="360" w:lineRule="exact"/>
        <w:rPr>
          <w:sz w:val="20"/>
          <w:szCs w:val="20"/>
          <w:color w:val="auto"/>
        </w:rPr>
      </w:pPr>
    </w:p>
    <w:p>
      <w:pPr>
        <w:ind w:left="2"/>
        <w:spacing w:after="0" w:line="215" w:lineRule="exact"/>
        <w:tabs>
          <w:tab w:leader="none" w:pos="7902"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b w:val="1"/>
          <w:bCs w:val="1"/>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b w:val="1"/>
          <w:bCs w:val="1"/>
          <w:color w:val="auto"/>
        </w:rPr>
        <w:t>☐</w:t>
      </w:r>
    </w:p>
    <w:p>
      <w:pPr>
        <w:spacing w:after="0" w:line="89" w:lineRule="exact"/>
        <w:rPr>
          <w:sz w:val="20"/>
          <w:szCs w:val="20"/>
          <w:color w:val="auto"/>
        </w:rPr>
      </w:pPr>
    </w:p>
    <w:p>
      <w:pPr>
        <w:ind w:left="2" w:right="38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Securities Exchange Act of 1934 (the "Exchange Act").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86" w:lineRule="exact"/>
        <w:rPr>
          <w:sz w:val="20"/>
          <w:szCs w:val="20"/>
          <w:color w:val="auto"/>
        </w:rPr>
      </w:pPr>
    </w:p>
    <w:p>
      <w:pPr>
        <w:jc w:val="both"/>
        <w:ind w:left="2"/>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157" w:lineRule="exact"/>
        <w:rPr>
          <w:sz w:val="20"/>
          <w:szCs w:val="20"/>
          <w:color w:val="auto"/>
        </w:rPr>
      </w:pPr>
    </w:p>
    <w:p>
      <w:pPr>
        <w:jc w:val="both"/>
        <w:ind w:left="2"/>
        <w:spacing w:after="0" w:line="27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0"/>
          <w:szCs w:val="20"/>
          <w:color w:val="auto"/>
        </w:rPr>
      </w:pPr>
    </w:p>
    <w:p>
      <w:pPr>
        <w:ind w:left="262" w:hanging="262"/>
        <w:spacing w:after="0" w:line="215" w:lineRule="exact"/>
        <w:tabs>
          <w:tab w:leader="none" w:pos="262" w:val="left"/>
        </w:tabs>
        <w:numPr>
          <w:ilvl w:val="0"/>
          <w:numId w:val="12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b w:val="1"/>
          <w:bCs w:val="1"/>
          <w:color w:val="auto"/>
        </w:rPr>
        <w:t>☐</w:t>
      </w:r>
    </w:p>
    <w:p>
      <w:pPr>
        <w:spacing w:after="0" w:line="159" w:lineRule="exact"/>
        <w:rPr>
          <w:sz w:val="20"/>
          <w:szCs w:val="20"/>
          <w:color w:val="auto"/>
        </w:rPr>
      </w:pPr>
    </w:p>
    <w:p>
      <w:pPr>
        <w:ind w:left="2" w:right="20"/>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880" w:h="15480" w:orient="portrait"/>
          <w:cols w:equalWidth="0" w:num="1">
            <w:col w:w="9922"/>
          </w:cols>
          <w:pgMar w:left="938" w:top="65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9922"/>
          </w:cols>
          <w:pgMar w:left="938" w:top="655" w:right="1020" w:bottom="0" w:gutter="0" w:footer="0" w:header="0"/>
          <w:type w:val="continuous"/>
        </w:sectPr>
      </w:pPr>
    </w:p>
    <w:bookmarkStart w:id="103" w:name="page104"/>
    <w:bookmarkEnd w:id="103"/>
    <w:p>
      <w:pPr>
        <w:ind w:left="40"/>
        <w:spacing w:after="0" w:line="215" w:lineRule="exact"/>
        <w:tabs>
          <w:tab w:leader="none" w:pos="1960" w:val="left"/>
          <w:tab w:leader="none" w:pos="7540" w:val="left"/>
          <w:tab w:leader="none" w:pos="966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Arial Unicode MS" w:cs="Arial Unicode MS" w:eastAsia="Arial Unicode MS" w:hAnsi="Arial Unicode MS"/>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137" w:lineRule="exact"/>
        <w:rPr>
          <w:sz w:val="20"/>
          <w:szCs w:val="20"/>
          <w:color w:val="auto"/>
        </w:rPr>
      </w:pPr>
    </w:p>
    <w:p>
      <w:pPr>
        <w:ind w:left="40"/>
        <w:spacing w:after="0" w:line="215" w:lineRule="exact"/>
        <w:tabs>
          <w:tab w:leader="none" w:pos="1960" w:val="left"/>
          <w:tab w:leader="none" w:pos="7540" w:val="left"/>
          <w:tab w:leader="none" w:pos="966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Arial Unicode MS" w:cs="Arial Unicode MS" w:eastAsia="Arial Unicode MS" w:hAnsi="Arial Unicode MS"/>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Emerging growth</w:t>
      </w:r>
    </w:p>
    <w:p>
      <w:pPr>
        <w:ind w:left="40"/>
        <w:spacing w:after="0" w:line="207" w:lineRule="exact"/>
        <w:tabs>
          <w:tab w:leader="none" w:pos="1960" w:val="left"/>
        </w:tabs>
        <w:rPr>
          <w:sz w:val="20"/>
          <w:szCs w:val="20"/>
          <w:color w:val="auto"/>
        </w:rPr>
      </w:pPr>
      <w:r>
        <w:rPr>
          <w:rFonts w:ascii="Times New Roman" w:cs="Times New Roman" w:eastAsia="Times New Roman" w:hAnsi="Times New Roman"/>
          <w:sz w:val="16"/>
          <w:szCs w:val="16"/>
          <w:color w:val="auto"/>
        </w:rPr>
        <w:t>company</w:t>
      </w:r>
      <w:r>
        <w:rPr>
          <w:sz w:val="20"/>
          <w:szCs w:val="20"/>
          <w:color w:val="auto"/>
        </w:rPr>
        <w:tab/>
      </w:r>
      <w:r>
        <w:rPr>
          <w:rFonts w:ascii="Arial Unicode MS" w:cs="Arial Unicode MS" w:eastAsia="Arial Unicode MS" w:hAnsi="Arial Unicode MS"/>
          <w:sz w:val="16"/>
          <w:szCs w:val="16"/>
          <w:b w:val="1"/>
          <w:bCs w:val="1"/>
          <w:color w:val="auto"/>
        </w:rPr>
        <w:t>☐</w:t>
      </w:r>
    </w:p>
    <w:p>
      <w:pPr>
        <w:spacing w:after="0" w:line="62" w:lineRule="exact"/>
        <w:rPr>
          <w:sz w:val="20"/>
          <w:szCs w:val="20"/>
          <w:color w:val="auto"/>
        </w:rPr>
      </w:pPr>
    </w:p>
    <w:p>
      <w:pPr>
        <w:ind w:right="220"/>
        <w:spacing w:after="0" w:line="19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b w:val="1"/>
          <w:bCs w:val="1"/>
          <w:color w:val="auto"/>
        </w:rPr>
        <w:t>☐</w:t>
      </w:r>
    </w:p>
    <w:p>
      <w:pPr>
        <w:spacing w:after="0" w:line="150" w:lineRule="exact"/>
        <w:rPr>
          <w:sz w:val="20"/>
          <w:szCs w:val="20"/>
          <w:color w:val="auto"/>
        </w:rPr>
      </w:pPr>
    </w:p>
    <w:p>
      <w:pPr>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w:t>
      </w:r>
    </w:p>
    <w:p>
      <w:pPr>
        <w:spacing w:after="0" w:line="21" w:lineRule="exact"/>
        <w:rPr>
          <w:sz w:val="20"/>
          <w:szCs w:val="20"/>
          <w:color w:val="auto"/>
        </w:rPr>
      </w:pPr>
    </w:p>
    <w:p>
      <w:pPr>
        <w:spacing w:after="0" w:line="215" w:lineRule="exact"/>
        <w:tabs>
          <w:tab w:leader="none" w:pos="9800" w:val="left"/>
        </w:tabs>
        <w:rPr>
          <w:sz w:val="20"/>
          <w:szCs w:val="20"/>
          <w:color w:val="auto"/>
        </w:rPr>
      </w:pPr>
      <w:r>
        <w:rPr>
          <w:rFonts w:ascii="Times New Roman" w:cs="Times New Roman" w:eastAsia="Times New Roman" w:hAnsi="Times New Roman"/>
          <w:sz w:val="16"/>
          <w:szCs w:val="16"/>
          <w:color w:val="auto"/>
        </w:rPr>
        <w:t>reflect the correction of an error to previously issued financial statements.</w:t>
      </w:r>
      <w:r>
        <w:rPr>
          <w:sz w:val="20"/>
          <w:szCs w:val="20"/>
          <w:color w:val="auto"/>
        </w:rPr>
        <w:tab/>
      </w:r>
      <w:r>
        <w:rPr>
          <w:rFonts w:ascii="Arial Unicode MS" w:cs="Arial Unicode MS" w:eastAsia="Arial Unicode MS" w:hAnsi="Arial Unicode MS"/>
          <w:sz w:val="16"/>
          <w:szCs w:val="16"/>
          <w:b w:val="1"/>
          <w:bCs w:val="1"/>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w:t>
      </w:r>
    </w:p>
    <w:p>
      <w:pPr>
        <w:spacing w:after="0" w:line="21" w:lineRule="exact"/>
        <w:rPr>
          <w:sz w:val="20"/>
          <w:szCs w:val="20"/>
          <w:color w:val="auto"/>
        </w:rPr>
      </w:pPr>
    </w:p>
    <w:p>
      <w:pPr>
        <w:spacing w:after="0" w:line="215" w:lineRule="exact"/>
        <w:tabs>
          <w:tab w:leader="none" w:pos="9800" w:val="left"/>
        </w:tabs>
        <w:rPr>
          <w:sz w:val="20"/>
          <w:szCs w:val="20"/>
          <w:color w:val="auto"/>
        </w:rPr>
      </w:pPr>
      <w:r>
        <w:rPr>
          <w:rFonts w:ascii="Times New Roman" w:cs="Times New Roman" w:eastAsia="Times New Roman" w:hAnsi="Times New Roman"/>
          <w:sz w:val="16"/>
          <w:szCs w:val="16"/>
          <w:color w:val="auto"/>
        </w:rPr>
        <w:t>any of the registrant’s executive officers during the relevant recovery period pursuant to §240.10D-1(b).</w:t>
      </w:r>
      <w:r>
        <w:rPr>
          <w:sz w:val="20"/>
          <w:szCs w:val="20"/>
          <w:color w:val="auto"/>
        </w:rPr>
        <w:tab/>
      </w:r>
      <w:r>
        <w:rPr>
          <w:rFonts w:ascii="Arial Unicode MS" w:cs="Arial Unicode MS" w:eastAsia="Arial Unicode MS" w:hAnsi="Arial Unicode MS"/>
          <w:sz w:val="16"/>
          <w:szCs w:val="16"/>
          <w:b w:val="1"/>
          <w:bCs w:val="1"/>
          <w:color w:val="auto"/>
        </w:rPr>
        <w:t>☐</w:t>
      </w:r>
    </w:p>
    <w:p>
      <w:pPr>
        <w:spacing w:after="0" w:line="167" w:lineRule="exact"/>
        <w:rPr>
          <w:sz w:val="20"/>
          <w:szCs w:val="20"/>
          <w:color w:val="auto"/>
        </w:rPr>
      </w:pPr>
    </w:p>
    <w:p>
      <w:pPr>
        <w:spacing w:after="0" w:line="215" w:lineRule="exact"/>
        <w:tabs>
          <w:tab w:leader="none" w:pos="76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b w:val="1"/>
          <w:bCs w:val="1"/>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b w:val="1"/>
          <w:bCs w:val="1"/>
          <w:color w:val="auto"/>
        </w:rPr>
        <w:t>☒</w:t>
      </w:r>
    </w:p>
    <w:p>
      <w:pPr>
        <w:spacing w:after="0" w:line="23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6"/>
          <w:szCs w:val="16"/>
          <w:color w:val="auto"/>
        </w:rPr>
        <w:t>The aggregate market value of the registrant's Class A common stock held by non-affiliates of the registrant, based on the closing price of a share of the registrant's Class A common stock on June 30, 2025 as reported by the NASDAQ Global Select Market on such date was approximately $3,097.8 million. Shares of the registrant’s Class A common stock held by each executive officer, director and holder of 5% or more of the outstanding Class A common stock have been excluded as such persons may be deemed to be affiliates. This calculation does not reflect a determination that certain persons are affiliates of the registrant for any other purpose.</w:t>
      </w:r>
    </w:p>
    <w:p>
      <w:pPr>
        <w:spacing w:after="0" w:line="20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6"/>
          <w:szCs w:val="16"/>
          <w:color w:val="auto"/>
        </w:rPr>
        <w:t>As of February 13, 2026, there were 165,704,072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22,427 shares of Class A common stock subject to restricted stock awards that were granted to other Dropbox executives and vest upon the satisfaction of a service condition), 75,484,246 shares of the registrant’s Class B common stock outstanding, and no shares of the registrant’s Class C common stock outstanding.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2025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2025.</w:t>
      </w:r>
    </w:p>
    <w:p>
      <w:pPr>
        <w:sectPr>
          <w:pgSz w:w="11880" w:h="15480" w:orient="portrait"/>
          <w:cols w:equalWidth="0" w:num="1">
            <w:col w:w="10000"/>
          </w:cols>
          <w:pgMar w:left="940" w:top="7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000"/>
          </w:cols>
          <w:pgMar w:left="940" w:top="769" w:right="94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58"/>
        </w:trPr>
        <w:tc>
          <w:tcPr>
            <w:tcW w:w="900" w:type="dxa"/>
            <w:vAlign w:val="bottom"/>
          </w:tcPr>
          <w:p>
            <w:pPr>
              <w:spacing w:after="0"/>
              <w:rPr>
                <w:sz w:val="22"/>
                <w:szCs w:val="22"/>
                <w:color w:val="auto"/>
              </w:rPr>
            </w:pPr>
          </w:p>
        </w:tc>
        <w:tc>
          <w:tcPr>
            <w:tcW w:w="8080" w:type="dxa"/>
            <w:vAlign w:val="bottom"/>
          </w:tcPr>
          <w:p>
            <w:pPr>
              <w:jc w:val="center"/>
              <w:ind w:left="22"/>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3"/>
        </w:trPr>
        <w:tc>
          <w:tcPr>
            <w:tcW w:w="9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52"/>
        </w:trPr>
        <w:tc>
          <w:tcPr>
            <w:tcW w:w="900" w:type="dxa"/>
            <w:vAlign w:val="bottom"/>
          </w:tcPr>
          <w:p>
            <w:pPr>
              <w:spacing w:after="0"/>
              <w:rPr>
                <w:sz w:val="21"/>
                <w:szCs w:val="21"/>
                <w:color w:val="auto"/>
              </w:rPr>
            </w:pPr>
          </w:p>
        </w:tc>
        <w:tc>
          <w:tcPr>
            <w:tcW w:w="8080" w:type="dxa"/>
            <w:vAlign w:val="bottom"/>
          </w:tcPr>
          <w:p>
            <w:pPr>
              <w:jc w:val="center"/>
              <w:ind w:left="22"/>
              <w:spacing w:after="0"/>
              <w:rPr>
                <w:sz w:val="20"/>
                <w:szCs w:val="20"/>
                <w:color w:val="auto"/>
              </w:rPr>
            </w:pPr>
            <w:r>
              <w:rPr>
                <w:rFonts w:ascii="Times New Roman" w:cs="Times New Roman" w:eastAsia="Times New Roman" w:hAnsi="Times New Roman"/>
                <w:sz w:val="20"/>
                <w:szCs w:val="20"/>
                <w:b w:val="1"/>
                <w:bCs w:val="1"/>
                <w:color w:val="auto"/>
                <w:w w:val="94"/>
              </w:rPr>
              <w:t>Part I</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1.</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Business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0" w:type="dxa"/>
            <w:vAlign w:val="bottom"/>
          </w:tcPr>
          <w:p>
            <w:pPr>
              <w:spacing w:after="0"/>
              <w:rPr>
                <w:sz w:val="1"/>
                <w:szCs w:val="1"/>
                <w:color w:val="auto"/>
              </w:rPr>
            </w:pPr>
          </w:p>
        </w:tc>
      </w:tr>
      <w:tr>
        <w:trPr>
          <w:trHeight w:val="286"/>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1A.</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Risk Factors</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16</w:t>
            </w:r>
          </w:p>
        </w:tc>
        <w:tc>
          <w:tcPr>
            <w:tcW w:w="0" w:type="dxa"/>
            <w:vAlign w:val="bottom"/>
          </w:tcPr>
          <w:p>
            <w:pPr>
              <w:spacing w:after="0"/>
              <w:rPr>
                <w:sz w:val="1"/>
                <w:szCs w:val="1"/>
                <w:color w:val="auto"/>
              </w:rPr>
            </w:pPr>
          </w:p>
        </w:tc>
      </w:tr>
      <w:tr>
        <w:trPr>
          <w:trHeight w:val="29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1B.</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45</w:t>
            </w:r>
          </w:p>
        </w:tc>
        <w:tc>
          <w:tcPr>
            <w:tcW w:w="0" w:type="dxa"/>
            <w:vAlign w:val="bottom"/>
          </w:tcPr>
          <w:p>
            <w:pPr>
              <w:spacing w:after="0"/>
              <w:rPr>
                <w:sz w:val="1"/>
                <w:szCs w:val="1"/>
                <w:color w:val="auto"/>
              </w:rPr>
            </w:pPr>
          </w:p>
        </w:tc>
      </w:tr>
      <w:tr>
        <w:trPr>
          <w:trHeight w:val="286"/>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1C</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Cybersecurity</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45</w:t>
            </w:r>
          </w:p>
        </w:tc>
        <w:tc>
          <w:tcPr>
            <w:tcW w:w="0" w:type="dxa"/>
            <w:vAlign w:val="bottom"/>
          </w:tcPr>
          <w:p>
            <w:pPr>
              <w:spacing w:after="0"/>
              <w:rPr>
                <w:sz w:val="1"/>
                <w:szCs w:val="1"/>
                <w:color w:val="auto"/>
              </w:rPr>
            </w:pPr>
          </w:p>
        </w:tc>
      </w:tr>
      <w:tr>
        <w:trPr>
          <w:trHeight w:val="29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2.</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Properties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46</w:t>
            </w:r>
          </w:p>
        </w:tc>
        <w:tc>
          <w:tcPr>
            <w:tcW w:w="0" w:type="dxa"/>
            <w:vAlign w:val="bottom"/>
          </w:tcPr>
          <w:p>
            <w:pPr>
              <w:spacing w:after="0"/>
              <w:rPr>
                <w:sz w:val="1"/>
                <w:szCs w:val="1"/>
                <w:color w:val="auto"/>
              </w:rPr>
            </w:pPr>
          </w:p>
        </w:tc>
      </w:tr>
      <w:tr>
        <w:trPr>
          <w:trHeight w:val="286"/>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3.</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Legal Proceedings</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46</w:t>
            </w:r>
          </w:p>
        </w:tc>
        <w:tc>
          <w:tcPr>
            <w:tcW w:w="0" w:type="dxa"/>
            <w:vAlign w:val="bottom"/>
          </w:tcPr>
          <w:p>
            <w:pPr>
              <w:spacing w:after="0"/>
              <w:rPr>
                <w:sz w:val="1"/>
                <w:szCs w:val="1"/>
                <w:color w:val="auto"/>
              </w:rPr>
            </w:pPr>
          </w:p>
        </w:tc>
      </w:tr>
      <w:tr>
        <w:trPr>
          <w:trHeight w:val="29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4.</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Mine Safety Disclosures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47</w:t>
            </w:r>
          </w:p>
        </w:tc>
        <w:tc>
          <w:tcPr>
            <w:tcW w:w="0" w:type="dxa"/>
            <w:vAlign w:val="bottom"/>
          </w:tcPr>
          <w:p>
            <w:pPr>
              <w:spacing w:after="0"/>
              <w:rPr>
                <w:sz w:val="1"/>
                <w:szCs w:val="1"/>
                <w:color w:val="auto"/>
              </w:rPr>
            </w:pPr>
          </w:p>
        </w:tc>
      </w:tr>
      <w:tr>
        <w:trPr>
          <w:trHeight w:val="271"/>
        </w:trPr>
        <w:tc>
          <w:tcPr>
            <w:tcW w:w="900" w:type="dxa"/>
            <w:vAlign w:val="bottom"/>
          </w:tcPr>
          <w:p>
            <w:pPr>
              <w:spacing w:after="0"/>
              <w:rPr>
                <w:sz w:val="23"/>
                <w:szCs w:val="23"/>
                <w:color w:val="auto"/>
              </w:rPr>
            </w:pPr>
          </w:p>
        </w:tc>
        <w:tc>
          <w:tcPr>
            <w:tcW w:w="8080" w:type="dxa"/>
            <w:vAlign w:val="bottom"/>
          </w:tcPr>
          <w:p>
            <w:pPr>
              <w:jc w:val="center"/>
              <w:ind w:left="22"/>
              <w:spacing w:after="0"/>
              <w:rPr>
                <w:sz w:val="20"/>
                <w:szCs w:val="20"/>
                <w:color w:val="auto"/>
              </w:rPr>
            </w:pPr>
            <w:r>
              <w:rPr>
                <w:rFonts w:ascii="Times New Roman" w:cs="Times New Roman" w:eastAsia="Times New Roman" w:hAnsi="Times New Roman"/>
                <w:sz w:val="20"/>
                <w:szCs w:val="20"/>
                <w:b w:val="1"/>
                <w:bCs w:val="1"/>
                <w:color w:val="auto"/>
                <w:w w:val="95"/>
              </w:rPr>
              <w:t>Part II</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900" w:type="dxa"/>
            <w:vAlign w:val="bottom"/>
            <w:vMerge w:val="restart"/>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5.</w:t>
            </w:r>
          </w:p>
        </w:tc>
        <w:tc>
          <w:tcPr>
            <w:tcW w:w="8080" w:type="dxa"/>
            <w:vAlign w:val="bottom"/>
            <w:shd w:val="clear" w:color="auto" w:fill="E6E6E6"/>
          </w:tcPr>
          <w:p>
            <w:pPr>
              <w:ind w:left="140"/>
              <w:spacing w:after="0" w:line="223" w:lineRule="exact"/>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tc>
        <w:tc>
          <w:tcPr>
            <w:tcW w:w="102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48</w:t>
            </w:r>
          </w:p>
        </w:tc>
        <w:tc>
          <w:tcPr>
            <w:tcW w:w="0" w:type="dxa"/>
            <w:vAlign w:val="bottom"/>
          </w:tcPr>
          <w:p>
            <w:pPr>
              <w:spacing w:after="0"/>
              <w:rPr>
                <w:sz w:val="1"/>
                <w:szCs w:val="1"/>
                <w:color w:val="auto"/>
              </w:rPr>
            </w:pPr>
          </w:p>
        </w:tc>
      </w:tr>
      <w:tr>
        <w:trPr>
          <w:trHeight w:val="266"/>
        </w:trPr>
        <w:tc>
          <w:tcPr>
            <w:tcW w:w="900" w:type="dxa"/>
            <w:vAlign w:val="bottom"/>
            <w:vMerge w:val="continue"/>
            <w:shd w:val="clear" w:color="auto" w:fill="E6E6E6"/>
          </w:tcPr>
          <w:p>
            <w:pPr>
              <w:spacing w:after="0"/>
              <w:rPr>
                <w:sz w:val="23"/>
                <w:szCs w:val="23"/>
                <w:color w:val="auto"/>
              </w:rPr>
            </w:pP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Equity Securities</w:t>
            </w:r>
          </w:p>
        </w:tc>
        <w:tc>
          <w:tcPr>
            <w:tcW w:w="102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6.</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49</w:t>
            </w:r>
          </w:p>
        </w:tc>
        <w:tc>
          <w:tcPr>
            <w:tcW w:w="0" w:type="dxa"/>
            <w:vAlign w:val="bottom"/>
          </w:tcPr>
          <w:p>
            <w:pPr>
              <w:spacing w:after="0"/>
              <w:rPr>
                <w:sz w:val="1"/>
                <w:szCs w:val="1"/>
                <w:color w:val="auto"/>
              </w:rPr>
            </w:pPr>
          </w:p>
        </w:tc>
      </w:tr>
      <w:tr>
        <w:trPr>
          <w:trHeight w:val="29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7.</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50</w:t>
            </w:r>
          </w:p>
        </w:tc>
        <w:tc>
          <w:tcPr>
            <w:tcW w:w="0" w:type="dxa"/>
            <w:vAlign w:val="bottom"/>
          </w:tcPr>
          <w:p>
            <w:pPr>
              <w:spacing w:after="0"/>
              <w:rPr>
                <w:sz w:val="1"/>
                <w:szCs w:val="1"/>
                <w:color w:val="auto"/>
              </w:rPr>
            </w:pPr>
          </w:p>
        </w:tc>
      </w:tr>
      <w:tr>
        <w:trPr>
          <w:trHeight w:val="286"/>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7A.</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66</w:t>
            </w:r>
          </w:p>
        </w:tc>
        <w:tc>
          <w:tcPr>
            <w:tcW w:w="0" w:type="dxa"/>
            <w:vAlign w:val="bottom"/>
          </w:tcPr>
          <w:p>
            <w:pPr>
              <w:spacing w:after="0"/>
              <w:rPr>
                <w:sz w:val="1"/>
                <w:szCs w:val="1"/>
                <w:color w:val="auto"/>
              </w:rPr>
            </w:pPr>
          </w:p>
        </w:tc>
      </w:tr>
      <w:tr>
        <w:trPr>
          <w:trHeight w:val="29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8.</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69</w:t>
            </w:r>
          </w:p>
        </w:tc>
        <w:tc>
          <w:tcPr>
            <w:tcW w:w="0" w:type="dxa"/>
            <w:vAlign w:val="bottom"/>
          </w:tcPr>
          <w:p>
            <w:pPr>
              <w:spacing w:after="0"/>
              <w:rPr>
                <w:sz w:val="1"/>
                <w:szCs w:val="1"/>
                <w:color w:val="auto"/>
              </w:rPr>
            </w:pPr>
          </w:p>
        </w:tc>
      </w:tr>
      <w:tr>
        <w:trPr>
          <w:trHeight w:val="286"/>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9.</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9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9A.</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Controls and Procedures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86"/>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9B.</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Information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284"/>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9C.</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271"/>
        </w:trPr>
        <w:tc>
          <w:tcPr>
            <w:tcW w:w="900" w:type="dxa"/>
            <w:vAlign w:val="bottom"/>
          </w:tcPr>
          <w:p>
            <w:pPr>
              <w:spacing w:after="0"/>
              <w:rPr>
                <w:sz w:val="23"/>
                <w:szCs w:val="23"/>
                <w:color w:val="auto"/>
              </w:rPr>
            </w:pPr>
          </w:p>
        </w:tc>
        <w:tc>
          <w:tcPr>
            <w:tcW w:w="8080" w:type="dxa"/>
            <w:vAlign w:val="bottom"/>
          </w:tcPr>
          <w:p>
            <w:pPr>
              <w:jc w:val="center"/>
              <w:ind w:left="22"/>
              <w:spacing w:after="0"/>
              <w:rPr>
                <w:sz w:val="20"/>
                <w:szCs w:val="20"/>
                <w:color w:val="auto"/>
              </w:rPr>
            </w:pPr>
            <w:r>
              <w:rPr>
                <w:rFonts w:ascii="Times New Roman" w:cs="Times New Roman" w:eastAsia="Times New Roman" w:hAnsi="Times New Roman"/>
                <w:sz w:val="20"/>
                <w:szCs w:val="20"/>
                <w:b w:val="1"/>
                <w:bCs w:val="1"/>
                <w:color w:val="auto"/>
                <w:w w:val="96"/>
              </w:rPr>
              <w:t>Part III</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10.</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286"/>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11.</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Executive Compensation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48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12.</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w w:val="97"/>
              </w:rPr>
              <w:t>Security Ownership of Certain Beneficial Owners and Management and Related Stockholder Matters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289"/>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13.</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296"/>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14.</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271"/>
        </w:trPr>
        <w:tc>
          <w:tcPr>
            <w:tcW w:w="900" w:type="dxa"/>
            <w:vAlign w:val="bottom"/>
          </w:tcPr>
          <w:p>
            <w:pPr>
              <w:spacing w:after="0"/>
              <w:rPr>
                <w:sz w:val="23"/>
                <w:szCs w:val="23"/>
                <w:color w:val="auto"/>
              </w:rPr>
            </w:pPr>
          </w:p>
        </w:tc>
        <w:tc>
          <w:tcPr>
            <w:tcW w:w="8080" w:type="dxa"/>
            <w:vAlign w:val="bottom"/>
          </w:tcPr>
          <w:p>
            <w:pPr>
              <w:jc w:val="center"/>
              <w:ind w:left="22"/>
              <w:spacing w:after="0"/>
              <w:rPr>
                <w:sz w:val="20"/>
                <w:szCs w:val="20"/>
                <w:color w:val="auto"/>
              </w:rPr>
            </w:pPr>
            <w:r>
              <w:rPr>
                <w:rFonts w:ascii="Times New Roman" w:cs="Times New Roman" w:eastAsia="Times New Roman" w:hAnsi="Times New Roman"/>
                <w:sz w:val="20"/>
                <w:szCs w:val="20"/>
                <w:b w:val="1"/>
                <w:bCs w:val="1"/>
                <w:color w:val="auto"/>
                <w:w w:val="98"/>
              </w:rPr>
              <w:t>Part IV</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Item 15.</w:t>
            </w:r>
          </w:p>
        </w:tc>
        <w:tc>
          <w:tcPr>
            <w:tcW w:w="80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1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113</w:t>
            </w:r>
          </w:p>
        </w:tc>
        <w:tc>
          <w:tcPr>
            <w:tcW w:w="0" w:type="dxa"/>
            <w:vAlign w:val="bottom"/>
          </w:tcPr>
          <w:p>
            <w:pPr>
              <w:spacing w:after="0"/>
              <w:rPr>
                <w:sz w:val="1"/>
                <w:szCs w:val="1"/>
                <w:color w:val="auto"/>
              </w:rPr>
            </w:pPr>
          </w:p>
        </w:tc>
      </w:tr>
      <w:tr>
        <w:trPr>
          <w:trHeight w:val="279"/>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16.</w:t>
            </w: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10-K Summary</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76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000"/>
          </w:cols>
          <w:pgMar w:left="940" w:top="764" w:right="940"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339" w:lineRule="exact"/>
        <w:rPr>
          <w:sz w:val="20"/>
          <w:szCs w:val="20"/>
          <w:color w:val="auto"/>
        </w:rPr>
      </w:pPr>
    </w:p>
    <w:p>
      <w:pPr>
        <w:ind w:firstLine="439"/>
        <w:spacing w:after="0" w:line="247"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13" w:lineRule="exact"/>
        <w:rPr>
          <w:sz w:val="20"/>
          <w:szCs w:val="20"/>
          <w:color w:val="auto"/>
        </w:rPr>
      </w:pPr>
    </w:p>
    <w:p>
      <w:pPr>
        <w:jc w:val="both"/>
        <w:ind w:left="780" w:right="700" w:hanging="343"/>
        <w:spacing w:after="0" w:line="256" w:lineRule="auto"/>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200"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users and convert users to paying users;</w:t>
      </w:r>
    </w:p>
    <w:p>
      <w:pPr>
        <w:spacing w:after="0" w:line="238" w:lineRule="exact"/>
        <w:rPr>
          <w:rFonts w:ascii="Times New Roman" w:cs="Times New Roman" w:eastAsia="Times New Roman" w:hAnsi="Times New Roman"/>
          <w:sz w:val="20"/>
          <w:szCs w:val="20"/>
          <w:color w:val="auto"/>
        </w:rPr>
      </w:pPr>
    </w:p>
    <w:p>
      <w:pPr>
        <w:ind w:left="780" w:right="880" w:hanging="343"/>
        <w:spacing w:after="0" w:line="269" w:lineRule="auto"/>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prevent security breaches and our liability or other potential legal, regulatory, or reputational consequences of any unauthorized access to our data or our customer data;</w:t>
      </w:r>
    </w:p>
    <w:p>
      <w:pPr>
        <w:spacing w:after="0" w:line="186"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prevent any significant disruption of service on our platform or loss of content;</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successfully in competitive markets;</w:t>
      </w:r>
    </w:p>
    <w:p>
      <w:pPr>
        <w:spacing w:after="0" w:line="238" w:lineRule="exact"/>
        <w:rPr>
          <w:rFonts w:ascii="Times New Roman" w:cs="Times New Roman" w:eastAsia="Times New Roman" w:hAnsi="Times New Roman"/>
          <w:sz w:val="20"/>
          <w:szCs w:val="20"/>
          <w:color w:val="auto"/>
        </w:rPr>
      </w:pPr>
    </w:p>
    <w:p>
      <w:pPr>
        <w:ind w:left="780" w:right="20" w:hanging="343"/>
        <w:spacing w:after="0" w:line="253" w:lineRule="auto"/>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potential impacts of permanent global remote or distributed work, on our business, the business of our customers, suppliers and partners, and the economy;</w:t>
      </w:r>
    </w:p>
    <w:p>
      <w:pPr>
        <w:spacing w:after="0" w:line="185"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our platform or for content collaboration solutions in general;</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integrate our platform with others;</w:t>
      </w:r>
    </w:p>
    <w:p>
      <w:pPr>
        <w:spacing w:after="0" w:line="238" w:lineRule="exact"/>
        <w:rPr>
          <w:rFonts w:ascii="Times New Roman" w:cs="Times New Roman" w:eastAsia="Times New Roman" w:hAnsi="Times New Roman"/>
          <w:sz w:val="20"/>
          <w:szCs w:val="20"/>
          <w:color w:val="auto"/>
        </w:rPr>
      </w:pPr>
    </w:p>
    <w:p>
      <w:pPr>
        <w:ind w:left="780" w:right="440" w:hanging="343"/>
        <w:spacing w:after="0" w:line="308" w:lineRule="auto"/>
        <w:tabs>
          <w:tab w:leader="none" w:pos="7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139" w:lineRule="exact"/>
        <w:rPr>
          <w:rFonts w:ascii="Times New Roman" w:cs="Times New Roman" w:eastAsia="Times New Roman" w:hAnsi="Times New Roman"/>
          <w:sz w:val="18"/>
          <w:szCs w:val="18"/>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or maintain profitability;</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around future growth;</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introduce new products and features;</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invest in the development of new products and technologies;</w:t>
      </w:r>
    </w:p>
    <w:p>
      <w:pPr>
        <w:spacing w:after="0" w:line="238" w:lineRule="exact"/>
        <w:rPr>
          <w:rFonts w:ascii="Times New Roman" w:cs="Times New Roman" w:eastAsia="Times New Roman" w:hAnsi="Times New Roman"/>
          <w:sz w:val="20"/>
          <w:szCs w:val="20"/>
          <w:color w:val="auto"/>
        </w:rPr>
      </w:pPr>
    </w:p>
    <w:p>
      <w:pPr>
        <w:ind w:left="780" w:right="200" w:hanging="343"/>
        <w:spacing w:after="0" w:line="269" w:lineRule="auto"/>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retain, integrate, and manage key and other highly qualified personnel, including as a result of our Virtual First work model with an increasingly distributed workforce;</w:t>
      </w:r>
    </w:p>
    <w:p>
      <w:pPr>
        <w:spacing w:after="0" w:line="186" w:lineRule="exact"/>
        <w:rPr>
          <w:rFonts w:ascii="Times New Roman" w:cs="Times New Roman" w:eastAsia="Times New Roman" w:hAnsi="Times New Roman"/>
          <w:sz w:val="20"/>
          <w:szCs w:val="20"/>
          <w:color w:val="auto"/>
        </w:rPr>
      </w:pPr>
    </w:p>
    <w:p>
      <w:pPr>
        <w:ind w:left="780" w:right="320" w:hanging="343"/>
        <w:spacing w:after="0" w:line="269" w:lineRule="auto"/>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capital allocation plans, including expected allocations of cash and timing for our share repurchases and other investments;</w:t>
      </w:r>
    </w:p>
    <w:p>
      <w:pPr>
        <w:spacing w:after="0" w:line="186" w:lineRule="exact"/>
        <w:rPr>
          <w:rFonts w:ascii="Times New Roman" w:cs="Times New Roman" w:eastAsia="Times New Roman" w:hAnsi="Times New Roman"/>
          <w:sz w:val="20"/>
          <w:szCs w:val="20"/>
          <w:color w:val="auto"/>
        </w:rPr>
      </w:pPr>
    </w:p>
    <w:p>
      <w:pPr>
        <w:ind w:left="780" w:right="80" w:hanging="343"/>
        <w:spacing w:after="0" w:line="269" w:lineRule="auto"/>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challenges and anticipated benefits to our business from our Virtual First work model as well as the impact to our financial results and business operations as a result of this model;</w:t>
      </w:r>
    </w:p>
    <w:p>
      <w:pPr>
        <w:spacing w:after="0" w:line="186" w:lineRule="exact"/>
        <w:rPr>
          <w:rFonts w:ascii="Times New Roman" w:cs="Times New Roman" w:eastAsia="Times New Roman" w:hAnsi="Times New Roman"/>
          <w:sz w:val="20"/>
          <w:szCs w:val="20"/>
          <w:color w:val="auto"/>
        </w:rPr>
      </w:pPr>
    </w:p>
    <w:p>
      <w:pPr>
        <w:ind w:left="780" w:right="660" w:hanging="343"/>
        <w:spacing w:after="0" w:line="253" w:lineRule="auto"/>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general economic, political, and market trends and their respective impacts on our business;</w:t>
      </w:r>
    </w:p>
    <w:p>
      <w:pPr>
        <w:spacing w:after="0" w:line="185"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new or modified laws, policies, taxes, and regulations on our business;</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protect, and enhance our intellectual property;</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sufficiency of our cash and cash equivalents to meet our liquidity needs; and</w:t>
      </w:r>
    </w:p>
    <w:p>
      <w:pPr>
        <w:sectPr>
          <w:pgSz w:w="11880" w:h="15480" w:orient="portrait"/>
          <w:cols w:equalWidth="0" w:num="1">
            <w:col w:w="10000"/>
          </w:cols>
          <w:pgMar w:left="940" w:top="689" w:right="940" w:bottom="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000"/>
          </w:cols>
          <w:pgMar w:left="940" w:top="689" w:right="940" w:bottom="0" w:gutter="0" w:footer="0" w:header="0"/>
          <w:type w:val="continuous"/>
        </w:sectPr>
      </w:pPr>
    </w:p>
    <w:bookmarkStart w:id="106" w:name="page107"/>
    <w:bookmarkEnd w:id="106"/>
    <w:p>
      <w:pPr>
        <w:ind w:left="780" w:right="600" w:hanging="343"/>
        <w:spacing w:after="0" w:line="269" w:lineRule="auto"/>
        <w:tabs>
          <w:tab w:leader="none" w:pos="78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of companies and assets, including our ability to successfully integrate and realize the anticipated benefits of such acquisitions.</w:t>
      </w:r>
    </w:p>
    <w:p>
      <w:pPr>
        <w:spacing w:after="0" w:line="187" w:lineRule="exact"/>
        <w:rPr>
          <w:sz w:val="20"/>
          <w:szCs w:val="20"/>
          <w:color w:val="auto"/>
        </w:rPr>
      </w:pPr>
    </w:p>
    <w:p>
      <w:pPr>
        <w:ind w:right="120" w:firstLine="483"/>
        <w:spacing w:after="0" w:line="269" w:lineRule="auto"/>
        <w:rPr>
          <w:sz w:val="20"/>
          <w:szCs w:val="20"/>
          <w:color w:val="auto"/>
        </w:rPr>
      </w:pPr>
      <w:r>
        <w:rPr>
          <w:rFonts w:ascii="Times New Roman" w:cs="Times New Roman" w:eastAsia="Times New Roman" w:hAnsi="Times New Roman"/>
          <w:sz w:val="20"/>
          <w:szCs w:val="20"/>
          <w:color w:val="auto"/>
        </w:rPr>
        <w:t>We caution you that the foregoing list may not contain all of the forward-looking statements made in this Annual Report on Form 10-K.</w:t>
      </w:r>
    </w:p>
    <w:p>
      <w:pPr>
        <w:spacing w:after="0" w:line="187" w:lineRule="exact"/>
        <w:rPr>
          <w:sz w:val="20"/>
          <w:szCs w:val="20"/>
          <w:color w:val="auto"/>
        </w:rPr>
      </w:pPr>
    </w:p>
    <w:p>
      <w:pPr>
        <w:ind w:firstLine="483"/>
        <w:spacing w:after="0" w:line="247" w:lineRule="auto"/>
        <w:rPr>
          <w:sz w:val="20"/>
          <w:szCs w:val="20"/>
          <w:color w:val="auto"/>
        </w:rPr>
      </w:pPr>
      <w:r>
        <w:rPr>
          <w:rFonts w:ascii="Times New Roman" w:cs="Times New Roman" w:eastAsia="Times New Roman" w:hAnsi="Times New Roman"/>
          <w:sz w:val="20"/>
          <w:szCs w:val="20"/>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7" w:lineRule="exact"/>
        <w:rPr>
          <w:sz w:val="20"/>
          <w:szCs w:val="20"/>
          <w:color w:val="auto"/>
        </w:rPr>
      </w:pPr>
    </w:p>
    <w:p>
      <w:pPr>
        <w:ind w:right="60" w:firstLine="483"/>
        <w:spacing w:after="0" w:line="248" w:lineRule="auto"/>
        <w:rPr>
          <w:sz w:val="20"/>
          <w:szCs w:val="20"/>
          <w:color w:val="auto"/>
        </w:rPr>
      </w:pPr>
      <w:r>
        <w:rPr>
          <w:rFonts w:ascii="Times New Roman" w:cs="Times New Roman" w:eastAsia="Times New Roman" w:hAnsi="Times New Roman"/>
          <w:sz w:val="20"/>
          <w:szCs w:val="20"/>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pgSz w:w="11880" w:h="15480" w:orient="portrait"/>
          <w:cols w:equalWidth="0" w:num="1">
            <w:col w:w="10000"/>
          </w:cols>
          <w:pgMar w:left="940" w:top="93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000"/>
          </w:cols>
          <w:pgMar w:left="940" w:top="930" w:right="940" w:bottom="0" w:gutter="0" w:footer="0" w:header="0"/>
          <w:type w:val="continuous"/>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245" w:lineRule="exact"/>
        <w:rPr>
          <w:sz w:val="20"/>
          <w:szCs w:val="20"/>
          <w:color w:val="auto"/>
        </w:rPr>
      </w:pPr>
    </w:p>
    <w:p>
      <w:pPr>
        <w:ind w:right="140" w:firstLine="439"/>
        <w:spacing w:after="0" w:line="249" w:lineRule="auto"/>
        <w:rPr>
          <w:sz w:val="20"/>
          <w:szCs w:val="20"/>
          <w:color w:val="auto"/>
        </w:rPr>
      </w:pPr>
      <w:r>
        <w:rPr>
          <w:rFonts w:ascii="Times New Roman" w:cs="Times New Roman" w:eastAsia="Times New Roman" w:hAnsi="Times New Roman"/>
          <w:sz w:val="20"/>
          <w:szCs w:val="20"/>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 before making an investment decision regarding our Class A common stock.</w:t>
      </w:r>
    </w:p>
    <w:p>
      <w:pPr>
        <w:spacing w:after="0" w:line="207" w:lineRule="exact"/>
        <w:rPr>
          <w:sz w:val="20"/>
          <w:szCs w:val="20"/>
          <w:color w:val="auto"/>
        </w:rPr>
      </w:pPr>
    </w:p>
    <w:p>
      <w:pPr>
        <w:ind w:left="780" w:right="160" w:hanging="343"/>
        <w:spacing w:after="0" w:line="256" w:lineRule="auto"/>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spacing w:after="0" w:line="200" w:lineRule="exact"/>
        <w:rPr>
          <w:rFonts w:ascii="Times New Roman" w:cs="Times New Roman" w:eastAsia="Times New Roman" w:hAnsi="Times New Roman"/>
          <w:sz w:val="20"/>
          <w:szCs w:val="20"/>
          <w:color w:val="auto"/>
        </w:rPr>
      </w:pPr>
    </w:p>
    <w:p>
      <w:pPr>
        <w:ind w:left="780" w:right="260" w:hanging="343"/>
        <w:spacing w:after="0" w:line="326" w:lineRule="auto"/>
        <w:tabs>
          <w:tab w:leader="none" w:pos="7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attract and retain users, convert users to paying users and upgrade paying users, and any decline in acquisitions, renewals or upgrades could adversely affect our future results of operations.</w:t>
      </w:r>
    </w:p>
    <w:p>
      <w:pPr>
        <w:spacing w:after="0" w:line="139" w:lineRule="exact"/>
        <w:rPr>
          <w:rFonts w:ascii="Times New Roman" w:cs="Times New Roman" w:eastAsia="Times New Roman" w:hAnsi="Times New Roman"/>
          <w:sz w:val="18"/>
          <w:szCs w:val="18"/>
          <w:color w:val="auto"/>
        </w:rPr>
      </w:pPr>
    </w:p>
    <w:p>
      <w:pPr>
        <w:ind w:left="780" w:hanging="343"/>
        <w:spacing w:after="0"/>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 the past and may continue to experience privacy and data security breaches or incidents.</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could be harmed by any significant disruption of service on our platform or loss of content.</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competitive markets, and we must continue to compete effectively.</w:t>
      </w:r>
    </w:p>
    <w:p>
      <w:pPr>
        <w:spacing w:after="0" w:line="238" w:lineRule="exact"/>
        <w:rPr>
          <w:rFonts w:ascii="Times New Roman" w:cs="Times New Roman" w:eastAsia="Times New Roman" w:hAnsi="Times New Roman"/>
          <w:sz w:val="20"/>
          <w:szCs w:val="20"/>
          <w:color w:val="auto"/>
        </w:rPr>
      </w:pPr>
    </w:p>
    <w:p>
      <w:pPr>
        <w:ind w:left="780" w:right="420" w:hanging="343"/>
        <w:spacing w:after="0" w:line="269" w:lineRule="auto"/>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respond to rapid technological changes, extend our platform, or develop new features or products may harm our ability to compete effectively, which would adversely affect our business.</w:t>
      </w:r>
    </w:p>
    <w:p>
      <w:pPr>
        <w:spacing w:after="0" w:line="186" w:lineRule="exact"/>
        <w:rPr>
          <w:rFonts w:ascii="Times New Roman" w:cs="Times New Roman" w:eastAsia="Times New Roman" w:hAnsi="Times New Roman"/>
          <w:sz w:val="20"/>
          <w:szCs w:val="20"/>
          <w:color w:val="auto"/>
        </w:rPr>
      </w:pPr>
    </w:p>
    <w:p>
      <w:pPr>
        <w:ind w:left="780" w:right="340" w:hanging="343"/>
        <w:spacing w:after="0" w:line="269" w:lineRule="auto"/>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depends upon the interoperability of our platform across devices, operating systems, and third-party applications that we do not control.</w:t>
      </w:r>
    </w:p>
    <w:p>
      <w:pPr>
        <w:spacing w:after="0" w:line="186" w:lineRule="exact"/>
        <w:rPr>
          <w:rFonts w:ascii="Times New Roman" w:cs="Times New Roman" w:eastAsia="Times New Roman" w:hAnsi="Times New Roman"/>
          <w:sz w:val="20"/>
          <w:szCs w:val="20"/>
          <w:color w:val="auto"/>
        </w:rPr>
      </w:pPr>
    </w:p>
    <w:p>
      <w:pPr>
        <w:ind w:left="780" w:right="400" w:hanging="343"/>
        <w:spacing w:after="0" w:line="269" w:lineRule="auto"/>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generate revenue from sales of subscriptions to our platform, and declines in demand for our platform, or for content collaboration solutions in general, could negatively impact our business.</w:t>
      </w:r>
    </w:p>
    <w:p>
      <w:pPr>
        <w:spacing w:after="0" w:line="186" w:lineRule="exact"/>
        <w:rPr>
          <w:rFonts w:ascii="Times New Roman" w:cs="Times New Roman" w:eastAsia="Times New Roman" w:hAnsi="Times New Roman"/>
          <w:sz w:val="20"/>
          <w:szCs w:val="20"/>
          <w:color w:val="auto"/>
        </w:rPr>
      </w:pPr>
    </w:p>
    <w:p>
      <w:pPr>
        <w:ind w:left="780" w:right="240" w:hanging="343"/>
        <w:spacing w:after="0" w:line="269" w:lineRule="auto"/>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our key personnel and other highly qualified personnel, and if we fail to attract, integrate, and retain our personnel, and maintain our unique corporate culture, our business could be harmed.</w:t>
      </w:r>
    </w:p>
    <w:p>
      <w:pPr>
        <w:spacing w:after="0" w:line="186" w:lineRule="exact"/>
        <w:rPr>
          <w:rFonts w:ascii="Times New Roman" w:cs="Times New Roman" w:eastAsia="Times New Roman" w:hAnsi="Times New Roman"/>
          <w:sz w:val="20"/>
          <w:szCs w:val="20"/>
          <w:color w:val="auto"/>
        </w:rPr>
      </w:pPr>
    </w:p>
    <w:p>
      <w:pPr>
        <w:ind w:left="780" w:right="660" w:hanging="343"/>
        <w:spacing w:after="0" w:line="269" w:lineRule="auto"/>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with a Virtual First workforce and the long-term impact of this model on our financial results and business operations remains uncertain.</w:t>
      </w:r>
    </w:p>
    <w:p>
      <w:pPr>
        <w:spacing w:after="0" w:line="186" w:lineRule="exact"/>
        <w:rPr>
          <w:rFonts w:ascii="Times New Roman" w:cs="Times New Roman" w:eastAsia="Times New Roman" w:hAnsi="Times New Roman"/>
          <w:sz w:val="20"/>
          <w:szCs w:val="20"/>
          <w:color w:val="auto"/>
        </w:rPr>
      </w:pPr>
    </w:p>
    <w:p>
      <w:pPr>
        <w:ind w:left="780" w:right="560" w:hanging="343"/>
        <w:spacing w:after="0" w:line="269" w:lineRule="auto"/>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may be significantly impacted by a change in general economic, political, and market conditions, including any resulting effect on consumer or business spending.</w:t>
      </w:r>
    </w:p>
    <w:p>
      <w:pPr>
        <w:spacing w:after="0" w:line="186"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lack of a significant outbound sales force may limit the potential growth of our business.</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revenue growth rate has declined in recent periods and may continue to slow in the future.</w:t>
      </w:r>
    </w:p>
    <w:p>
      <w:pPr>
        <w:spacing w:after="0" w:line="238" w:lineRule="exact"/>
        <w:rPr>
          <w:rFonts w:ascii="Times New Roman" w:cs="Times New Roman" w:eastAsia="Times New Roman" w:hAnsi="Times New Roman"/>
          <w:sz w:val="20"/>
          <w:szCs w:val="20"/>
          <w:color w:val="auto"/>
        </w:rPr>
      </w:pPr>
    </w:p>
    <w:p>
      <w:pPr>
        <w:ind w:left="780" w:hanging="343"/>
        <w:spacing w:after="0"/>
        <w:tabs>
          <w:tab w:leader="none" w:pos="7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increase expenses in the future, and we may not be able to achieve or maintain profitability in future periods.</w:t>
      </w:r>
    </w:p>
    <w:p>
      <w:pPr>
        <w:spacing w:after="0" w:line="261" w:lineRule="exact"/>
        <w:rPr>
          <w:rFonts w:ascii="Times New Roman" w:cs="Times New Roman" w:eastAsia="Times New Roman" w:hAnsi="Times New Roman"/>
          <w:sz w:val="18"/>
          <w:szCs w:val="18"/>
          <w:color w:val="auto"/>
        </w:rPr>
      </w:pPr>
    </w:p>
    <w:p>
      <w:pPr>
        <w:ind w:left="780" w:hanging="343"/>
        <w:spacing w:after="0" w:line="256" w:lineRule="auto"/>
        <w:tabs>
          <w:tab w:leader="none" w:pos="7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Servicing our indebtedness under our term loan facility, 2026 Notes and 2028 Notes (as defined below) may require a significant amount of cash, and we may not have sufficient cash flow or the ability to raise the funds necessary to satisfy our obligations under the term loan facility, 2026 Notes, or 2028 Notes.</w:t>
      </w:r>
    </w:p>
    <w:p>
      <w:pPr>
        <w:sectPr>
          <w:pgSz w:w="11880" w:h="15480" w:orient="portrait"/>
          <w:cols w:equalWidth="0" w:num="1">
            <w:col w:w="9980"/>
          </w:cols>
          <w:pgMar w:left="940" w:top="68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980"/>
          </w:cols>
          <w:pgMar w:left="940" w:top="689" w:right="96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7"/>
          <w:szCs w:val="27"/>
          <w:b w:val="1"/>
          <w:bCs w:val="1"/>
          <w:color w:val="auto"/>
        </w:rPr>
        <w:t>PART I.</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1. BUSINESS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Dropbox, Inc. (the “Company”, “we”, or “us”) is the one place to keep life organized and keep work moving.</w:t>
      </w:r>
    </w:p>
    <w:p>
      <w:pPr>
        <w:spacing w:after="0" w:line="121" w:lineRule="exact"/>
        <w:rPr>
          <w:sz w:val="20"/>
          <w:szCs w:val="20"/>
          <w:color w:val="auto"/>
        </w:rPr>
      </w:pPr>
    </w:p>
    <w:p>
      <w:pPr>
        <w:ind w:right="340" w:firstLine="483"/>
        <w:spacing w:after="0" w:line="252" w:lineRule="auto"/>
        <w:rPr>
          <w:sz w:val="20"/>
          <w:szCs w:val="20"/>
          <w:color w:val="auto"/>
        </w:rPr>
      </w:pPr>
      <w:r>
        <w:rPr>
          <w:rFonts w:ascii="Times New Roman" w:cs="Times New Roman" w:eastAsia="Times New Roman" w:hAnsi="Times New Roman"/>
          <w:sz w:val="20"/>
          <w:szCs w:val="20"/>
          <w:color w:val="auto"/>
        </w:rPr>
        <w:t>We were founded in 2007 with a simple idea: Life would be a lot better if everyone could access their most important information anytime from any device. We’ve largely accomplished that mission by building tools to help people work from anywhere—and along the way we recognized that for most of our users, sharing and collaborating on the Dropbox, Inc. platform (“Dropbox”) was even more valuable than storing files.</w:t>
      </w:r>
    </w:p>
    <w:p>
      <w:pPr>
        <w:spacing w:after="0" w:line="204" w:lineRule="exact"/>
        <w:rPr>
          <w:sz w:val="20"/>
          <w:szCs w:val="20"/>
          <w:color w:val="auto"/>
        </w:rPr>
      </w:pPr>
    </w:p>
    <w:p>
      <w:pPr>
        <w:ind w:right="100" w:firstLine="483"/>
        <w:spacing w:after="0" w:line="248" w:lineRule="auto"/>
        <w:rPr>
          <w:sz w:val="20"/>
          <w:szCs w:val="20"/>
          <w:color w:val="auto"/>
        </w:rPr>
      </w:pPr>
      <w:r>
        <w:rPr>
          <w:rFonts w:ascii="Times New Roman" w:cs="Times New Roman" w:eastAsia="Times New Roman" w:hAnsi="Times New Roman"/>
          <w:sz w:val="20"/>
          <w:szCs w:val="20"/>
          <w:color w:val="auto"/>
        </w:rPr>
        <w:t>Our market opportunity grew as we’ve expanded from keeping files in sync to keeping teams in sync. Today, we are focused on reimagining the way work gets done by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pacing w:after="0" w:line="209" w:lineRule="exact"/>
        <w:rPr>
          <w:sz w:val="20"/>
          <w:szCs w:val="20"/>
          <w:color w:val="auto"/>
        </w:rPr>
      </w:pPr>
    </w:p>
    <w:p>
      <w:pPr>
        <w:ind w:right="160" w:firstLine="483"/>
        <w:spacing w:after="0" w:line="269" w:lineRule="auto"/>
        <w:rPr>
          <w:sz w:val="20"/>
          <w:szCs w:val="20"/>
          <w:color w:val="auto"/>
        </w:rPr>
      </w:pPr>
      <w:r>
        <w:rPr>
          <w:rFonts w:ascii="Times New Roman" w:cs="Times New Roman" w:eastAsia="Times New Roman" w:hAnsi="Times New Roman"/>
          <w:sz w:val="20"/>
          <w:szCs w:val="20"/>
          <w:color w:val="auto"/>
        </w:rPr>
        <w:t>By solving these universal problems, we’ve become invaluable to our users. The popularity of our platform allows us to scale efficiently. We’ve built a thriving global business with 18.08 million paying users as of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Sets Us Apart</w:t>
      </w:r>
    </w:p>
    <w:p>
      <w:pPr>
        <w:spacing w:after="0" w:line="128" w:lineRule="exact"/>
        <w:rPr>
          <w:sz w:val="20"/>
          <w:szCs w:val="20"/>
          <w:color w:val="auto"/>
        </w:rPr>
      </w:pPr>
    </w:p>
    <w:p>
      <w:pPr>
        <w:ind w:right="140" w:firstLine="483"/>
        <w:spacing w:after="0" w:line="252" w:lineRule="auto"/>
        <w:rPr>
          <w:sz w:val="20"/>
          <w:szCs w:val="20"/>
          <w:color w:val="auto"/>
        </w:rPr>
      </w:pPr>
      <w:r>
        <w:rPr>
          <w:rFonts w:ascii="Times New Roman" w:cs="Times New Roman" w:eastAsia="Times New Roman" w:hAnsi="Times New Roman"/>
          <w:sz w:val="20"/>
          <w:szCs w:val="20"/>
          <w:color w:val="auto"/>
        </w:rPr>
        <w:t>From our founding, we’ve focused on simplifying the lives of our users. In a world where business software can be frustrating to use, challenging to integrate, and expensive to sell, we take a different approach. As businesses around the world adapt to a distributed environment, we are at the forefront of developing the technology to support them. We provide tools to help distributed teams prioritize, get organized, and keep work moving securely—from anywhere.</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Simple and intuitive design</w:t>
      </w:r>
    </w:p>
    <w:p>
      <w:pPr>
        <w:spacing w:after="0" w:line="129" w:lineRule="exact"/>
        <w:rPr>
          <w:sz w:val="20"/>
          <w:szCs w:val="20"/>
          <w:color w:val="auto"/>
        </w:rPr>
      </w:pPr>
    </w:p>
    <w:p>
      <w:pPr>
        <w:jc w:val="both"/>
        <w:ind w:firstLine="483"/>
        <w:spacing w:after="0" w:line="256" w:lineRule="auto"/>
        <w:rPr>
          <w:sz w:val="20"/>
          <w:szCs w:val="20"/>
          <w:color w:val="auto"/>
        </w:rPr>
      </w:pPr>
      <w:r>
        <w:rPr>
          <w:rFonts w:ascii="Times New Roman" w:cs="Times New Roman" w:eastAsia="Times New Roman" w:hAnsi="Times New Roman"/>
          <w:sz w:val="20"/>
          <w:szCs w:val="20"/>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Open ecosystem</w:t>
      </w:r>
    </w:p>
    <w:p>
      <w:pPr>
        <w:spacing w:after="0" w:line="129" w:lineRule="exact"/>
        <w:rPr>
          <w:sz w:val="20"/>
          <w:szCs w:val="20"/>
          <w:color w:val="auto"/>
        </w:rPr>
      </w:pPr>
    </w:p>
    <w:p>
      <w:pPr>
        <w:ind w:right="80" w:firstLine="483"/>
        <w:spacing w:after="0" w:line="252" w:lineRule="auto"/>
        <w:rPr>
          <w:sz w:val="20"/>
          <w:szCs w:val="20"/>
          <w:color w:val="auto"/>
        </w:rPr>
      </w:pPr>
      <w:r>
        <w:rPr>
          <w:rFonts w:ascii="Times New Roman" w:cs="Times New Roman" w:eastAsia="Times New Roman" w:hAnsi="Times New Roman"/>
          <w:sz w:val="20"/>
          <w:szCs w:val="20"/>
          <w:color w:val="auto"/>
        </w:rPr>
        <w:t>Because people use a wide variety of devices, tools and platforms, Dropbox works across the devices, operating systems, and apps users want—from Android to iOS, Windows, Mac, desktop, and mobile. We also integrate seamlessly with other products, integrating with partners including Microsoft, Zoom, Slack (now part of Salesforce), BetterCloud, Atlassian, Google and a variety of productivity, collaboration, data management, and security vendors.</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Viral, bottom-up adoption</w:t>
      </w:r>
    </w:p>
    <w:p>
      <w:pPr>
        <w:spacing w:after="0" w:line="129" w:lineRule="exact"/>
        <w:rPr>
          <w:sz w:val="20"/>
          <w:szCs w:val="20"/>
          <w:color w:val="auto"/>
        </w:rPr>
      </w:pPr>
    </w:p>
    <w:p>
      <w:pPr>
        <w:ind w:right="20" w:firstLine="483"/>
        <w:spacing w:after="0" w:line="256" w:lineRule="auto"/>
        <w:rPr>
          <w:sz w:val="20"/>
          <w:szCs w:val="20"/>
          <w:color w:val="auto"/>
        </w:rPr>
      </w:pPr>
      <w:r>
        <w:rPr>
          <w:rFonts w:ascii="Times New Roman" w:cs="Times New Roman" w:eastAsia="Times New Roman" w:hAnsi="Times New Roman"/>
          <w:sz w:val="20"/>
          <w:szCs w:val="20"/>
          <w:color w:val="auto"/>
        </w:rPr>
        <w:t>Every year, millions of users sign up for Dropbox. Bottom-up adoption within organizations has been critical to our strategy and success as users increasingly choose their own tools at work. We generate over 90% of our revenue from self-serve channels—users who purchase a subscription through our app or website.</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Performance and security</w:t>
      </w:r>
    </w:p>
    <w:p>
      <w:pPr>
        <w:spacing w:after="0" w:line="129" w:lineRule="exact"/>
        <w:rPr>
          <w:sz w:val="20"/>
          <w:szCs w:val="20"/>
          <w:color w:val="auto"/>
        </w:rPr>
      </w:pPr>
    </w:p>
    <w:p>
      <w:pPr>
        <w:ind w:right="140" w:firstLine="483"/>
        <w:spacing w:after="0" w:line="289" w:lineRule="auto"/>
        <w:rPr>
          <w:sz w:val="20"/>
          <w:szCs w:val="20"/>
          <w:color w:val="auto"/>
        </w:rPr>
      </w:pPr>
      <w:r>
        <w:rPr>
          <w:rFonts w:ascii="Times New Roman" w:cs="Times New Roman" w:eastAsia="Times New Roman" w:hAnsi="Times New Roman"/>
          <w:sz w:val="18"/>
          <w:szCs w:val="18"/>
          <w:color w:val="auto"/>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Solution</w:t>
      </w:r>
    </w:p>
    <w:p>
      <w:pPr>
        <w:spacing w:after="0" w:line="128" w:lineRule="exact"/>
        <w:rPr>
          <w:sz w:val="20"/>
          <w:szCs w:val="20"/>
          <w:color w:val="auto"/>
        </w:rPr>
      </w:pPr>
    </w:p>
    <w:p>
      <w:pPr>
        <w:ind w:right="80" w:firstLine="483"/>
        <w:spacing w:after="0" w:line="326" w:lineRule="auto"/>
        <w:rPr>
          <w:sz w:val="20"/>
          <w:szCs w:val="20"/>
          <w:color w:val="auto"/>
        </w:rPr>
      </w:pPr>
      <w:r>
        <w:rPr>
          <w:rFonts w:ascii="Times New Roman" w:cs="Times New Roman" w:eastAsia="Times New Roman" w:hAnsi="Times New Roman"/>
          <w:sz w:val="18"/>
          <w:szCs w:val="18"/>
          <w:color w:val="auto"/>
        </w:rPr>
        <w:t>Dropbox allows individuals, teams, and organizations to collaborate more effectively and focus on the work that matters. Anyone can sign up for free through our website or app, and upgrade to a paid subscription plan for premium features. Our</w:t>
      </w:r>
    </w:p>
    <w:p>
      <w:pPr>
        <w:sectPr>
          <w:pgSz w:w="11880" w:h="15480" w:orient="portrait"/>
          <w:cols w:equalWidth="0" w:num="1">
            <w:col w:w="10000"/>
          </w:cols>
          <w:pgMar w:left="940" w:top="662" w:right="940" w:bottom="0"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000"/>
          </w:cols>
          <w:pgMar w:left="940" w:top="662" w:right="940" w:bottom="0" w:gutter="0" w:footer="0" w:header="0"/>
          <w:type w:val="continuous"/>
        </w:sectPr>
      </w:pPr>
    </w:p>
    <w:bookmarkStart w:id="109" w:name="page110"/>
    <w:bookmarkEnd w:id="109"/>
    <w:p>
      <w:pPr>
        <w:ind w:right="120"/>
        <w:spacing w:after="0" w:line="252" w:lineRule="auto"/>
        <w:rPr>
          <w:sz w:val="20"/>
          <w:szCs w:val="20"/>
          <w:color w:val="auto"/>
        </w:rPr>
      </w:pPr>
      <w:r>
        <w:rPr>
          <w:rFonts w:ascii="Times New Roman" w:cs="Times New Roman" w:eastAsia="Times New Roman" w:hAnsi="Times New Roman"/>
          <w:sz w:val="20"/>
          <w:szCs w:val="20"/>
          <w:color w:val="auto"/>
        </w:rPr>
        <w:t>customers include individuals, families, teams, and organizations of all sizes, from freelancers and small businesses to Fortune 100 companies. They work across a wide range of industries, including professional services, technology, media, education, industrial, consumer and retail, and financial services. Within companies, our platform is used by all types of teams and functions, including sales, marketing, product, design, engineering, finance, legal, and human resources.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Key elements of our platform</w:t>
      </w:r>
    </w:p>
    <w:p>
      <w:pPr>
        <w:spacing w:after="0" w:line="150" w:lineRule="exact"/>
        <w:rPr>
          <w:sz w:val="20"/>
          <w:szCs w:val="20"/>
          <w:color w:val="auto"/>
        </w:rPr>
      </w:pPr>
    </w:p>
    <w:p>
      <w:pPr>
        <w:ind w:left="700" w:right="300" w:hanging="351"/>
        <w:spacing w:after="0" w:line="251" w:lineRule="auto"/>
        <w:tabs>
          <w:tab w:leader="none" w:pos="7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Unified home for content. </w:t>
      </w:r>
      <w:r>
        <w:rPr>
          <w:rFonts w:ascii="Times New Roman" w:cs="Times New Roman" w:eastAsia="Times New Roman" w:hAnsi="Times New Roman"/>
          <w:sz w:val="20"/>
          <w:szCs w:val="20"/>
          <w:color w:val="auto"/>
        </w:rPr>
        <w:t>We provide a unified home for the world’s content and the relevant context around it.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date, our users have added hundreds of billions of pieces of content to Dropbox, totaling over multiple exabytes of data. When users adopt the Dropbox platform, they gain access to a digital workspace that supports the full content lifecycle—they can create and organize their content, access it from anywhere, share it with internal and external collaborators, and review feedback and history.</w:t>
      </w:r>
    </w:p>
    <w:p>
      <w:pPr>
        <w:spacing w:after="0" w:line="84" w:lineRule="exact"/>
        <w:rPr>
          <w:rFonts w:ascii="Times New Roman" w:cs="Times New Roman" w:eastAsia="Times New Roman" w:hAnsi="Times New Roman"/>
          <w:sz w:val="20"/>
          <w:szCs w:val="20"/>
          <w:color w:val="auto"/>
        </w:rPr>
      </w:pPr>
    </w:p>
    <w:p>
      <w:pPr>
        <w:ind w:left="700" w:right="20" w:hanging="351"/>
        <w:spacing w:after="0" w:line="300" w:lineRule="auto"/>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sharing network. </w:t>
      </w:r>
      <w:r>
        <w:rPr>
          <w:rFonts w:ascii="Times New Roman" w:cs="Times New Roman" w:eastAsia="Times New Roman" w:hAnsi="Times New Roman"/>
          <w:sz w:val="18"/>
          <w:szCs w:val="18"/>
          <w:color w:val="auto"/>
        </w:rPr>
        <w:t>We’ve built one of the largest collaboration platforms in the world. We cater to the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dynamic, dispersed teams. The overwhelming majority of our customers use Dropbox to share and collaborate. More users benefit from frictionless sharing, and powerful network effects increase the utility and stickiness of our platform.</w:t>
      </w:r>
    </w:p>
    <w:p>
      <w:pPr>
        <w:spacing w:after="0" w:line="42" w:lineRule="exact"/>
        <w:rPr>
          <w:rFonts w:ascii="Times New Roman" w:cs="Times New Roman" w:eastAsia="Times New Roman" w:hAnsi="Times New Roman"/>
          <w:sz w:val="18"/>
          <w:szCs w:val="18"/>
          <w:color w:val="auto"/>
        </w:rPr>
      </w:pPr>
    </w:p>
    <w:p>
      <w:pPr>
        <w:ind w:left="700" w:right="40" w:hanging="351"/>
        <w:spacing w:after="0" w:line="247" w:lineRule="auto"/>
        <w:tabs>
          <w:tab w:leader="none" w:pos="7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Product experiences and integrations. </w:t>
      </w:r>
      <w:r>
        <w:rPr>
          <w:rFonts w:ascii="Times New Roman" w:cs="Times New Roman" w:eastAsia="Times New Roman" w:hAnsi="Times New Roman"/>
          <w:sz w:val="20"/>
          <w:szCs w:val="20"/>
          <w:color w:val="auto"/>
        </w:rPr>
        <w:t>The insights we glean from our community of users and our deep integrations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best-of-breed companies lead us to develop or acquire new product experiences and extend the capabilities of our platform. Products like Dropbox Backup, Dropbox Sign, DocSend, Dropbox Dash ("Dash"), Dropbox Replay, Dropbox Transfer, and Reclaim.ai, Inc. ("Reclaim") and deep integrations with companies like Microsoft, Zoom, Atlassian, Slack (now part of Salesforce), BetterCloud and Google help us provide our users with the functionality they need to do their best work. Machine learning further improves the user experience by enabling more intelligent search, better organization, and utility of information. We have also made investments in developing products that incorporate artificial intelligence ("AI") technologies, further expanding the value of our platform and deepening user engagement. Additionally, our strategic partnerships with AI-focused companies strengthen our ability to drive AI-powered innovation and reimagine digital collaboration.</w:t>
      </w:r>
    </w:p>
    <w:p>
      <w:pPr>
        <w:spacing w:after="0" w:line="21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Capabilities</w:t>
      </w:r>
    </w:p>
    <w:p>
      <w:pPr>
        <w:spacing w:after="0" w:line="128" w:lineRule="exact"/>
        <w:rPr>
          <w:sz w:val="20"/>
          <w:szCs w:val="20"/>
          <w:color w:val="auto"/>
        </w:rPr>
      </w:pPr>
    </w:p>
    <w:p>
      <w:pPr>
        <w:ind w:firstLine="483"/>
        <w:spacing w:after="0" w:line="298" w:lineRule="auto"/>
        <w:rPr>
          <w:sz w:val="20"/>
          <w:szCs w:val="20"/>
          <w:color w:val="auto"/>
        </w:rPr>
      </w:pPr>
      <w:r>
        <w:rPr>
          <w:rFonts w:ascii="Times New Roman" w:cs="Times New Roman" w:eastAsia="Times New Roman" w:hAnsi="Times New Roman"/>
          <w:sz w:val="18"/>
          <w:szCs w:val="18"/>
          <w:color w:val="auto"/>
        </w:rPr>
        <w:t>Dropbox is a single organized place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Create</w:t>
      </w:r>
    </w:p>
    <w:p>
      <w:pPr>
        <w:spacing w:after="0" w:line="126" w:lineRule="exact"/>
        <w:rPr>
          <w:sz w:val="20"/>
          <w:szCs w:val="20"/>
          <w:color w:val="auto"/>
        </w:rPr>
      </w:pPr>
    </w:p>
    <w:p>
      <w:pPr>
        <w:ind w:right="60" w:firstLine="483"/>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Paper</w:t>
      </w:r>
      <w:r>
        <w:rPr>
          <w:rFonts w:ascii="Times New Roman" w:cs="Times New Roman" w:eastAsia="Times New Roman" w:hAnsi="Times New Roman"/>
          <w:sz w:val="20"/>
          <w:szCs w:val="20"/>
          <w:color w:val="auto"/>
        </w:rPr>
        <w:t>. With Dropbox Paper, users can co-author content, tag others, create timelines, assign tasks with due dates, embed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comment on files, tables, checklists, code snippets, and rich media—all in real-time. We designed Paper to be simple and beautiful so users can focus on the most important ideas and tasks at hand.</w:t>
      </w:r>
    </w:p>
    <w:p>
      <w:pPr>
        <w:spacing w:after="0" w:line="194" w:lineRule="exact"/>
        <w:rPr>
          <w:sz w:val="20"/>
          <w:szCs w:val="20"/>
          <w:color w:val="auto"/>
        </w:rPr>
      </w:pPr>
    </w:p>
    <w:p>
      <w:pPr>
        <w:ind w:right="100" w:firstLine="483"/>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Doc scanner</w:t>
      </w:r>
      <w:r>
        <w:rPr>
          <w:rFonts w:ascii="Times New Roman" w:cs="Times New Roman" w:eastAsia="Times New Roman" w:hAnsi="Times New Roman"/>
          <w:sz w:val="20"/>
          <w:szCs w:val="20"/>
          <w:color w:val="auto"/>
        </w:rPr>
        <w:t>. The doc scanner in our mobile app lets users create content in Dropbox from hard copies. This includes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transforming everything from 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Access and organize</w:t>
      </w:r>
    </w:p>
    <w:p>
      <w:pPr>
        <w:spacing w:after="0" w:line="126" w:lineRule="exact"/>
        <w:rPr>
          <w:sz w:val="20"/>
          <w:szCs w:val="20"/>
          <w:color w:val="auto"/>
        </w:rPr>
      </w:pPr>
    </w:p>
    <w:p>
      <w:pPr>
        <w:ind w:firstLine="483"/>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Search</w:t>
      </w:r>
      <w:r>
        <w:rPr>
          <w:rFonts w:ascii="Times New Roman" w:cs="Times New Roman" w:eastAsia="Times New Roman" w:hAnsi="Times New Roman"/>
          <w:sz w:val="20"/>
          <w:szCs w:val="20"/>
          <w:color w:val="auto"/>
        </w:rPr>
        <w:t>. Dropbox has powerful search capabilities that allow users to quickly find the files and folders they need.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autocomplete technology surfaces and prioritizes content based on users’ previous activity. For Dropbox Plus, Professional, and Business users, full text search allows users to scan the entire content of their files.</w:t>
      </w:r>
    </w:p>
    <w:p>
      <w:pPr>
        <w:spacing w:after="0" w:line="194" w:lineRule="exact"/>
        <w:rPr>
          <w:sz w:val="20"/>
          <w:szCs w:val="20"/>
          <w:color w:val="auto"/>
        </w:rPr>
      </w:pPr>
    </w:p>
    <w:p>
      <w:pPr>
        <w:ind w:right="140" w:firstLine="483"/>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Rich previews</w:t>
      </w:r>
      <w:r>
        <w:rPr>
          <w:rFonts w:ascii="Times New Roman" w:cs="Times New Roman" w:eastAsia="Times New Roman" w:hAnsi="Times New Roman"/>
          <w:sz w:val="20"/>
          <w:szCs w:val="20"/>
          <w:color w:val="auto"/>
        </w:rPr>
        <w:t>. Rich previews allow users to easily interact with files across any device without having to open different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applications. Users can comment on, annotate, review, and present files, and see who viewed and edited them. We support previews of over 300 file types, and Dropbox users currently preview files tens of millions of times every day.</w:t>
      </w:r>
    </w:p>
    <w:p>
      <w:pPr>
        <w:sectPr>
          <w:pgSz w:w="11880" w:h="15480" w:orient="portrait"/>
          <w:cols w:equalWidth="0" w:num="1">
            <w:col w:w="9980"/>
          </w:cols>
          <w:pgMar w:left="940" w:top="696" w:right="96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9980"/>
          </w:cols>
          <w:pgMar w:left="940" w:top="696" w:right="960" w:bottom="0" w:gutter="0" w:footer="0" w:header="0"/>
          <w:type w:val="continuous"/>
        </w:sectPr>
      </w:pPr>
    </w:p>
    <w:bookmarkStart w:id="110" w:name="page111"/>
    <w:bookmarkEnd w:id="110"/>
    <w:p>
      <w:pPr>
        <w:ind w:right="180" w:firstLine="483"/>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Version history</w:t>
      </w:r>
      <w:r>
        <w:rPr>
          <w:rFonts w:ascii="Times New Roman" w:cs="Times New Roman" w:eastAsia="Times New Roman" w:hAnsi="Times New Roman"/>
          <w:sz w:val="20"/>
          <w:szCs w:val="20"/>
          <w:color w:val="auto"/>
        </w:rPr>
        <w:t>. As paying users work on files, our servers keep snapshots of all their changes. Users can see a file’s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complete version history to reference and retrieve older versions, with version histories retained for up to 365 days for paying users, depending on the users’ subscription.</w:t>
      </w:r>
    </w:p>
    <w:p>
      <w:pPr>
        <w:spacing w:after="0" w:line="194" w:lineRule="exact"/>
        <w:rPr>
          <w:sz w:val="20"/>
          <w:szCs w:val="20"/>
          <w:color w:val="auto"/>
        </w:rPr>
      </w:pPr>
    </w:p>
    <w:p>
      <w:pPr>
        <w:ind w:right="60" w:firstLine="483"/>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Third-party ecosystem</w:t>
      </w:r>
      <w:r>
        <w:rPr>
          <w:rFonts w:ascii="Times New Roman" w:cs="Times New Roman" w:eastAsia="Times New Roman" w:hAnsi="Times New Roman"/>
          <w:sz w:val="20"/>
          <w:szCs w:val="20"/>
          <w:color w:val="auto"/>
        </w:rPr>
        <w:t>. Our open and thriving ecosystem fosters deeper relationships with our users and developers.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Developers can build applications that connect to Dropbox through our DBX Developer Platform. 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As of December 31, 2025, Dropbox received over 75 billion API calls per month and just over 1,000,000 developers had registered and built applications on our platform. In addition, more than 80% of Dropbox Business teams have linked to one or more third-party applications.</w:t>
      </w:r>
    </w:p>
    <w:p>
      <w:pPr>
        <w:spacing w:after="0" w:line="209" w:lineRule="exact"/>
        <w:rPr>
          <w:sz w:val="20"/>
          <w:szCs w:val="20"/>
          <w:color w:val="auto"/>
        </w:rPr>
      </w:pPr>
    </w:p>
    <w:p>
      <w:pPr>
        <w:ind w:right="40" w:firstLine="483"/>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Rewind. </w:t>
      </w:r>
      <w:r>
        <w:rPr>
          <w:rFonts w:ascii="Times New Roman" w:cs="Times New Roman" w:eastAsia="Times New Roman" w:hAnsi="Times New Roman"/>
          <w:sz w:val="20"/>
          <w:szCs w:val="20"/>
          <w:color w:val="auto"/>
        </w:rPr>
        <w:t>Dropbox Rewind is a tool that lets a user take a folder, or their entire account, back to a specific point in 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tool uses version history to undo changes made to files and folders, and can recover any file edits or deletions up to the last 365 days, depending on the users’ subscription.</w:t>
      </w:r>
    </w:p>
    <w:p>
      <w:pPr>
        <w:spacing w:after="0" w:line="194" w:lineRule="exact"/>
        <w:rPr>
          <w:sz w:val="20"/>
          <w:szCs w:val="20"/>
          <w:color w:val="auto"/>
        </w:rPr>
      </w:pPr>
    </w:p>
    <w:p>
      <w:pPr>
        <w:ind w:right="160" w:firstLine="483"/>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Dropbox Backup. </w:t>
      </w:r>
      <w:r>
        <w:rPr>
          <w:rFonts w:ascii="Times New Roman" w:cs="Times New Roman" w:eastAsia="Times New Roman" w:hAnsi="Times New Roman"/>
          <w:sz w:val="20"/>
          <w:szCs w:val="20"/>
          <w:color w:val="auto"/>
        </w:rPr>
        <w:t>Dropbox Backup automatically syncs folders on a user's computer to the cloud. When turned on, files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the user's PC or Mac are continuously backed up on the cloud. Any changes made in synced folders are automatically updated in the Dropbox account and on the hard drive. Dropbox Backup allows users to get up-to-date versions of files stored on the user's PC or Mac from anywhere and from any device instantly. Content is secure in the cloud, no matter what happens to the user's computer.</w:t>
      </w:r>
    </w:p>
    <w:p>
      <w:pPr>
        <w:spacing w:after="0" w:line="202" w:lineRule="exact"/>
        <w:rPr>
          <w:sz w:val="20"/>
          <w:szCs w:val="20"/>
          <w:color w:val="auto"/>
        </w:rPr>
      </w:pPr>
    </w:p>
    <w:p>
      <w:pPr>
        <w:ind w:right="220" w:firstLine="483"/>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Dash</w:t>
      </w:r>
      <w:r>
        <w:rPr>
          <w:rFonts w:ascii="Times New Roman" w:cs="Times New Roman" w:eastAsia="Times New Roman" w:hAnsi="Times New Roman"/>
          <w:sz w:val="20"/>
          <w:szCs w:val="20"/>
          <w:color w:val="auto"/>
        </w:rPr>
        <w:t>. Dropbox Dash is an AI-powered, universal search tool that enables teams to find, organize, share, and manage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content across Dropbox and other connected third-party applications from a single interface. Dash uses AI to surface relevant results and insights across connected content while respecting existing permissions and security controls.</w:t>
      </w:r>
    </w:p>
    <w:p>
      <w:pPr>
        <w:spacing w:after="0" w:line="194" w:lineRule="exact"/>
        <w:rPr>
          <w:sz w:val="20"/>
          <w:szCs w:val="20"/>
          <w:color w:val="auto"/>
        </w:rPr>
      </w:pPr>
    </w:p>
    <w:p>
      <w:pPr>
        <w:ind w:right="40" w:firstLine="483"/>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Reclaim</w:t>
      </w:r>
      <w:r>
        <w:rPr>
          <w:rFonts w:ascii="Times New Roman" w:cs="Times New Roman" w:eastAsia="Times New Roman" w:hAnsi="Times New Roman"/>
          <w:sz w:val="20"/>
          <w:szCs w:val="20"/>
          <w:color w:val="auto"/>
        </w:rPr>
        <w:t>. Reclaim is an AI-powered scheduling tool that helps companies prioritize tasks and coordinate schedules with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calendar app.</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Share</w:t>
      </w:r>
    </w:p>
    <w:p>
      <w:pPr>
        <w:spacing w:after="0" w:line="126" w:lineRule="exact"/>
        <w:rPr>
          <w:sz w:val="20"/>
          <w:szCs w:val="20"/>
          <w:color w:val="auto"/>
        </w:rPr>
      </w:pPr>
    </w:p>
    <w:p>
      <w:pPr>
        <w:ind w:right="420" w:firstLine="48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Folders</w:t>
      </w:r>
      <w:r>
        <w:rPr>
          <w:rFonts w:ascii="Times New Roman" w:cs="Times New Roman" w:eastAsia="Times New Roman" w:hAnsi="Times New Roman"/>
          <w:sz w:val="20"/>
          <w:szCs w:val="20"/>
          <w:color w:val="auto"/>
        </w:rPr>
        <w:t>. There are three types of folders in Dropbox: private, shared, and team folders. A private folder allows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individual to sync files between 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200" w:lineRule="exact"/>
        <w:rPr>
          <w:sz w:val="20"/>
          <w:szCs w:val="20"/>
          <w:color w:val="auto"/>
        </w:rPr>
      </w:pPr>
    </w:p>
    <w:p>
      <w:pPr>
        <w:ind w:right="160" w:firstLine="483"/>
        <w:spacing w:after="0" w:line="290" w:lineRule="auto"/>
        <w:rPr>
          <w:sz w:val="20"/>
          <w:szCs w:val="20"/>
          <w:color w:val="auto"/>
        </w:rPr>
      </w:pPr>
      <w:r>
        <w:rPr>
          <w:rFonts w:ascii="Times New Roman" w:cs="Times New Roman" w:eastAsia="Times New Roman" w:hAnsi="Times New Roman"/>
          <w:sz w:val="18"/>
          <w:szCs w:val="18"/>
          <w:b w:val="1"/>
          <w:bCs w:val="1"/>
          <w:i w:val="1"/>
          <w:iCs w:val="1"/>
          <w:color w:val="auto"/>
        </w:rPr>
        <w:t>Shared links</w:t>
      </w:r>
      <w:r>
        <w:rPr>
          <w:rFonts w:ascii="Times New Roman" w:cs="Times New Roman" w:eastAsia="Times New Roman" w:hAnsi="Times New Roman"/>
          <w:sz w:val="18"/>
          <w:szCs w:val="18"/>
          <w:color w:val="auto"/>
        </w:rPr>
        <w:t>. Users can share files and folders with anyone, including non-Dropbox users, by creating a Dropbox link.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Once created, the link can be sent through email, text, Meta, X,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170" w:lineRule="exact"/>
        <w:rPr>
          <w:sz w:val="20"/>
          <w:szCs w:val="20"/>
          <w:color w:val="auto"/>
        </w:rPr>
      </w:pPr>
    </w:p>
    <w:p>
      <w:pPr>
        <w:ind w:right="120" w:firstLine="483"/>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Transfer. </w:t>
      </w:r>
      <w:r>
        <w:rPr>
          <w:rFonts w:ascii="Times New Roman" w:cs="Times New Roman" w:eastAsia="Times New Roman" w:hAnsi="Times New Roman"/>
          <w:sz w:val="20"/>
          <w:szCs w:val="20"/>
          <w:color w:val="auto"/>
        </w:rPr>
        <w:t>Dropbox Transfer gives users a quick and secure way to send large files or collections of files to anyone.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Transfer, users can send up to 100 GB of files in just a few clicks, depending on the users’ subscription. Users also have the option to drag and drop files to upload from their computer, or add items stored in Dropbox. After creating a transfer, users receive a link that can be pasted anywhere and sent to anyone. Recipients receive copies of the files, so the sender’s originals remain untouched.</w:t>
      </w:r>
    </w:p>
    <w:p>
      <w:pPr>
        <w:spacing w:after="0" w:line="202" w:lineRule="exact"/>
        <w:rPr>
          <w:sz w:val="20"/>
          <w:szCs w:val="20"/>
          <w:color w:val="auto"/>
        </w:rPr>
      </w:pPr>
    </w:p>
    <w:p>
      <w:pPr>
        <w:ind w:firstLine="48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File requests</w:t>
      </w:r>
      <w:r>
        <w:rPr>
          <w:rFonts w:ascii="Times New Roman" w:cs="Times New Roman" w:eastAsia="Times New Roman" w:hAnsi="Times New Roman"/>
          <w:sz w:val="20"/>
          <w:szCs w:val="20"/>
          <w:color w:val="auto"/>
        </w:rPr>
        <w:t>. With file requests, users can invite anyone to submit files into a specified Dropbox folder through a simple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link—regardless of whether the 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200" w:lineRule="exact"/>
        <w:rPr>
          <w:sz w:val="20"/>
          <w:szCs w:val="20"/>
          <w:color w:val="auto"/>
        </w:rPr>
      </w:pPr>
    </w:p>
    <w:p>
      <w:pPr>
        <w:ind w:right="120" w:firstLine="483"/>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Watermarking. </w:t>
      </w:r>
      <w:r>
        <w:rPr>
          <w:rFonts w:ascii="Times New Roman" w:cs="Times New Roman" w:eastAsia="Times New Roman" w:hAnsi="Times New Roman"/>
          <w:sz w:val="20"/>
          <w:szCs w:val="20"/>
          <w:color w:val="auto"/>
        </w:rPr>
        <w:t>Our Dropbox watermarking feature allows users to protect and share digital files quickly and easily.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watermark feature can be used to protect graphic designs, confidential contracts, and personal photographs. Users can create their own custom watermark and watermark any file without leaving Dropbox.</w:t>
      </w:r>
    </w:p>
    <w:p>
      <w:pPr>
        <w:spacing w:after="0" w:line="194" w:lineRule="exact"/>
        <w:rPr>
          <w:sz w:val="20"/>
          <w:szCs w:val="20"/>
          <w:color w:val="auto"/>
        </w:rPr>
      </w:pPr>
    </w:p>
    <w:p>
      <w:pPr>
        <w:ind w:firstLine="526"/>
        <w:spacing w:after="0" w:line="32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DocSend. </w:t>
      </w:r>
      <w:r>
        <w:rPr>
          <w:rFonts w:ascii="Times New Roman" w:cs="Times New Roman" w:eastAsia="Times New Roman" w:hAnsi="Times New Roman"/>
          <w:sz w:val="18"/>
          <w:szCs w:val="18"/>
          <w:color w:val="auto"/>
        </w:rPr>
        <w:t>DocSend is a secure document sharing and analytics platform that gives customers visibility into what happens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their documents after they send them. DocSend technology enables customers to track who opens their documents and how</w:t>
      </w:r>
    </w:p>
    <w:p>
      <w:pPr>
        <w:sectPr>
          <w:pgSz w:w="11880" w:h="15480" w:orient="portrait"/>
          <w:cols w:equalWidth="0" w:num="1">
            <w:col w:w="9980"/>
          </w:cols>
          <w:pgMar w:left="940" w:top="927" w:right="960" w:bottom="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9980"/>
          </w:cols>
          <w:pgMar w:left="940" w:top="927" w:right="960" w:bottom="0" w:gutter="0" w:footer="0" w:header="0"/>
          <w:type w:val="continuous"/>
        </w:sectPr>
      </w:pPr>
    </w:p>
    <w:bookmarkStart w:id="111" w:name="page112"/>
    <w:bookmarkEnd w:id="111"/>
    <w:p>
      <w:pPr>
        <w:ind w:right="260"/>
        <w:spacing w:after="0" w:line="269" w:lineRule="auto"/>
        <w:rPr>
          <w:sz w:val="20"/>
          <w:szCs w:val="20"/>
          <w:color w:val="auto"/>
        </w:rPr>
      </w:pPr>
      <w:r>
        <w:rPr>
          <w:rFonts w:ascii="Times New Roman" w:cs="Times New Roman" w:eastAsia="Times New Roman" w:hAnsi="Times New Roman"/>
          <w:sz w:val="20"/>
          <w:szCs w:val="20"/>
          <w:color w:val="auto"/>
        </w:rPr>
        <w:t>much time they spend on each page, protect documents with security features like email verification and viewer whitelisting, and share multiple documents with a single link.</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Collaborate</w:t>
      </w:r>
    </w:p>
    <w:p>
      <w:pPr>
        <w:spacing w:after="0" w:line="126" w:lineRule="exact"/>
        <w:rPr>
          <w:sz w:val="20"/>
          <w:szCs w:val="20"/>
          <w:color w:val="auto"/>
        </w:rPr>
      </w:pPr>
    </w:p>
    <w:p>
      <w:pPr>
        <w:ind w:right="280" w:firstLine="48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Comments and annotations</w:t>
      </w:r>
      <w:r>
        <w:rPr>
          <w:rFonts w:ascii="Times New Roman" w:cs="Times New Roman" w:eastAsia="Times New Roman" w:hAnsi="Times New Roman"/>
          <w:sz w:val="20"/>
          <w:szCs w:val="20"/>
          <w:color w:val="auto"/>
        </w:rPr>
        <w:t>. Dropbox comments and annotations marry content with the conversations and relevant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context around it. Instead of being scattered across separate silos, such as email and chat, the editing and development of content are tied to a file. Users can give feedback on specific parts of files through a rich, innovative overlay on our web and mobile platforms.</w:t>
      </w:r>
    </w:p>
    <w:p>
      <w:pPr>
        <w:spacing w:after="0" w:line="200" w:lineRule="exact"/>
        <w:rPr>
          <w:sz w:val="20"/>
          <w:szCs w:val="20"/>
          <w:color w:val="auto"/>
        </w:rPr>
      </w:pPr>
    </w:p>
    <w:p>
      <w:pPr>
        <w:ind w:right="140" w:firstLine="483"/>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File activity stream. </w:t>
      </w:r>
      <w:r>
        <w:rPr>
          <w:rFonts w:ascii="Times New Roman" w:cs="Times New Roman" w:eastAsia="Times New Roman" w:hAnsi="Times New Roman"/>
          <w:sz w:val="20"/>
          <w:szCs w:val="20"/>
          <w:color w:val="auto"/>
        </w:rPr>
        <w:t>An activity feed lives next to every file preview on our web interface and in the desktop app, telling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users what’s happening with a file. The feed shows when someone opens a file, edits a file, or shares a file.</w:t>
      </w:r>
    </w:p>
    <w:p>
      <w:pPr>
        <w:spacing w:after="0" w:line="181" w:lineRule="exact"/>
        <w:rPr>
          <w:sz w:val="20"/>
          <w:szCs w:val="20"/>
          <w:color w:val="auto"/>
        </w:rPr>
      </w:pPr>
    </w:p>
    <w:p>
      <w:pPr>
        <w:ind w:firstLine="483"/>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Notifications</w:t>
      </w:r>
      <w:r>
        <w:rPr>
          <w:rFonts w:ascii="Times New Roman" w:cs="Times New Roman" w:eastAsia="Times New Roman" w:hAnsi="Times New Roman"/>
          <w:sz w:val="20"/>
          <w:szCs w:val="20"/>
          <w:color w:val="auto"/>
        </w:rPr>
        <w:t>. We use real-time notifications across all our channels—web, desktop, email, and mobile—to keep users up-to-date on what’s happening with their work. Users can choose to be notified when someone opens, edits, shares, or comments on a file, or adds a file to their shared folders.</w:t>
      </w:r>
    </w:p>
    <w:p>
      <w:pPr>
        <w:spacing w:after="0" w:line="194" w:lineRule="exact"/>
        <w:rPr>
          <w:sz w:val="20"/>
          <w:szCs w:val="20"/>
          <w:color w:val="auto"/>
        </w:rPr>
      </w:pPr>
    </w:p>
    <w:p>
      <w:pPr>
        <w:ind w:right="160" w:firstLine="483"/>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Viewer information and presence</w:t>
      </w:r>
      <w:r>
        <w:rPr>
          <w:rFonts w:ascii="Times New Roman" w:cs="Times New Roman" w:eastAsia="Times New Roman" w:hAnsi="Times New Roman"/>
          <w:sz w:val="20"/>
          <w:szCs w:val="20"/>
          <w:color w:val="auto"/>
        </w:rPr>
        <w:t>. On both file previews and Paper docs, Dropbox shows users in real-time who’s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viewing a doc and when a doc was last 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02" w:lineRule="exact"/>
        <w:rPr>
          <w:sz w:val="20"/>
          <w:szCs w:val="20"/>
          <w:color w:val="auto"/>
        </w:rPr>
      </w:pPr>
    </w:p>
    <w:p>
      <w:pPr>
        <w:ind w:right="380" w:firstLine="439"/>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Dropbox Sign. </w:t>
      </w:r>
      <w:r>
        <w:rPr>
          <w:rFonts w:ascii="Times New Roman" w:cs="Times New Roman" w:eastAsia="Times New Roman" w:hAnsi="Times New Roman"/>
          <w:sz w:val="20"/>
          <w:szCs w:val="20"/>
          <w:color w:val="auto"/>
        </w:rPr>
        <w:t>Dropbox Sign is an eSignature and document workflow platform that enables customers to easily sign,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send, and receive documents through its intuitive web and mobile based interfaces. Once documents are signed, copies automatically sync to the user's Dropbox account.</w:t>
      </w:r>
    </w:p>
    <w:p>
      <w:pPr>
        <w:spacing w:after="0" w:line="194" w:lineRule="exact"/>
        <w:rPr>
          <w:sz w:val="20"/>
          <w:szCs w:val="20"/>
          <w:color w:val="auto"/>
        </w:rPr>
      </w:pPr>
    </w:p>
    <w:p>
      <w:pPr>
        <w:ind w:right="20" w:firstLine="439"/>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FormSwift. </w:t>
      </w:r>
      <w:r>
        <w:rPr>
          <w:rFonts w:ascii="Times New Roman" w:cs="Times New Roman" w:eastAsia="Times New Roman" w:hAnsi="Times New Roman"/>
          <w:sz w:val="20"/>
          <w:szCs w:val="20"/>
          <w:color w:val="auto"/>
        </w:rPr>
        <w:t>FormSwift is a cloud-based service that gives individuals and businesses a simple solution to create, complete,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edit, and save critical business forms and agreements.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Secure</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Security protections. </w:t>
      </w:r>
      <w:r>
        <w:rPr>
          <w:rFonts w:ascii="Times New Roman" w:cs="Times New Roman" w:eastAsia="Times New Roman" w:hAnsi="Times New Roman"/>
          <w:sz w:val="20"/>
          <w:szCs w:val="20"/>
          <w:color w:val="auto"/>
        </w:rPr>
        <w:t>We employ strong protections for all of the data on our platform.</w:t>
      </w:r>
    </w:p>
    <w:p>
      <w:pPr>
        <w:spacing w:after="0" w:line="144" w:lineRule="exact"/>
        <w:rPr>
          <w:sz w:val="20"/>
          <w:szCs w:val="20"/>
          <w:color w:val="auto"/>
        </w:rPr>
      </w:pPr>
    </w:p>
    <w:p>
      <w:pPr>
        <w:ind w:left="700" w:right="200" w:hanging="351"/>
        <w:spacing w:after="0" w:line="253" w:lineRule="auto"/>
        <w:tabs>
          <w:tab w:leader="none" w:pos="7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Encryption</w:t>
      </w:r>
      <w:r>
        <w:rPr>
          <w:rFonts w:ascii="Times New Roman" w:cs="Times New Roman" w:eastAsia="Times New Roman" w:hAnsi="Times New Roman"/>
          <w:sz w:val="20"/>
          <w:szCs w:val="20"/>
          <w:color w:val="auto"/>
        </w:rPr>
        <w:t>. Dropbox file data at rest is encrypted using 256-bit Advanced Encryption Standard, or AES. To protect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data in transit between Dropbox apps such as desktop, mobile, API, or web and our servers, Dropbox uses Secure Sockets Layer, or SSL, and Transport Layer Security, or TLS, for data transfer, creating a secure tunnel protected by 128-bit or higher AES encryption.</w:t>
      </w:r>
    </w:p>
    <w:p>
      <w:pPr>
        <w:spacing w:after="0" w:line="83" w:lineRule="exact"/>
        <w:rPr>
          <w:rFonts w:ascii="Times New Roman" w:cs="Times New Roman" w:eastAsia="Times New Roman" w:hAnsi="Times New Roman"/>
          <w:sz w:val="20"/>
          <w:szCs w:val="20"/>
          <w:color w:val="auto"/>
        </w:rPr>
      </w:pPr>
    </w:p>
    <w:p>
      <w:pPr>
        <w:ind w:left="700" w:right="140" w:hanging="351"/>
        <w:spacing w:after="0" w:line="253" w:lineRule="auto"/>
        <w:tabs>
          <w:tab w:leader="none" w:pos="7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File recovery</w:t>
      </w:r>
      <w:r>
        <w:rPr>
          <w:rFonts w:ascii="Times New Roman" w:cs="Times New Roman" w:eastAsia="Times New Roman" w:hAnsi="Times New Roman"/>
          <w:sz w:val="20"/>
          <w:szCs w:val="20"/>
          <w:color w:val="auto"/>
        </w:rPr>
        <w:t>. Every deletion event in Dropbox is recorded, including when groups of files are deleted. Users can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easily recover files through our web interface. Dropbox Plus subscribers may recover prior versions for up to 30 days after deletion, and Dropbox Professional and Dropbox Business subscribers may recover prior versions for up to 180 days after deletion.</w:t>
      </w:r>
    </w:p>
    <w:p>
      <w:pPr>
        <w:spacing w:after="0" w:line="142" w:lineRule="exact"/>
        <w:rPr>
          <w:sz w:val="20"/>
          <w:szCs w:val="20"/>
          <w:color w:val="auto"/>
        </w:rPr>
      </w:pPr>
    </w:p>
    <w:p>
      <w:pPr>
        <w:ind w:right="320" w:firstLine="483"/>
        <w:spacing w:after="0" w:line="329" w:lineRule="auto"/>
        <w:rPr>
          <w:sz w:val="20"/>
          <w:szCs w:val="20"/>
          <w:color w:val="auto"/>
        </w:rPr>
      </w:pPr>
      <w:r>
        <w:rPr>
          <w:rFonts w:ascii="Times New Roman" w:cs="Times New Roman" w:eastAsia="Times New Roman" w:hAnsi="Times New Roman"/>
          <w:sz w:val="18"/>
          <w:szCs w:val="18"/>
          <w:b w:val="1"/>
          <w:bCs w:val="1"/>
          <w:i w:val="1"/>
          <w:iCs w:val="1"/>
          <w:color w:val="auto"/>
        </w:rPr>
        <w:t>Administrator controls</w:t>
      </w:r>
      <w:r>
        <w:rPr>
          <w:rFonts w:ascii="Times New Roman" w:cs="Times New Roman" w:eastAsia="Times New Roman" w:hAnsi="Times New Roman"/>
          <w:sz w:val="18"/>
          <w:szCs w:val="18"/>
          <w:color w:val="auto"/>
        </w:rPr>
        <w:t>. Dropbox Business team administrators have many ways to customize security settings in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and granular ways, including real-time detections of suspicious behavior, risky activity, and potential data leaks.</w:t>
      </w:r>
    </w:p>
    <w:p>
      <w:pPr>
        <w:spacing w:after="0" w:line="41" w:lineRule="exact"/>
        <w:rPr>
          <w:sz w:val="20"/>
          <w:szCs w:val="20"/>
          <w:color w:val="auto"/>
        </w:rPr>
      </w:pPr>
    </w:p>
    <w:p>
      <w:pPr>
        <w:ind w:left="700" w:right="180" w:hanging="351"/>
        <w:spacing w:after="0" w:line="272" w:lineRule="auto"/>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Sharing permissions</w:t>
      </w:r>
      <w:r>
        <w:rPr>
          <w:rFonts w:ascii="Times New Roman" w:cs="Times New Roman" w:eastAsia="Times New Roman" w:hAnsi="Times New Roman"/>
          <w:sz w:val="20"/>
          <w:szCs w:val="20"/>
          <w:color w:val="auto"/>
        </w:rPr>
        <w:t>: Team administrators can set up and monitor how their members share team folders, and can set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sharing permissions on all folders, sub-folders, and links through the sharing tab.</w:t>
      </w:r>
    </w:p>
    <w:p>
      <w:pPr>
        <w:spacing w:after="0" w:line="63" w:lineRule="exact"/>
        <w:rPr>
          <w:rFonts w:ascii="Times New Roman" w:cs="Times New Roman" w:eastAsia="Times New Roman" w:hAnsi="Times New Roman"/>
          <w:sz w:val="20"/>
          <w:szCs w:val="20"/>
          <w:color w:val="auto"/>
        </w:rPr>
      </w:pPr>
    </w:p>
    <w:p>
      <w:pPr>
        <w:ind w:left="700" w:right="360" w:hanging="351"/>
        <w:spacing w:after="0" w:line="272" w:lineRule="auto"/>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Remote device wipe</w:t>
      </w:r>
      <w:r>
        <w:rPr>
          <w:rFonts w:ascii="Times New Roman" w:cs="Times New Roman" w:eastAsia="Times New Roman" w:hAnsi="Times New Roman"/>
          <w:sz w:val="20"/>
          <w:szCs w:val="20"/>
          <w:color w:val="auto"/>
        </w:rPr>
        <w:t>: Team administrators can delete their organization’s Dropbox content from a member’s linked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devices, which is especially useful should someone lose a device or leave the team.</w:t>
      </w:r>
    </w:p>
    <w:p>
      <w:pPr>
        <w:spacing w:after="0" w:line="63" w:lineRule="exact"/>
        <w:rPr>
          <w:rFonts w:ascii="Times New Roman" w:cs="Times New Roman" w:eastAsia="Times New Roman" w:hAnsi="Times New Roman"/>
          <w:sz w:val="20"/>
          <w:szCs w:val="20"/>
          <w:color w:val="auto"/>
        </w:rPr>
      </w:pPr>
    </w:p>
    <w:p>
      <w:pPr>
        <w:jc w:val="both"/>
        <w:ind w:left="700" w:right="160" w:hanging="351"/>
        <w:spacing w:after="0" w:line="300" w:lineRule="auto"/>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Audit log</w:t>
      </w:r>
      <w:r>
        <w:rPr>
          <w:rFonts w:ascii="Times New Roman" w:cs="Times New Roman" w:eastAsia="Times New Roman" w:hAnsi="Times New Roman"/>
          <w:sz w:val="18"/>
          <w:szCs w:val="18"/>
          <w:color w:val="auto"/>
        </w:rPr>
        <w:t>: Team administrators can monitor which members are sharing files and logging into Dropbox, among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They can review activity logs, create full reports for specific time ranges, and pull activity reports on specific members. Advanced and Enterprise team administrators have access to audit logs with file-event tracking.</w:t>
      </w:r>
    </w:p>
    <w:p>
      <w:pPr>
        <w:spacing w:after="0" w:line="42" w:lineRule="exact"/>
        <w:rPr>
          <w:rFonts w:ascii="Times New Roman" w:cs="Times New Roman" w:eastAsia="Times New Roman" w:hAnsi="Times New Roman"/>
          <w:sz w:val="18"/>
          <w:szCs w:val="18"/>
          <w:color w:val="auto"/>
        </w:rPr>
      </w:pPr>
    </w:p>
    <w:p>
      <w:pPr>
        <w:ind w:left="700" w:right="220" w:hanging="351"/>
        <w:spacing w:after="0" w:line="272" w:lineRule="auto"/>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Device approvals</w:t>
      </w:r>
      <w:r>
        <w:rPr>
          <w:rFonts w:ascii="Times New Roman" w:cs="Times New Roman" w:eastAsia="Times New Roman" w:hAnsi="Times New Roman"/>
          <w:sz w:val="20"/>
          <w:szCs w:val="20"/>
          <w:color w:val="auto"/>
        </w:rPr>
        <w:t>: Advanced and Enterprise team administrators can manage how members access Dropbox on their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devices.</w:t>
      </w:r>
    </w:p>
    <w:p>
      <w:pPr>
        <w:spacing w:after="0" w:line="63" w:lineRule="exact"/>
        <w:rPr>
          <w:rFonts w:ascii="Times New Roman" w:cs="Times New Roman" w:eastAsia="Times New Roman" w:hAnsi="Times New Roman"/>
          <w:sz w:val="20"/>
          <w:szCs w:val="20"/>
          <w:color w:val="auto"/>
        </w:rPr>
      </w:pPr>
    </w:p>
    <w:p>
      <w:pPr>
        <w:ind w:left="700" w:right="280" w:hanging="351"/>
        <w:spacing w:after="0" w:line="272" w:lineRule="auto"/>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Tiered administrator roles</w:t>
      </w:r>
      <w:r>
        <w:rPr>
          <w:rFonts w:ascii="Times New Roman" w:cs="Times New Roman" w:eastAsia="Times New Roman" w:hAnsi="Times New Roman"/>
          <w:sz w:val="20"/>
          <w:szCs w:val="20"/>
          <w:color w:val="auto"/>
        </w:rPr>
        <w:t>: Advanced and Enterprise teams have the ability to set multiple administrator roles,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a different set of permissions.</w:t>
      </w:r>
    </w:p>
    <w:p>
      <w:pPr>
        <w:spacing w:after="0" w:line="63"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control</w:t>
      </w:r>
      <w:r>
        <w:rPr>
          <w:rFonts w:ascii="Times New Roman" w:cs="Times New Roman" w:eastAsia="Times New Roman" w:hAnsi="Times New Roman"/>
          <w:sz w:val="18"/>
          <w:szCs w:val="18"/>
          <w:color w:val="auto"/>
        </w:rPr>
        <w:t>: Enterprise team administrators can restrict personal Dropbox usage on their organization’s network.</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000"/>
          </w:cols>
          <w:pgMar w:left="940" w:top="696" w:right="940" w:bottom="0" w:gutter="0" w:footer="0" w:header="0"/>
          <w:type w:val="continuous"/>
        </w:sectPr>
      </w:pPr>
    </w:p>
    <w:bookmarkStart w:id="112" w:name="page113"/>
    <w:bookmarkEnd w:id="112"/>
    <w:p>
      <w:pPr>
        <w:ind w:right="440" w:firstLine="483"/>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Third-party security integrations</w:t>
      </w:r>
      <w:r>
        <w:rPr>
          <w:rFonts w:ascii="Times New Roman" w:cs="Times New Roman" w:eastAsia="Times New Roman" w:hAnsi="Times New Roman"/>
          <w:sz w:val="20"/>
          <w:szCs w:val="20"/>
          <w:color w:val="auto"/>
        </w:rPr>
        <w:t>. We’ve partnered with industry-leading third parties to enable us to provide a wide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range of IT processes and satisfy industry compliance standards, including:</w:t>
      </w:r>
    </w:p>
    <w:p>
      <w:pPr>
        <w:spacing w:after="0" w:line="87" w:lineRule="exact"/>
        <w:rPr>
          <w:sz w:val="20"/>
          <w:szCs w:val="20"/>
          <w:color w:val="auto"/>
        </w:rPr>
      </w:pPr>
    </w:p>
    <w:p>
      <w:pPr>
        <w:ind w:left="700" w:right="680" w:hanging="351"/>
        <w:spacing w:after="0" w:line="272" w:lineRule="auto"/>
        <w:tabs>
          <w:tab w:leader="none" w:pos="7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Security information and event management</w:t>
      </w:r>
      <w:r>
        <w:rPr>
          <w:rFonts w:ascii="Times New Roman" w:cs="Times New Roman" w:eastAsia="Times New Roman" w:hAnsi="Times New Roman"/>
          <w:sz w:val="20"/>
          <w:szCs w:val="20"/>
          <w:color w:val="auto"/>
        </w:rPr>
        <w:t>: Allows Dropbox Business administrators to oversee and manage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 activity, and access sensitive data through the administrator page.</w:t>
      </w:r>
    </w:p>
    <w:p>
      <w:pPr>
        <w:spacing w:after="0" w:line="63" w:lineRule="exact"/>
        <w:rPr>
          <w:rFonts w:ascii="Times New Roman" w:cs="Times New Roman" w:eastAsia="Times New Roman" w:hAnsi="Times New Roman"/>
          <w:sz w:val="20"/>
          <w:szCs w:val="20"/>
          <w:color w:val="auto"/>
        </w:rPr>
      </w:pPr>
    </w:p>
    <w:p>
      <w:pPr>
        <w:ind w:left="700" w:right="220" w:hanging="351"/>
        <w:spacing w:after="0" w:line="272" w:lineRule="auto"/>
        <w:tabs>
          <w:tab w:leader="none" w:pos="7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Data loss prevention</w:t>
      </w:r>
      <w:r>
        <w:rPr>
          <w:rFonts w:ascii="Times New Roman" w:cs="Times New Roman" w:eastAsia="Times New Roman" w:hAnsi="Times New Roman"/>
          <w:sz w:val="20"/>
          <w:szCs w:val="20"/>
          <w:color w:val="auto"/>
        </w:rPr>
        <w:t>: Protects sensitive data like personally identifiable information and payment card industry data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stored in Dropbox Business accounts.</w:t>
      </w:r>
    </w:p>
    <w:p>
      <w:pPr>
        <w:spacing w:after="0" w:line="63" w:lineRule="exact"/>
        <w:rPr>
          <w:rFonts w:ascii="Times New Roman" w:cs="Times New Roman" w:eastAsia="Times New Roman" w:hAnsi="Times New Roman"/>
          <w:sz w:val="20"/>
          <w:szCs w:val="20"/>
          <w:color w:val="auto"/>
        </w:rPr>
      </w:pPr>
    </w:p>
    <w:p>
      <w:pPr>
        <w:ind w:left="700" w:right="820" w:hanging="351"/>
        <w:spacing w:after="0" w:line="272" w:lineRule="auto"/>
        <w:tabs>
          <w:tab w:leader="none" w:pos="7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eDiscovery and legal hold</w:t>
      </w:r>
      <w:r>
        <w:rPr>
          <w:rFonts w:ascii="Times New Roman" w:cs="Times New Roman" w:eastAsia="Times New Roman" w:hAnsi="Times New Roman"/>
          <w:sz w:val="20"/>
          <w:szCs w:val="20"/>
          <w:color w:val="auto"/>
        </w:rPr>
        <w:t>: Enables secure search and the ability to collect and preserve electronically stored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in Dropbox Business accounts.</w:t>
      </w:r>
    </w:p>
    <w:p>
      <w:pPr>
        <w:spacing w:after="0" w:line="63"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Digital rights management</w:t>
      </w:r>
      <w:r>
        <w:rPr>
          <w:rFonts w:ascii="Times New Roman" w:cs="Times New Roman" w:eastAsia="Times New Roman" w:hAnsi="Times New Roman"/>
          <w:sz w:val="18"/>
          <w:szCs w:val="18"/>
          <w:color w:val="auto"/>
        </w:rPr>
        <w:t>: Provides third-party encryption for company data stored in Dropbox Business accounts.</w:t>
      </w:r>
    </w:p>
    <w:p>
      <w:pPr>
        <w:spacing w:after="0" w:line="144" w:lineRule="exact"/>
        <w:rPr>
          <w:rFonts w:ascii="Times New Roman" w:cs="Times New Roman" w:eastAsia="Times New Roman" w:hAnsi="Times New Roman"/>
          <w:sz w:val="18"/>
          <w:szCs w:val="18"/>
          <w:color w:val="auto"/>
        </w:rPr>
      </w:pPr>
    </w:p>
    <w:p>
      <w:pPr>
        <w:ind w:left="700" w:right="80" w:hanging="351"/>
        <w:spacing w:after="0" w:line="272" w:lineRule="auto"/>
        <w:tabs>
          <w:tab w:leader="none" w:pos="7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Data migration and on-premises backup</w:t>
      </w:r>
      <w:r>
        <w:rPr>
          <w:rFonts w:ascii="Times New Roman" w:cs="Times New Roman" w:eastAsia="Times New Roman" w:hAnsi="Times New Roman"/>
          <w:sz w:val="20"/>
          <w:szCs w:val="20"/>
          <w:color w:val="auto"/>
        </w:rPr>
        <w:t>: Assists in transferring large amounts of data between locations and securing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sensitive information with on-site data backup.</w:t>
      </w:r>
    </w:p>
    <w:p>
      <w:pPr>
        <w:spacing w:after="0" w:line="63" w:lineRule="exact"/>
        <w:rPr>
          <w:rFonts w:ascii="Times New Roman" w:cs="Times New Roman" w:eastAsia="Times New Roman" w:hAnsi="Times New Roman"/>
          <w:sz w:val="20"/>
          <w:szCs w:val="20"/>
          <w:color w:val="auto"/>
        </w:rPr>
      </w:pPr>
    </w:p>
    <w:p>
      <w:pPr>
        <w:ind w:left="700" w:right="120" w:hanging="351"/>
        <w:spacing w:after="0" w:line="272" w:lineRule="auto"/>
        <w:tabs>
          <w:tab w:leader="none" w:pos="7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Identity management</w:t>
      </w:r>
      <w:r>
        <w:rPr>
          <w:rFonts w:ascii="Times New Roman" w:cs="Times New Roman" w:eastAsia="Times New Roman" w:hAnsi="Times New Roman"/>
          <w:sz w:val="20"/>
          <w:szCs w:val="20"/>
          <w:color w:val="auto"/>
        </w:rPr>
        <w:t>: Allows companies to keep their Dropbox Business team authenticated with an external identity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provider like Active Directory.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Subscription Plans</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offer a range of subscription plans for our users, including a free, Basic plan, paid Personal plans, and Business plans.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128" w:lineRule="exact"/>
        <w:rPr>
          <w:sz w:val="20"/>
          <w:szCs w:val="20"/>
          <w:color w:val="auto"/>
        </w:rPr>
      </w:pPr>
    </w:p>
    <w:p>
      <w:pPr>
        <w:ind w:firstLine="483"/>
        <w:spacing w:after="0" w:line="248" w:lineRule="auto"/>
        <w:rPr>
          <w:sz w:val="20"/>
          <w:szCs w:val="20"/>
          <w:color w:val="auto"/>
        </w:rPr>
      </w:pPr>
      <w:r>
        <w:rPr>
          <w:rFonts w:ascii="Times New Roman" w:cs="Times New Roman" w:eastAsia="Times New Roman" w:hAnsi="Times New Roman"/>
          <w:sz w:val="20"/>
          <w:szCs w:val="20"/>
          <w:color w:val="auto"/>
        </w:rPr>
        <w:t>We’ve built a thriving global business with 18.08 million paying users. As of December 31, 2025, we had approximately 575,000 paying Dropbox Business teams. Our customer base is highly diversified, and in 2025, 2024, and 2023,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How we support our customers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of our users can access support through the following resources:</w:t>
      </w:r>
    </w:p>
    <w:p>
      <w:pPr>
        <w:spacing w:after="0" w:line="142" w:lineRule="exact"/>
        <w:rPr>
          <w:sz w:val="20"/>
          <w:szCs w:val="20"/>
          <w:color w:val="auto"/>
        </w:rPr>
      </w:pPr>
    </w:p>
    <w:p>
      <w:pPr>
        <w:ind w:left="700" w:right="280" w:hanging="351"/>
        <w:spacing w:after="0" w:line="272" w:lineRule="auto"/>
        <w:tabs>
          <w:tab w:leader="none" w:pos="7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Help center</w:t>
      </w:r>
      <w:r>
        <w:rPr>
          <w:rFonts w:ascii="Times New Roman" w:cs="Times New Roman" w:eastAsia="Times New Roman" w:hAnsi="Times New Roman"/>
          <w:sz w:val="20"/>
          <w:szCs w:val="20"/>
          <w:color w:val="auto"/>
        </w:rPr>
        <w:t>: Provides an online repository of helpful information about our platform, responses to frequently asked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questions, and best practices for use.</w:t>
      </w:r>
    </w:p>
    <w:p>
      <w:pPr>
        <w:spacing w:after="0" w:line="63" w:lineRule="exact"/>
        <w:rPr>
          <w:rFonts w:ascii="Times New Roman" w:cs="Times New Roman" w:eastAsia="Times New Roman" w:hAnsi="Times New Roman"/>
          <w:sz w:val="20"/>
          <w:szCs w:val="20"/>
          <w:color w:val="auto"/>
        </w:rPr>
      </w:pPr>
    </w:p>
    <w:p>
      <w:pPr>
        <w:ind w:left="700" w:right="120" w:hanging="351"/>
        <w:spacing w:after="0" w:line="272" w:lineRule="auto"/>
        <w:tabs>
          <w:tab w:leader="none" w:pos="7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Community support</w:t>
      </w:r>
      <w:r>
        <w:rPr>
          <w:rFonts w:ascii="Times New Roman" w:cs="Times New Roman" w:eastAsia="Times New Roman" w:hAnsi="Times New Roman"/>
          <w:sz w:val="20"/>
          <w:szCs w:val="20"/>
          <w:color w:val="auto"/>
        </w:rPr>
        <w:t>: Facilitates collaboration between users on answers, solutions, and ideas about our platform in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online community.</w:t>
      </w:r>
    </w:p>
    <w:p>
      <w:pPr>
        <w:spacing w:after="0" w:line="63" w:lineRule="exact"/>
        <w:rPr>
          <w:rFonts w:ascii="Times New Roman" w:cs="Times New Roman" w:eastAsia="Times New Roman" w:hAnsi="Times New Roman"/>
          <w:sz w:val="20"/>
          <w:szCs w:val="20"/>
          <w:color w:val="auto"/>
        </w:rPr>
      </w:pPr>
    </w:p>
    <w:p>
      <w:pPr>
        <w:ind w:left="700" w:right="600" w:hanging="351"/>
        <w:spacing w:after="0" w:line="272" w:lineRule="auto"/>
        <w:tabs>
          <w:tab w:leader="none" w:pos="7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Social media support</w:t>
      </w:r>
      <w:r>
        <w:rPr>
          <w:rFonts w:ascii="Times New Roman" w:cs="Times New Roman" w:eastAsia="Times New Roman" w:hAnsi="Times New Roman"/>
          <w:sz w:val="20"/>
          <w:szCs w:val="20"/>
          <w:color w:val="auto"/>
        </w:rPr>
        <w:t>: Provides users real-time product and service updates, and offers tips and troubleshooting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w:t>
      </w:r>
    </w:p>
    <w:p>
      <w:pPr>
        <w:spacing w:after="0" w:line="63" w:lineRule="exact"/>
        <w:rPr>
          <w:rFonts w:ascii="Times New Roman" w:cs="Times New Roman" w:eastAsia="Times New Roman" w:hAnsi="Times New Roman"/>
          <w:sz w:val="20"/>
          <w:szCs w:val="20"/>
          <w:color w:val="auto"/>
        </w:rPr>
      </w:pPr>
    </w:p>
    <w:p>
      <w:pPr>
        <w:ind w:left="700" w:right="60" w:hanging="351"/>
        <w:spacing w:after="0" w:line="272" w:lineRule="auto"/>
        <w:tabs>
          <w:tab w:leader="none" w:pos="7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Guided troubleshooting</w:t>
      </w:r>
      <w:r>
        <w:rPr>
          <w:rFonts w:ascii="Times New Roman" w:cs="Times New Roman" w:eastAsia="Times New Roman" w:hAnsi="Times New Roman"/>
          <w:sz w:val="20"/>
          <w:szCs w:val="20"/>
          <w:color w:val="auto"/>
        </w:rPr>
        <w:t>: Offers step-by-step instructions to resolve common questions and provides a portal to submit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help requests for questions that aren’t otherwise addressed.</w:t>
      </w:r>
    </w:p>
    <w:p>
      <w:pPr>
        <w:spacing w:after="0" w:line="301" w:lineRule="exact"/>
        <w:rPr>
          <w:sz w:val="20"/>
          <w:szCs w:val="20"/>
          <w:color w:val="auto"/>
        </w:rPr>
      </w:pPr>
    </w:p>
    <w:p>
      <w:pPr>
        <w:ind w:right="1340"/>
        <w:spacing w:after="0" w:line="427" w:lineRule="auto"/>
        <w:rPr>
          <w:sz w:val="20"/>
          <w:szCs w:val="20"/>
          <w:color w:val="auto"/>
        </w:rPr>
      </w:pPr>
      <w:r>
        <w:rPr>
          <w:rFonts w:ascii="Times New Roman" w:cs="Times New Roman" w:eastAsia="Times New Roman" w:hAnsi="Times New Roman"/>
          <w:sz w:val="20"/>
          <w:szCs w:val="20"/>
          <w:color w:val="auto"/>
        </w:rPr>
        <w:t xml:space="preserve">We also offer additional levels of support for our paying users depending on the subscription plan they choose. </w:t>
      </w:r>
      <w:r>
        <w:rPr>
          <w:rFonts w:ascii="Times New Roman" w:cs="Times New Roman" w:eastAsia="Times New Roman" w:hAnsi="Times New Roman"/>
          <w:sz w:val="20"/>
          <w:szCs w:val="20"/>
          <w:b w:val="1"/>
          <w:bCs w:val="1"/>
          <w:color w:val="auto"/>
        </w:rPr>
        <w:t>Our Sales and Marketing Approach</w:t>
      </w:r>
    </w:p>
    <w:p>
      <w:pPr>
        <w:spacing w:after="0" w:line="1" w:lineRule="exact"/>
        <w:rPr>
          <w:sz w:val="20"/>
          <w:szCs w:val="20"/>
          <w:color w:val="auto"/>
        </w:rPr>
      </w:pPr>
    </w:p>
    <w:p>
      <w:pPr>
        <w:ind w:right="40" w:firstLine="483"/>
        <w:spacing w:after="0" w:line="269" w:lineRule="auto"/>
        <w:rPr>
          <w:sz w:val="20"/>
          <w:szCs w:val="20"/>
          <w:color w:val="auto"/>
        </w:rPr>
      </w:pPr>
      <w:r>
        <w:rPr>
          <w:rFonts w:ascii="Times New Roman" w:cs="Times New Roman" w:eastAsia="Times New Roman" w:hAnsi="Times New Roman"/>
          <w:sz w:val="20"/>
          <w:szCs w:val="20"/>
          <w:color w:val="auto"/>
        </w:rPr>
        <w:t>As users share content and collaborate on our platform, they introduce and invite new users, driving growth. We generate over 90% of our revenue from self-serve channels, which limits customer acquisition costs.</w:t>
      </w:r>
    </w:p>
    <w:p>
      <w:pPr>
        <w:spacing w:after="0" w:line="187" w:lineRule="exact"/>
        <w:rPr>
          <w:sz w:val="20"/>
          <w:szCs w:val="20"/>
          <w:color w:val="auto"/>
        </w:rPr>
      </w:pPr>
    </w:p>
    <w:p>
      <w:pPr>
        <w:ind w:right="300" w:firstLine="483"/>
        <w:spacing w:after="0" w:line="269" w:lineRule="auto"/>
        <w:rPr>
          <w:sz w:val="20"/>
          <w:szCs w:val="20"/>
          <w:color w:val="auto"/>
        </w:rPr>
      </w:pPr>
      <w:r>
        <w:rPr>
          <w:rFonts w:ascii="Times New Roman" w:cs="Times New Roman" w:eastAsia="Times New Roman" w:hAnsi="Times New Roman"/>
          <w:sz w:val="20"/>
          <w:szCs w:val="20"/>
          <w:color w:val="auto"/>
        </w:rPr>
        <w:t>We’ve developed an efficient marketing function that’s focused on building brand awareness and reinforcing our self-serve model.</w:t>
      </w:r>
    </w:p>
    <w:p>
      <w:pPr>
        <w:spacing w:after="0" w:line="187" w:lineRule="exact"/>
        <w:rPr>
          <w:sz w:val="20"/>
          <w:szCs w:val="20"/>
          <w:color w:val="auto"/>
        </w:rPr>
      </w:pPr>
    </w:p>
    <w:p>
      <w:pPr>
        <w:ind w:right="20" w:firstLine="483"/>
        <w:spacing w:after="0" w:line="285" w:lineRule="auto"/>
        <w:rPr>
          <w:sz w:val="20"/>
          <w:szCs w:val="20"/>
          <w:color w:val="auto"/>
        </w:rPr>
      </w:pPr>
      <w:r>
        <w:rPr>
          <w:rFonts w:ascii="Times New Roman" w:cs="Times New Roman" w:eastAsia="Times New Roman" w:hAnsi="Times New Roman"/>
          <w:sz w:val="18"/>
          <w:szCs w:val="18"/>
          <w:color w:val="auto"/>
        </w:rPr>
        <w:t>Our goal is to rapidly demonstrate the value of our platform to our users in order to convert them to paying users and upgrade them to our premium offerings. This includes introducing capabilities such as Dropbox Dash, our AI-powered universal search tool, which enables users to find, organize, share, and manage content across Dropbox and other connected third-party applications from a single interface. We reach them through in-product prompts and notifications, time-limited trials of paid subscription plans, email, and lifecycle marketing. Each year, hundreds of millions of devices—including computers,</w:t>
      </w:r>
    </w:p>
    <w:p>
      <w:pPr>
        <w:sectPr>
          <w:pgSz w:w="11880" w:h="15480" w:orient="portrait"/>
          <w:cols w:equalWidth="0" w:num="1">
            <w:col w:w="9980"/>
          </w:cols>
          <w:pgMar w:left="940" w:top="693" w:right="960" w:bottom="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980"/>
          </w:cols>
          <w:pgMar w:left="940" w:top="693" w:right="960" w:bottom="0" w:gutter="0" w:footer="0" w:header="0"/>
          <w:type w:val="continuous"/>
        </w:sectPr>
      </w:pPr>
    </w:p>
    <w:bookmarkStart w:id="113" w:name="page114"/>
    <w:bookmarkEnd w:id="113"/>
    <w:p>
      <w:pPr>
        <w:ind w:right="100"/>
        <w:spacing w:after="0" w:line="256" w:lineRule="auto"/>
        <w:rPr>
          <w:sz w:val="20"/>
          <w:szCs w:val="20"/>
          <w:color w:val="auto"/>
        </w:rPr>
      </w:pPr>
      <w:r>
        <w:rPr>
          <w:rFonts w:ascii="Times New Roman" w:cs="Times New Roman" w:eastAsia="Times New Roman" w:hAnsi="Times New Roman"/>
          <w:sz w:val="20"/>
          <w:szCs w:val="20"/>
          <w:color w:val="auto"/>
        </w:rPr>
        <w:t>phones, and tablets—are actively connected to the Dropbox platform, representing a large number of touchpoints to communicate with our users. We complement our self-serve strategy with targeted outbound sales to pursue organizations best suited to our product.</w:t>
      </w:r>
    </w:p>
    <w:p>
      <w:pPr>
        <w:spacing w:after="0" w:line="200" w:lineRule="exact"/>
        <w:rPr>
          <w:sz w:val="20"/>
          <w:szCs w:val="20"/>
          <w:color w:val="auto"/>
        </w:rPr>
      </w:pPr>
    </w:p>
    <w:p>
      <w:pPr>
        <w:jc w:val="both"/>
        <w:ind w:right="160" w:firstLine="483"/>
        <w:spacing w:after="0" w:line="256" w:lineRule="auto"/>
        <w:rPr>
          <w:sz w:val="20"/>
          <w:szCs w:val="20"/>
          <w:color w:val="auto"/>
        </w:rPr>
      </w:pPr>
      <w:r>
        <w:rPr>
          <w:rFonts w:ascii="Times New Roman" w:cs="Times New Roman" w:eastAsia="Times New Roman" w:hAnsi="Times New Roman"/>
          <w:sz w:val="20"/>
          <w:szCs w:val="20"/>
          <w:color w:val="auto"/>
        </w:rPr>
        <w:t>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Technology Infrastructure and Operations</w:t>
      </w:r>
    </w:p>
    <w:p>
      <w:pPr>
        <w:spacing w:after="0" w:line="128" w:lineRule="exact"/>
        <w:rPr>
          <w:sz w:val="20"/>
          <w:szCs w:val="20"/>
          <w:color w:val="auto"/>
        </w:rPr>
      </w:pPr>
    </w:p>
    <w:p>
      <w:pPr>
        <w:ind w:right="60" w:firstLine="483"/>
        <w:spacing w:after="0" w:line="252" w:lineRule="auto"/>
        <w:rPr>
          <w:sz w:val="20"/>
          <w:szCs w:val="20"/>
          <w:color w:val="auto"/>
        </w:rPr>
      </w:pPr>
      <w:r>
        <w:rPr>
          <w:rFonts w:ascii="Times New Roman" w:cs="Times New Roman" w:eastAsia="Times New Roman" w:hAnsi="Times New Roman"/>
          <w:sz w:val="20"/>
          <w:szCs w:val="20"/>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Oregon, Texas, Virginia, Paris and Hamburg.</w:t>
      </w:r>
    </w:p>
    <w:p>
      <w:pPr>
        <w:spacing w:after="0" w:line="204" w:lineRule="exact"/>
        <w:rPr>
          <w:sz w:val="20"/>
          <w:szCs w:val="20"/>
          <w:color w:val="auto"/>
        </w:rPr>
      </w:pPr>
    </w:p>
    <w:p>
      <w:pPr>
        <w:ind w:right="360" w:firstLine="483"/>
        <w:spacing w:after="0" w:line="252" w:lineRule="auto"/>
        <w:rPr>
          <w:sz w:val="20"/>
          <w:szCs w:val="20"/>
          <w:color w:val="auto"/>
        </w:rPr>
      </w:pPr>
      <w:r>
        <w:rPr>
          <w:rFonts w:ascii="Times New Roman" w:cs="Times New Roman" w:eastAsia="Times New Roman" w:hAnsi="Times New Roman"/>
          <w:sz w:val="20"/>
          <w:szCs w:val="20"/>
          <w:color w:val="auto"/>
        </w:rPr>
        <w:t>We also utilize Amazon Web Services ("AWS") for the remainder of our users’ storage needs and to help deliver our services. These AWS datacenters are located in the United States, Australia, Europe, and Japan, which allows us to localize where content is stored. Our technology infrastructure, combined with select use of AWS resources, provides us with a distributed and scalable architecture on a global scale.</w:t>
      </w:r>
    </w:p>
    <w:p>
      <w:pPr>
        <w:spacing w:after="0" w:line="204" w:lineRule="exact"/>
        <w:rPr>
          <w:sz w:val="20"/>
          <w:szCs w:val="20"/>
          <w:color w:val="auto"/>
        </w:rPr>
      </w:pPr>
    </w:p>
    <w:p>
      <w:pPr>
        <w:ind w:right="180" w:firstLine="483"/>
        <w:spacing w:after="0" w:line="298" w:lineRule="auto"/>
        <w:rPr>
          <w:sz w:val="20"/>
          <w:szCs w:val="20"/>
          <w:color w:val="auto"/>
        </w:rPr>
      </w:pPr>
      <w:r>
        <w:rPr>
          <w:rFonts w:ascii="Times New Roman" w:cs="Times New Roman" w:eastAsia="Times New Roman" w:hAnsi="Times New Roman"/>
          <w:sz w:val="18"/>
          <w:szCs w:val="18"/>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165" w:lineRule="exact"/>
        <w:rPr>
          <w:sz w:val="20"/>
          <w:szCs w:val="20"/>
          <w:color w:val="auto"/>
        </w:rPr>
      </w:pPr>
    </w:p>
    <w:p>
      <w:pPr>
        <w:ind w:right="320" w:firstLine="483"/>
        <w:spacing w:after="0" w:line="243" w:lineRule="auto"/>
        <w:rPr>
          <w:sz w:val="20"/>
          <w:szCs w:val="20"/>
          <w:color w:val="auto"/>
        </w:rPr>
      </w:pPr>
      <w:r>
        <w:rPr>
          <w:rFonts w:ascii="Times New Roman" w:cs="Times New Roman" w:eastAsia="Times New Roman" w:hAnsi="Times New Roman"/>
          <w:sz w:val="20"/>
          <w:szCs w:val="20"/>
          <w:color w:val="auto"/>
        </w:rPr>
        <w:t>We make investments in technology both to improve our existing products and services and to develop new ones. We have made, and continue to make, investments in developing products that will incorporate AI, such as Dash.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Commitment to Security, Privacy and Legal Compliance</w:t>
      </w:r>
    </w:p>
    <w:p>
      <w:pPr>
        <w:spacing w:after="0" w:line="128" w:lineRule="exact"/>
        <w:rPr>
          <w:sz w:val="20"/>
          <w:szCs w:val="20"/>
          <w:color w:val="auto"/>
        </w:rPr>
      </w:pPr>
    </w:p>
    <w:p>
      <w:pPr>
        <w:ind w:right="400" w:firstLine="483"/>
        <w:spacing w:after="0" w:line="269" w:lineRule="auto"/>
        <w:rPr>
          <w:sz w:val="20"/>
          <w:szCs w:val="20"/>
          <w:color w:val="auto"/>
        </w:rPr>
      </w:pPr>
      <w:r>
        <w:rPr>
          <w:rFonts w:ascii="Times New Roman" w:cs="Times New Roman" w:eastAsia="Times New Roman" w:hAnsi="Times New Roman"/>
          <w:sz w:val="20"/>
          <w:szCs w:val="20"/>
          <w:color w:val="auto"/>
        </w:rPr>
        <w:t>Trust is the foundation of our relationship with our users, and we take significant measures every day to protect their privacy and security.</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Security</w:t>
      </w:r>
    </w:p>
    <w:p>
      <w:pPr>
        <w:spacing w:after="0" w:line="129" w:lineRule="exact"/>
        <w:rPr>
          <w:sz w:val="20"/>
          <w:szCs w:val="20"/>
          <w:color w:val="auto"/>
        </w:rPr>
      </w:pPr>
    </w:p>
    <w:p>
      <w:pPr>
        <w:ind w:firstLine="483"/>
        <w:spacing w:after="0" w:line="247" w:lineRule="auto"/>
        <w:rPr>
          <w:sz w:val="20"/>
          <w:szCs w:val="20"/>
          <w:color w:val="auto"/>
        </w:rPr>
      </w:pPr>
      <w:r>
        <w:rPr>
          <w:rFonts w:ascii="Times New Roman" w:cs="Times New Roman" w:eastAsia="Times New Roman" w:hAnsi="Times New Roman"/>
          <w:sz w:val="20"/>
          <w:szCs w:val="20"/>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We also encourage and support independent research through our bug bounty program, where we work with leading security researchers from around the world to maintain the high standards of security our users have come to expect.</w:t>
      </w:r>
    </w:p>
    <w:p>
      <w:pPr>
        <w:spacing w:after="0" w:line="210" w:lineRule="exact"/>
        <w:rPr>
          <w:sz w:val="20"/>
          <w:szCs w:val="20"/>
          <w:color w:val="auto"/>
        </w:rPr>
      </w:pPr>
    </w:p>
    <w:p>
      <w:pPr>
        <w:ind w:right="340" w:firstLine="483"/>
        <w:spacing w:after="0" w:line="252" w:lineRule="auto"/>
        <w:rPr>
          <w:sz w:val="20"/>
          <w:szCs w:val="20"/>
          <w:color w:val="auto"/>
        </w:rPr>
      </w:pPr>
      <w:r>
        <w:rPr>
          <w:rFonts w:ascii="Times New Roman" w:cs="Times New Roman" w:eastAsia="Times New Roman" w:hAnsi="Times New Roman"/>
          <w:sz w:val="20"/>
          <w:szCs w:val="20"/>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Privacy</w:t>
      </w:r>
    </w:p>
    <w:p>
      <w:pPr>
        <w:spacing w:after="0" w:line="129" w:lineRule="exact"/>
        <w:rPr>
          <w:sz w:val="20"/>
          <w:szCs w:val="20"/>
          <w:color w:val="auto"/>
        </w:rPr>
      </w:pPr>
    </w:p>
    <w:p>
      <w:pPr>
        <w:ind w:right="100" w:firstLine="483"/>
        <w:spacing w:after="0" w:line="248" w:lineRule="auto"/>
        <w:rPr>
          <w:sz w:val="20"/>
          <w:szCs w:val="20"/>
          <w:color w:val="auto"/>
        </w:rPr>
      </w:pPr>
      <w:r>
        <w:rPr>
          <w:rFonts w:ascii="Times New Roman" w:cs="Times New Roman" w:eastAsia="Times New Roman" w:hAnsi="Times New Roman"/>
          <w:sz w:val="20"/>
          <w:szCs w:val="20"/>
          <w:color w:val="auto"/>
        </w:rPr>
        <w:t>We are committed to keeping user data private, and are subject to a number of privacy laws and regulations such as the European Union's General Data Protection Regulation ("GDPR") and the California Consumer Privacy Act ("CCPA") in the U.S. These laws and regulations impose increasingly numerous, complex obligations on us. To address our obligations under such privacy laws and regulations, we operate a robust privacy program and have appointed a Data Protection Officer. Our privacy policy details how we process our users’ personal data as well as the steps we take to protect it. For third-party developers that create applications that connect to Dropbox, we also set forth terms and guidelines that explain their obligation to protect the privacy of our users' personal data.</w:t>
      </w:r>
    </w:p>
    <w:p>
      <w:pPr>
        <w:sectPr>
          <w:pgSz w:w="11880" w:h="15480" w:orient="portrait"/>
          <w:cols w:equalWidth="0" w:num="1">
            <w:col w:w="9980"/>
          </w:cols>
          <w:pgMar w:left="940" w:top="69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980"/>
          </w:cols>
          <w:pgMar w:left="940" w:top="696" w:right="960" w:bottom="0" w:gutter="0" w:footer="0" w:header="0"/>
          <w:type w:val="continuous"/>
        </w:sectPr>
      </w:pPr>
    </w:p>
    <w:bookmarkStart w:id="114" w:name="page115"/>
    <w:bookmarkEnd w:id="114"/>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Other Government Regulations</w:t>
      </w:r>
    </w:p>
    <w:p>
      <w:pPr>
        <w:spacing w:after="0" w:line="129" w:lineRule="exact"/>
        <w:rPr>
          <w:sz w:val="20"/>
          <w:szCs w:val="20"/>
          <w:color w:val="auto"/>
        </w:rPr>
      </w:pPr>
    </w:p>
    <w:p>
      <w:pPr>
        <w:ind w:firstLine="483"/>
        <w:spacing w:after="0" w:line="247" w:lineRule="auto"/>
        <w:rPr>
          <w:sz w:val="20"/>
          <w:szCs w:val="20"/>
          <w:color w:val="auto"/>
        </w:rPr>
      </w:pPr>
      <w:r>
        <w:rPr>
          <w:rFonts w:ascii="Times New Roman" w:cs="Times New Roman" w:eastAsia="Times New Roman" w:hAnsi="Times New Roman"/>
          <w:sz w:val="20"/>
          <w:szCs w:val="20"/>
          <w:color w:val="auto"/>
        </w:rPr>
        <w:t>We are subject to compliance with various laws and regulations. These include those covering copyright, indecent content, child protection, and similar matters regarding the content stored and created on our platform as well as consumer protection laws that may impact our sales and marketing efforts, including laws related to subscriptions, billing, and auto renewal. In addition to laws and regulations governing content stored and created on our platform and consumer protection, we are also subject to anti-corruption laws and export and import regulations. The laws in these areas are often in a state of flux and can vary widely between jurisdictions. To comply with and manage our obligations under such laws and regulations, we track relevant legislative, regulatory, and contractual requirements. In addition, we have instituted processes and policies to ensure we review our business practices for appropriate compliance with such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Competition</w:t>
      </w:r>
    </w:p>
    <w:p>
      <w:pPr>
        <w:spacing w:after="0" w:line="245" w:lineRule="exact"/>
        <w:rPr>
          <w:sz w:val="20"/>
          <w:szCs w:val="20"/>
          <w:color w:val="auto"/>
        </w:rPr>
      </w:pPr>
    </w:p>
    <w:p>
      <w:pPr>
        <w:ind w:right="80" w:firstLine="483"/>
        <w:spacing w:after="0" w:line="248" w:lineRule="auto"/>
        <w:rPr>
          <w:sz w:val="20"/>
          <w:szCs w:val="20"/>
          <w:color w:val="auto"/>
        </w:rPr>
      </w:pPr>
      <w:r>
        <w:rPr>
          <w:rFonts w:ascii="Times New Roman" w:cs="Times New Roman" w:eastAsia="Times New Roman" w:hAnsi="Times New Roman"/>
          <w:sz w:val="20"/>
          <w:szCs w:val="20"/>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(now part of Salesforce) and Google. On a more limited basis, we compete with Box in the cloud storage market for deployments by large enterprises as well as in the e-signature market along with Adobe and DocuSign and in the AI content search market along with Glean, Guru and Notion. We also compete with smaller private companies that offer point solutions in the cloud storage market or the content collaboration market.</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believe that the principal competitive factors in our markets include the following:</w:t>
      </w:r>
    </w:p>
    <w:p>
      <w:pPr>
        <w:spacing w:after="0" w:line="144" w:lineRule="exact"/>
        <w:rPr>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user-centric design;</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 of adoption and use;</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scale of user network;</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features and platform experience;</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brand;</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and privacy;</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accessibility across several devices, operating systems, and applications;</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integration;</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support;</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innovation;</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AI; and</w:t>
      </w:r>
    </w:p>
    <w:p>
      <w:pPr>
        <w:spacing w:after="0" w:line="121"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trends.</w:t>
      </w:r>
    </w:p>
    <w:p>
      <w:pPr>
        <w:spacing w:after="0" w:line="238" w:lineRule="exact"/>
        <w:rPr>
          <w:sz w:val="20"/>
          <w:szCs w:val="20"/>
          <w:color w:val="auto"/>
        </w:rPr>
      </w:pPr>
    </w:p>
    <w:p>
      <w:pPr>
        <w:ind w:right="240" w:firstLine="483"/>
        <w:spacing w:after="0" w:line="252" w:lineRule="auto"/>
        <w:rPr>
          <w:sz w:val="20"/>
          <w:szCs w:val="20"/>
          <w:color w:val="auto"/>
        </w:rPr>
      </w:pPr>
      <w:r>
        <w:rPr>
          <w:rFonts w:ascii="Times New Roman" w:cs="Times New Roman" w:eastAsia="Times New Roman" w:hAnsi="Times New Roman"/>
          <w:sz w:val="20"/>
          <w:szCs w:val="20"/>
          <w:color w:val="auto"/>
        </w:rPr>
        <w:t>We believe we compete favorably across these factors,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8" w:lineRule="exact"/>
        <w:rPr>
          <w:sz w:val="20"/>
          <w:szCs w:val="20"/>
          <w:color w:val="auto"/>
        </w:rPr>
      </w:pPr>
    </w:p>
    <w:p>
      <w:pPr>
        <w:ind w:right="60" w:firstLine="483"/>
        <w:spacing w:after="0" w:line="250" w:lineRule="auto"/>
        <w:rPr>
          <w:sz w:val="20"/>
          <w:szCs w:val="20"/>
          <w:color w:val="auto"/>
        </w:rPr>
      </w:pPr>
      <w:r>
        <w:rPr>
          <w:rFonts w:ascii="Times New Roman" w:cs="Times New Roman" w:eastAsia="Times New Roman" w:hAnsi="Times New Roman"/>
          <w:sz w:val="20"/>
          <w:szCs w:val="20"/>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206" w:lineRule="exact"/>
        <w:rPr>
          <w:sz w:val="20"/>
          <w:szCs w:val="20"/>
          <w:color w:val="auto"/>
        </w:rPr>
      </w:pPr>
    </w:p>
    <w:p>
      <w:pPr>
        <w:ind w:right="60" w:firstLine="483"/>
        <w:spacing w:after="0" w:line="256" w:lineRule="auto"/>
        <w:rPr>
          <w:sz w:val="20"/>
          <w:szCs w:val="20"/>
          <w:color w:val="auto"/>
        </w:rPr>
      </w:pPr>
      <w:r>
        <w:rPr>
          <w:rFonts w:ascii="Times New Roman" w:cs="Times New Roman" w:eastAsia="Times New Roman" w:hAnsi="Times New Roman"/>
          <w:sz w:val="20"/>
          <w:szCs w:val="20"/>
          <w:color w:val="auto"/>
        </w:rPr>
        <w:t>We have over 1,900 issued patents and more than 280 pending patent applications in the United States and abroad. These patents and patent applications seek to protect our proprietary inventions relevant to our business. In addition, we license a number of key third-party patents in the file collaboration, storage, syncing, and sharing markets.</w:t>
      </w:r>
    </w:p>
    <w:p>
      <w:pPr>
        <w:sectPr>
          <w:pgSz w:w="11880" w:h="15480" w:orient="portrait"/>
          <w:cols w:equalWidth="0" w:num="1">
            <w:col w:w="10000"/>
          </w:cols>
          <w:pgMar w:left="940" w:top="688" w:right="940" w:bottom="0"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000"/>
          </w:cols>
          <w:pgMar w:left="940" w:top="688" w:right="940" w:bottom="0" w:gutter="0" w:footer="0" w:header="0"/>
          <w:type w:val="continuous"/>
        </w:sectPr>
      </w:pPr>
    </w:p>
    <w:bookmarkStart w:id="115" w:name="page116"/>
    <w:bookmarkEnd w:id="115"/>
    <w:p>
      <w:pPr>
        <w:ind w:right="140" w:firstLine="483"/>
        <w:spacing w:after="0" w:line="256" w:lineRule="auto"/>
        <w:rPr>
          <w:sz w:val="20"/>
          <w:szCs w:val="20"/>
          <w:color w:val="auto"/>
        </w:rPr>
      </w:pPr>
      <w:r>
        <w:rPr>
          <w:rFonts w:ascii="Times New Roman" w:cs="Times New Roman" w:eastAsia="Times New Roman" w:hAnsi="Times New Roman"/>
          <w:sz w:val="20"/>
          <w:szCs w:val="20"/>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200" w:lineRule="exact"/>
        <w:rPr>
          <w:sz w:val="20"/>
          <w:szCs w:val="20"/>
          <w:color w:val="auto"/>
        </w:rPr>
      </w:pPr>
    </w:p>
    <w:p>
      <w:pPr>
        <w:ind w:right="180" w:firstLine="483"/>
        <w:spacing w:after="0" w:line="252" w:lineRule="auto"/>
        <w:rPr>
          <w:sz w:val="20"/>
          <w:szCs w:val="20"/>
          <w:color w:val="auto"/>
        </w:rPr>
      </w:pPr>
      <w:r>
        <w:rPr>
          <w:rFonts w:ascii="Times New Roman" w:cs="Times New Roman" w:eastAsia="Times New Roman" w:hAnsi="Times New Roman"/>
          <w:sz w:val="20"/>
          <w:szCs w:val="20"/>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28" w:lineRule="exact"/>
        <w:rPr>
          <w:sz w:val="20"/>
          <w:szCs w:val="20"/>
          <w:color w:val="auto"/>
        </w:rPr>
      </w:pPr>
    </w:p>
    <w:p>
      <w:pPr>
        <w:ind w:right="20" w:firstLine="483"/>
        <w:spacing w:after="0" w:line="282" w:lineRule="auto"/>
        <w:rPr>
          <w:sz w:val="20"/>
          <w:szCs w:val="20"/>
          <w:color w:val="auto"/>
        </w:rPr>
      </w:pPr>
      <w:r>
        <w:rPr>
          <w:rFonts w:ascii="Times New Roman" w:cs="Times New Roman" w:eastAsia="Times New Roman" w:hAnsi="Times New Roman"/>
          <w:sz w:val="18"/>
          <w:szCs w:val="18"/>
          <w:color w:val="auto"/>
        </w:rPr>
        <w:t>At Dropbox, we believe that the world can work better. But that starts with us: building a team that emphasizes the kindness and collaboration needed to grow. We believe the strength of our workforce is one of the most significant contributors to our success. As of December 31, 2025, we had 2,113 full-time employees. Of our full-time employees, 1,612 were located in the United States and 501 were employees located outside of the United States. None of our employees are represented by a labor union, except to the extent certain employees outside the United States are represented by national trade unions or local works councils. We have not experienced any work stoppages, and we believe that our employee relations are strong.</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Virtual First</w:t>
      </w:r>
    </w:p>
    <w:p>
      <w:pPr>
        <w:spacing w:after="0" w:line="129" w:lineRule="exact"/>
        <w:rPr>
          <w:sz w:val="20"/>
          <w:szCs w:val="20"/>
          <w:color w:val="auto"/>
        </w:rPr>
      </w:pPr>
    </w:p>
    <w:p>
      <w:pPr>
        <w:ind w:firstLine="483"/>
        <w:spacing w:after="0" w:line="247" w:lineRule="auto"/>
        <w:rPr>
          <w:sz w:val="20"/>
          <w:szCs w:val="20"/>
          <w:color w:val="auto"/>
        </w:rPr>
      </w:pPr>
      <w:r>
        <w:rPr>
          <w:rFonts w:ascii="Times New Roman" w:cs="Times New Roman" w:eastAsia="Times New Roman" w:hAnsi="Times New Roman"/>
          <w:sz w:val="20"/>
          <w:szCs w:val="20"/>
          <w:color w:val="auto"/>
        </w:rPr>
        <w:t>We operate in a Virtual First work model pursuant to which remote work is the primary experience for all of our employees. As a result, we have seen our workforce become more distributed over time. Teams also meet in person several times a year, using repurposed real estate called "Dropbox Studios" or flexible workspaces known as "On-Demand Spaces.” Part of Virtual First includes empowering our employees to adopt flexible working arrangements and providing tools for efficient remote collaboration and continuing to provide opportunities for in-person collaboration at “Dropbox Studios” or “On-Demand Spaces.” Additionally, we provide our employees with a quarterly allowance that can be used to cover expenses related to health and fitness, family and caregiver support, productivity and ergonomics, financial wellness, and learning and development programs, as well as resources to support their effectiveness in their work environments.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 Program</w:t>
      </w:r>
    </w:p>
    <w:p>
      <w:pPr>
        <w:spacing w:after="0" w:line="129" w:lineRule="exact"/>
        <w:rPr>
          <w:sz w:val="20"/>
          <w:szCs w:val="20"/>
          <w:color w:val="auto"/>
        </w:rPr>
      </w:pPr>
    </w:p>
    <w:p>
      <w:pPr>
        <w:ind w:right="160" w:firstLine="483"/>
        <w:spacing w:after="0" w:line="280" w:lineRule="auto"/>
        <w:rPr>
          <w:sz w:val="20"/>
          <w:szCs w:val="20"/>
          <w:color w:val="auto"/>
        </w:rPr>
      </w:pPr>
      <w:r>
        <w:rPr>
          <w:rFonts w:ascii="Times New Roman" w:cs="Times New Roman" w:eastAsia="Times New Roman" w:hAnsi="Times New Roman"/>
          <w:sz w:val="18"/>
          <w:szCs w:val="18"/>
          <w:color w:val="auto"/>
        </w:rPr>
        <w:t>Our compensation program is designed to attract and reward talented individuals who possess the skills necessary to support our business, contribute to our strategic goals and create long-term value for our stockholders. We provide employees with competitive compensation packages that include base salary, annual incentive bonuses, 401(k) with a company match up to a specific threshold, and equity awards which align the interests of our employees with our stockholders. Our competitive benefits package includes medical, dental, vision, life and disability plans. In addition to these core benefits, we also provide enhanced mental health benefits, family formation benefits and our adoption and surrogacy assistance program. Our comprehensive programs also provide various leave benefits - including paid parental leave for all eligible employees.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Employee Wellness and Safety</w:t>
      </w:r>
    </w:p>
    <w:p>
      <w:pPr>
        <w:spacing w:after="0" w:line="246" w:lineRule="exact"/>
        <w:rPr>
          <w:sz w:val="20"/>
          <w:szCs w:val="20"/>
          <w:color w:val="auto"/>
        </w:rPr>
      </w:pPr>
    </w:p>
    <w:p>
      <w:pPr>
        <w:ind w:right="20" w:firstLine="483"/>
        <w:spacing w:after="0" w:line="249" w:lineRule="auto"/>
        <w:rPr>
          <w:sz w:val="20"/>
          <w:szCs w:val="20"/>
          <w:color w:val="auto"/>
        </w:rPr>
      </w:pPr>
      <w:r>
        <w:rPr>
          <w:rFonts w:ascii="Times New Roman" w:cs="Times New Roman" w:eastAsia="Times New Roman" w:hAnsi="Times New Roman"/>
          <w:sz w:val="20"/>
          <w:szCs w:val="20"/>
          <w:color w:val="auto"/>
        </w:rPr>
        <w:t>We recognize the importance of the well-being of our employees. With our Virtual First work model, we remain committed to supporting their wellness and development. A component of our comprehensive health and wellness benefits package to all employees includes time-off opportunities as well as mental and physical wellness benefits. We conduct a bi-annual employee satisfaction survey to gather candid feedback from employees with focus on areas such as experience with our managers, wellness initiatives, career and company initiatives. Survey results are reviewed extensively and become part of our action plans at all levels of the organization.</w:t>
      </w:r>
    </w:p>
    <w:p>
      <w:pPr>
        <w:spacing w:after="0" w:line="207" w:lineRule="exact"/>
        <w:rPr>
          <w:sz w:val="20"/>
          <w:szCs w:val="20"/>
          <w:color w:val="auto"/>
        </w:rPr>
      </w:pPr>
    </w:p>
    <w:p>
      <w:pPr>
        <w:ind w:right="80" w:firstLine="483"/>
        <w:spacing w:after="0" w:line="256" w:lineRule="auto"/>
        <w:rPr>
          <w:sz w:val="20"/>
          <w:szCs w:val="20"/>
          <w:color w:val="auto"/>
        </w:rPr>
      </w:pPr>
      <w:r>
        <w:rPr>
          <w:rFonts w:ascii="Times New Roman" w:cs="Times New Roman" w:eastAsia="Times New Roman" w:hAnsi="Times New Roman"/>
          <w:sz w:val="20"/>
          <w:szCs w:val="20"/>
          <w:color w:val="auto"/>
        </w:rPr>
        <w:t>In addition, the safety of our employees is paramount to our success. We have a physical security policy applicable to all our employees with a global physical security team that is empowered to protect the safety of our employees in the event of emergencies or disasters.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Learning and Development</w:t>
      </w:r>
    </w:p>
    <w:p>
      <w:pPr>
        <w:spacing w:after="0" w:line="129"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20"/>
          <w:szCs w:val="20"/>
          <w:color w:val="auto"/>
        </w:rPr>
        <w:t>We want all of our employees to have thriving careers where they grow and develop in meaningful ways. We develop and provide access to internal learning and development resources to assist in professional development in various ways such as skills-building programs, on-demand learning options, mentoring programs, and leadership development courses. We launched an AI Academy with multiple tracks in 2025 to help all Dropboxers learn to use AI responsibly and more proficiently to be more productive in their roles. We also offer extensive onboarding and training programs to prepare our employees at all levels for career progression and individual development.</w:t>
      </w:r>
    </w:p>
    <w:p>
      <w:pPr>
        <w:sectPr>
          <w:pgSz w:w="11880" w:h="15480" w:orient="portrait"/>
          <w:cols w:equalWidth="0" w:num="1">
            <w:col w:w="9980"/>
          </w:cols>
          <w:pgMar w:left="940" w:top="930" w:right="960" w:bottom="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980"/>
          </w:cols>
          <w:pgMar w:left="940" w:top="930" w:right="960" w:bottom="0" w:gutter="0" w:footer="0" w:header="0"/>
          <w:type w:val="continuous"/>
        </w:sectPr>
      </w:pPr>
    </w:p>
    <w:bookmarkStart w:id="116" w:name="page117"/>
    <w:bookmarkEnd w:id="116"/>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Community</w:t>
      </w:r>
    </w:p>
    <w:p>
      <w:pPr>
        <w:spacing w:after="0" w:line="129" w:lineRule="exact"/>
        <w:rPr>
          <w:sz w:val="20"/>
          <w:szCs w:val="20"/>
          <w:color w:val="auto"/>
        </w:rPr>
      </w:pPr>
    </w:p>
    <w:p>
      <w:pPr>
        <w:ind w:right="160" w:firstLine="439"/>
        <w:spacing w:after="0" w:line="326" w:lineRule="auto"/>
        <w:rPr>
          <w:sz w:val="20"/>
          <w:szCs w:val="20"/>
          <w:color w:val="auto"/>
        </w:rPr>
      </w:pPr>
      <w:r>
        <w:rPr>
          <w:rFonts w:ascii="Times New Roman" w:cs="Times New Roman" w:eastAsia="Times New Roman" w:hAnsi="Times New Roman"/>
          <w:sz w:val="18"/>
          <w:szCs w:val="18"/>
          <w:color w:val="auto"/>
        </w:rPr>
        <w:t>We empower our employees to give back to their communities by providing paid volunteer time off, matching a portion of employee donations to nonprofits, and making product donations to nonprofit organizations nominated by our employees.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28"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20"/>
          <w:szCs w:val="20"/>
          <w:color w:val="auto"/>
        </w:rPr>
        <w:t>We were incorporated in May 2007 as Evenflow, Inc., a Delaware corporation, and changed our name to Dropbox, Inc. in October 2009. In March 2025, we reincorporated in the state of Nevada. Our principal offices are located at 1800 Owens Street, San Francisco, California, 94158, and our telephone number is (415) 930-7766. Our Class A common stock is listed on the Nasdaq Global Select Market under the symbol “DBX.”</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8" w:lineRule="exact"/>
        <w:rPr>
          <w:sz w:val="20"/>
          <w:szCs w:val="20"/>
          <w:color w:val="auto"/>
        </w:rPr>
      </w:pPr>
    </w:p>
    <w:p>
      <w:pPr>
        <w:ind w:right="40" w:firstLine="483"/>
        <w:spacing w:after="0" w:line="277" w:lineRule="auto"/>
        <w:rPr>
          <w:sz w:val="20"/>
          <w:szCs w:val="20"/>
          <w:color w:val="auto"/>
        </w:rPr>
      </w:pPr>
      <w:r>
        <w:rPr>
          <w:rFonts w:ascii="Times New Roman" w:cs="Times New Roman" w:eastAsia="Times New Roman" w:hAnsi="Times New Roman"/>
          <w:sz w:val="18"/>
          <w:szCs w:val="18"/>
          <w:color w:val="auto"/>
        </w:rPr>
        <w:t>Our website is located at http://www.dropbox.com/, our investor relations website is located at http:// investors.dropbox.com/, and our blog is located at https://blog.dropbox.com/topics/news. We have used, and intend to continue to use, our investor relations website, our blog, press releases, public conference calls and webcasts to disclose material non-public information and to comply with our disclosure obligations under Regulation FD. The following filings are available through our investor relations website after we file them with the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sectPr>
          <w:pgSz w:w="11880" w:h="15480" w:orient="portrait"/>
          <w:cols w:equalWidth="0" w:num="1">
            <w:col w:w="9960"/>
          </w:cols>
          <w:pgMar w:left="940" w:top="68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960"/>
          </w:cols>
          <w:pgMar w:left="940" w:top="688" w:right="98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3"/>
          <w:szCs w:val="23"/>
          <w:b w:val="1"/>
          <w:bCs w:val="1"/>
          <w:color w:val="auto"/>
        </w:rPr>
        <w:t>ITEM 1A. RISK FACTORS</w:t>
      </w:r>
    </w:p>
    <w:p>
      <w:pPr>
        <w:spacing w:after="0" w:line="271" w:lineRule="exact"/>
        <w:rPr>
          <w:sz w:val="20"/>
          <w:szCs w:val="20"/>
          <w:color w:val="auto"/>
        </w:rPr>
      </w:pPr>
    </w:p>
    <w:p>
      <w:pPr>
        <w:ind w:right="40" w:firstLine="439"/>
        <w:spacing w:after="0" w:line="246" w:lineRule="auto"/>
        <w:rPr>
          <w:sz w:val="20"/>
          <w:szCs w:val="20"/>
          <w:color w:val="auto"/>
        </w:rPr>
      </w:pPr>
      <w:r>
        <w:rPr>
          <w:rFonts w:ascii="Times New Roman" w:cs="Times New Roman" w:eastAsia="Times New Roman" w:hAnsi="Times New Roman"/>
          <w:sz w:val="20"/>
          <w:szCs w:val="20"/>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Business and Operations</w:t>
      </w:r>
    </w:p>
    <w:p>
      <w:pPr>
        <w:spacing w:after="0" w:line="159" w:lineRule="exact"/>
        <w:rPr>
          <w:sz w:val="20"/>
          <w:szCs w:val="20"/>
          <w:color w:val="auto"/>
        </w:rPr>
      </w:pPr>
    </w:p>
    <w:p>
      <w:pPr>
        <w:jc w:val="both"/>
        <w:ind w:right="320" w:firstLine="439"/>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spacing w:after="0" w:line="122" w:lineRule="exact"/>
        <w:rPr>
          <w:sz w:val="20"/>
          <w:szCs w:val="20"/>
          <w:color w:val="auto"/>
        </w:rPr>
      </w:pPr>
    </w:p>
    <w:p>
      <w:pPr>
        <w:ind w:right="20" w:firstLine="439"/>
        <w:spacing w:after="0" w:line="247" w:lineRule="auto"/>
        <w:rPr>
          <w:sz w:val="20"/>
          <w:szCs w:val="20"/>
          <w:color w:val="auto"/>
        </w:rPr>
      </w:pPr>
      <w:r>
        <w:rPr>
          <w:rFonts w:ascii="Times New Roman" w:cs="Times New Roman" w:eastAsia="Times New Roman" w:hAnsi="Times New Roman"/>
          <w:sz w:val="20"/>
          <w:szCs w:val="20"/>
          <w:color w:val="auto"/>
        </w:rPr>
        <w:t>The rate of growth of our business and revenue has declined in recent periods and we have experienced negative growth. If we are unable to execute on our new product initiatives and plans for growth in the future, we may be unable to reverse this trend. Our new product initiatives, including any AI-based initiatives, are intended to result in growth, but such initiatives require a period of investment and ultimately may not succeed on the timelines we expect or at all. If our new products or product enhancements do not achieve adequate adoption by our customers or do not result in increased paid users or subsequent renewals, our competitive position will be impaired or our anticipated revenue growth may not be achieved. Any additional revenue our new initiatives generate may be insufficient to offset the amounts we have invested or the declining rates of growth in other areas of our business and may harm our profitability.</w:t>
      </w:r>
    </w:p>
    <w:p>
      <w:pPr>
        <w:spacing w:after="0" w:line="213" w:lineRule="exact"/>
        <w:rPr>
          <w:sz w:val="20"/>
          <w:szCs w:val="20"/>
          <w:color w:val="auto"/>
        </w:rPr>
      </w:pPr>
    </w:p>
    <w:p>
      <w:pPr>
        <w:ind w:firstLine="439"/>
        <w:spacing w:after="0" w:line="247" w:lineRule="auto"/>
        <w:rPr>
          <w:sz w:val="20"/>
          <w:szCs w:val="20"/>
          <w:color w:val="auto"/>
        </w:rPr>
      </w:pPr>
      <w:r>
        <w:rPr>
          <w:rFonts w:ascii="Times New Roman" w:cs="Times New Roman" w:eastAsia="Times New Roman" w:hAnsi="Times New Roman"/>
          <w:sz w:val="20"/>
          <w:szCs w:val="20"/>
          <w:color w:val="auto"/>
        </w:rPr>
        <w:t>Efforts to grow and expand our business, including the introduction of new features and products, places a continuous significant strain on our management, operational, and financial resources. As we introduce new products and features, including AI features, our information technology systems, organizational structures, and internal controls and procedures may not be adequate to support our operations, particularly to the extent our user base and third-party relationships expand or change as a result of these new products and features. In addition, our challenges may be heightened in connection with our Virtual First work model, as we engage an increasingly distributed employee base in countries around the world, as well as our focus on aligning our resources to create a nimble and streamlined organization. Issues related to Virtual First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spacing w:after="0" w:line="207" w:lineRule="exact"/>
        <w:rPr>
          <w:sz w:val="20"/>
          <w:szCs w:val="20"/>
          <w:color w:val="auto"/>
        </w:rPr>
      </w:pPr>
    </w:p>
    <w:p>
      <w:pPr>
        <w:ind w:right="20" w:firstLine="439"/>
        <w:spacing w:after="0" w:line="279" w:lineRule="auto"/>
        <w:rPr>
          <w:sz w:val="20"/>
          <w:szCs w:val="20"/>
          <w:color w:val="auto"/>
        </w:rPr>
      </w:pPr>
      <w:r>
        <w:rPr>
          <w:rFonts w:ascii="Times New Roman" w:cs="Times New Roman" w:eastAsia="Times New Roman" w:hAnsi="Times New Roman"/>
          <w:sz w:val="18"/>
          <w:szCs w:val="18"/>
          <w:color w:val="auto"/>
        </w:rPr>
        <w:t>In order to return to growth or reaccelerate our growth, we must effectively allocate our resources and if we invest in future growth, or reduce resources allocated to certain products, functions, or strategies, and fail to achieve our goals our business will be harmed. Our ability to forecast our future results of operations and future growth is subject to a number of risks and uncertainties, including our ability to effectively plan for and model future growth, and we have not always received, and we may not in the future receive, the return we expect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spacing w:after="0" w:line="173" w:lineRule="exact"/>
        <w:rPr>
          <w:sz w:val="20"/>
          <w:szCs w:val="20"/>
          <w:color w:val="auto"/>
        </w:rPr>
      </w:pPr>
    </w:p>
    <w:p>
      <w:pPr>
        <w:ind w:right="480" w:firstLine="439"/>
        <w:spacing w:after="0" w:line="33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and retain users, convert users to paying users and upgrade paying users, and any decline in acquisitions, renewals or upgrades could adversely affect our future results of operations.</w:t>
      </w:r>
    </w:p>
    <w:p>
      <w:pPr>
        <w:spacing w:after="0" w:line="139" w:lineRule="exact"/>
        <w:rPr>
          <w:sz w:val="20"/>
          <w:szCs w:val="20"/>
          <w:color w:val="auto"/>
        </w:rPr>
      </w:pPr>
    </w:p>
    <w:p>
      <w:pPr>
        <w:ind w:right="40" w:firstLine="439"/>
        <w:spacing w:after="0" w:line="249" w:lineRule="auto"/>
        <w:rPr>
          <w:sz w:val="20"/>
          <w:szCs w:val="20"/>
          <w:color w:val="auto"/>
        </w:rPr>
      </w:pPr>
      <w:r>
        <w:rPr>
          <w:rFonts w:ascii="Times New Roman" w:cs="Times New Roman" w:eastAsia="Times New Roman" w:hAnsi="Times New Roman"/>
          <w:sz w:val="20"/>
          <w:szCs w:val="20"/>
          <w:color w:val="auto"/>
        </w:rPr>
        <w:t>Our business depends upon our ability to continually add new users and to maintain and expand our relationships with our users. In particular, in order to grow our revenue, we must attract and retain paying users and convert registered users to paying users. Historically, our revenue has been driven by our self-serve model, and we generate more than 90% of our revenue from self-serve channels. Our self-service channel revenue is driven by word-of-mouth referrals, recommendations, and positive brand recognition in the marketplace, among other factors. Any decrease in user satisfaction with our products or support could harm our brand, word-of-mouth referrals, and ability to grow.</w:t>
      </w:r>
    </w:p>
    <w:p>
      <w:pPr>
        <w:sectPr>
          <w:pgSz w:w="11880" w:h="15480" w:orient="portrait"/>
          <w:cols w:equalWidth="0" w:num="1">
            <w:col w:w="10000"/>
          </w:cols>
          <w:pgMar w:left="940" w:top="6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000"/>
          </w:cols>
          <w:pgMar w:left="940" w:top="675" w:right="940" w:bottom="0" w:gutter="0" w:footer="0" w:header="0"/>
          <w:type w:val="continuous"/>
        </w:sectPr>
      </w:pPr>
    </w:p>
    <w:bookmarkStart w:id="118" w:name="page119"/>
    <w:bookmarkEnd w:id="118"/>
    <w:p>
      <w:pPr>
        <w:jc w:val="both"/>
        <w:ind w:right="60" w:firstLine="439"/>
        <w:spacing w:after="0" w:line="248" w:lineRule="auto"/>
        <w:rPr>
          <w:sz w:val="20"/>
          <w:szCs w:val="20"/>
          <w:color w:val="auto"/>
        </w:rPr>
      </w:pPr>
      <w:r>
        <w:rPr>
          <w:rFonts w:ascii="Times New Roman" w:cs="Times New Roman" w:eastAsia="Times New Roman" w:hAnsi="Times New Roman"/>
          <w:sz w:val="20"/>
          <w:szCs w:val="20"/>
          <w:color w:val="auto"/>
        </w:rPr>
        <w:t>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2025, we served over 700 million registered users but only 18.08 million paying users. The actual number of unique users is lower than we report as one person may register more than once on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9" w:lineRule="exact"/>
        <w:rPr>
          <w:sz w:val="20"/>
          <w:szCs w:val="20"/>
          <w:color w:val="auto"/>
        </w:rPr>
      </w:pPr>
    </w:p>
    <w:p>
      <w:pPr>
        <w:ind w:right="60" w:firstLine="439"/>
        <w:spacing w:after="0" w:line="276" w:lineRule="auto"/>
        <w:rPr>
          <w:sz w:val="20"/>
          <w:szCs w:val="20"/>
          <w:color w:val="auto"/>
        </w:rPr>
      </w:pPr>
      <w:r>
        <w:rPr>
          <w:rFonts w:ascii="Times New Roman" w:cs="Times New Roman" w:eastAsia="Times New Roman" w:hAnsi="Times New Roman"/>
          <w:sz w:val="18"/>
          <w:szCs w:val="18"/>
          <w:color w:val="auto"/>
        </w:rPr>
        <w:t>Even if we are able to convert a user to a paying user, or attract paying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have declined and our number of paying users may continue to fluctuate or decline in any period or over time. Paying users may downgrade or not renew their subscriptions because of several factors, such as dissatisfaction with our products, support, pricing, mix of features (including data storage limits), or user experience, a user no longer having a need for our products, as a result of impacts from our decisions regarding marketing spend and investment focus, the availability of competitive products, including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186" w:lineRule="exact"/>
        <w:rPr>
          <w:sz w:val="20"/>
          <w:szCs w:val="20"/>
          <w:color w:val="auto"/>
        </w:rPr>
      </w:pPr>
    </w:p>
    <w:p>
      <w:pPr>
        <w:ind w:right="20" w:firstLine="439"/>
        <w:spacing w:after="0" w:line="274" w:lineRule="auto"/>
        <w:rPr>
          <w:sz w:val="20"/>
          <w:szCs w:val="20"/>
          <w:color w:val="auto"/>
        </w:rPr>
      </w:pPr>
      <w:r>
        <w:rPr>
          <w:rFonts w:ascii="Times New Roman" w:cs="Times New Roman" w:eastAsia="Times New Roman" w:hAnsi="Times New Roman"/>
          <w:sz w:val="18"/>
          <w:szCs w:val="18"/>
          <w:color w:val="auto"/>
        </w:rPr>
        <w:t>We are focused on increasing recurring revenue and we believe that users that subscribe to our premium paid offerings demonstrate a propensity to retain and expand their deployments over time. If we are unable to increase our paying user growth rates or to offset declines in the number of new paying users with increased revenue per paying user, our revenue and operating results will be adversely affected.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has from time to time negatively impacted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Furthermore, macroeconomic changes or other factors resulting in our customers reducing their number of seat licenses over time, including as a result of increased adoption of AI tools, could negatively impact our business and financial results.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200" w:lineRule="exact"/>
        <w:rPr>
          <w:sz w:val="20"/>
          <w:szCs w:val="20"/>
          <w:color w:val="auto"/>
        </w:rPr>
      </w:pPr>
    </w:p>
    <w:p>
      <w:pPr>
        <w:spacing w:after="0" w:line="227" w:lineRule="exact"/>
        <w:rPr>
          <w:sz w:val="20"/>
          <w:szCs w:val="20"/>
          <w:color w:val="auto"/>
        </w:rPr>
      </w:pPr>
    </w:p>
    <w:p>
      <w:pPr>
        <w:ind w:right="40" w:firstLine="439"/>
        <w:spacing w:after="0" w:line="298" w:lineRule="auto"/>
        <w:rPr>
          <w:sz w:val="20"/>
          <w:szCs w:val="20"/>
          <w:color w:val="auto"/>
        </w:rPr>
      </w:pPr>
      <w:r>
        <w:rPr>
          <w:rFonts w:ascii="Times New Roman" w:cs="Times New Roman" w:eastAsia="Times New Roman" w:hAnsi="Times New Roman"/>
          <w:sz w:val="18"/>
          <w:szCs w:val="18"/>
          <w:color w:val="auto"/>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We have in the past and may continue to experience privacy and data security breaches or incidents.</w:t>
      </w:r>
    </w:p>
    <w:p>
      <w:pPr>
        <w:spacing w:after="0" w:line="246"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 California, and regulatory scrutiny related to this incident, and we may discover other impacts or new related events may occur 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w:t>
      </w:r>
    </w:p>
    <w:p>
      <w:pPr>
        <w:sectPr>
          <w:pgSz w:w="11880" w:h="15480" w:orient="portrait"/>
          <w:cols w:equalWidth="0" w:num="1">
            <w:col w:w="9980"/>
          </w:cols>
          <w:pgMar w:left="940" w:top="696" w:right="96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980"/>
          </w:cols>
          <w:pgMar w:left="940" w:top="696" w:right="960" w:bottom="0" w:gutter="0" w:footer="0" w:header="0"/>
          <w:type w:val="continuous"/>
        </w:sectPr>
      </w:pPr>
    </w:p>
    <w:bookmarkStart w:id="119" w:name="page120"/>
    <w:bookmarkEnd w:id="119"/>
    <w:p>
      <w:pPr>
        <w:ind w:right="60"/>
        <w:spacing w:after="0" w:line="275" w:lineRule="auto"/>
        <w:rPr>
          <w:sz w:val="20"/>
          <w:szCs w:val="20"/>
          <w:color w:val="auto"/>
        </w:rPr>
      </w:pPr>
      <w:r>
        <w:rPr>
          <w:rFonts w:ascii="Times New Roman" w:cs="Times New Roman" w:eastAsia="Times New Roman" w:hAnsi="Times New Roman"/>
          <w:sz w:val="18"/>
          <w:szCs w:val="18"/>
          <w:color w:val="auto"/>
        </w:rPr>
        <w:t>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spacing w:after="0" w:line="200" w:lineRule="exact"/>
        <w:rPr>
          <w:sz w:val="20"/>
          <w:szCs w:val="20"/>
          <w:color w:val="auto"/>
        </w:rPr>
      </w:pPr>
    </w:p>
    <w:p>
      <w:pPr>
        <w:spacing w:after="0" w:line="221" w:lineRule="exact"/>
        <w:rPr>
          <w:sz w:val="20"/>
          <w:szCs w:val="20"/>
          <w:color w:val="auto"/>
        </w:rPr>
      </w:pPr>
    </w:p>
    <w:p>
      <w:pPr>
        <w:ind w:right="20" w:firstLine="439"/>
        <w:spacing w:after="0" w:line="247" w:lineRule="auto"/>
        <w:rPr>
          <w:sz w:val="20"/>
          <w:szCs w:val="20"/>
          <w:color w:val="auto"/>
        </w:rPr>
      </w:pPr>
      <w:r>
        <w:rPr>
          <w:rFonts w:ascii="Times New Roman" w:cs="Times New Roman" w:eastAsia="Times New Roman" w:hAnsi="Times New Roman"/>
          <w:sz w:val="20"/>
          <w:szCs w:val="20"/>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210" w:lineRule="exact"/>
        <w:rPr>
          <w:sz w:val="20"/>
          <w:szCs w:val="20"/>
          <w:color w:val="auto"/>
        </w:rPr>
      </w:pPr>
    </w:p>
    <w:p>
      <w:pPr>
        <w:ind w:firstLine="439"/>
        <w:spacing w:after="0" w:line="245" w:lineRule="auto"/>
        <w:rPr>
          <w:sz w:val="20"/>
          <w:szCs w:val="20"/>
          <w:color w:val="auto"/>
        </w:rPr>
      </w:pPr>
      <w:r>
        <w:rPr>
          <w:rFonts w:ascii="Times New Roman" w:cs="Times New Roman" w:eastAsia="Times New Roman" w:hAnsi="Times New Roman"/>
          <w:sz w:val="20"/>
          <w:szCs w:val="20"/>
          <w:color w:val="auto"/>
        </w:rPr>
        <w:t>Emerging and evolving cybersecurity threats pose unique challenges and involve sophisticated threat actors. Computer malware, ransomware,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17" w:lineRule="exact"/>
        <w:rPr>
          <w:sz w:val="20"/>
          <w:szCs w:val="20"/>
          <w:color w:val="auto"/>
        </w:rPr>
      </w:pPr>
    </w:p>
    <w:p>
      <w:pPr>
        <w:ind w:right="120" w:firstLine="439"/>
        <w:spacing w:after="0" w:line="280" w:lineRule="auto"/>
        <w:rPr>
          <w:sz w:val="20"/>
          <w:szCs w:val="20"/>
          <w:color w:val="auto"/>
        </w:rPr>
      </w:pPr>
      <w:r>
        <w:rPr>
          <w:rFonts w:ascii="Times New Roman" w:cs="Times New Roman" w:eastAsia="Times New Roman" w:hAnsi="Times New Roman"/>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Furthermore, despite our security measures, contractors and other individuals (some of whom our intelligence indicates are supported by nation states) have in the past gained, and in the future may gain, access to our systems. This risk may increase when vendors and contractors work remotely, including as part of our Virtual First work model. Additionally, unapproved internal AI product usage or human error in the product development process each have the potential to result in disclosure of user or company content data.</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000"/>
          </w:cols>
          <w:pgMar w:left="940" w:top="696" w:right="940" w:bottom="0" w:gutter="0" w:footer="0" w:header="0"/>
          <w:type w:val="continuous"/>
        </w:sectPr>
      </w:pPr>
    </w:p>
    <w:bookmarkStart w:id="120" w:name="page121"/>
    <w:bookmarkEnd w:id="120"/>
    <w:p>
      <w:pPr>
        <w:jc w:val="both"/>
        <w:ind w:right="80" w:firstLine="439"/>
        <w:spacing w:after="0" w:line="289" w:lineRule="auto"/>
        <w:rPr>
          <w:sz w:val="20"/>
          <w:szCs w:val="20"/>
          <w:color w:val="auto"/>
        </w:rPr>
      </w:pPr>
      <w:r>
        <w:rPr>
          <w:rFonts w:ascii="Times New Roman" w:cs="Times New Roman" w:eastAsia="Times New Roman" w:hAnsi="Times New Roman"/>
          <w:sz w:val="18"/>
          <w:szCs w:val="18"/>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spacing w:after="0" w:line="173" w:lineRule="exact"/>
        <w:rPr>
          <w:sz w:val="20"/>
          <w:szCs w:val="20"/>
          <w:color w:val="auto"/>
        </w:rPr>
      </w:pPr>
    </w:p>
    <w:p>
      <w:pPr>
        <w:ind w:right="40" w:firstLine="439"/>
        <w:spacing w:after="0" w:line="246" w:lineRule="auto"/>
        <w:rPr>
          <w:sz w:val="20"/>
          <w:szCs w:val="20"/>
          <w:color w:val="auto"/>
        </w:rPr>
      </w:pPr>
      <w:r>
        <w:rPr>
          <w:rFonts w:ascii="Times New Roman" w:cs="Times New Roman" w:eastAsia="Times New Roman" w:hAnsi="Times New Roman"/>
          <w:sz w:val="20"/>
          <w:szCs w:val="20"/>
          <w:color w:val="auto"/>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harmed by any significant disruption of service on our platform or loss of content.</w:t>
      </w:r>
    </w:p>
    <w:p>
      <w:pPr>
        <w:spacing w:after="0" w:line="246" w:lineRule="exact"/>
        <w:rPr>
          <w:sz w:val="20"/>
          <w:szCs w:val="20"/>
          <w:color w:val="auto"/>
        </w:rPr>
      </w:pPr>
    </w:p>
    <w:p>
      <w:pPr>
        <w:ind w:right="40" w:firstLine="439"/>
        <w:spacing w:after="0" w:line="248" w:lineRule="auto"/>
        <w:rPr>
          <w:sz w:val="20"/>
          <w:szCs w:val="20"/>
          <w:color w:val="auto"/>
        </w:rPr>
      </w:pPr>
      <w:r>
        <w:rPr>
          <w:rFonts w:ascii="Times New Roman" w:cs="Times New Roman" w:eastAsia="Times New Roman" w:hAnsi="Times New Roman"/>
          <w:sz w:val="20"/>
          <w:szCs w:val="20"/>
          <w:color w:val="auto"/>
        </w:rPr>
        <w:t>Our brand, reputation, and ability to attract, retain, and serve our users is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9" w:lineRule="exact"/>
        <w:rPr>
          <w:sz w:val="20"/>
          <w:szCs w:val="20"/>
          <w:color w:val="auto"/>
        </w:rPr>
      </w:pPr>
    </w:p>
    <w:p>
      <w:pPr>
        <w:ind w:right="200" w:firstLine="439"/>
        <w:spacing w:after="0" w:line="250" w:lineRule="auto"/>
        <w:rPr>
          <w:sz w:val="20"/>
          <w:szCs w:val="20"/>
          <w:color w:val="auto"/>
        </w:rPr>
      </w:pPr>
      <w:r>
        <w:rPr>
          <w:rFonts w:ascii="Times New Roman" w:cs="Times New Roman" w:eastAsia="Times New Roman" w:hAnsi="Times New Roman"/>
          <w:sz w:val="20"/>
          <w:szCs w:val="20"/>
          <w:color w:val="auto"/>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in our own custom-built infrastructure in co-location facilities that we directly lease and operate. As we continue to add, enhance and modify our infrastructure to meet our business needs, we may move or transfer additional content accordingly.</w:t>
      </w:r>
    </w:p>
    <w:p>
      <w:pPr>
        <w:spacing w:after="0" w:line="206" w:lineRule="exact"/>
        <w:rPr>
          <w:sz w:val="20"/>
          <w:szCs w:val="20"/>
          <w:color w:val="auto"/>
        </w:rPr>
      </w:pPr>
    </w:p>
    <w:p>
      <w:pPr>
        <w:ind w:firstLine="439"/>
        <w:spacing w:after="0" w:line="245" w:lineRule="auto"/>
        <w:rPr>
          <w:sz w:val="20"/>
          <w:szCs w:val="20"/>
          <w:color w:val="auto"/>
        </w:rPr>
      </w:pPr>
      <w:r>
        <w:rPr>
          <w:rFonts w:ascii="Times New Roman" w:cs="Times New Roman" w:eastAsia="Times New Roman" w:hAnsi="Times New Roman"/>
          <w:sz w:val="20"/>
          <w:szCs w:val="20"/>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The availability or price of such components may also be impacted by tariffs and global trade policy, including retaliatory actions, affecting such components.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20" w:lineRule="exact"/>
        <w:rPr>
          <w:sz w:val="20"/>
          <w:szCs w:val="20"/>
          <w:color w:val="auto"/>
        </w:rPr>
      </w:pPr>
    </w:p>
    <w:p>
      <w:pPr>
        <w:ind w:right="100" w:firstLine="439"/>
        <w:spacing w:after="0" w:line="289" w:lineRule="auto"/>
        <w:rPr>
          <w:sz w:val="20"/>
          <w:szCs w:val="20"/>
          <w:color w:val="auto"/>
        </w:rPr>
      </w:pPr>
      <w:r>
        <w:rPr>
          <w:rFonts w:ascii="Times New Roman" w:cs="Times New Roman" w:eastAsia="Times New Roman" w:hAnsi="Times New Roman"/>
          <w:sz w:val="18"/>
          <w:szCs w:val="18"/>
          <w:color w:val="auto"/>
        </w:rPr>
        <w:t>In addition, the datacenters that we use are vulnerable to damage or interruption from human error, technical defects,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w:t>
      </w:r>
    </w:p>
    <w:p>
      <w:pPr>
        <w:sectPr>
          <w:pgSz w:w="11880" w:h="15480" w:orient="portrait"/>
          <w:cols w:equalWidth="0" w:num="1">
            <w:col w:w="10000"/>
          </w:cols>
          <w:pgMar w:left="940" w:top="696" w:right="940" w:bottom="0"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000"/>
          </w:cols>
          <w:pgMar w:left="940" w:top="696" w:right="940" w:bottom="0" w:gutter="0" w:footer="0" w:header="0"/>
          <w:type w:val="continuous"/>
        </w:sectPr>
      </w:pPr>
    </w:p>
    <w:bookmarkStart w:id="121" w:name="page122"/>
    <w:bookmarkEnd w:id="121"/>
    <w:p>
      <w:pPr>
        <w:jc w:val="both"/>
        <w:ind w:right="80"/>
        <w:spacing w:after="0" w:line="289" w:lineRule="auto"/>
        <w:rPr>
          <w:sz w:val="20"/>
          <w:szCs w:val="20"/>
          <w:color w:val="auto"/>
        </w:rPr>
      </w:pPr>
      <w:r>
        <w:rPr>
          <w:rFonts w:ascii="Times New Roman" w:cs="Times New Roman" w:eastAsia="Times New Roman" w:hAnsi="Times New Roman"/>
          <w:sz w:val="18"/>
          <w:szCs w:val="18"/>
          <w:color w:val="auto"/>
        </w:rPr>
        <w:t>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operate in competitive markets, and we must continue to compete effectively.</w:t>
      </w:r>
    </w:p>
    <w:p>
      <w:pPr>
        <w:spacing w:after="0" w:line="246" w:lineRule="exact"/>
        <w:rPr>
          <w:sz w:val="20"/>
          <w:szCs w:val="20"/>
          <w:color w:val="auto"/>
        </w:rPr>
      </w:pPr>
    </w:p>
    <w:p>
      <w:pPr>
        <w:ind w:firstLine="439"/>
        <w:spacing w:after="0" w:line="247" w:lineRule="auto"/>
        <w:rPr>
          <w:sz w:val="20"/>
          <w:szCs w:val="20"/>
          <w:color w:val="auto"/>
        </w:rPr>
      </w:pPr>
      <w:r>
        <w:rPr>
          <w:rFonts w:ascii="Times New Roman" w:cs="Times New Roman" w:eastAsia="Times New Roman" w:hAnsi="Times New Roman"/>
          <w:sz w:val="20"/>
          <w:szCs w:val="20"/>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(now part of Salesforce), and Google. On a more limited basis, we compete with Box in the cloud storage market for deployments by large enterprises, as well as in the e-signature market along with Adobe and DocuSign and in the AI content search market along with Glean, Guru and Notion.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spacing w:after="0" w:line="207" w:lineRule="exact"/>
        <w:rPr>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user-centric design;</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 of adoption and use;</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scale of user network;</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features and platform experience;</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brand recognition and trust;</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and privacy;</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accessibility across several devices, operating systems, and applications;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integration;</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support;</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innovation;</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AI; and</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trends.</w:t>
      </w:r>
    </w:p>
    <w:p>
      <w:pPr>
        <w:spacing w:after="0" w:line="238" w:lineRule="exact"/>
        <w:rPr>
          <w:sz w:val="20"/>
          <w:szCs w:val="20"/>
          <w:color w:val="auto"/>
        </w:rPr>
      </w:pPr>
    </w:p>
    <w:p>
      <w:pPr>
        <w:ind w:right="20" w:firstLine="439"/>
        <w:spacing w:after="0" w:line="248" w:lineRule="auto"/>
        <w:rPr>
          <w:sz w:val="20"/>
          <w:szCs w:val="20"/>
          <w:color w:val="auto"/>
        </w:rPr>
      </w:pPr>
      <w:r>
        <w:rPr>
          <w:rFonts w:ascii="Times New Roman" w:cs="Times New Roman" w:eastAsia="Times New Roman" w:hAnsi="Times New Roman"/>
          <w:sz w:val="20"/>
          <w:szCs w:val="20"/>
          <w:color w:val="auto"/>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may make it increasingly difficult for us to compete effectively. We expect these trends to continue as competitors strengthen or maintain their market positions.</w:t>
      </w:r>
    </w:p>
    <w:p>
      <w:pPr>
        <w:spacing w:after="0" w:line="209" w:lineRule="exact"/>
        <w:rPr>
          <w:sz w:val="20"/>
          <w:szCs w:val="20"/>
          <w:color w:val="auto"/>
        </w:rPr>
      </w:pPr>
    </w:p>
    <w:p>
      <w:pPr>
        <w:ind w:right="160" w:firstLine="439"/>
        <w:spacing w:after="0" w:line="250" w:lineRule="auto"/>
        <w:rPr>
          <w:sz w:val="20"/>
          <w:szCs w:val="20"/>
          <w:color w:val="auto"/>
        </w:rPr>
      </w:pPr>
      <w:r>
        <w:rPr>
          <w:rFonts w:ascii="Times New Roman" w:cs="Times New Roman" w:eastAsia="Times New Roman" w:hAnsi="Times New Roman"/>
          <w:sz w:val="20"/>
          <w:szCs w:val="20"/>
          <w:color w:val="auto"/>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ectPr>
          <w:pgSz w:w="11880" w:h="15480" w:orient="portrait"/>
          <w:cols w:equalWidth="0" w:num="1">
            <w:col w:w="9980"/>
          </w:cols>
          <w:pgMar w:left="940" w:top="696" w:right="960" w:bottom="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980"/>
          </w:cols>
          <w:pgMar w:left="940" w:top="696" w:right="960" w:bottom="0" w:gutter="0" w:footer="0" w:header="0"/>
          <w:type w:val="continuous"/>
        </w:sectPr>
      </w:pPr>
    </w:p>
    <w:bookmarkStart w:id="122" w:name="page123"/>
    <w:bookmarkEnd w:id="122"/>
    <w:p>
      <w:pPr>
        <w:ind w:right="20" w:firstLine="439"/>
        <w:spacing w:after="0" w:line="252" w:lineRule="auto"/>
        <w:rPr>
          <w:sz w:val="20"/>
          <w:szCs w:val="20"/>
          <w:color w:val="auto"/>
        </w:rPr>
      </w:pPr>
      <w:r>
        <w:rPr>
          <w:rFonts w:ascii="Times New Roman" w:cs="Times New Roman" w:eastAsia="Times New Roman" w:hAnsi="Times New Roman"/>
          <w:sz w:val="20"/>
          <w:szCs w:val="20"/>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9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85" w:lineRule="exact"/>
        <w:rPr>
          <w:sz w:val="20"/>
          <w:szCs w:val="20"/>
          <w:color w:val="auto"/>
        </w:rPr>
      </w:pPr>
    </w:p>
    <w:p>
      <w:pPr>
        <w:ind w:right="40" w:firstLine="439"/>
        <w:spacing w:after="0" w:line="246" w:lineRule="auto"/>
        <w:rPr>
          <w:sz w:val="20"/>
          <w:szCs w:val="20"/>
          <w:color w:val="auto"/>
        </w:rPr>
      </w:pPr>
      <w:r>
        <w:rPr>
          <w:rFonts w:ascii="Times New Roman" w:cs="Times New Roman" w:eastAsia="Times New Roman" w:hAnsi="Times New Roman"/>
          <w:sz w:val="20"/>
          <w:szCs w:val="20"/>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and strategic shifts that could impact short-term growth or profitability. In particular, we have made, and intend to continue making, significant investments in developing products that will incorporate AI. While we believe that such new products have the potential to drive future growth of our business, the development of such new features will require us to incur significant costs, and may adversely affect our gross margins, and there is no guarantee that these new product offerings will ultimately be adopted by users, achieve product-market fit, result in additional revenue or otherwise generate our desired return on investment. Additionally, use of newly-developed AI technology could result in reputational harm, operational risks, or legal liability.</w:t>
      </w:r>
    </w:p>
    <w:p>
      <w:pPr>
        <w:spacing w:after="0" w:line="214" w:lineRule="exact"/>
        <w:rPr>
          <w:sz w:val="20"/>
          <w:szCs w:val="20"/>
          <w:color w:val="auto"/>
        </w:rPr>
      </w:pPr>
    </w:p>
    <w:p>
      <w:pPr>
        <w:ind w:right="60" w:firstLine="439"/>
        <w:spacing w:after="0" w:line="247" w:lineRule="auto"/>
        <w:rPr>
          <w:sz w:val="20"/>
          <w:szCs w:val="20"/>
          <w:color w:val="auto"/>
        </w:rPr>
      </w:pPr>
      <w:r>
        <w:rPr>
          <w:rFonts w:ascii="Times New Roman" w:cs="Times New Roman" w:eastAsia="Times New Roman" w:hAnsi="Times New Roman"/>
          <w:sz w:val="20"/>
          <w:szCs w:val="20"/>
          <w:color w:val="auto"/>
        </w:rPr>
        <w:t>In addition, while we believe remote or distributed work will continue to have a significant and long lasting impact on the workforce, and will open up increased market opportunities for us, such as our work on new AI-driven products, such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7" w:lineRule="exact"/>
        <w:rPr>
          <w:sz w:val="20"/>
          <w:szCs w:val="20"/>
          <w:color w:val="auto"/>
        </w:rPr>
      </w:pPr>
    </w:p>
    <w:p>
      <w:pPr>
        <w:ind w:firstLine="439"/>
        <w:spacing w:after="0" w:line="274" w:lineRule="auto"/>
        <w:rPr>
          <w:sz w:val="20"/>
          <w:szCs w:val="20"/>
          <w:color w:val="auto"/>
        </w:rPr>
      </w:pPr>
      <w:r>
        <w:rPr>
          <w:rFonts w:ascii="Times New Roman" w:cs="Times New Roman" w:eastAsia="Times New Roman" w:hAnsi="Times New Roman"/>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as compared to a fully in-office model. The risk of such disruptions and decreased productivity may persist as our workforce operates under a Virtual First work model. We have also in the past experienced delays in our internally planned release dates for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positive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00" w:lineRule="exact"/>
        <w:rPr>
          <w:sz w:val="20"/>
          <w:szCs w:val="20"/>
          <w:color w:val="auto"/>
        </w:rPr>
      </w:pPr>
    </w:p>
    <w:p>
      <w:pPr>
        <w:spacing w:after="0" w:line="224" w:lineRule="exact"/>
        <w:rPr>
          <w:sz w:val="20"/>
          <w:szCs w:val="20"/>
          <w:color w:val="auto"/>
        </w:rPr>
      </w:pPr>
    </w:p>
    <w:p>
      <w:pPr>
        <w:ind w:right="9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upon the interoperability of our platform across devices, operating systems, and third-party applications that we do not control.</w:t>
      </w:r>
    </w:p>
    <w:p>
      <w:pPr>
        <w:spacing w:after="0" w:line="185" w:lineRule="exact"/>
        <w:rPr>
          <w:sz w:val="20"/>
          <w:szCs w:val="20"/>
          <w:color w:val="auto"/>
        </w:rPr>
      </w:pPr>
    </w:p>
    <w:p>
      <w:pPr>
        <w:ind w:right="40" w:firstLine="439"/>
        <w:spacing w:after="0" w:line="285" w:lineRule="auto"/>
        <w:rPr>
          <w:sz w:val="20"/>
          <w:szCs w:val="20"/>
          <w:color w:val="auto"/>
        </w:rPr>
      </w:pPr>
      <w:r>
        <w:rPr>
          <w:rFonts w:ascii="Times New Roman" w:cs="Times New Roman" w:eastAsia="Times New Roman" w:hAnsi="Times New Roman"/>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(now part of Salesforce), BetterCloud, Google, IBM, Cisco, VMware, Okta, Symantec, Palo Alto Networks, Zoom, and a variety of other productivity, collaboration, data management, and security vendors. We are dependent on the accessibility of</w:t>
      </w:r>
    </w:p>
    <w:p>
      <w:pPr>
        <w:sectPr>
          <w:pgSz w:w="11880" w:h="15480" w:orient="portrait"/>
          <w:cols w:equalWidth="0" w:num="1">
            <w:col w:w="10000"/>
          </w:cols>
          <w:pgMar w:left="940" w:top="930" w:right="940" w:bottom="0"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000"/>
          </w:cols>
          <w:pgMar w:left="940" w:top="930" w:right="940" w:bottom="0" w:gutter="0" w:footer="0" w:header="0"/>
          <w:type w:val="continuous"/>
        </w:sectPr>
      </w:pPr>
    </w:p>
    <w:bookmarkStart w:id="123" w:name="page124"/>
    <w:bookmarkEnd w:id="123"/>
    <w:p>
      <w:pPr>
        <w:ind w:right="340"/>
        <w:spacing w:after="0" w:line="289" w:lineRule="auto"/>
        <w:rPr>
          <w:sz w:val="20"/>
          <w:szCs w:val="20"/>
          <w:color w:val="auto"/>
        </w:rPr>
      </w:pPr>
      <w:r>
        <w:rPr>
          <w:rFonts w:ascii="Times New Roman" w:cs="Times New Roman" w:eastAsia="Times New Roman" w:hAnsi="Times New Roman"/>
          <w:sz w:val="18"/>
          <w:szCs w:val="18"/>
          <w:color w:val="auto"/>
        </w:rPr>
        <w:t>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third-party services, our business may be adversely impacted.</w:t>
      </w:r>
    </w:p>
    <w:p>
      <w:pPr>
        <w:spacing w:after="0" w:line="173"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20"/>
          <w:szCs w:val="20"/>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206" w:lineRule="exact"/>
        <w:rPr>
          <w:sz w:val="20"/>
          <w:szCs w:val="20"/>
          <w:color w:val="auto"/>
        </w:rPr>
      </w:pPr>
    </w:p>
    <w:p>
      <w:pPr>
        <w:ind w:firstLine="439"/>
        <w:spacing w:after="0" w:line="247" w:lineRule="auto"/>
        <w:rPr>
          <w:sz w:val="20"/>
          <w:szCs w:val="20"/>
          <w:color w:val="auto"/>
        </w:rPr>
      </w:pPr>
      <w:r>
        <w:rPr>
          <w:rFonts w:ascii="Times New Roman" w:cs="Times New Roman" w:eastAsia="Times New Roman" w:hAnsi="Times New Roman"/>
          <w:sz w:val="20"/>
          <w:szCs w:val="20"/>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202"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generate revenue from sales of subscriptions to our platform, and declines in demand for our platform, or for content collaboration solutions in general, could negatively impact our business.</w:t>
      </w:r>
    </w:p>
    <w:p>
      <w:pPr>
        <w:spacing w:after="0" w:line="185" w:lineRule="exact"/>
        <w:rPr>
          <w:sz w:val="20"/>
          <w:szCs w:val="20"/>
          <w:color w:val="auto"/>
        </w:rPr>
      </w:pPr>
    </w:p>
    <w:p>
      <w:pPr>
        <w:ind w:right="120" w:firstLine="439"/>
        <w:spacing w:after="0" w:line="250" w:lineRule="auto"/>
        <w:rPr>
          <w:sz w:val="20"/>
          <w:szCs w:val="20"/>
          <w:color w:val="auto"/>
        </w:rPr>
      </w:pPr>
      <w:r>
        <w:rPr>
          <w:rFonts w:ascii="Times New Roman" w:cs="Times New Roman" w:eastAsia="Times New Roman" w:hAnsi="Times New Roman"/>
          <w:sz w:val="20"/>
          <w:szCs w:val="20"/>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spacing w:after="0" w:line="206" w:lineRule="exact"/>
        <w:rPr>
          <w:sz w:val="20"/>
          <w:szCs w:val="20"/>
          <w:color w:val="auto"/>
        </w:rPr>
      </w:pPr>
    </w:p>
    <w:p>
      <w:pPr>
        <w:ind w:right="260" w:firstLine="439"/>
        <w:spacing w:after="0" w:line="298" w:lineRule="auto"/>
        <w:rPr>
          <w:sz w:val="20"/>
          <w:szCs w:val="20"/>
          <w:color w:val="auto"/>
        </w:rPr>
      </w:pPr>
      <w:r>
        <w:rPr>
          <w:rFonts w:ascii="Times New Roman" w:cs="Times New Roman" w:eastAsia="Times New Roman" w:hAnsi="Times New Roman"/>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65" w:lineRule="exact"/>
        <w:rPr>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awareness of the content collaboration category generally;</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of products and services that compete with ours;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scale, and duration, of trends towards or away from remote or distributed work;</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 of adoption and use;</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features and platform experience;</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brand recognition and trust;</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and privacy;</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support;</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AI; and</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trends.</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000"/>
          </w:cols>
          <w:pgMar w:left="940" w:top="696" w:right="940" w:bottom="0" w:gutter="0" w:footer="0" w:header="0"/>
          <w:type w:val="continuous"/>
        </w:sectPr>
      </w:pPr>
    </w:p>
    <w:bookmarkStart w:id="124" w:name="page125"/>
    <w:bookmarkEnd w:id="124"/>
    <w:p>
      <w:pPr>
        <w:ind w:right="140" w:firstLine="439"/>
        <w:spacing w:after="0" w:line="256" w:lineRule="auto"/>
        <w:rPr>
          <w:sz w:val="20"/>
          <w:szCs w:val="20"/>
          <w:color w:val="auto"/>
        </w:rPr>
      </w:pPr>
      <w:r>
        <w:rPr>
          <w:rFonts w:ascii="Times New Roman" w:cs="Times New Roman" w:eastAsia="Times New Roman" w:hAnsi="Times New Roman"/>
          <w:sz w:val="20"/>
          <w:szCs w:val="20"/>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2"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85" w:lineRule="exact"/>
        <w:rPr>
          <w:sz w:val="20"/>
          <w:szCs w:val="20"/>
          <w:color w:val="auto"/>
        </w:rPr>
      </w:pPr>
    </w:p>
    <w:p>
      <w:pPr>
        <w:ind w:right="100" w:firstLine="439"/>
        <w:spacing w:after="0" w:line="247" w:lineRule="auto"/>
        <w:rPr>
          <w:sz w:val="20"/>
          <w:szCs w:val="20"/>
          <w:color w:val="auto"/>
        </w:rPr>
      </w:pPr>
      <w:r>
        <w:rPr>
          <w:rFonts w:ascii="Times New Roman" w:cs="Times New Roman" w:eastAsia="Times New Roman" w:hAnsi="Times New Roman"/>
          <w:sz w:val="20"/>
          <w:szCs w:val="20"/>
          <w:color w:val="auto"/>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For example, Tim Regan stepped down as our Chief Financial Officer in December 2025, and Ross Tennenbaum was subsequently appointed as successor.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213" w:lineRule="exact"/>
        <w:rPr>
          <w:sz w:val="20"/>
          <w:szCs w:val="20"/>
          <w:color w:val="auto"/>
        </w:rPr>
      </w:pPr>
    </w:p>
    <w:p>
      <w:pPr>
        <w:ind w:firstLine="439"/>
        <w:spacing w:after="0" w:line="247" w:lineRule="auto"/>
        <w:rPr>
          <w:sz w:val="20"/>
          <w:szCs w:val="20"/>
          <w:color w:val="auto"/>
        </w:rPr>
      </w:pPr>
      <w:r>
        <w:rPr>
          <w:rFonts w:ascii="Times New Roman" w:cs="Times New Roman" w:eastAsia="Times New Roman" w:hAnsi="Times New Roman"/>
          <w:sz w:val="20"/>
          <w:szCs w:val="20"/>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work model gives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210" w:lineRule="exact"/>
        <w:rPr>
          <w:sz w:val="20"/>
          <w:szCs w:val="20"/>
          <w:color w:val="auto"/>
        </w:rPr>
      </w:pPr>
    </w:p>
    <w:p>
      <w:pPr>
        <w:ind w:right="100" w:firstLine="439"/>
        <w:spacing w:after="0" w:line="246" w:lineRule="auto"/>
        <w:rPr>
          <w:sz w:val="20"/>
          <w:szCs w:val="20"/>
          <w:color w:val="auto"/>
        </w:rPr>
      </w:pPr>
      <w:r>
        <w:rPr>
          <w:rFonts w:ascii="Times New Roman" w:cs="Times New Roman" w:eastAsia="Times New Roman" w:hAnsi="Times New Roman"/>
          <w:sz w:val="20"/>
          <w:szCs w:val="20"/>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work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financial results, and growth prospects could be harmed.</w:t>
      </w:r>
    </w:p>
    <w:p>
      <w:pPr>
        <w:spacing w:after="0" w:line="214" w:lineRule="exact"/>
        <w:rPr>
          <w:sz w:val="20"/>
          <w:szCs w:val="20"/>
          <w:color w:val="auto"/>
        </w:rPr>
      </w:pPr>
    </w:p>
    <w:p>
      <w:pPr>
        <w:ind w:right="20" w:firstLine="439"/>
        <w:spacing w:after="0" w:line="252" w:lineRule="auto"/>
        <w:rPr>
          <w:sz w:val="20"/>
          <w:szCs w:val="20"/>
          <w:color w:val="auto"/>
        </w:rPr>
      </w:pPr>
      <w:r>
        <w:rPr>
          <w:rFonts w:ascii="Times New Roman" w:cs="Times New Roman" w:eastAsia="Times New Roman" w:hAnsi="Times New Roman"/>
          <w:sz w:val="20"/>
          <w:szCs w:val="20"/>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work model.</w:t>
      </w:r>
    </w:p>
    <w:p>
      <w:pPr>
        <w:spacing w:after="0" w:line="196"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operate with a Virtual First workforce and the long-term impact of this model on our financial results and business operations remains uncertain.</w:t>
      </w:r>
    </w:p>
    <w:p>
      <w:pPr>
        <w:spacing w:after="0" w:line="185"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20"/>
          <w:szCs w:val="20"/>
          <w:color w:val="auto"/>
        </w:rPr>
        <w:t>Since October 2020, we have operated under a Virtual First work model pursuant to which remote work has become the primary experience for all of our employees and we expect our workforce to remain significantly distributed over the long term.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206" w:lineRule="exact"/>
        <w:rPr>
          <w:sz w:val="20"/>
          <w:szCs w:val="20"/>
          <w:color w:val="auto"/>
        </w:rPr>
      </w:pPr>
    </w:p>
    <w:p>
      <w:pPr>
        <w:ind w:right="260" w:firstLine="439"/>
        <w:spacing w:after="0" w:line="250" w:lineRule="auto"/>
        <w:rPr>
          <w:sz w:val="20"/>
          <w:szCs w:val="20"/>
          <w:color w:val="auto"/>
        </w:rPr>
      </w:pPr>
      <w:r>
        <w:rPr>
          <w:rFonts w:ascii="Times New Roman" w:cs="Times New Roman" w:eastAsia="Times New Roman" w:hAnsi="Times New Roman"/>
          <w:sz w:val="20"/>
          <w:szCs w:val="20"/>
          <w:color w:val="auto"/>
        </w:rPr>
        <w:t>Our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000"/>
          </w:cols>
          <w:pgMar w:left="940" w:top="696" w:right="940" w:bottom="0" w:gutter="0" w:footer="0" w:header="0"/>
          <w:type w:val="continuous"/>
        </w:sectPr>
      </w:pPr>
    </w:p>
    <w:bookmarkStart w:id="125" w:name="page126"/>
    <w:bookmarkEnd w:id="125"/>
    <w:p>
      <w:pPr>
        <w:ind w:right="40" w:firstLine="439"/>
        <w:spacing w:after="0" w:line="277" w:lineRule="auto"/>
        <w:rPr>
          <w:sz w:val="20"/>
          <w:szCs w:val="20"/>
          <w:color w:val="auto"/>
        </w:rPr>
      </w:pPr>
      <w:r>
        <w:rPr>
          <w:rFonts w:ascii="Times New Roman" w:cs="Times New Roman" w:eastAsia="Times New Roman" w:hAnsi="Times New Roman"/>
          <w:sz w:val="18"/>
          <w:szCs w:val="18"/>
          <w:color w:val="auto"/>
        </w:rPr>
        <w:t>In addition, our Virtual First work model has reduced our need for office space relative to our existing lease commitments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200" w:lineRule="exact"/>
        <w:rPr>
          <w:sz w:val="20"/>
          <w:szCs w:val="20"/>
          <w:color w:val="auto"/>
        </w:rPr>
      </w:pPr>
    </w:p>
    <w:p>
      <w:pPr>
        <w:spacing w:after="0" w:line="21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 significantly impacted by general economic, political, and market conditions, including any resulting effect on consumer or business spending.</w:t>
      </w:r>
    </w:p>
    <w:p>
      <w:pPr>
        <w:spacing w:after="0" w:line="185" w:lineRule="exact"/>
        <w:rPr>
          <w:sz w:val="20"/>
          <w:szCs w:val="20"/>
          <w:color w:val="auto"/>
        </w:rPr>
      </w:pPr>
    </w:p>
    <w:p>
      <w:pPr>
        <w:ind w:firstLine="439"/>
        <w:spacing w:after="0" w:line="246" w:lineRule="auto"/>
        <w:rPr>
          <w:sz w:val="20"/>
          <w:szCs w:val="20"/>
          <w:color w:val="auto"/>
        </w:rPr>
      </w:pPr>
      <w:r>
        <w:rPr>
          <w:rFonts w:ascii="Times New Roman" w:cs="Times New Roman" w:eastAsia="Times New Roman" w:hAnsi="Times New Roman"/>
          <w:sz w:val="20"/>
          <w:szCs w:val="20"/>
          <w:color w:val="auto"/>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fluctuating or uncertain interest rates, unemployment trends, increased tariffs, retaliatory actions, international trade regulations,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lack of a significant outbound sales force may limit the potential growth of our business.</w:t>
      </w:r>
    </w:p>
    <w:p>
      <w:pPr>
        <w:spacing w:after="0" w:line="246" w:lineRule="exact"/>
        <w:rPr>
          <w:sz w:val="20"/>
          <w:szCs w:val="20"/>
          <w:color w:val="auto"/>
        </w:rPr>
      </w:pPr>
    </w:p>
    <w:p>
      <w:pPr>
        <w:ind w:right="40" w:firstLine="439"/>
        <w:spacing w:after="0" w:line="276" w:lineRule="auto"/>
        <w:rPr>
          <w:sz w:val="20"/>
          <w:szCs w:val="20"/>
          <w:color w:val="auto"/>
        </w:rPr>
      </w:pPr>
      <w:r>
        <w:rPr>
          <w:rFonts w:ascii="Times New Roman" w:cs="Times New Roman" w:eastAsia="Times New Roman" w:hAnsi="Times New Roman"/>
          <w:sz w:val="18"/>
          <w:szCs w:val="18"/>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expand sales to large organizations, which could lengthen sales cycles and result in greater deployment challenges.</w:t>
      </w:r>
    </w:p>
    <w:p>
      <w:pPr>
        <w:spacing w:after="0" w:line="269" w:lineRule="exact"/>
        <w:rPr>
          <w:sz w:val="20"/>
          <w:szCs w:val="20"/>
          <w:color w:val="auto"/>
        </w:rPr>
      </w:pPr>
    </w:p>
    <w:p>
      <w:pPr>
        <w:ind w:right="40" w:firstLine="439"/>
        <w:spacing w:after="0" w:line="247" w:lineRule="auto"/>
        <w:rPr>
          <w:sz w:val="20"/>
          <w:szCs w:val="20"/>
          <w:color w:val="auto"/>
        </w:rPr>
      </w:pPr>
      <w:r>
        <w:rPr>
          <w:rFonts w:ascii="Times New Roman" w:cs="Times New Roman" w:eastAsia="Times New Roman" w:hAnsi="Times New Roman"/>
          <w:sz w:val="20"/>
          <w:szCs w:val="20"/>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sectPr>
          <w:pgSz w:w="11880" w:h="15480" w:orient="portrait"/>
          <w:cols w:equalWidth="0" w:num="1">
            <w:col w:w="9980"/>
          </w:cols>
          <w:pgMar w:left="940" w:top="69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980"/>
          </w:cols>
          <w:pgMar w:left="940" w:top="696" w:right="96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i w:val="1"/>
          <w:iCs w:val="1"/>
          <w:color w:val="auto"/>
        </w:rPr>
        <w:t>Any failure to offer high-quality customer support may harm our relationships with our users and our financial results.</w:t>
      </w:r>
    </w:p>
    <w:p>
      <w:pPr>
        <w:spacing w:after="0" w:line="246" w:lineRule="exact"/>
        <w:rPr>
          <w:sz w:val="20"/>
          <w:szCs w:val="20"/>
          <w:color w:val="auto"/>
        </w:rPr>
      </w:pPr>
    </w:p>
    <w:p>
      <w:pPr>
        <w:ind w:right="40" w:firstLine="439"/>
        <w:spacing w:after="0" w:line="247" w:lineRule="auto"/>
        <w:rPr>
          <w:sz w:val="20"/>
          <w:szCs w:val="20"/>
          <w:color w:val="auto"/>
        </w:rPr>
      </w:pPr>
      <w:r>
        <w:rPr>
          <w:rFonts w:ascii="Times New Roman" w:cs="Times New Roman" w:eastAsia="Times New Roman" w:hAnsi="Times New Roman"/>
          <w:sz w:val="20"/>
          <w:szCs w:val="20"/>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including through the use of third-party customer support partners,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0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85" w:lineRule="exact"/>
        <w:rPr>
          <w:sz w:val="20"/>
          <w:szCs w:val="20"/>
          <w:color w:val="auto"/>
        </w:rPr>
      </w:pPr>
    </w:p>
    <w:p>
      <w:pPr>
        <w:ind w:firstLine="439"/>
        <w:spacing w:after="0" w:line="248" w:lineRule="auto"/>
        <w:rPr>
          <w:sz w:val="20"/>
          <w:szCs w:val="20"/>
          <w:color w:val="auto"/>
        </w:rPr>
      </w:pPr>
      <w:r>
        <w:rPr>
          <w:rFonts w:ascii="Times New Roman" w:cs="Times New Roman" w:eastAsia="Times New Roman" w:hAnsi="Times New Roman"/>
          <w:sz w:val="20"/>
          <w:szCs w:val="20"/>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201"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current operations outside the United States and our efforts to expand, subject us to increased business and economic risks that could impact our results of operations.</w:t>
      </w:r>
    </w:p>
    <w:p>
      <w:pPr>
        <w:spacing w:after="0" w:line="185" w:lineRule="exact"/>
        <w:rPr>
          <w:sz w:val="20"/>
          <w:szCs w:val="20"/>
          <w:color w:val="auto"/>
        </w:rPr>
      </w:pPr>
    </w:p>
    <w:p>
      <w:pPr>
        <w:ind w:right="40" w:firstLine="439"/>
        <w:spacing w:after="0" w:line="277" w:lineRule="auto"/>
        <w:rPr>
          <w:sz w:val="20"/>
          <w:szCs w:val="20"/>
          <w:color w:val="auto"/>
        </w:rPr>
      </w:pPr>
      <w:r>
        <w:rPr>
          <w:rFonts w:ascii="Times New Roman" w:cs="Times New Roman" w:eastAsia="Times New Roman" w:hAnsi="Times New Roman"/>
          <w:sz w:val="18"/>
          <w:szCs w:val="18"/>
          <w:color w:val="auto"/>
        </w:rPr>
        <w:t>We have paying users across approximately 180 countries and approximately 44% of our revenue in the year ended December 31, 2025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spacing w:after="0" w:line="200" w:lineRule="exact"/>
        <w:rPr>
          <w:sz w:val="20"/>
          <w:szCs w:val="20"/>
          <w:color w:val="auto"/>
        </w:rPr>
      </w:pPr>
    </w:p>
    <w:p>
      <w:pPr>
        <w:spacing w:after="0" w:line="219" w:lineRule="exact"/>
        <w:rPr>
          <w:sz w:val="20"/>
          <w:szCs w:val="20"/>
          <w:color w:val="auto"/>
        </w:rPr>
      </w:pPr>
    </w:p>
    <w:p>
      <w:pPr>
        <w:ind w:left="700" w:right="140" w:hanging="351"/>
        <w:spacing w:after="0" w:line="252" w:lineRule="auto"/>
        <w:tabs>
          <w:tab w:leader="none" w:pos="7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applicable international laws, regulations, and standards including laws and regulations with respect to labor and employment, privacy, data protection, cybersecurity, AI, consumer protection, tax, export control and sanctions, and unsolicited email, and the risk of penalties to our users and individual members of management or employees if our practices are deemed to be out of compliance;</w:t>
      </w:r>
    </w:p>
    <w:p>
      <w:pPr>
        <w:spacing w:after="0" w:line="204" w:lineRule="exact"/>
        <w:rPr>
          <w:rFonts w:ascii="Times New Roman" w:cs="Times New Roman" w:eastAsia="Times New Roman" w:hAnsi="Times New Roman"/>
          <w:sz w:val="20"/>
          <w:szCs w:val="20"/>
          <w:color w:val="auto"/>
        </w:rPr>
      </w:pPr>
    </w:p>
    <w:p>
      <w:pPr>
        <w:ind w:left="700" w:right="320" w:hanging="351"/>
        <w:spacing w:after="0" w:line="256" w:lineRule="auto"/>
        <w:tabs>
          <w:tab w:leader="none" w:pos="7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200" w:lineRule="exact"/>
        <w:rPr>
          <w:rFonts w:ascii="Times New Roman" w:cs="Times New Roman" w:eastAsia="Times New Roman" w:hAnsi="Times New Roman"/>
          <w:sz w:val="20"/>
          <w:szCs w:val="20"/>
          <w:color w:val="auto"/>
        </w:rPr>
      </w:pPr>
    </w:p>
    <w:p>
      <w:pPr>
        <w:ind w:left="700" w:right="280" w:hanging="351"/>
        <w:spacing w:after="0" w:line="256" w:lineRule="auto"/>
        <w:tabs>
          <w:tab w:leader="none" w:pos="7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200" w:lineRule="exact"/>
        <w:rPr>
          <w:rFonts w:ascii="Times New Roman" w:cs="Times New Roman" w:eastAsia="Times New Roman" w:hAnsi="Times New Roman"/>
          <w:sz w:val="20"/>
          <w:szCs w:val="20"/>
          <w:color w:val="auto"/>
        </w:rPr>
      </w:pPr>
    </w:p>
    <w:p>
      <w:pPr>
        <w:ind w:left="700" w:right="160" w:hanging="351"/>
        <w:spacing w:after="0" w:line="269" w:lineRule="auto"/>
        <w:tabs>
          <w:tab w:leader="none" w:pos="7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of an employee base in jurisdictions that may not give us the same employment and retention flexibility as the United States;</w:t>
      </w:r>
    </w:p>
    <w:p>
      <w:pPr>
        <w:spacing w:after="0" w:line="186" w:lineRule="exact"/>
        <w:rPr>
          <w:rFonts w:ascii="Times New Roman" w:cs="Times New Roman" w:eastAsia="Times New Roman" w:hAnsi="Times New Roman"/>
          <w:sz w:val="20"/>
          <w:szCs w:val="20"/>
          <w:color w:val="auto"/>
        </w:rPr>
      </w:pPr>
    </w:p>
    <w:p>
      <w:pPr>
        <w:ind w:left="700" w:hanging="351"/>
        <w:spacing w:after="0" w:line="269" w:lineRule="auto"/>
        <w:tabs>
          <w:tab w:leader="none" w:pos="7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 jurisdictions that do not protect intellectual property rights in the same manner or to the same extent as the United States;</w:t>
      </w:r>
    </w:p>
    <w:p>
      <w:pPr>
        <w:sectPr>
          <w:pgSz w:w="11880" w:h="15480" w:orient="portrait"/>
          <w:cols w:equalWidth="0" w:num="1">
            <w:col w:w="9980"/>
          </w:cols>
          <w:pgMar w:left="940" w:top="68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980"/>
          </w:cols>
          <w:pgMar w:left="940" w:top="688" w:right="960" w:bottom="0" w:gutter="0" w:footer="0" w:header="0"/>
          <w:type w:val="continuous"/>
        </w:sectPr>
      </w:pPr>
    </w:p>
    <w:bookmarkStart w:id="127" w:name="page128"/>
    <w:bookmarkEnd w:id="127"/>
    <w:p>
      <w:pPr>
        <w:ind w:left="700" w:right="340" w:hanging="351"/>
        <w:spacing w:after="0" w:line="256" w:lineRule="auto"/>
        <w:tabs>
          <w:tab w:leader="none" w:pos="7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200" w:lineRule="exact"/>
        <w:rPr>
          <w:rFonts w:ascii="Times New Roman" w:cs="Times New Roman" w:eastAsia="Times New Roman" w:hAnsi="Times New Roman"/>
          <w:sz w:val="20"/>
          <w:szCs w:val="20"/>
          <w:color w:val="auto"/>
        </w:rPr>
      </w:pPr>
    </w:p>
    <w:p>
      <w:pPr>
        <w:ind w:left="700" w:right="620" w:hanging="351"/>
        <w:spacing w:after="0" w:line="269" w:lineRule="auto"/>
        <w:tabs>
          <w:tab w:leader="none" w:pos="7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exchange controls that might require significant lead time in setting up operations in certain geographic territories and might prevent us from repatriating cash earned outside the United States;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social, and economic instability, conflicts, and wars, and their regional and global ramifications;</w:t>
      </w:r>
    </w:p>
    <w:p>
      <w:pPr>
        <w:spacing w:after="0" w:line="238" w:lineRule="exact"/>
        <w:rPr>
          <w:rFonts w:ascii="Times New Roman" w:cs="Times New Roman" w:eastAsia="Times New Roman" w:hAnsi="Times New Roman"/>
          <w:sz w:val="20"/>
          <w:szCs w:val="20"/>
          <w:color w:val="auto"/>
        </w:rPr>
      </w:pPr>
    </w:p>
    <w:p>
      <w:pPr>
        <w:ind w:left="700" w:right="520" w:hanging="351"/>
        <w:spacing w:after="0" w:line="269" w:lineRule="auto"/>
        <w:tabs>
          <w:tab w:leader="none" w:pos="7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diplomatic and trade relationships, including the imposition of new trade restrictions, trade protection measures, import or export requirements, trade embargoes and other trade barriers;</w:t>
      </w:r>
    </w:p>
    <w:p>
      <w:pPr>
        <w:spacing w:after="0" w:line="186" w:lineRule="exact"/>
        <w:rPr>
          <w:rFonts w:ascii="Times New Roman" w:cs="Times New Roman" w:eastAsia="Times New Roman" w:hAnsi="Times New Roman"/>
          <w:sz w:val="20"/>
          <w:szCs w:val="20"/>
          <w:color w:val="auto"/>
        </w:rPr>
      </w:pPr>
    </w:p>
    <w:p>
      <w:pPr>
        <w:ind w:left="700" w:right="260" w:hanging="351"/>
        <w:spacing w:after="0" w:line="269" w:lineRule="auto"/>
        <w:tabs>
          <w:tab w:leader="none" w:pos="7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double taxation of our international earnings and potentially adverse tax consequences due to changes in the income and other tax laws of the United States or the international jurisdictions in which we operate;</w:t>
      </w:r>
    </w:p>
    <w:p>
      <w:pPr>
        <w:spacing w:after="0" w:line="186" w:lineRule="exact"/>
        <w:rPr>
          <w:rFonts w:ascii="Times New Roman" w:cs="Times New Roman" w:eastAsia="Times New Roman" w:hAnsi="Times New Roman"/>
          <w:sz w:val="20"/>
          <w:szCs w:val="20"/>
          <w:color w:val="auto"/>
        </w:rPr>
      </w:pPr>
    </w:p>
    <w:p>
      <w:pPr>
        <w:ind w:left="700" w:right="760" w:hanging="351"/>
        <w:spacing w:after="0" w:line="269" w:lineRule="auto"/>
        <w:tabs>
          <w:tab w:leader="none" w:pos="7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costs of doing business internationally, including increased accounting, travel, infrastructure, and legal compliance costs; and</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natural disasters and public health epidemics on employees, travel and the global economy.</w:t>
      </w:r>
    </w:p>
    <w:p>
      <w:pPr>
        <w:spacing w:after="0" w:line="238" w:lineRule="exact"/>
        <w:rPr>
          <w:sz w:val="20"/>
          <w:szCs w:val="20"/>
          <w:color w:val="auto"/>
        </w:rPr>
      </w:pPr>
    </w:p>
    <w:p>
      <w:pPr>
        <w:ind w:right="20" w:firstLine="439"/>
        <w:spacing w:after="0" w:line="276" w:lineRule="auto"/>
        <w:rPr>
          <w:sz w:val="20"/>
          <w:szCs w:val="20"/>
          <w:color w:val="auto"/>
        </w:rPr>
      </w:pPr>
      <w:r>
        <w:rPr>
          <w:rFonts w:ascii="Times New Roman" w:cs="Times New Roman" w:eastAsia="Times New Roman" w:hAnsi="Times New Roman"/>
          <w:sz w:val="18"/>
          <w:szCs w:val="18"/>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178"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5" w:lineRule="exact"/>
        <w:rPr>
          <w:sz w:val="20"/>
          <w:szCs w:val="20"/>
          <w:color w:val="auto"/>
        </w:rPr>
      </w:pPr>
    </w:p>
    <w:p>
      <w:pPr>
        <w:ind w:right="60" w:firstLine="439"/>
        <w:spacing w:after="0" w:line="285" w:lineRule="auto"/>
        <w:rPr>
          <w:sz w:val="20"/>
          <w:szCs w:val="20"/>
          <w:color w:val="auto"/>
        </w:rPr>
      </w:pPr>
      <w:r>
        <w:rPr>
          <w:rFonts w:ascii="Times New Roman" w:cs="Times New Roman" w:eastAsia="Times New Roman" w:hAnsi="Times New Roman"/>
          <w:sz w:val="18"/>
          <w:szCs w:val="18"/>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75" w:lineRule="exact"/>
        <w:rPr>
          <w:sz w:val="20"/>
          <w:szCs w:val="20"/>
          <w:color w:val="auto"/>
        </w:rPr>
      </w:pPr>
    </w:p>
    <w:p>
      <w:pPr>
        <w:ind w:right="100" w:firstLine="439"/>
        <w:spacing w:after="0" w:line="247" w:lineRule="auto"/>
        <w:rPr>
          <w:sz w:val="20"/>
          <w:szCs w:val="20"/>
          <w:color w:val="auto"/>
        </w:rPr>
      </w:pPr>
      <w:r>
        <w:rPr>
          <w:rFonts w:ascii="Times New Roman" w:cs="Times New Roman" w:eastAsia="Times New Roman" w:hAnsi="Times New Roman"/>
          <w:sz w:val="20"/>
          <w:szCs w:val="20"/>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210" w:lineRule="exact"/>
        <w:rPr>
          <w:sz w:val="20"/>
          <w:szCs w:val="20"/>
          <w:color w:val="auto"/>
        </w:rPr>
      </w:pPr>
    </w:p>
    <w:p>
      <w:pPr>
        <w:ind w:firstLine="439"/>
        <w:spacing w:after="0" w:line="280" w:lineRule="auto"/>
        <w:rPr>
          <w:sz w:val="20"/>
          <w:szCs w:val="20"/>
          <w:color w:val="auto"/>
        </w:rPr>
      </w:pPr>
      <w:r>
        <w:rPr>
          <w:rFonts w:ascii="Times New Roman" w:cs="Times New Roman" w:eastAsia="Times New Roman" w:hAnsi="Times New Roman"/>
          <w:sz w:val="18"/>
          <w:szCs w:val="18"/>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adverse changes in third-party service levels at datacenters or any real or perceived errors, bugs, defects, disruptions, or other performance problems that adversely impact our platform could harm our reputation and may result in damage to, or loss or compromise of, our users’ content. Interruptions in our platform might, among other things, reduce our revenue, cause us to issue refunds to users, subject us to potential liability, harm our</w:t>
      </w:r>
    </w:p>
    <w:p>
      <w:pPr>
        <w:sectPr>
          <w:pgSz w:w="11880" w:h="15480" w:orient="portrait"/>
          <w:cols w:equalWidth="0" w:num="1">
            <w:col w:w="10000"/>
          </w:cols>
          <w:pgMar w:left="940" w:top="696" w:right="94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000"/>
          </w:cols>
          <w:pgMar w:left="940" w:top="696" w:right="940" w:bottom="0" w:gutter="0" w:footer="0" w:header="0"/>
          <w:type w:val="continuous"/>
        </w:sectPr>
      </w:pPr>
    </w:p>
    <w:bookmarkStart w:id="128" w:name="page129"/>
    <w:bookmarkEnd w:id="128"/>
    <w:p>
      <w:pPr>
        <w:ind w:right="300"/>
        <w:spacing w:after="0" w:line="269" w:lineRule="auto"/>
        <w:rPr>
          <w:sz w:val="20"/>
          <w:szCs w:val="20"/>
          <w:color w:val="auto"/>
        </w:rPr>
      </w:pPr>
      <w:r>
        <w:rPr>
          <w:rFonts w:ascii="Times New Roman" w:cs="Times New Roman" w:eastAsia="Times New Roman" w:hAnsi="Times New Roman"/>
          <w:sz w:val="20"/>
          <w:szCs w:val="20"/>
          <w:color w:val="auto"/>
        </w:rPr>
        <w:t>reputation, or decrease our renewal rates, and we may not have adequate recourse, or recourse at all, from the datacenter and service provider, which could further harm our business, results of operations and financial condition.</w:t>
      </w:r>
    </w:p>
    <w:p>
      <w:pPr>
        <w:spacing w:after="0" w:line="179"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85" w:lineRule="exact"/>
        <w:rPr>
          <w:sz w:val="20"/>
          <w:szCs w:val="20"/>
          <w:color w:val="auto"/>
        </w:rPr>
      </w:pPr>
    </w:p>
    <w:p>
      <w:pPr>
        <w:ind w:right="20" w:firstLine="439"/>
        <w:spacing w:after="0" w:line="280" w:lineRule="auto"/>
        <w:rPr>
          <w:sz w:val="20"/>
          <w:szCs w:val="20"/>
          <w:color w:val="auto"/>
        </w:rPr>
      </w:pPr>
      <w:r>
        <w:rPr>
          <w:rFonts w:ascii="Times New Roman" w:cs="Times New Roman" w:eastAsia="Times New Roman" w:hAnsi="Times New Roman"/>
          <w:sz w:val="18"/>
          <w:szCs w:val="18"/>
          <w:color w:val="auto"/>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82" w:lineRule="exact"/>
        <w:rPr>
          <w:sz w:val="20"/>
          <w:szCs w:val="20"/>
          <w:color w:val="auto"/>
        </w:rPr>
      </w:pPr>
    </w:p>
    <w:p>
      <w:pPr>
        <w:ind w:right="20" w:firstLine="439"/>
        <w:spacing w:after="0" w:line="285" w:lineRule="auto"/>
        <w:rPr>
          <w:sz w:val="20"/>
          <w:szCs w:val="20"/>
          <w:color w:val="auto"/>
        </w:rPr>
      </w:pPr>
      <w:r>
        <w:rPr>
          <w:rFonts w:ascii="Times New Roman" w:cs="Times New Roman" w:eastAsia="Times New Roman" w:hAnsi="Times New Roman"/>
          <w:sz w:val="18"/>
          <w:szCs w:val="18"/>
          <w:color w:val="auto"/>
        </w:rPr>
        <w:t>We also depend on our ecosystem of developers to create applications that will integrate with our platform. As of December 31, 2025, Dropbox received over 75 billion API calls per month, and just over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75" w:lineRule="exact"/>
        <w:rPr>
          <w:sz w:val="20"/>
          <w:szCs w:val="20"/>
          <w:color w:val="auto"/>
        </w:rPr>
      </w:pPr>
    </w:p>
    <w:p>
      <w:pPr>
        <w:ind w:right="600" w:firstLine="439"/>
        <w:spacing w:after="0" w:line="269" w:lineRule="auto"/>
        <w:rPr>
          <w:sz w:val="20"/>
          <w:szCs w:val="20"/>
          <w:color w:val="auto"/>
        </w:rPr>
      </w:pPr>
      <w:r>
        <w:rPr>
          <w:rFonts w:ascii="Times New Roman" w:cs="Times New Roman" w:eastAsia="Times New Roman" w:hAnsi="Times New Roman"/>
          <w:sz w:val="20"/>
          <w:szCs w:val="20"/>
          <w:color w:val="auto"/>
        </w:rPr>
        <w:t>We may not have the ability to control or prevent these risks. As a result, issues relating to these applications could adversely affect our business, brand, and reputation.</w:t>
      </w:r>
    </w:p>
    <w:p>
      <w:pPr>
        <w:spacing w:after="0" w:line="1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use of open source software could negatively affect our ability to offer and sell subscriptions to our platform and subject us to possible litigation.</w:t>
      </w:r>
    </w:p>
    <w:p>
      <w:pPr>
        <w:spacing w:after="0" w:line="185" w:lineRule="exact"/>
        <w:rPr>
          <w:sz w:val="20"/>
          <w:szCs w:val="20"/>
          <w:color w:val="auto"/>
        </w:rPr>
      </w:pPr>
    </w:p>
    <w:p>
      <w:pPr>
        <w:ind w:right="100" w:firstLine="439"/>
        <w:spacing w:after="0" w:line="276" w:lineRule="auto"/>
        <w:rPr>
          <w:sz w:val="20"/>
          <w:szCs w:val="20"/>
          <w:color w:val="auto"/>
        </w:rPr>
      </w:pPr>
      <w:r>
        <w:rPr>
          <w:rFonts w:ascii="Times New Roman" w:cs="Times New Roman" w:eastAsia="Times New Roman" w:hAnsi="Times New Roman"/>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78"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ability to sell subscriptions to our platform and retain users could be harmed by real or perceived material defects or errors in our platform.</w:t>
      </w:r>
    </w:p>
    <w:p>
      <w:pPr>
        <w:spacing w:after="0" w:line="185" w:lineRule="exact"/>
        <w:rPr>
          <w:sz w:val="20"/>
          <w:szCs w:val="20"/>
          <w:color w:val="auto"/>
        </w:rPr>
      </w:pPr>
    </w:p>
    <w:p>
      <w:pPr>
        <w:ind w:firstLine="439"/>
        <w:spacing w:after="0" w:line="247" w:lineRule="auto"/>
        <w:rPr>
          <w:sz w:val="20"/>
          <w:szCs w:val="20"/>
          <w:color w:val="auto"/>
        </w:rPr>
      </w:pPr>
      <w:r>
        <w:rPr>
          <w:rFonts w:ascii="Times New Roman" w:cs="Times New Roman" w:eastAsia="Times New Roman" w:hAnsi="Times New Roman"/>
          <w:sz w:val="20"/>
          <w:szCs w:val="20"/>
          <w:color w:val="auto"/>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210" w:lineRule="exact"/>
        <w:rPr>
          <w:sz w:val="20"/>
          <w:szCs w:val="20"/>
          <w:color w:val="auto"/>
        </w:rPr>
      </w:pPr>
    </w:p>
    <w:p>
      <w:pPr>
        <w:jc w:val="both"/>
        <w:ind w:right="140" w:firstLine="439"/>
        <w:spacing w:after="0" w:line="256" w:lineRule="auto"/>
        <w:rPr>
          <w:sz w:val="20"/>
          <w:szCs w:val="20"/>
          <w:color w:val="auto"/>
        </w:rPr>
      </w:pPr>
      <w:r>
        <w:rPr>
          <w:rFonts w:ascii="Times New Roman" w:cs="Times New Roman" w:eastAsia="Times New Roman" w:hAnsi="Times New Roman"/>
          <w:sz w:val="20"/>
          <w:szCs w:val="20"/>
          <w:color w:val="auto"/>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spacing w:after="0" w:line="200" w:lineRule="exact"/>
        <w:rPr>
          <w:sz w:val="20"/>
          <w:szCs w:val="20"/>
          <w:color w:val="auto"/>
        </w:rPr>
      </w:pPr>
    </w:p>
    <w:p>
      <w:pPr>
        <w:ind w:left="700" w:hanging="351"/>
        <w:spacing w:after="0"/>
        <w:tabs>
          <w:tab w:leader="none" w:pos="7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a reduction in revenue or delay in market acceptance of our platform;</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issue refunds to our users or expose us to claims for damages;</w:t>
      </w:r>
    </w:p>
    <w:p>
      <w:pPr>
        <w:sectPr>
          <w:pgSz w:w="11880" w:h="15480" w:orient="portrait"/>
          <w:cols w:equalWidth="0" w:num="1">
            <w:col w:w="10000"/>
          </w:cols>
          <w:pgMar w:left="940" w:top="696" w:right="940" w:bottom="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000"/>
          </w:cols>
          <w:pgMar w:left="940" w:top="696" w:right="940" w:bottom="0" w:gutter="0" w:footer="0" w:header="0"/>
          <w:type w:val="continuous"/>
        </w:sectPr>
      </w:pPr>
    </w:p>
    <w:bookmarkStart w:id="129" w:name="page130"/>
    <w:bookmarkEnd w:id="129"/>
    <w:p>
      <w:pPr>
        <w:ind w:left="700" w:hanging="351"/>
        <w:spacing w:after="0"/>
        <w:tabs>
          <w:tab w:leader="none" w:pos="7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us to lose existing users and make it more difficult to attract new users;</w:t>
      </w:r>
    </w:p>
    <w:p>
      <w:pPr>
        <w:spacing w:after="0" w:line="238" w:lineRule="exact"/>
        <w:rPr>
          <w:rFonts w:ascii="Times New Roman" w:cs="Times New Roman" w:eastAsia="Times New Roman" w:hAnsi="Times New Roman"/>
          <w:sz w:val="20"/>
          <w:szCs w:val="20"/>
          <w:color w:val="auto"/>
        </w:rPr>
      </w:pPr>
    </w:p>
    <w:p>
      <w:pPr>
        <w:ind w:left="700" w:right="140" w:hanging="351"/>
        <w:spacing w:after="0" w:line="269" w:lineRule="auto"/>
        <w:tabs>
          <w:tab w:leader="none" w:pos="7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divert our development resources or require us to make extensive changes to our platform, which would increase our expenses;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our technical support costs; and</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harm our reputation and brand.</w:t>
      </w:r>
    </w:p>
    <w:p>
      <w:pPr>
        <w:spacing w:after="0" w:line="230" w:lineRule="exact"/>
        <w:rPr>
          <w:sz w:val="20"/>
          <w:szCs w:val="20"/>
          <w:color w:val="auto"/>
        </w:rPr>
      </w:pPr>
    </w:p>
    <w:p>
      <w:pPr>
        <w:jc w:val="both"/>
        <w:ind w:right="3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acquired or invested in, and may in the future acquire or invest in, other businesses, assets, and technologies, which could require significant management attention, disrupt our business operations, cause us to incur debt or dilute stockholder value, and may not be successful.</w:t>
      </w:r>
    </w:p>
    <w:p>
      <w:pPr>
        <w:spacing w:after="0" w:line="200" w:lineRule="exact"/>
        <w:rPr>
          <w:sz w:val="20"/>
          <w:szCs w:val="20"/>
          <w:color w:val="auto"/>
        </w:rPr>
      </w:pPr>
    </w:p>
    <w:p>
      <w:pPr>
        <w:ind w:right="660" w:firstLine="439"/>
        <w:spacing w:after="0" w:line="256" w:lineRule="auto"/>
        <w:rPr>
          <w:sz w:val="20"/>
          <w:szCs w:val="20"/>
          <w:color w:val="auto"/>
        </w:rPr>
      </w:pPr>
      <w:r>
        <w:rPr>
          <w:rFonts w:ascii="Times New Roman" w:cs="Times New Roman" w:eastAsia="Times New Roman" w:hAnsi="Times New Roman"/>
          <w:sz w:val="20"/>
          <w:szCs w:val="20"/>
          <w:color w:val="auto"/>
        </w:rPr>
        <w:t>As part of our business strategy, we have acquired or invested in, and may in the future acquire or invest in, other companies, employee teams, or technologies to complement or expand our products, obtain personnel, or otherwise complement or grow our business.</w:t>
      </w:r>
    </w:p>
    <w:p>
      <w:pPr>
        <w:spacing w:after="0" w:line="200" w:lineRule="exact"/>
        <w:rPr>
          <w:sz w:val="20"/>
          <w:szCs w:val="20"/>
          <w:color w:val="auto"/>
        </w:rPr>
      </w:pPr>
    </w:p>
    <w:p>
      <w:pPr>
        <w:ind w:right="20" w:firstLine="439"/>
        <w:spacing w:after="0" w:line="269" w:lineRule="auto"/>
        <w:rPr>
          <w:sz w:val="20"/>
          <w:szCs w:val="20"/>
          <w:color w:val="auto"/>
        </w:rPr>
      </w:pPr>
      <w:r>
        <w:rPr>
          <w:rFonts w:ascii="Times New Roman" w:cs="Times New Roman" w:eastAsia="Times New Roman" w:hAnsi="Times New Roman"/>
          <w:sz w:val="20"/>
          <w:szCs w:val="20"/>
          <w:color w:val="auto"/>
        </w:rPr>
        <w:t>The pursuit of acquisitions or investments may divert the attention of management and cause us to incur various expenses in identifying, investigating, and pursuing suitable acquisitions, whether or not they are consummated.</w:t>
      </w:r>
    </w:p>
    <w:p>
      <w:pPr>
        <w:spacing w:after="0" w:line="187"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20"/>
          <w:szCs w:val="20"/>
          <w:color w:val="auto"/>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spacing w:after="0" w:line="204" w:lineRule="exact"/>
        <w:rPr>
          <w:sz w:val="20"/>
          <w:szCs w:val="20"/>
          <w:color w:val="auto"/>
        </w:rPr>
      </w:pPr>
    </w:p>
    <w:p>
      <w:pPr>
        <w:ind w:right="400" w:firstLine="439"/>
        <w:spacing w:after="0" w:line="269" w:lineRule="auto"/>
        <w:rPr>
          <w:sz w:val="20"/>
          <w:szCs w:val="20"/>
          <w:color w:val="auto"/>
        </w:rPr>
      </w:pPr>
      <w:r>
        <w:rPr>
          <w:rFonts w:ascii="Times New Roman" w:cs="Times New Roman" w:eastAsia="Times New Roman" w:hAnsi="Times New Roman"/>
          <w:sz w:val="20"/>
          <w:szCs w:val="20"/>
          <w:color w:val="auto"/>
        </w:rPr>
        <w:t>If we do complete acquisitions, we may not ultimately strengthen our competitive position or achieve the anticipated benefits from such acquisitions, due to a number of factors, including:</w:t>
      </w:r>
    </w:p>
    <w:p>
      <w:pPr>
        <w:spacing w:after="0" w:line="187" w:lineRule="exact"/>
        <w:rPr>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acquisition-related costs, liabilities, or tax impacts, some of which may be unanticipated;</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utilizing or integrating the acquired intellectual property, technology infrastructure, and operations;</w:t>
      </w:r>
    </w:p>
    <w:p>
      <w:pPr>
        <w:spacing w:after="0" w:line="238" w:lineRule="exact"/>
        <w:rPr>
          <w:rFonts w:ascii="Times New Roman" w:cs="Times New Roman" w:eastAsia="Times New Roman" w:hAnsi="Times New Roman"/>
          <w:sz w:val="20"/>
          <w:szCs w:val="20"/>
          <w:color w:val="auto"/>
        </w:rPr>
      </w:pPr>
    </w:p>
    <w:p>
      <w:pPr>
        <w:ind w:left="700" w:right="540" w:hanging="351"/>
        <w:spacing w:after="0" w:line="269" w:lineRule="auto"/>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integrating and retaining key employees of acquired businesses and related challenges motivating and retaining our key employees after such acquisition;</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 or inadequate, controls, procedures, or policies at an acquired business;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effectively offer, price, and support multiple product lines or services offerings of acquired businesses;</w:t>
      </w:r>
    </w:p>
    <w:p>
      <w:pPr>
        <w:spacing w:after="0" w:line="238" w:lineRule="exact"/>
        <w:rPr>
          <w:rFonts w:ascii="Times New Roman" w:cs="Times New Roman" w:eastAsia="Times New Roman" w:hAnsi="Times New Roman"/>
          <w:sz w:val="20"/>
          <w:szCs w:val="20"/>
          <w:color w:val="auto"/>
        </w:rPr>
      </w:pPr>
    </w:p>
    <w:p>
      <w:pPr>
        <w:ind w:left="700" w:right="520" w:hanging="351"/>
        <w:spacing w:after="0" w:line="269" w:lineRule="auto"/>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unknown liabilities or risks associated with an acquired business, including those arising from existing contractual obligations, security vulnerabilities, cybersecurity incidents, or litigation matters;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maintain relationships with key customers, suppliers, and partners of an acquired business;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accurately forecast the financial impact of an acquisition transaction, including accounting charges;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integrating accounting, finance and forecasting practices of acquired business within our business;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experience in new markets, products or technologies;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effectively integrate brand identity of acquired businesses within those of our business;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other business concerns; and</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resources that are needed in other parts of our business.</w:t>
      </w:r>
    </w:p>
    <w:p>
      <w:pPr>
        <w:spacing w:after="0" w:line="238" w:lineRule="exact"/>
        <w:rPr>
          <w:sz w:val="20"/>
          <w:szCs w:val="20"/>
          <w:color w:val="auto"/>
        </w:rPr>
      </w:pPr>
    </w:p>
    <w:p>
      <w:pPr>
        <w:ind w:right="160" w:firstLine="439"/>
        <w:spacing w:after="0" w:line="326" w:lineRule="auto"/>
        <w:rPr>
          <w:sz w:val="20"/>
          <w:szCs w:val="20"/>
          <w:color w:val="auto"/>
        </w:rPr>
      </w:pPr>
      <w:r>
        <w:rPr>
          <w:rFonts w:ascii="Times New Roman" w:cs="Times New Roman" w:eastAsia="Times New Roman" w:hAnsi="Times New Roman"/>
          <w:sz w:val="18"/>
          <w:szCs w:val="18"/>
          <w:color w:val="auto"/>
        </w:rPr>
        <w:t>We may have to pay a substantial portion of our available cash, incur debt, or issue equity securities to pay for any such acquisitions, each of which could affect our financial condition or the value of our capital stock. The issuance of equity</w:t>
      </w:r>
    </w:p>
    <w:p>
      <w:pPr>
        <w:sectPr>
          <w:pgSz w:w="11880" w:h="15480" w:orient="portrait"/>
          <w:cols w:equalWidth="0" w:num="1">
            <w:col w:w="9940"/>
          </w:cols>
          <w:pgMar w:left="940" w:top="930" w:right="1000" w:bottom="0" w:gutter="0" w:footer="0" w:header="0"/>
        </w:sect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940"/>
          </w:cols>
          <w:pgMar w:left="940" w:top="930" w:right="1000" w:bottom="0" w:gutter="0" w:footer="0" w:header="0"/>
          <w:type w:val="continuous"/>
        </w:sectPr>
      </w:pPr>
    </w:p>
    <w:bookmarkStart w:id="130" w:name="page131"/>
    <w:bookmarkEnd w:id="130"/>
    <w:p>
      <w:pPr>
        <w:ind w:right="40"/>
        <w:spacing w:after="0" w:line="256" w:lineRule="auto"/>
        <w:rPr>
          <w:sz w:val="20"/>
          <w:szCs w:val="20"/>
          <w:color w:val="auto"/>
        </w:rPr>
      </w:pPr>
      <w:r>
        <w:rPr>
          <w:rFonts w:ascii="Times New Roman" w:cs="Times New Roman" w:eastAsia="Times New Roman" w:hAnsi="Times New Roman"/>
          <w:sz w:val="20"/>
          <w:szCs w:val="20"/>
          <w:color w:val="auto"/>
        </w:rPr>
        <w:t>consideration or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0"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20"/>
          <w:szCs w:val="20"/>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07" w:lineRule="exact"/>
        <w:rPr>
          <w:sz w:val="20"/>
          <w:szCs w:val="20"/>
          <w:color w:val="auto"/>
        </w:rPr>
      </w:pPr>
    </w:p>
    <w:p>
      <w:pPr>
        <w:ind w:right="280" w:firstLine="439"/>
        <w:spacing w:after="0" w:line="256" w:lineRule="auto"/>
        <w:rPr>
          <w:sz w:val="20"/>
          <w:szCs w:val="20"/>
          <w:color w:val="auto"/>
        </w:rPr>
      </w:pPr>
      <w:r>
        <w:rPr>
          <w:rFonts w:ascii="Times New Roman" w:cs="Times New Roman" w:eastAsia="Times New Roman" w:hAnsi="Times New Roman"/>
          <w:sz w:val="20"/>
          <w:szCs w:val="20"/>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on this assessment, which could adversely affect our results of operations.</w:t>
      </w:r>
    </w:p>
    <w:p>
      <w:pPr>
        <w:spacing w:after="0" w:line="200" w:lineRule="exact"/>
        <w:rPr>
          <w:sz w:val="20"/>
          <w:szCs w:val="20"/>
          <w:color w:val="auto"/>
        </w:rPr>
      </w:pPr>
    </w:p>
    <w:p>
      <w:pPr>
        <w:ind w:right="40" w:firstLine="439"/>
        <w:spacing w:after="0" w:line="252" w:lineRule="auto"/>
        <w:rPr>
          <w:sz w:val="20"/>
          <w:szCs w:val="20"/>
          <w:color w:val="auto"/>
        </w:rPr>
      </w:pPr>
      <w:r>
        <w:rPr>
          <w:rFonts w:ascii="Times New Roman" w:cs="Times New Roman" w:eastAsia="Times New Roman" w:hAnsi="Times New Roman"/>
          <w:sz w:val="20"/>
          <w:szCs w:val="20"/>
          <w:color w:val="auto"/>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spacing w:after="0" w:line="204" w:lineRule="exact"/>
        <w:rPr>
          <w:sz w:val="20"/>
          <w:szCs w:val="20"/>
          <w:color w:val="auto"/>
        </w:rPr>
      </w:pPr>
    </w:p>
    <w:p>
      <w:pPr>
        <w:ind w:right="100" w:firstLine="439"/>
        <w:spacing w:after="0" w:line="289" w:lineRule="auto"/>
        <w:rPr>
          <w:sz w:val="20"/>
          <w:szCs w:val="20"/>
          <w:color w:val="auto"/>
        </w:rPr>
      </w:pPr>
      <w:r>
        <w:rPr>
          <w:rFonts w:ascii="Times New Roman" w:cs="Times New Roman" w:eastAsia="Times New Roman" w:hAnsi="Times New Roman"/>
          <w:sz w:val="18"/>
          <w:szCs w:val="18"/>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current and future indebtedness may limit our operating flexibility or otherwise affect our business.</w:t>
      </w:r>
    </w:p>
    <w:p>
      <w:pPr>
        <w:spacing w:after="0" w:line="246" w:lineRule="exact"/>
        <w:rPr>
          <w:sz w:val="20"/>
          <w:szCs w:val="20"/>
          <w:color w:val="auto"/>
        </w:rPr>
      </w:pPr>
    </w:p>
    <w:p>
      <w:pPr>
        <w:ind w:right="180" w:firstLine="439"/>
        <w:spacing w:after="0" w:line="256" w:lineRule="auto"/>
        <w:rPr>
          <w:sz w:val="20"/>
          <w:szCs w:val="20"/>
          <w:color w:val="auto"/>
        </w:rPr>
      </w:pPr>
      <w:r>
        <w:rPr>
          <w:rFonts w:ascii="Times New Roman" w:cs="Times New Roman" w:eastAsia="Times New Roman" w:hAnsi="Times New Roman"/>
          <w:sz w:val="20"/>
          <w:szCs w:val="20"/>
          <w:color w:val="auto"/>
        </w:rPr>
        <w:t>Our current indebtedness, including our 2026 Notes, 2028 Notes and our term loan facility, place significant restrictions on our business and could have important consequences to our stockholders and effects on our business, as could any future indebtedness.</w:t>
      </w:r>
    </w:p>
    <w:p>
      <w:pPr>
        <w:spacing w:after="0" w:line="200"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20"/>
          <w:szCs w:val="20"/>
          <w:color w:val="auto"/>
        </w:rPr>
        <w:t>For example, the terms of our term loan facility contain a number of covenants that limit our ability and our subsidiaries’ ability to, among other things, incur additional indebtedness, create liens, merge or consolidate with other companies, sell substantially all of our assets, pay dividends, make redemptions and repurchases of stock, engage in transactions with affiliates, make investments, loans and acquisitions, and prepay certain indebtedness, in each case subject to qualifications and exceptions.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In addition, such current and future indebtedness could:</w:t>
      </w:r>
    </w:p>
    <w:p>
      <w:pPr>
        <w:spacing w:after="0" w:line="238" w:lineRule="exact"/>
        <w:rPr>
          <w:sz w:val="20"/>
          <w:szCs w:val="20"/>
          <w:color w:val="auto"/>
        </w:rPr>
      </w:pPr>
    </w:p>
    <w:p>
      <w:pPr>
        <w:ind w:left="700" w:right="280" w:hanging="351"/>
        <w:spacing w:after="0" w:line="269" w:lineRule="auto"/>
        <w:tabs>
          <w:tab w:leader="none" w:pos="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it more difficult for us to satisfy our debt obligations, including our term loan facility, the 2026 Notes and the 2028 Notes;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our vulnerability to general adverse economic and industry conditions;</w:t>
      </w:r>
    </w:p>
    <w:p>
      <w:pPr>
        <w:spacing w:after="0" w:line="238" w:lineRule="exact"/>
        <w:rPr>
          <w:rFonts w:ascii="Times New Roman" w:cs="Times New Roman" w:eastAsia="Times New Roman" w:hAnsi="Times New Roman"/>
          <w:sz w:val="20"/>
          <w:szCs w:val="20"/>
          <w:color w:val="auto"/>
        </w:rPr>
      </w:pPr>
    </w:p>
    <w:p>
      <w:pPr>
        <w:ind w:left="700" w:right="80" w:hanging="351"/>
        <w:spacing w:after="0" w:line="269" w:lineRule="auto"/>
        <w:tabs>
          <w:tab w:leader="none" w:pos="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flexibility in planning for, or reacting to, changes in our business and the industry in which we operate;</w:t>
      </w:r>
    </w:p>
    <w:p>
      <w:pPr>
        <w:spacing w:after="0" w:line="238" w:lineRule="exact"/>
        <w:rPr>
          <w:rFonts w:ascii="Times New Roman" w:cs="Times New Roman" w:eastAsia="Times New Roman" w:hAnsi="Times New Roman"/>
          <w:sz w:val="20"/>
          <w:szCs w:val="20"/>
          <w:color w:val="auto"/>
        </w:rPr>
      </w:pPr>
    </w:p>
    <w:p>
      <w:pPr>
        <w:ind w:left="700" w:right="540" w:hanging="351"/>
        <w:spacing w:after="0" w:line="269" w:lineRule="auto"/>
        <w:tabs>
          <w:tab w:leader="none" w:pos="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current and future operations, make it more difficult to successfully execute our business strategy, or restrict us from exploiting business opportunities;</w:t>
      </w:r>
    </w:p>
    <w:p>
      <w:pPr>
        <w:spacing w:after="0" w:line="186" w:lineRule="exact"/>
        <w:rPr>
          <w:rFonts w:ascii="Times New Roman" w:cs="Times New Roman" w:eastAsia="Times New Roman" w:hAnsi="Times New Roman"/>
          <w:sz w:val="20"/>
          <w:szCs w:val="20"/>
          <w:color w:val="auto"/>
        </w:rPr>
      </w:pPr>
    </w:p>
    <w:p>
      <w:pPr>
        <w:ind w:left="700" w:right="240" w:hanging="351"/>
        <w:spacing w:after="0" w:line="269" w:lineRule="auto"/>
        <w:tabs>
          <w:tab w:leader="none" w:pos="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us at a competitive disadvantage compared to our competitors that have less indebtedness or are not subject to restrictive covenants;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or otherwise impact the pace and timing of repurchases under our stock repurchase program; and</w:t>
      </w:r>
    </w:p>
    <w:p>
      <w:pPr>
        <w:spacing w:after="0" w:line="238" w:lineRule="exact"/>
        <w:rPr>
          <w:rFonts w:ascii="Times New Roman" w:cs="Times New Roman" w:eastAsia="Times New Roman" w:hAnsi="Times New Roman"/>
          <w:sz w:val="20"/>
          <w:szCs w:val="20"/>
          <w:color w:val="auto"/>
        </w:rPr>
      </w:pPr>
    </w:p>
    <w:p>
      <w:pPr>
        <w:ind w:left="700" w:right="300" w:hanging="351"/>
        <w:spacing w:after="0" w:line="269" w:lineRule="auto"/>
        <w:tabs>
          <w:tab w:leader="none" w:pos="7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availability to borrow additional funds for working capital, capital expenditures, acquisitions, debt service requirements, execution of our business strategy, or other general purposes.</w:t>
      </w:r>
    </w:p>
    <w:p>
      <w:pPr>
        <w:sectPr>
          <w:pgSz w:w="11880" w:h="15480" w:orient="portrait"/>
          <w:cols w:equalWidth="0" w:num="1">
            <w:col w:w="9980"/>
          </w:cols>
          <w:pgMar w:left="940" w:top="696" w:right="960" w:bottom="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980"/>
          </w:cols>
          <w:pgMar w:left="940" w:top="696" w:right="960" w:bottom="0" w:gutter="0" w:footer="0" w:header="0"/>
          <w:type w:val="continuous"/>
        </w:sectPr>
      </w:pPr>
    </w:p>
    <w:bookmarkStart w:id="131" w:name="page132"/>
    <w:bookmarkEnd w:id="131"/>
    <w:p>
      <w:pPr>
        <w:ind w:right="80" w:firstLine="439"/>
        <w:spacing w:after="0" w:line="269" w:lineRule="auto"/>
        <w:rPr>
          <w:sz w:val="20"/>
          <w:szCs w:val="20"/>
          <w:color w:val="auto"/>
        </w:rPr>
      </w:pPr>
      <w:r>
        <w:rPr>
          <w:rFonts w:ascii="Times New Roman" w:cs="Times New Roman" w:eastAsia="Times New Roman" w:hAnsi="Times New Roman"/>
          <w:sz w:val="20"/>
          <w:szCs w:val="20"/>
          <w:color w:val="auto"/>
        </w:rPr>
        <w:t>Any of the foregoing could have a material adverse effect on our business, cash flows, results of operations, and financial condition.</w:t>
      </w:r>
    </w:p>
    <w:p>
      <w:pPr>
        <w:spacing w:after="0" w:line="179"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5"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20"/>
          <w:szCs w:val="20"/>
          <w:color w:val="auto"/>
        </w:rPr>
        <w:t>We finance a significant portion of our expenditures through leasing arrangements, and we may enter into additional similar arrangements in the future. As of December 31, 2025, we had an aggregate of $1,110.6 million of commitments to settle contractual obligations. In particular, we utilize both finance and operating leases to finance some of our equipment, datacenters and offices. In addition, as of December 31, 2025, we had $1,488.3 million in aggregate principal amount of term loans outstanding under our term loan facility. If we default on these leasing or credit obligations, our leasing partners and lenders may, among other things:</w:t>
      </w:r>
    </w:p>
    <w:p>
      <w:pPr>
        <w:spacing w:after="0" w:line="207" w:lineRule="exact"/>
        <w:rPr>
          <w:sz w:val="20"/>
          <w:szCs w:val="20"/>
          <w:color w:val="auto"/>
        </w:rPr>
      </w:pPr>
    </w:p>
    <w:p>
      <w:pPr>
        <w:ind w:left="700" w:hanging="351"/>
        <w:spacing w:after="0"/>
        <w:tabs>
          <w:tab w:leader="none" w:pos="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repayment of any outstanding lease obligations or loans;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our leasing arrangements;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our access to the leased datacenters we utilize;</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stop delivery of ordered equipment;</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or require us to return our leased equipment;</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repayment of the outstanding term loans borrowed under our term loan facility;</w:t>
      </w:r>
    </w:p>
    <w:p>
      <w:pPr>
        <w:spacing w:after="0" w:line="238" w:lineRule="exact"/>
        <w:rPr>
          <w:rFonts w:ascii="Times New Roman" w:cs="Times New Roman" w:eastAsia="Times New Roman" w:hAnsi="Times New Roman"/>
          <w:sz w:val="20"/>
          <w:szCs w:val="20"/>
          <w:color w:val="auto"/>
        </w:rPr>
      </w:pPr>
    </w:p>
    <w:p>
      <w:pPr>
        <w:ind w:left="700" w:right="140" w:hanging="351"/>
        <w:spacing w:after="0" w:line="269" w:lineRule="auto"/>
        <w:tabs>
          <w:tab w:leader="none" w:pos="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our term loan facility and exercise rights and remedies against the collateral securing our term loan facility; or</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pay increased and significant interest, fees, penalties, or damages.</w:t>
      </w:r>
    </w:p>
    <w:p>
      <w:pPr>
        <w:spacing w:after="0" w:line="238"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20"/>
          <w:szCs w:val="20"/>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term loan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0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b w:val="1"/>
          <w:bCs w:val="1"/>
          <w:color w:val="auto"/>
        </w:rPr>
        <w:t>Risks Related to Our Financial Performance or Results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revenue growth rate has declined in recent periods and may continue to slow in the future.</w:t>
      </w:r>
    </w:p>
    <w:p>
      <w:pPr>
        <w:spacing w:after="0" w:line="246" w:lineRule="exact"/>
        <w:rPr>
          <w:sz w:val="20"/>
          <w:szCs w:val="20"/>
          <w:color w:val="auto"/>
        </w:rPr>
      </w:pPr>
    </w:p>
    <w:p>
      <w:pPr>
        <w:ind w:right="20" w:firstLine="439"/>
        <w:spacing w:after="0" w:line="247" w:lineRule="auto"/>
        <w:rPr>
          <w:sz w:val="20"/>
          <w:szCs w:val="20"/>
          <w:color w:val="auto"/>
        </w:rPr>
      </w:pPr>
      <w:r>
        <w:rPr>
          <w:rFonts w:ascii="Times New Roman" w:cs="Times New Roman" w:eastAsia="Times New Roman" w:hAnsi="Times New Roman"/>
          <w:sz w:val="20"/>
          <w:szCs w:val="20"/>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increase expenses in the future, and we may not be able to achieve or maintain profitability in future periods.</w:t>
      </w:r>
    </w:p>
    <w:p>
      <w:pPr>
        <w:spacing w:after="0" w:line="246" w:lineRule="exact"/>
        <w:rPr>
          <w:sz w:val="20"/>
          <w:szCs w:val="20"/>
          <w:color w:val="auto"/>
        </w:rPr>
      </w:pPr>
    </w:p>
    <w:p>
      <w:pPr>
        <w:ind w:right="100" w:firstLine="439"/>
        <w:spacing w:after="0" w:line="289" w:lineRule="auto"/>
        <w:rPr>
          <w:sz w:val="20"/>
          <w:szCs w:val="20"/>
          <w:color w:val="auto"/>
        </w:rPr>
      </w:pPr>
      <w:r>
        <w:rPr>
          <w:rFonts w:ascii="Times New Roman" w:cs="Times New Roman" w:eastAsia="Times New Roman" w:hAnsi="Times New Roman"/>
          <w:sz w:val="18"/>
          <w:szCs w:val="18"/>
          <w:color w:val="auto"/>
        </w:rPr>
        <w:t>As we strive to grow our business, expenses may increase as we continue to make investments to scale our business, reposition our products, and respond to new technologies; in particular, we are making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w:t>
      </w:r>
    </w:p>
    <w:p>
      <w:pPr>
        <w:sectPr>
          <w:pgSz w:w="11880" w:h="15480" w:orient="portrait"/>
          <w:cols w:equalWidth="0" w:num="1">
            <w:col w:w="9980"/>
          </w:cols>
          <w:pgMar w:left="940" w:top="930" w:right="960" w:bottom="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980"/>
          </w:cols>
          <w:pgMar w:left="940" w:top="930" w:right="960" w:bottom="0" w:gutter="0" w:footer="0" w:header="0"/>
          <w:type w:val="continuous"/>
        </w:sectPr>
      </w:pPr>
    </w:p>
    <w:bookmarkStart w:id="132" w:name="page133"/>
    <w:bookmarkEnd w:id="132"/>
    <w:p>
      <w:pPr>
        <w:spacing w:after="0" w:line="246" w:lineRule="auto"/>
        <w:rPr>
          <w:sz w:val="20"/>
          <w:szCs w:val="20"/>
          <w:color w:val="auto"/>
        </w:rPr>
      </w:pPr>
      <w:r>
        <w:rPr>
          <w:rFonts w:ascii="Times New Roman" w:cs="Times New Roman" w:eastAsia="Times New Roman" w:hAnsi="Times New Roman"/>
          <w:sz w:val="20"/>
          <w:szCs w:val="20"/>
          <w:color w:val="auto"/>
        </w:rPr>
        <w:t>employees for our engineering, product, and design teams to support these efforts. These investments may not result in increased revenue or growth in our business or our revenue may not grow to the extent we expect and expense growth may outpace revenue. Accordingly, our profitability may fluctuate in certain periods, or we may fail to meet our profitability targets.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in connection with our Virtual First work model,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Virtual First work model. The long-term benefits of our Virtual First work model may not materialize in the way we expect and any savings may not offset these charges and expenses, which would have an adverse impact on our profitability.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w:t>
      </w:r>
    </w:p>
    <w:p>
      <w:pPr>
        <w:spacing w:after="0" w:line="208"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20"/>
          <w:szCs w:val="20"/>
          <w:color w:val="auto"/>
        </w:rPr>
        <w:t>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19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Servicing our indebtedness under our term loan facility, 2026 Notes, and 2028 Notes may require a significant amount of cash, and we may not have sufficient cash flow or the ability to raise the funds necessary to satisfy our obligations under our term loan facility, 2026 Notes, or 2028 Notes.</w:t>
      </w:r>
    </w:p>
    <w:p>
      <w:pPr>
        <w:spacing w:after="0" w:line="200" w:lineRule="exact"/>
        <w:rPr>
          <w:sz w:val="20"/>
          <w:szCs w:val="20"/>
          <w:color w:val="auto"/>
        </w:rPr>
      </w:pPr>
    </w:p>
    <w:p>
      <w:pPr>
        <w:ind w:firstLine="439"/>
        <w:spacing w:after="0" w:line="257"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our term loan facility,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In addition, our term loan facility exposes us to floating interest rates where changes in benchmark interest rates could negatively impact our borrowing costs. The delayed draw features of our term loan facility may also impose additional commitment or unused-facility fees, or prepayment obligations, which will require additional cash outflows.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quarterly results may fluctuate significantly and may not fully reflect the underlying performance of our business.</w:t>
      </w:r>
    </w:p>
    <w:p>
      <w:pPr>
        <w:spacing w:after="0" w:line="246" w:lineRule="exact"/>
        <w:rPr>
          <w:sz w:val="20"/>
          <w:szCs w:val="20"/>
          <w:color w:val="auto"/>
        </w:rPr>
      </w:pPr>
    </w:p>
    <w:p>
      <w:pPr>
        <w:ind w:right="100" w:firstLine="439"/>
        <w:spacing w:after="0" w:line="249" w:lineRule="auto"/>
        <w:rPr>
          <w:sz w:val="20"/>
          <w:szCs w:val="20"/>
          <w:color w:val="auto"/>
        </w:rPr>
      </w:pPr>
      <w:r>
        <w:rPr>
          <w:rFonts w:ascii="Times New Roman" w:cs="Times New Roman" w:eastAsia="Times New Roman" w:hAnsi="Times New Roman"/>
          <w:sz w:val="20"/>
          <w:szCs w:val="20"/>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spacing w:after="0" w:line="207" w:lineRule="exact"/>
        <w:rPr>
          <w:sz w:val="20"/>
          <w:szCs w:val="20"/>
          <w:color w:val="auto"/>
        </w:rPr>
      </w:pPr>
    </w:p>
    <w:p>
      <w:pPr>
        <w:ind w:left="700" w:hanging="351"/>
        <w:spacing w:after="0"/>
        <w:tabs>
          <w:tab w:leader="none" w:pos="7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and upgrade paying users;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new paying users and convert registered to paying users;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expenses and recognition of revenue;</w:t>
      </w:r>
    </w:p>
    <w:p>
      <w:pPr>
        <w:spacing w:after="0" w:line="238" w:lineRule="exact"/>
        <w:rPr>
          <w:rFonts w:ascii="Times New Roman" w:cs="Times New Roman" w:eastAsia="Times New Roman" w:hAnsi="Times New Roman"/>
          <w:sz w:val="20"/>
          <w:szCs w:val="20"/>
          <w:color w:val="auto"/>
        </w:rPr>
      </w:pPr>
    </w:p>
    <w:p>
      <w:pPr>
        <w:jc w:val="both"/>
        <w:ind w:left="700" w:right="420" w:hanging="351"/>
        <w:spacing w:after="0" w:line="256" w:lineRule="auto"/>
        <w:tabs>
          <w:tab w:leader="none" w:pos="7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operating expenses, including expenses related to the maintenance and expansion of our business, operations, and infrastructure, hiring, and sales and marketing campaigns, as well as entry into or exit of operating and finance leases;</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000"/>
          </w:cols>
          <w:pgMar w:left="940" w:top="696" w:right="940" w:bottom="0" w:gutter="0" w:footer="0" w:header="0"/>
          <w:type w:val="continuous"/>
        </w:sectPr>
      </w:pPr>
    </w:p>
    <w:bookmarkStart w:id="133" w:name="page134"/>
    <w:bookmarkEnd w:id="133"/>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expenses related to acquisitions;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large indemnification payments to our users or other third parties;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pricing policies or those of our competitors;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success of new product feature and service introductions by us or our competitors;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outages or actual or perceived security breaches;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competitive dynamics of our industry, including consolidation among competitors;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that impact our business;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market conditions;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foreign currency exchange rates;</w:t>
      </w:r>
    </w:p>
    <w:p>
      <w:pPr>
        <w:spacing w:after="0" w:line="238" w:lineRule="exact"/>
        <w:rPr>
          <w:rFonts w:ascii="Times New Roman" w:cs="Times New Roman" w:eastAsia="Times New Roman" w:hAnsi="Times New Roman"/>
          <w:sz w:val="20"/>
          <w:szCs w:val="20"/>
          <w:color w:val="auto"/>
        </w:rPr>
      </w:pPr>
    </w:p>
    <w:p>
      <w:pPr>
        <w:ind w:left="700" w:right="780" w:hanging="351"/>
        <w:spacing w:after="0" w:line="256" w:lineRule="auto"/>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catastrophic events, including earthquakes, fires, floods, tsunamis, or other weather events, power loss, telecommunications failures, software or hardware malfunctions, cyber-attacks, wars, or terrorist attacks, and pandemics;</w:t>
      </w:r>
    </w:p>
    <w:p>
      <w:pPr>
        <w:spacing w:after="0" w:line="200" w:lineRule="exact"/>
        <w:rPr>
          <w:rFonts w:ascii="Times New Roman" w:cs="Times New Roman" w:eastAsia="Times New Roman" w:hAnsi="Times New Roman"/>
          <w:sz w:val="20"/>
          <w:szCs w:val="20"/>
          <w:color w:val="auto"/>
        </w:rPr>
      </w:pPr>
    </w:p>
    <w:p>
      <w:pPr>
        <w:ind w:left="700" w:right="100" w:hanging="351"/>
        <w:spacing w:after="0" w:line="256" w:lineRule="auto"/>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reserves or other non-cash credits or charges, such as the impairment charges as a result of changes in the corporate real estate market which impacted our subleasing strategy in conjunction with our Virtual First work model, and changes to deferred tax asset valuation allowances; and</w:t>
      </w:r>
    </w:p>
    <w:p>
      <w:pPr>
        <w:spacing w:after="0" w:line="200"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impacts from our Virtual First work model.</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Fluctuation in quarterly results may negatively impact the value of our securities.</w:t>
      </w:r>
    </w:p>
    <w:p>
      <w:pPr>
        <w:spacing w:after="0" w:line="23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may not immediately reflect downturns or upturns in sales because we recognize revenue from our users over the term of their subscriptions with us.</w:t>
      </w:r>
    </w:p>
    <w:p>
      <w:pPr>
        <w:spacing w:after="0" w:line="185" w:lineRule="exact"/>
        <w:rPr>
          <w:sz w:val="20"/>
          <w:szCs w:val="20"/>
          <w:color w:val="auto"/>
        </w:rPr>
      </w:pPr>
    </w:p>
    <w:p>
      <w:pPr>
        <w:ind w:right="20" w:firstLine="439"/>
        <w:spacing w:after="0" w:line="246" w:lineRule="auto"/>
        <w:rPr>
          <w:sz w:val="20"/>
          <w:szCs w:val="20"/>
          <w:color w:val="auto"/>
        </w:rPr>
      </w:pPr>
      <w:r>
        <w:rPr>
          <w:rFonts w:ascii="Times New Roman" w:cs="Times New Roman" w:eastAsia="Times New Roman" w:hAnsi="Times New Roman"/>
          <w:sz w:val="20"/>
          <w:szCs w:val="20"/>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07" w:lineRule="exact"/>
        <w:rPr>
          <w:sz w:val="20"/>
          <w:szCs w:val="20"/>
          <w:color w:val="auto"/>
        </w:rPr>
      </w:pPr>
    </w:p>
    <w:p>
      <w:pPr>
        <w:ind w:right="7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which are reported in U.S. dollars, could be adversely affected if currency exchange rates fluctuate substantially in the future.</w:t>
      </w:r>
    </w:p>
    <w:p>
      <w:pPr>
        <w:spacing w:after="0" w:line="185" w:lineRule="exact"/>
        <w:rPr>
          <w:sz w:val="20"/>
          <w:szCs w:val="20"/>
          <w:color w:val="auto"/>
        </w:rPr>
      </w:pPr>
    </w:p>
    <w:p>
      <w:pPr>
        <w:ind w:firstLine="439"/>
        <w:spacing w:after="0" w:line="247" w:lineRule="auto"/>
        <w:rPr>
          <w:sz w:val="20"/>
          <w:szCs w:val="20"/>
          <w:color w:val="auto"/>
        </w:rPr>
      </w:pPr>
      <w:r>
        <w:rPr>
          <w:rFonts w:ascii="Times New Roman" w:cs="Times New Roman" w:eastAsia="Times New Roman" w:hAnsi="Times New Roman"/>
          <w:sz w:val="20"/>
          <w:szCs w:val="20"/>
          <w:color w:val="auto"/>
        </w:rPr>
        <w:t>We are exposed to the effects of fluctuations in currency exchange rates within our international operations. This exposure is the result of selling in multiple currencies and operating in foreign countries where the functional currency is the local currency. In 2025,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due to fluctuations in currency exchange rates, which could hinder our ability to predict our future results and earnings and could materially impact our results of operations. We do not currently maintain a program to hedge exposures to non-U.S. dollar currencies.</w:t>
      </w:r>
    </w:p>
    <w:p>
      <w:pPr>
        <w:sectPr>
          <w:pgSz w:w="11880" w:h="15480" w:orient="portrait"/>
          <w:cols w:equalWidth="0" w:num="1">
            <w:col w:w="10000"/>
          </w:cols>
          <w:pgMar w:left="940" w:top="930" w:right="94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000"/>
          </w:cols>
          <w:pgMar w:left="940" w:top="930" w:right="94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counterparty risk with respect to the convertible note hedge transactions.</w:t>
      </w:r>
    </w:p>
    <w:p>
      <w:pPr>
        <w:spacing w:after="0" w:line="246" w:lineRule="exact"/>
        <w:rPr>
          <w:sz w:val="20"/>
          <w:szCs w:val="20"/>
          <w:color w:val="auto"/>
        </w:rPr>
      </w:pPr>
    </w:p>
    <w:p>
      <w:pPr>
        <w:ind w:firstLine="439"/>
        <w:spacing w:after="0" w:line="247" w:lineRule="auto"/>
        <w:rPr>
          <w:sz w:val="20"/>
          <w:szCs w:val="20"/>
          <w:color w:val="auto"/>
        </w:rPr>
      </w:pPr>
      <w:r>
        <w:rPr>
          <w:rFonts w:ascii="Times New Roman" w:cs="Times New Roman" w:eastAsia="Times New Roman" w:hAnsi="Times New Roman"/>
          <w:sz w:val="20"/>
          <w:szCs w:val="20"/>
          <w:color w:val="auto"/>
        </w:rPr>
        <w:t>In connection with the pricing of the 2026 Notes and 2028 Notes, we entered into convertible note hedge transactions with certain financial institutions or affiliates of financial institutions, which we refer to as the “option counterparties,” and we are subject to the risk that one or more of such option counterparties may default on their obligations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246" w:lineRule="exact"/>
        <w:rPr>
          <w:sz w:val="20"/>
          <w:szCs w:val="20"/>
          <w:color w:val="auto"/>
        </w:rPr>
      </w:pPr>
    </w:p>
    <w:p>
      <w:pPr>
        <w:ind w:right="80" w:firstLine="439"/>
        <w:spacing w:after="0" w:line="246" w:lineRule="auto"/>
        <w:rPr>
          <w:sz w:val="20"/>
          <w:szCs w:val="20"/>
          <w:color w:val="auto"/>
        </w:rPr>
      </w:pPr>
      <w:r>
        <w:rPr>
          <w:rFonts w:ascii="Times New Roman" w:cs="Times New Roman" w:eastAsia="Times New Roman" w:hAnsi="Times New Roman"/>
          <w:sz w:val="20"/>
          <w:szCs w:val="20"/>
          <w:color w:val="auto"/>
        </w:rPr>
        <w:t>As of December 31, 2025, we had U.S. federal and state and non-U.S. net operating loss carryforwards and U.S. federal and state and non-U.S.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6"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be harmed if we are required to collect or pay incremental sales, value-added, or other related indirect taxes for our services or in jurisdictions where we have not historically done so.</w:t>
      </w:r>
    </w:p>
    <w:p>
      <w:pPr>
        <w:spacing w:after="0" w:line="185"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20"/>
          <w:szCs w:val="20"/>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p>
    <w:p>
      <w:pPr>
        <w:spacing w:after="0" w:line="199"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materially affected by the enactment of legislation implementing changes in the U.S. or non-U.S. taxation of international business activities or the adoption of other tax reform policies.</w:t>
      </w:r>
    </w:p>
    <w:p>
      <w:pPr>
        <w:spacing w:after="0" w:line="139"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20"/>
          <w:szCs w:val="20"/>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w:t>
      </w:r>
    </w:p>
    <w:p>
      <w:pPr>
        <w:spacing w:after="0" w:line="200" w:lineRule="exact"/>
        <w:rPr>
          <w:sz w:val="20"/>
          <w:szCs w:val="20"/>
          <w:color w:val="auto"/>
        </w:rPr>
      </w:pPr>
    </w:p>
    <w:p>
      <w:pPr>
        <w:ind w:right="140" w:firstLine="439"/>
        <w:spacing w:after="0" w:line="232" w:lineRule="auto"/>
        <w:rPr>
          <w:sz w:val="20"/>
          <w:szCs w:val="20"/>
          <w:color w:val="auto"/>
        </w:rPr>
      </w:pPr>
      <w:r>
        <w:rPr>
          <w:rFonts w:ascii="Times New Roman" w:cs="Times New Roman" w:eastAsia="Times New Roman" w:hAnsi="Times New Roman"/>
          <w:sz w:val="20"/>
          <w:szCs w:val="20"/>
          <w:color w:val="auto"/>
        </w:rPr>
        <w:t>For example, on July 4, 2025, tax legislation commonly known as the One Big Beautiful Bill Act (the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OBBBA reduced our U.S. cash tax payments in 2025 but increased tax expense, primarily due to limits to the availability of certain credits and deductions resulting from the reinstatement of immediate expensing for U.S. research expenditures. The issuance of future regulatory or accounting guidance related to OBBBA may adversely affect our tax provision.</w:t>
      </w:r>
    </w:p>
    <w:p>
      <w:pPr>
        <w:spacing w:after="0" w:line="203" w:lineRule="exact"/>
        <w:rPr>
          <w:sz w:val="20"/>
          <w:szCs w:val="20"/>
          <w:color w:val="auto"/>
        </w:rPr>
      </w:pPr>
    </w:p>
    <w:p>
      <w:pPr>
        <w:ind w:right="300" w:firstLine="439"/>
        <w:spacing w:after="0" w:line="269" w:lineRule="auto"/>
        <w:rPr>
          <w:sz w:val="20"/>
          <w:szCs w:val="20"/>
          <w:color w:val="auto"/>
        </w:rPr>
      </w:pPr>
      <w:r>
        <w:rPr>
          <w:rFonts w:ascii="Times New Roman" w:cs="Times New Roman" w:eastAsia="Times New Roman" w:hAnsi="Times New Roman"/>
          <w:sz w:val="20"/>
          <w:szCs w:val="20"/>
          <w:color w:val="auto"/>
        </w:rPr>
        <w:t>Other changes to U.S. or non-U.S. tax laws could increase our liabilities for taxes, interest and penalties, lead to higher effective tax rates, and harm our cash flows, results of operations and financial condition.</w:t>
      </w:r>
    </w:p>
    <w:p>
      <w:pPr>
        <w:sectPr>
          <w:pgSz w:w="11880" w:h="15480" w:orient="portrait"/>
          <w:cols w:equalWidth="0" w:num="1">
            <w:col w:w="10000"/>
          </w:cols>
          <w:pgMar w:left="940" w:top="92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000"/>
          </w:cols>
          <w:pgMar w:left="940" w:top="922" w:right="940" w:bottom="0" w:gutter="0" w:footer="0" w:header="0"/>
          <w:type w:val="continuous"/>
        </w:sectPr>
      </w:pPr>
    </w:p>
    <w:bookmarkStart w:id="135" w:name="page136"/>
    <w:bookmarkEnd w:id="135"/>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publicly disclosed market opportunity estimates, growth forecasts, and key metrics, including the key metrics included in this Annual Report on Form 10-K, as well as in our other public statements, which could prove to be inaccurate, and any real or perceived inaccuracies may harm our reputation and negatively affect our business.</w:t>
      </w:r>
    </w:p>
    <w:p>
      <w:pPr>
        <w:spacing w:after="0" w:line="200" w:lineRule="exact"/>
        <w:rPr>
          <w:sz w:val="20"/>
          <w:szCs w:val="20"/>
          <w:color w:val="auto"/>
        </w:rPr>
      </w:pPr>
    </w:p>
    <w:p>
      <w:pPr>
        <w:ind w:right="20" w:firstLine="439"/>
        <w:spacing w:after="0" w:line="247" w:lineRule="auto"/>
        <w:rPr>
          <w:sz w:val="20"/>
          <w:szCs w:val="20"/>
          <w:color w:val="auto"/>
        </w:rPr>
      </w:pPr>
      <w:r>
        <w:rPr>
          <w:rFonts w:ascii="Times New Roman" w:cs="Times New Roman" w:eastAsia="Times New Roman" w:hAnsi="Times New Roman"/>
          <w:sz w:val="20"/>
          <w:szCs w:val="20"/>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Legal and Regulatory Compliance</w:t>
      </w:r>
    </w:p>
    <w:p>
      <w:pPr>
        <w:spacing w:after="0" w:line="237"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200" w:lineRule="exact"/>
        <w:rPr>
          <w:sz w:val="20"/>
          <w:szCs w:val="20"/>
          <w:color w:val="auto"/>
        </w:rPr>
      </w:pPr>
    </w:p>
    <w:p>
      <w:pPr>
        <w:ind w:right="100" w:firstLine="439"/>
        <w:spacing w:after="0" w:line="247" w:lineRule="auto"/>
        <w:rPr>
          <w:sz w:val="20"/>
          <w:szCs w:val="20"/>
          <w:color w:val="auto"/>
        </w:rPr>
      </w:pPr>
      <w:r>
        <w:rPr>
          <w:rFonts w:ascii="Times New Roman" w:cs="Times New Roman" w:eastAsia="Times New Roman" w:hAnsi="Times New Roman"/>
          <w:sz w:val="20"/>
          <w:szCs w:val="20"/>
          <w:color w:val="auto"/>
        </w:rPr>
        <w:t>We are subject to compliance with various laws, including those covering copyright, indecent content, child protection, consumer protection, age verification, and similar matters. There have been instances where improper or illegal content has been stored on our platform without our knowledge. As a service provider operating at scale, we do not comprehensively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10" w:lineRule="exact"/>
        <w:rPr>
          <w:sz w:val="20"/>
          <w:szCs w:val="20"/>
          <w:color w:val="auto"/>
        </w:rPr>
      </w:pPr>
    </w:p>
    <w:p>
      <w:pPr>
        <w:ind w:right="60" w:firstLine="439"/>
        <w:spacing w:after="0" w:line="249" w:lineRule="auto"/>
        <w:rPr>
          <w:sz w:val="20"/>
          <w:szCs w:val="20"/>
          <w:color w:val="auto"/>
        </w:rPr>
      </w:pPr>
      <w:r>
        <w:rPr>
          <w:rFonts w:ascii="Times New Roman" w:cs="Times New Roman" w:eastAsia="Times New Roman" w:hAnsi="Times New Roman"/>
          <w:sz w:val="20"/>
          <w:szCs w:val="20"/>
          <w:color w:val="auto"/>
        </w:rPr>
        <w:t>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 Additionally, several U.S. states have proposed, and in certain cases have enacted, legislation covering the deployment and regulation of AI technology, or otherwise imposing obligations in connection with the use of AI.</w:t>
      </w:r>
    </w:p>
    <w:p>
      <w:pPr>
        <w:spacing w:after="0" w:line="207" w:lineRule="exact"/>
        <w:rPr>
          <w:sz w:val="20"/>
          <w:szCs w:val="20"/>
          <w:color w:val="auto"/>
        </w:rPr>
      </w:pPr>
    </w:p>
    <w:p>
      <w:pPr>
        <w:ind w:firstLine="439"/>
        <w:spacing w:after="0" w:line="247" w:lineRule="auto"/>
        <w:rPr>
          <w:sz w:val="20"/>
          <w:szCs w:val="20"/>
          <w:color w:val="auto"/>
        </w:rPr>
      </w:pPr>
      <w:r>
        <w:rPr>
          <w:rFonts w:ascii="Times New Roman" w:cs="Times New Roman" w:eastAsia="Times New Roman" w:hAnsi="Times New Roman"/>
          <w:sz w:val="20"/>
          <w:szCs w:val="20"/>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13" w:lineRule="exact"/>
        <w:rPr>
          <w:sz w:val="20"/>
          <w:szCs w:val="20"/>
          <w:color w:val="auto"/>
        </w:rPr>
      </w:pPr>
    </w:p>
    <w:p>
      <w:pPr>
        <w:ind w:right="80" w:firstLine="439"/>
        <w:spacing w:after="0" w:line="252" w:lineRule="auto"/>
        <w:rPr>
          <w:sz w:val="20"/>
          <w:szCs w:val="20"/>
          <w:color w:val="auto"/>
        </w:rPr>
      </w:pPr>
      <w:r>
        <w:rPr>
          <w:rFonts w:ascii="Times New Roman" w:cs="Times New Roman" w:eastAsia="Times New Roman" w:hAnsi="Times New Roman"/>
          <w:sz w:val="20"/>
          <w:szCs w:val="20"/>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204" w:lineRule="exact"/>
        <w:rPr>
          <w:sz w:val="20"/>
          <w:szCs w:val="20"/>
          <w:color w:val="auto"/>
        </w:rPr>
      </w:pPr>
    </w:p>
    <w:p>
      <w:pPr>
        <w:ind w:firstLine="439"/>
        <w:spacing w:after="0" w:line="282" w:lineRule="auto"/>
        <w:rPr>
          <w:sz w:val="20"/>
          <w:szCs w:val="20"/>
          <w:color w:val="auto"/>
        </w:rPr>
      </w:pPr>
      <w:r>
        <w:rPr>
          <w:rFonts w:ascii="Times New Roman" w:cs="Times New Roman" w:eastAsia="Times New Roman" w:hAnsi="Times New Roman"/>
          <w:sz w:val="18"/>
          <w:szCs w:val="18"/>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ectPr>
          <w:pgSz w:w="11880" w:h="15480" w:orient="portrait"/>
          <w:cols w:equalWidth="0" w:num="1">
            <w:col w:w="10000"/>
          </w:cols>
          <w:pgMar w:left="940" w:top="688" w:right="94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000"/>
          </w:cols>
          <w:pgMar w:left="940" w:top="688" w:right="940" w:bottom="0" w:gutter="0" w:footer="0" w:header="0"/>
          <w:type w:val="continuous"/>
        </w:sectPr>
      </w:pPr>
    </w:p>
    <w:bookmarkStart w:id="136" w:name="page137"/>
    <w:bookmarkEnd w:id="136"/>
    <w:p>
      <w:pPr>
        <w:ind w:right="2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5" w:lineRule="exact"/>
        <w:rPr>
          <w:sz w:val="20"/>
          <w:szCs w:val="20"/>
          <w:color w:val="auto"/>
        </w:rPr>
      </w:pPr>
    </w:p>
    <w:p>
      <w:pPr>
        <w:ind w:firstLine="439"/>
        <w:spacing w:after="0" w:line="277" w:lineRule="auto"/>
        <w:rPr>
          <w:sz w:val="20"/>
          <w:szCs w:val="20"/>
          <w:color w:val="auto"/>
        </w:rPr>
      </w:pPr>
      <w:r>
        <w:rPr>
          <w:rFonts w:ascii="Times New Roman" w:cs="Times New Roman" w:eastAsia="Times New Roman" w:hAnsi="Times New Roman"/>
          <w:sz w:val="18"/>
          <w:szCs w:val="18"/>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200" w:lineRule="exact"/>
        <w:rPr>
          <w:sz w:val="20"/>
          <w:szCs w:val="20"/>
          <w:color w:val="auto"/>
        </w:rPr>
      </w:pPr>
    </w:p>
    <w:p>
      <w:pPr>
        <w:spacing w:after="0" w:line="219" w:lineRule="exact"/>
        <w:rPr>
          <w:sz w:val="20"/>
          <w:szCs w:val="20"/>
          <w:color w:val="auto"/>
        </w:rPr>
      </w:pPr>
    </w:p>
    <w:p>
      <w:pPr>
        <w:ind w:firstLine="439"/>
        <w:spacing w:after="0" w:line="246" w:lineRule="auto"/>
        <w:rPr>
          <w:sz w:val="20"/>
          <w:szCs w:val="20"/>
          <w:color w:val="auto"/>
        </w:rPr>
      </w:pPr>
      <w:r>
        <w:rPr>
          <w:rFonts w:ascii="Times New Roman" w:cs="Times New Roman" w:eastAsia="Times New Roman" w:hAnsi="Times New Roman"/>
          <w:sz w:val="20"/>
          <w:szCs w:val="20"/>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For example, the U.S. Department of Justice has issued rules regarding certain bulk sensitive personal data transfers.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7"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actual or perceived failure to comply with privacy, data protection, and information security laws, regulations, and obligations could harm our business.</w:t>
      </w:r>
    </w:p>
    <w:p>
      <w:pPr>
        <w:spacing w:after="0" w:line="185" w:lineRule="exact"/>
        <w:rPr>
          <w:sz w:val="20"/>
          <w:szCs w:val="20"/>
          <w:color w:val="auto"/>
        </w:rPr>
      </w:pPr>
    </w:p>
    <w:p>
      <w:pPr>
        <w:ind w:right="120" w:firstLine="439"/>
        <w:spacing w:after="0" w:line="247" w:lineRule="auto"/>
        <w:rPr>
          <w:sz w:val="20"/>
          <w:szCs w:val="20"/>
          <w:color w:val="auto"/>
        </w:rPr>
      </w:pPr>
      <w:r>
        <w:rPr>
          <w:rFonts w:ascii="Times New Roman" w:cs="Times New Roman" w:eastAsia="Times New Roman" w:hAnsi="Times New Roman"/>
          <w:sz w:val="20"/>
          <w:szCs w:val="20"/>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7" w:lineRule="exact"/>
        <w:rPr>
          <w:sz w:val="20"/>
          <w:szCs w:val="20"/>
          <w:color w:val="auto"/>
        </w:rPr>
      </w:pPr>
    </w:p>
    <w:p>
      <w:pPr>
        <w:ind w:right="520" w:firstLine="439"/>
        <w:spacing w:after="0" w:line="269" w:lineRule="auto"/>
        <w:rPr>
          <w:sz w:val="20"/>
          <w:szCs w:val="20"/>
          <w:color w:val="auto"/>
        </w:rPr>
      </w:pPr>
      <w:r>
        <w:rPr>
          <w:rFonts w:ascii="Times New Roman" w:cs="Times New Roman" w:eastAsia="Times New Roman" w:hAnsi="Times New Roman"/>
          <w:sz w:val="20"/>
          <w:szCs w:val="20"/>
          <w:color w:val="auto"/>
        </w:rPr>
        <w:t>We also expect that there will continue to be new laws, regulations, and industry standards concerning privacy, data protection, AI, and information security proposed and enacted in various jurisdictions.</w:t>
      </w:r>
    </w:p>
    <w:p>
      <w:pPr>
        <w:spacing w:after="0" w:line="187"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20"/>
          <w:szCs w:val="20"/>
          <w:color w:val="auto"/>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and Switzerland to the U.S.</w:t>
      </w:r>
    </w:p>
    <w:p>
      <w:pPr>
        <w:spacing w:after="0" w:line="206" w:lineRule="exact"/>
        <w:rPr>
          <w:sz w:val="20"/>
          <w:szCs w:val="20"/>
          <w:color w:val="auto"/>
        </w:rPr>
      </w:pPr>
    </w:p>
    <w:p>
      <w:pPr>
        <w:ind w:right="100" w:firstLine="439"/>
        <w:spacing w:after="0" w:line="278" w:lineRule="auto"/>
        <w:rPr>
          <w:sz w:val="20"/>
          <w:szCs w:val="20"/>
          <w:color w:val="auto"/>
        </w:rPr>
      </w:pPr>
      <w:r>
        <w:rPr>
          <w:rFonts w:ascii="Times New Roman" w:cs="Times New Roman" w:eastAsia="Times New Roman" w:hAnsi="Times New Roman"/>
          <w:sz w:val="18"/>
          <w:szCs w:val="18"/>
          <w:color w:val="auto"/>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2023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and related developments may result in data protection regulators applying differing standards for, and requiring additional measures in connection with, transfers of</w:t>
      </w:r>
    </w:p>
    <w:p>
      <w:pPr>
        <w:sectPr>
          <w:pgSz w:w="11880" w:h="15480" w:orient="portrait"/>
          <w:cols w:equalWidth="0" w:num="1">
            <w:col w:w="10000"/>
          </w:cols>
          <w:pgMar w:left="940" w:top="688" w:right="940" w:bottom="0"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000"/>
          </w:cols>
          <w:pgMar w:left="940" w:top="688" w:right="940" w:bottom="0" w:gutter="0" w:footer="0" w:header="0"/>
          <w:type w:val="continuous"/>
        </w:sectPr>
      </w:pPr>
    </w:p>
    <w:bookmarkStart w:id="137" w:name="page138"/>
    <w:bookmarkEnd w:id="137"/>
    <w:p>
      <w:pPr>
        <w:ind w:right="20"/>
        <w:spacing w:after="0" w:line="250" w:lineRule="auto"/>
        <w:rPr>
          <w:sz w:val="20"/>
          <w:szCs w:val="20"/>
          <w:color w:val="auto"/>
        </w:rPr>
      </w:pPr>
      <w:r>
        <w:rPr>
          <w:rFonts w:ascii="Times New Roman" w:cs="Times New Roman" w:eastAsia="Times New Roman" w:hAnsi="Times New Roman"/>
          <w:sz w:val="20"/>
          <w:szCs w:val="20"/>
          <w:color w:val="auto"/>
        </w:rPr>
        <w:t>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6" w:lineRule="exact"/>
        <w:rPr>
          <w:sz w:val="20"/>
          <w:szCs w:val="20"/>
          <w:color w:val="auto"/>
        </w:rPr>
      </w:pPr>
    </w:p>
    <w:p>
      <w:pPr>
        <w:ind w:firstLine="439"/>
        <w:spacing w:after="0" w:line="273" w:lineRule="auto"/>
        <w:rPr>
          <w:sz w:val="20"/>
          <w:szCs w:val="20"/>
          <w:color w:val="auto"/>
        </w:rPr>
      </w:pPr>
      <w:r>
        <w:rPr>
          <w:rFonts w:ascii="Times New Roman" w:cs="Times New Roman" w:eastAsia="Times New Roman" w:hAnsi="Times New Roman"/>
          <w:sz w:val="18"/>
          <w:szCs w:val="18"/>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took effect in 2024; Tennessee, Delaware, New Jersey, Nebraska, Iowa, Maryland, Minnesota, and New Hampshire have enacted similar laws that have gone into effect in 2025, and Indiana, Kentucky, and Rhode Island have enacted similar laws that take effect in 2026. Other laws relating to privacy and cybersecurity, many of which are similar to the CCPA and CPRA, are being considered by other state legislatures, and certain U.S. states have enacted such legislation, such as Washington’s My Health, My Data Act, which includes a private right of action. The U.S. federal government also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has enacted or revised numerous regimes relating to cybersecurity. For example, it has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 In addition, the Digital Operational Resiliency Act became effective in January 2025. This law aims to establish a universal framework for managing and mitigating information and communication technology risks that will apply to entities in the financial sector and their third-party cloud service providers.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20" w:firstLine="439"/>
        <w:spacing w:after="0" w:line="256" w:lineRule="auto"/>
        <w:rPr>
          <w:sz w:val="20"/>
          <w:szCs w:val="20"/>
          <w:color w:val="auto"/>
        </w:rPr>
      </w:pPr>
      <w:r>
        <w:rPr>
          <w:rFonts w:ascii="Times New Roman" w:cs="Times New Roman" w:eastAsia="Times New Roman" w:hAnsi="Times New Roman"/>
          <w:sz w:val="20"/>
          <w:szCs w:val="20"/>
          <w:color w:val="auto"/>
        </w:rPr>
        <w:t>Some countries are also considering or have passed legislation implementing data protection requirements or requiring local storage and processing of data, or similar requirements, that could increase the cost and complexity of delivering our services.</w:t>
      </w:r>
    </w:p>
    <w:p>
      <w:pPr>
        <w:spacing w:after="0" w:line="200" w:lineRule="exact"/>
        <w:rPr>
          <w:sz w:val="20"/>
          <w:szCs w:val="20"/>
          <w:color w:val="auto"/>
        </w:rPr>
      </w:pPr>
    </w:p>
    <w:p>
      <w:pPr>
        <w:ind w:right="20" w:firstLine="439"/>
        <w:spacing w:after="0" w:line="279" w:lineRule="auto"/>
        <w:rPr>
          <w:sz w:val="20"/>
          <w:szCs w:val="20"/>
          <w:color w:val="auto"/>
        </w:rPr>
      </w:pPr>
      <w:r>
        <w:rPr>
          <w:rFonts w:ascii="Times New Roman" w:cs="Times New Roman" w:eastAsia="Times New Roman" w:hAnsi="Times New Roman"/>
          <w:sz w:val="18"/>
          <w:szCs w:val="18"/>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181" w:lineRule="exact"/>
        <w:rPr>
          <w:sz w:val="20"/>
          <w:szCs w:val="20"/>
          <w:color w:val="auto"/>
        </w:rPr>
      </w:pPr>
    </w:p>
    <w:p>
      <w:pPr>
        <w:ind w:right="100" w:firstLine="439"/>
        <w:spacing w:after="0" w:line="280"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w:t>
      </w:r>
    </w:p>
    <w:p>
      <w:pPr>
        <w:sectPr>
          <w:pgSz w:w="11880" w:h="15480" w:orient="portrait"/>
          <w:cols w:equalWidth="0" w:num="1">
            <w:col w:w="10000"/>
          </w:cols>
          <w:pgMar w:left="940" w:top="696" w:right="94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000"/>
          </w:cols>
          <w:pgMar w:left="940" w:top="696" w:right="940" w:bottom="0" w:gutter="0" w:footer="0" w:header="0"/>
          <w:type w:val="continuous"/>
        </w:sectPr>
      </w:pPr>
    </w:p>
    <w:bookmarkStart w:id="138" w:name="page139"/>
    <w:bookmarkEnd w:id="138"/>
    <w:p>
      <w:pPr>
        <w:spacing w:after="0" w:line="256" w:lineRule="auto"/>
        <w:rPr>
          <w:sz w:val="20"/>
          <w:szCs w:val="20"/>
          <w:color w:val="auto"/>
        </w:rPr>
      </w:pPr>
      <w:r>
        <w:rPr>
          <w:rFonts w:ascii="Times New Roman" w:cs="Times New Roman" w:eastAsia="Times New Roman" w:hAnsi="Times New Roman"/>
          <w:sz w:val="20"/>
          <w:szCs w:val="20"/>
          <w:color w:val="auto"/>
        </w:rPr>
        <w:t>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00" w:lineRule="exact"/>
        <w:rPr>
          <w:sz w:val="20"/>
          <w:szCs w:val="20"/>
          <w:color w:val="auto"/>
        </w:rPr>
      </w:pPr>
    </w:p>
    <w:p>
      <w:pPr>
        <w:ind w:right="240" w:firstLine="439"/>
        <w:spacing w:after="0" w:line="248" w:lineRule="auto"/>
        <w:rPr>
          <w:sz w:val="20"/>
          <w:szCs w:val="20"/>
          <w:color w:val="auto"/>
        </w:rPr>
      </w:pPr>
      <w:r>
        <w:rPr>
          <w:rFonts w:ascii="Times New Roman" w:cs="Times New Roman" w:eastAsia="Times New Roman" w:hAnsi="Times New Roman"/>
          <w:sz w:val="20"/>
          <w:szCs w:val="20"/>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1"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adversely impacted by changes in internet access for our users or laws specifically governing the internet.</w:t>
      </w:r>
    </w:p>
    <w:p>
      <w:pPr>
        <w:spacing w:after="0" w:line="185" w:lineRule="exact"/>
        <w:rPr>
          <w:sz w:val="20"/>
          <w:szCs w:val="20"/>
          <w:color w:val="auto"/>
        </w:rPr>
      </w:pPr>
    </w:p>
    <w:p>
      <w:pPr>
        <w:ind w:right="60" w:firstLine="702"/>
        <w:spacing w:after="0" w:line="250" w:lineRule="auto"/>
        <w:rPr>
          <w:sz w:val="20"/>
          <w:szCs w:val="20"/>
          <w:color w:val="auto"/>
        </w:rPr>
      </w:pPr>
      <w:r>
        <w:rPr>
          <w:rFonts w:ascii="Times New Roman" w:cs="Times New Roman" w:eastAsia="Times New Roman" w:hAnsi="Times New Roman"/>
          <w:sz w:val="20"/>
          <w:szCs w:val="20"/>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6" w:lineRule="exact"/>
        <w:rPr>
          <w:sz w:val="20"/>
          <w:szCs w:val="20"/>
          <w:color w:val="auto"/>
        </w:rPr>
      </w:pPr>
    </w:p>
    <w:p>
      <w:pPr>
        <w:ind w:left="700" w:hanging="351"/>
        <w:spacing w:after="0"/>
        <w:tabs>
          <w:tab w:leader="none" w:pos="7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usage-based pricing;</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 pricing for competitive products;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materially change their pricing rates or schemes;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 us to deliver our traffic at certain levels or at all;</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throttle traffic based on its source or type;</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bandwidth caps or other usage restrictions; or</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try to monetize or control access to their networks.</w:t>
      </w:r>
    </w:p>
    <w:p>
      <w:pPr>
        <w:spacing w:after="0" w:line="238" w:lineRule="exact"/>
        <w:rPr>
          <w:sz w:val="20"/>
          <w:szCs w:val="20"/>
          <w:color w:val="auto"/>
        </w:rPr>
      </w:pPr>
    </w:p>
    <w:p>
      <w:pPr>
        <w:ind w:right="20" w:firstLine="439"/>
        <w:spacing w:after="0" w:line="247" w:lineRule="auto"/>
        <w:rPr>
          <w:sz w:val="20"/>
          <w:szCs w:val="20"/>
          <w:color w:val="auto"/>
        </w:rPr>
      </w:pPr>
      <w:r>
        <w:rPr>
          <w:rFonts w:ascii="Times New Roman" w:cs="Times New Roman" w:eastAsia="Times New Roman" w:hAnsi="Times New Roman"/>
          <w:sz w:val="20"/>
          <w:szCs w:val="20"/>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07" w:lineRule="exact"/>
        <w:rPr>
          <w:sz w:val="20"/>
          <w:szCs w:val="20"/>
          <w:color w:val="auto"/>
        </w:rPr>
      </w:pPr>
    </w:p>
    <w:p>
      <w:pPr>
        <w:ind w:right="60" w:firstLine="439"/>
        <w:spacing w:after="0" w:line="247" w:lineRule="auto"/>
        <w:rPr>
          <w:sz w:val="20"/>
          <w:szCs w:val="20"/>
          <w:color w:val="auto"/>
        </w:rPr>
      </w:pPr>
      <w:r>
        <w:rPr>
          <w:rFonts w:ascii="Times New Roman" w:cs="Times New Roman" w:eastAsia="Times New Roman" w:hAnsi="Times New Roman"/>
          <w:sz w:val="20"/>
          <w:szCs w:val="20"/>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000"/>
          </w:cols>
          <w:pgMar w:left="940" w:top="696" w:right="940" w:bottom="0" w:gutter="0" w:footer="0" w:header="0"/>
          <w:type w:val="continuous"/>
        </w:sectPr>
      </w:pPr>
    </w:p>
    <w:bookmarkStart w:id="139" w:name="page140"/>
    <w:bookmarkEnd w:id="139"/>
    <w:p>
      <w:pPr>
        <w:ind w:right="260"/>
        <w:spacing w:after="0" w:line="331"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39" w:lineRule="exact"/>
        <w:rPr>
          <w:sz w:val="20"/>
          <w:szCs w:val="20"/>
          <w:color w:val="auto"/>
        </w:rPr>
      </w:pPr>
    </w:p>
    <w:p>
      <w:pPr>
        <w:ind w:right="100" w:firstLine="439"/>
        <w:spacing w:after="0" w:line="247" w:lineRule="auto"/>
        <w:rPr>
          <w:sz w:val="20"/>
          <w:szCs w:val="20"/>
          <w:color w:val="auto"/>
        </w:rPr>
      </w:pPr>
      <w:r>
        <w:rPr>
          <w:rFonts w:ascii="Times New Roman" w:cs="Times New Roman" w:eastAsia="Times New Roman" w:hAnsi="Times New Roman"/>
          <w:sz w:val="20"/>
          <w:szCs w:val="20"/>
          <w:color w:val="auto"/>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(the “Motion Offense Litigation”) and Entangled Media (the “Entangled Media Litigation”), each of which have alleged that Dropbox infringes certain of their respective patents.</w:t>
      </w:r>
    </w:p>
    <w:p>
      <w:pPr>
        <w:spacing w:after="0" w:line="210" w:lineRule="exact"/>
        <w:rPr>
          <w:sz w:val="20"/>
          <w:szCs w:val="20"/>
          <w:color w:val="auto"/>
        </w:rPr>
      </w:pPr>
    </w:p>
    <w:p>
      <w:pPr>
        <w:ind w:right="40" w:firstLine="439"/>
        <w:spacing w:after="0" w:line="252" w:lineRule="auto"/>
        <w:rPr>
          <w:sz w:val="20"/>
          <w:szCs w:val="20"/>
          <w:color w:val="auto"/>
        </w:rPr>
      </w:pPr>
      <w:r>
        <w:rPr>
          <w:rFonts w:ascii="Times New Roman" w:cs="Times New Roman" w:eastAsia="Times New Roman" w:hAnsi="Times New Roman"/>
          <w:sz w:val="20"/>
          <w:szCs w:val="20"/>
          <w:color w:val="auto"/>
        </w:rPr>
        <w:t>With respect to the Motion Offense Litigation, a jury trial was conducted in May 2023. The jury found in favor of Dropbox on all counts including non-infringement and invalidity of the patents and awarded no damages to Motion Offense. In August 2024, the court entered judgment in line with the May 2023 jury verdict. A decision on post-trial briefing is currently pending. The final judgment may be appealed to the Federal Circuit.</w:t>
      </w:r>
    </w:p>
    <w:p>
      <w:pPr>
        <w:spacing w:after="0" w:line="204" w:lineRule="exact"/>
        <w:rPr>
          <w:sz w:val="20"/>
          <w:szCs w:val="20"/>
          <w:color w:val="auto"/>
        </w:rPr>
      </w:pPr>
    </w:p>
    <w:p>
      <w:pPr>
        <w:ind w:right="340" w:firstLine="439"/>
        <w:spacing w:after="0" w:line="269" w:lineRule="auto"/>
        <w:rPr>
          <w:sz w:val="20"/>
          <w:szCs w:val="20"/>
          <w:color w:val="auto"/>
        </w:rPr>
      </w:pPr>
      <w:r>
        <w:rPr>
          <w:rFonts w:ascii="Times New Roman" w:cs="Times New Roman" w:eastAsia="Times New Roman" w:hAnsi="Times New Roman"/>
          <w:sz w:val="20"/>
          <w:szCs w:val="20"/>
          <w:color w:val="auto"/>
        </w:rPr>
        <w:t>With respect to the Entangled Media Litigation, trial is currently set for September 8, 2026. Any final judgment in the district court may be appealed by either party to the Federal Circuit.</w:t>
      </w:r>
    </w:p>
    <w:p>
      <w:pPr>
        <w:spacing w:after="0" w:line="187" w:lineRule="exact"/>
        <w:rPr>
          <w:sz w:val="20"/>
          <w:szCs w:val="20"/>
          <w:color w:val="auto"/>
        </w:rPr>
      </w:pPr>
    </w:p>
    <w:p>
      <w:pPr>
        <w:ind w:firstLine="439"/>
        <w:spacing w:after="0" w:line="246" w:lineRule="auto"/>
        <w:rPr>
          <w:sz w:val="20"/>
          <w:szCs w:val="20"/>
          <w:color w:val="auto"/>
        </w:rPr>
      </w:pPr>
      <w:r>
        <w:rPr>
          <w:rFonts w:ascii="Times New Roman" w:cs="Times New Roman" w:eastAsia="Times New Roman" w:hAnsi="Times New Roman"/>
          <w:sz w:val="20"/>
          <w:szCs w:val="20"/>
          <w:color w:val="auto"/>
        </w:rPr>
        <w:t>It is not possible presently, with respect to either the Motion Offense Litigation or the Entangled Media Litigation to either (i) determine the final outcome of this matter or (ii) estimate any maximum possible exposure or range of loss. We are also facing litigation arising out of our recent reincorporation from Delaware to Nevada. Regardless of the merit of any such litigation, it may result in additional expenses and distraction for the Company.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2"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failure to protect our intellectual property rights and proprietary information could diminish our brand and other intangible assets.</w:t>
      </w:r>
    </w:p>
    <w:p>
      <w:pPr>
        <w:spacing w:after="0" w:line="185" w:lineRule="exact"/>
        <w:rPr>
          <w:sz w:val="20"/>
          <w:szCs w:val="20"/>
          <w:color w:val="auto"/>
        </w:rPr>
      </w:pPr>
    </w:p>
    <w:p>
      <w:pPr>
        <w:ind w:firstLine="351"/>
        <w:spacing w:after="0" w:line="245" w:lineRule="auto"/>
        <w:rPr>
          <w:sz w:val="20"/>
          <w:szCs w:val="20"/>
          <w:color w:val="auto"/>
        </w:rPr>
      </w:pPr>
      <w:r>
        <w:rPr>
          <w:rFonts w:ascii="Times New Roman" w:cs="Times New Roman" w:eastAsia="Times New Roman" w:hAnsi="Times New Roman"/>
          <w:sz w:val="20"/>
          <w:szCs w:val="20"/>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1,900 issued patents and more than 280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ectPr>
          <w:pgSz w:w="11880" w:h="15480" w:orient="portrait"/>
          <w:cols w:equalWidth="0" w:num="1">
            <w:col w:w="9960"/>
          </w:cols>
          <w:pgMar w:left="940" w:top="68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960"/>
          </w:cols>
          <w:pgMar w:left="940" w:top="688" w:right="980" w:bottom="0" w:gutter="0" w:footer="0" w:header="0"/>
          <w:type w:val="continuous"/>
        </w:sectPr>
      </w:pPr>
    </w:p>
    <w:bookmarkStart w:id="140" w:name="page141"/>
    <w:bookmarkEnd w:id="140"/>
    <w:p>
      <w:pPr>
        <w:ind w:left="2520"/>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our Class A common stock may be volatile, and you could lose all or part of your investment.</w:t>
      </w:r>
    </w:p>
    <w:p>
      <w:pPr>
        <w:spacing w:after="0" w:line="246" w:lineRule="exact"/>
        <w:rPr>
          <w:sz w:val="20"/>
          <w:szCs w:val="20"/>
          <w:color w:val="auto"/>
        </w:rPr>
      </w:pPr>
    </w:p>
    <w:p>
      <w:pPr>
        <w:jc w:val="both"/>
        <w:ind w:right="20" w:firstLine="439"/>
        <w:spacing w:after="0" w:line="256" w:lineRule="auto"/>
        <w:rPr>
          <w:sz w:val="20"/>
          <w:szCs w:val="20"/>
          <w:color w:val="auto"/>
        </w:rPr>
      </w:pPr>
      <w:r>
        <w:rPr>
          <w:rFonts w:ascii="Times New Roman" w:cs="Times New Roman" w:eastAsia="Times New Roman" w:hAnsi="Times New Roman"/>
          <w:sz w:val="20"/>
          <w:szCs w:val="20"/>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spacing w:after="0" w:line="200" w:lineRule="exact"/>
        <w:rPr>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overall stock market from time-to-time;</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prices and trading volumes of technology stocks;</w:t>
      </w:r>
    </w:p>
    <w:p>
      <w:pPr>
        <w:spacing w:after="0" w:line="238" w:lineRule="exact"/>
        <w:rPr>
          <w:rFonts w:ascii="Times New Roman" w:cs="Times New Roman" w:eastAsia="Times New Roman" w:hAnsi="Times New Roman"/>
          <w:sz w:val="20"/>
          <w:szCs w:val="20"/>
          <w:color w:val="auto"/>
        </w:rPr>
      </w:pPr>
    </w:p>
    <w:p>
      <w:pPr>
        <w:ind w:left="700" w:right="280" w:hanging="351"/>
        <w:spacing w:after="0" w:line="269" w:lineRule="auto"/>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operating performance and stock market valuations of other technology companies generally, or those in our industry in particular;</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sales or announcements of sales of shares of our Class A common stock by us or our stockholders;</w:t>
      </w:r>
    </w:p>
    <w:p>
      <w:pPr>
        <w:spacing w:after="0" w:line="238" w:lineRule="exact"/>
        <w:rPr>
          <w:rFonts w:ascii="Times New Roman" w:cs="Times New Roman" w:eastAsia="Times New Roman" w:hAnsi="Times New Roman"/>
          <w:sz w:val="20"/>
          <w:szCs w:val="20"/>
          <w:color w:val="auto"/>
        </w:rPr>
      </w:pPr>
    </w:p>
    <w:p>
      <w:pPr>
        <w:ind w:left="700" w:right="480" w:hanging="351"/>
        <w:spacing w:after="0" w:line="269" w:lineRule="auto"/>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86" w:lineRule="exact"/>
        <w:rPr>
          <w:rFonts w:ascii="Times New Roman" w:cs="Times New Roman" w:eastAsia="Times New Roman" w:hAnsi="Times New Roman"/>
          <w:sz w:val="20"/>
          <w:szCs w:val="20"/>
          <w:color w:val="auto"/>
        </w:rPr>
      </w:pPr>
    </w:p>
    <w:p>
      <w:pPr>
        <w:ind w:left="700" w:right="240" w:hanging="351"/>
        <w:spacing w:after="0" w:line="269" w:lineRule="auto"/>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projections we may provide to the public, any changes in those projections, or our failure to meet those projections;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new products, features, or services;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other public announcements, and filings with the SEC;</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rumors and market speculation involving us or other companies in our industry;</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results of operations or fluctuations in our results of operations;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key metrics;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61" w:lineRule="exact"/>
        <w:rPr>
          <w:rFonts w:ascii="Times New Roman" w:cs="Times New Roman" w:eastAsia="Times New Roman" w:hAnsi="Times New Roman"/>
          <w:sz w:val="18"/>
          <w:szCs w:val="18"/>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perceived breaches of, or failures related to, privacy, data protection or data security;</w:t>
      </w:r>
    </w:p>
    <w:p>
      <w:pPr>
        <w:spacing w:after="0" w:line="238" w:lineRule="exact"/>
        <w:rPr>
          <w:rFonts w:ascii="Times New Roman" w:cs="Times New Roman" w:eastAsia="Times New Roman" w:hAnsi="Times New Roman"/>
          <w:sz w:val="20"/>
          <w:szCs w:val="20"/>
          <w:color w:val="auto"/>
        </w:rPr>
      </w:pPr>
    </w:p>
    <w:p>
      <w:pPr>
        <w:ind w:left="700" w:right="700" w:hanging="351"/>
        <w:spacing w:after="0" w:line="269" w:lineRule="auto"/>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involving us, our industry, or both, or investigations by regulators into our operations or those of our competitors;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spacing w:after="0" w:line="238" w:lineRule="exact"/>
        <w:rPr>
          <w:rFonts w:ascii="Times New Roman" w:cs="Times New Roman" w:eastAsia="Times New Roman" w:hAnsi="Times New Roman"/>
          <w:sz w:val="20"/>
          <w:szCs w:val="20"/>
          <w:color w:val="auto"/>
        </w:rPr>
      </w:pPr>
    </w:p>
    <w:p>
      <w:pPr>
        <w:ind w:left="700" w:right="1000" w:hanging="351"/>
        <w:spacing w:after="0" w:line="269" w:lineRule="auto"/>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or completed transactions, which may include acquisitions of businesses, products, services, or technologies, financing arrangements, or joint ventures or partnerships by us or our competitors;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laws or regulations or new interpretations of existing laws or regulations applicable to our business;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guidelines, interpretations, or principles;</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change in our management;</w:t>
      </w:r>
    </w:p>
    <w:p>
      <w:pPr>
        <w:spacing w:after="0" w:line="238"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inclusion, exclusion, or deletion of our stock from any trading indices; and</w:t>
      </w:r>
    </w:p>
    <w:p>
      <w:pPr>
        <w:spacing w:after="0" w:line="238" w:lineRule="exact"/>
        <w:rPr>
          <w:rFonts w:ascii="Times New Roman" w:cs="Times New Roman" w:eastAsia="Times New Roman" w:hAnsi="Times New Roman"/>
          <w:sz w:val="20"/>
          <w:szCs w:val="20"/>
          <w:color w:val="auto"/>
        </w:rPr>
      </w:pPr>
    </w:p>
    <w:p>
      <w:pPr>
        <w:ind w:left="700" w:right="420" w:hanging="351"/>
        <w:spacing w:after="0" w:line="298" w:lineRule="auto"/>
        <w:tabs>
          <w:tab w:leader="none" w:pos="7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 catastrophic events, including earthquakes, fires, floods, tsunamis, or other weather events, power loss, telecommunications failures, software or hardware malfunctions, cyber-attacks, wars or other armed conflicts, terrorist attacks, and pandemics.</w:t>
      </w:r>
    </w:p>
    <w:p>
      <w:pPr>
        <w:spacing w:after="0" w:line="165" w:lineRule="exact"/>
        <w:rPr>
          <w:sz w:val="20"/>
          <w:szCs w:val="20"/>
          <w:color w:val="auto"/>
        </w:rPr>
      </w:pPr>
    </w:p>
    <w:p>
      <w:pPr>
        <w:ind w:right="20" w:firstLine="439"/>
        <w:spacing w:after="0" w:line="32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Any securities litigation that may</w:t>
      </w:r>
    </w:p>
    <w:p>
      <w:pPr>
        <w:sectPr>
          <w:pgSz w:w="11880" w:h="15480" w:orient="portrait"/>
          <w:cols w:equalWidth="0" w:num="1">
            <w:col w:w="10000"/>
          </w:cols>
          <w:pgMar w:left="940" w:top="689" w:right="940" w:bottom="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000"/>
          </w:cols>
          <w:pgMar w:left="940" w:top="689" w:right="940" w:bottom="0" w:gutter="0" w:footer="0" w:header="0"/>
          <w:type w:val="continuous"/>
        </w:sectPr>
      </w:pPr>
    </w:p>
    <w:bookmarkStart w:id="141" w:name="page142"/>
    <w:bookmarkEnd w:id="141"/>
    <w:p>
      <w:pPr>
        <w:ind w:right="740"/>
        <w:spacing w:after="0" w:line="269" w:lineRule="auto"/>
        <w:rPr>
          <w:sz w:val="20"/>
          <w:szCs w:val="20"/>
          <w:color w:val="auto"/>
        </w:rPr>
      </w:pPr>
      <w:r>
        <w:rPr>
          <w:rFonts w:ascii="Times New Roman" w:cs="Times New Roman" w:eastAsia="Times New Roman" w:hAnsi="Times New Roman"/>
          <w:sz w:val="20"/>
          <w:szCs w:val="20"/>
          <w:color w:val="auto"/>
        </w:rPr>
        <w:t>be instituted against us in the future could result in substantial costs and a diversion of our management’s attention and resources.</w:t>
      </w:r>
    </w:p>
    <w:p>
      <w:pPr>
        <w:spacing w:after="0" w:line="179" w:lineRule="exact"/>
        <w:rPr>
          <w:sz w:val="20"/>
          <w:szCs w:val="20"/>
          <w:color w:val="auto"/>
        </w:rPr>
      </w:pPr>
    </w:p>
    <w:p>
      <w:pPr>
        <w:ind w:right="40"/>
        <w:spacing w:after="0" w:line="331"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39" w:lineRule="exact"/>
        <w:rPr>
          <w:sz w:val="20"/>
          <w:szCs w:val="20"/>
          <w:color w:val="auto"/>
        </w:rPr>
      </w:pPr>
    </w:p>
    <w:p>
      <w:pPr>
        <w:ind w:right="20" w:firstLine="439"/>
        <w:spacing w:after="0" w:line="245" w:lineRule="auto"/>
        <w:rPr>
          <w:sz w:val="20"/>
          <w:szCs w:val="20"/>
          <w:color w:val="auto"/>
        </w:rPr>
      </w:pPr>
      <w:r>
        <w:rPr>
          <w:rFonts w:ascii="Times New Roman" w:cs="Times New Roman" w:eastAsia="Times New Roman" w:hAnsi="Times New Roman"/>
          <w:sz w:val="20"/>
          <w:szCs w:val="20"/>
          <w:color w:val="auto"/>
        </w:rPr>
        <w:t>Our Class A common stock has one vote per share, our Class B common stock has ten votes per share, and our Class C common stock has no voting rights, except as otherwise required by law and subject to any limitations provided in our articles of incorporation. As of December 31, 2025, our directors and executive officers, and their respective affiliates, held in the aggregate 81.4% of the voting power of our capital stock, with Mr. Houston holding approximately 81.4% of the voting power of our capital stock. We are including the Co-Founder Grant (as defined in “Significant Impacts of Stock-Based Compensation” included in Part II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or otherwise submitted for stockholder approval. In addition, this may prevent or discourage unsolicited acquisition proposals or offers for our capital stock that other stockholders may feel are in their best interests as one of our stockholders.</w:t>
      </w:r>
    </w:p>
    <w:p>
      <w:pPr>
        <w:spacing w:after="0" w:line="222" w:lineRule="exact"/>
        <w:rPr>
          <w:sz w:val="20"/>
          <w:szCs w:val="20"/>
          <w:color w:val="auto"/>
        </w:rPr>
      </w:pPr>
    </w:p>
    <w:p>
      <w:pPr>
        <w:ind w:firstLine="439"/>
        <w:spacing w:after="0" w:line="246" w:lineRule="auto"/>
        <w:rPr>
          <w:sz w:val="20"/>
          <w:szCs w:val="20"/>
          <w:color w:val="auto"/>
        </w:rPr>
      </w:pPr>
      <w:r>
        <w:rPr>
          <w:rFonts w:ascii="Times New Roman" w:cs="Times New Roman" w:eastAsia="Times New Roman" w:hAnsi="Times New Roman"/>
          <w:sz w:val="20"/>
          <w:szCs w:val="20"/>
          <w:color w:val="auto"/>
        </w:rPr>
        <w:t>Future transfers or sales by holders of Class B common stock will generally result in those shares converting to Class A common stock, except for certain transfers described in our articles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articles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214"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20"/>
          <w:szCs w:val="20"/>
          <w:color w:val="auto"/>
        </w:rPr>
        <w:t>In addition, because our Class C common stock carries no voting rights (except as otherwise required by law, subject to any limitations provided in our articles of incorporation),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future sales could depress the market price of our Class A common stock.</w:t>
      </w:r>
    </w:p>
    <w:p>
      <w:pPr>
        <w:spacing w:after="0" w:line="246"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20"/>
          <w:szCs w:val="20"/>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200"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20"/>
          <w:szCs w:val="20"/>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9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Transactions relating to our 2026 Notes and 2028 Notes may dilute the ownership interest of stockholders, or may otherwise depress the price of our common stock.</w:t>
      </w:r>
    </w:p>
    <w:p>
      <w:pPr>
        <w:spacing w:after="0" w:line="185" w:lineRule="exact"/>
        <w:rPr>
          <w:sz w:val="20"/>
          <w:szCs w:val="20"/>
          <w:color w:val="auto"/>
        </w:rPr>
      </w:pPr>
    </w:p>
    <w:p>
      <w:pPr>
        <w:ind w:right="60" w:firstLine="439"/>
        <w:spacing w:after="0" w:line="289" w:lineRule="auto"/>
        <w:rPr>
          <w:sz w:val="20"/>
          <w:szCs w:val="20"/>
          <w:color w:val="auto"/>
        </w:rPr>
      </w:pPr>
      <w:r>
        <w:rPr>
          <w:rFonts w:ascii="Times New Roman" w:cs="Times New Roman" w:eastAsia="Times New Roman" w:hAnsi="Times New Roman"/>
          <w:sz w:val="18"/>
          <w:szCs w:val="18"/>
          <w:color w:val="auto"/>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w:t>
      </w:r>
    </w:p>
    <w:p>
      <w:pPr>
        <w:sectPr>
          <w:pgSz w:w="11880" w:h="15480" w:orient="portrait"/>
          <w:cols w:equalWidth="0" w:num="1">
            <w:col w:w="10000"/>
          </w:cols>
          <w:pgMar w:left="940" w:top="696" w:right="940" w:bottom="0"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000"/>
          </w:cols>
          <w:pgMar w:left="940" w:top="696" w:right="940" w:bottom="0" w:gutter="0" w:footer="0" w:header="0"/>
          <w:type w:val="continuous"/>
        </w:sectPr>
      </w:pPr>
    </w:p>
    <w:bookmarkStart w:id="142" w:name="page143"/>
    <w:bookmarkEnd w:id="142"/>
    <w:p>
      <w:pPr>
        <w:ind w:right="120"/>
        <w:spacing w:after="0" w:line="249" w:lineRule="auto"/>
        <w:rPr>
          <w:sz w:val="20"/>
          <w:szCs w:val="20"/>
          <w:color w:val="auto"/>
        </w:rPr>
      </w:pPr>
      <w:r>
        <w:rPr>
          <w:rFonts w:ascii="Times New Roman" w:cs="Times New Roman" w:eastAsia="Times New Roman" w:hAnsi="Times New Roman"/>
          <w:sz w:val="20"/>
          <w:szCs w:val="20"/>
          <w:color w:val="auto"/>
        </w:rPr>
        <w:t>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spacing w:after="0" w:line="207" w:lineRule="exact"/>
        <w:rPr>
          <w:sz w:val="20"/>
          <w:szCs w:val="20"/>
          <w:color w:val="auto"/>
        </w:rPr>
      </w:pPr>
    </w:p>
    <w:p>
      <w:pPr>
        <w:jc w:val="both"/>
        <w:ind w:right="40" w:firstLine="439"/>
        <w:spacing w:after="0" w:line="256" w:lineRule="auto"/>
        <w:rPr>
          <w:sz w:val="20"/>
          <w:szCs w:val="20"/>
          <w:color w:val="auto"/>
        </w:rPr>
      </w:pPr>
      <w:r>
        <w:rPr>
          <w:rFonts w:ascii="Times New Roman" w:cs="Times New Roman" w:eastAsia="Times New Roman" w:hAnsi="Times New Roman"/>
          <w:sz w:val="20"/>
          <w:szCs w:val="20"/>
          <w:color w:val="auto"/>
        </w:rPr>
        <w:t>Beginning December 1, 2025, holders of the 2026 Notes have the right to convert all or any portion of their 2026 Notes at any time prior to the close of business on the second scheduled trading day immediately preceding March 1, 2026, the maturity date of the 2026 Notes.</w:t>
      </w:r>
    </w:p>
    <w:p>
      <w:pPr>
        <w:spacing w:after="0" w:line="19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Nevada law and provisions in our articles of incorporation and bylaws, could make a merger, tender offer, or proxy contest difficult, thereby depressing the market price of our Class A common stock.</w:t>
      </w:r>
    </w:p>
    <w:p>
      <w:pPr>
        <w:spacing w:after="0" w:line="185"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20"/>
          <w:szCs w:val="20"/>
          <w:color w:val="auto"/>
        </w:rPr>
        <w:t>Our status as a Nevada corporation and the anti-takeover provisions of the Nevada Revised Statutes may discourage, delay, or prevent a change in control by prohibiting or restricting us from engaging in a business combination with an interested stockholder for a period of up to four years after the person becomes an interested stockholder, even if a change of control would be beneficial to our existing stockholders. In addition, our articles of incorporation and bylaws contain provisions that may make the acquisition of our company more difficult, including the following:</w:t>
      </w:r>
    </w:p>
    <w:p>
      <w:pPr>
        <w:spacing w:after="0" w:line="206" w:lineRule="exact"/>
        <w:rPr>
          <w:sz w:val="20"/>
          <w:szCs w:val="20"/>
          <w:color w:val="auto"/>
        </w:rPr>
      </w:pPr>
    </w:p>
    <w:p>
      <w:pPr>
        <w:ind w:left="700" w:right="440" w:hanging="351"/>
        <w:spacing w:after="0" w:line="269" w:lineRule="auto"/>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that would result in a change in control of our company requires the approval of a majority of our outstanding Class B common stock voting as a separate class;</w:t>
      </w:r>
    </w:p>
    <w:p>
      <w:pPr>
        <w:spacing w:after="0" w:line="186" w:lineRule="exact"/>
        <w:rPr>
          <w:rFonts w:ascii="Times New Roman" w:cs="Times New Roman" w:eastAsia="Times New Roman" w:hAnsi="Times New Roman"/>
          <w:sz w:val="20"/>
          <w:szCs w:val="20"/>
          <w:color w:val="auto"/>
        </w:rPr>
      </w:pPr>
    </w:p>
    <w:p>
      <w:pPr>
        <w:ind w:left="700" w:right="60" w:hanging="351"/>
        <w:spacing w:after="0" w:line="252" w:lineRule="auto"/>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multi-class common stock structure, which provides our holders of Class B common stock with the ability to significantly influence the outcome of matters requiring or otherwise submitted for stockholder approval, even if they own significantly less than a majority of the shares of our outstanding Class A common stock, Class B common stock, and Class C common stock;</w:t>
      </w:r>
    </w:p>
    <w:p>
      <w:pPr>
        <w:spacing w:after="0" w:line="204" w:lineRule="exact"/>
        <w:rPr>
          <w:rFonts w:ascii="Times New Roman" w:cs="Times New Roman" w:eastAsia="Times New Roman" w:hAnsi="Times New Roman"/>
          <w:sz w:val="20"/>
          <w:szCs w:val="20"/>
          <w:color w:val="auto"/>
        </w:rPr>
      </w:pPr>
    </w:p>
    <w:p>
      <w:pPr>
        <w:ind w:left="700" w:right="440" w:hanging="351"/>
        <w:spacing w:after="0" w:line="256" w:lineRule="auto"/>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w:t>
      </w:r>
    </w:p>
    <w:p>
      <w:pPr>
        <w:spacing w:after="0" w:line="200" w:lineRule="exact"/>
        <w:rPr>
          <w:rFonts w:ascii="Times New Roman" w:cs="Times New Roman" w:eastAsia="Times New Roman" w:hAnsi="Times New Roman"/>
          <w:sz w:val="20"/>
          <w:szCs w:val="20"/>
          <w:color w:val="auto"/>
        </w:rPr>
      </w:pPr>
    </w:p>
    <w:p>
      <w:pPr>
        <w:ind w:left="700" w:right="180" w:hanging="351"/>
        <w:spacing w:after="0" w:line="250" w:lineRule="auto"/>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Class B common stock, as a class, converts to Class A common stock, any amendments to our articles of incorporation will require the approval of two-thirds of the combined vote of our then-outstanding shares of Class A common stock and Class B common stock, voting as a single class; and certain amendments to our articles of incorporation will require the approval of a majority of the outstanding shares of Class A common stock and Class B common stock, each voting as a separate class;</w:t>
      </w:r>
    </w:p>
    <w:p>
      <w:pPr>
        <w:spacing w:after="0" w:line="206" w:lineRule="exact"/>
        <w:rPr>
          <w:rFonts w:ascii="Times New Roman" w:cs="Times New Roman" w:eastAsia="Times New Roman" w:hAnsi="Times New Roman"/>
          <w:sz w:val="20"/>
          <w:szCs w:val="20"/>
          <w:color w:val="auto"/>
        </w:rPr>
      </w:pPr>
    </w:p>
    <w:p>
      <w:pPr>
        <w:ind w:left="700" w:right="180" w:hanging="351"/>
        <w:spacing w:after="0" w:line="256" w:lineRule="auto"/>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conversion of our Class B common stock, as a class, to Class A common stock, certain amendments to our articles of incorporation will require the approval of two-thirds of the then outstanding voting power of our stockholders, voting as a single class;</w:t>
      </w:r>
    </w:p>
    <w:p>
      <w:pPr>
        <w:spacing w:after="0" w:line="200" w:lineRule="exact"/>
        <w:rPr>
          <w:rFonts w:ascii="Times New Roman" w:cs="Times New Roman" w:eastAsia="Times New Roman" w:hAnsi="Times New Roman"/>
          <w:sz w:val="20"/>
          <w:szCs w:val="20"/>
          <w:color w:val="auto"/>
        </w:rPr>
      </w:pPr>
    </w:p>
    <w:p>
      <w:pPr>
        <w:ind w:left="700" w:hanging="351"/>
        <w:spacing w:after="0" w:line="269" w:lineRule="auto"/>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bylaws provide that approval of stockholders holding two-thirds of our outstanding voting power voting as a single class is required for stockholders to amend or adopt any provision of our bylaws;</w:t>
      </w:r>
    </w:p>
    <w:p>
      <w:pPr>
        <w:spacing w:after="0" w:line="186" w:lineRule="exact"/>
        <w:rPr>
          <w:rFonts w:ascii="Times New Roman" w:cs="Times New Roman" w:eastAsia="Times New Roman" w:hAnsi="Times New Roman"/>
          <w:sz w:val="20"/>
          <w:szCs w:val="20"/>
          <w:color w:val="auto"/>
        </w:rPr>
      </w:pPr>
    </w:p>
    <w:p>
      <w:pPr>
        <w:ind w:left="700" w:right="20" w:hanging="351"/>
        <w:spacing w:after="0" w:line="269" w:lineRule="auto"/>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Voting Threshold Date our stockholders will only be able to take action at a meeting of stockholders, and will not be able to take action by written consent for any matter;</w:t>
      </w:r>
    </w:p>
    <w:p>
      <w:pPr>
        <w:spacing w:after="0" w:line="186" w:lineRule="exact"/>
        <w:rPr>
          <w:rFonts w:ascii="Times New Roman" w:cs="Times New Roman" w:eastAsia="Times New Roman" w:hAnsi="Times New Roman"/>
          <w:sz w:val="20"/>
          <w:szCs w:val="20"/>
          <w:color w:val="auto"/>
        </w:rPr>
      </w:pPr>
    </w:p>
    <w:p>
      <w:pPr>
        <w:ind w:left="700" w:right="560" w:hanging="351"/>
        <w:spacing w:after="0" w:line="269" w:lineRule="auto"/>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Voting Threshold Date, our stockholders will be able to act by written consent only if the action is first recommended or approved by the Board of Directors;</w:t>
      </w:r>
    </w:p>
    <w:p>
      <w:pPr>
        <w:spacing w:after="0" w:line="186"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261" w:lineRule="exact"/>
        <w:rPr>
          <w:rFonts w:ascii="Times New Roman" w:cs="Times New Roman" w:eastAsia="Times New Roman" w:hAnsi="Times New Roman"/>
          <w:sz w:val="18"/>
          <w:szCs w:val="18"/>
          <w:color w:val="auto"/>
        </w:rPr>
      </w:pPr>
    </w:p>
    <w:p>
      <w:pPr>
        <w:ind w:left="700" w:right="40" w:hanging="351"/>
        <w:spacing w:after="0" w:line="252" w:lineRule="auto"/>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the chairman of our Board of Directors, our chief executive officer, a majority of our Board of Directors, or, until the Class B common stock, as a class, converts to Class A common stock, stockholders holding thirty percent of the combined voting power of our Class A and Class B common stock are authorized to call a special meeting of stockholders;</w:t>
      </w:r>
    </w:p>
    <w:p>
      <w:pPr>
        <w:spacing w:after="0" w:line="204" w:lineRule="exact"/>
        <w:rPr>
          <w:rFonts w:ascii="Times New Roman" w:cs="Times New Roman" w:eastAsia="Times New Roman" w:hAnsi="Times New Roman"/>
          <w:sz w:val="20"/>
          <w:szCs w:val="20"/>
          <w:color w:val="auto"/>
        </w:rPr>
      </w:pPr>
    </w:p>
    <w:p>
      <w:pPr>
        <w:ind w:left="700" w:hanging="351"/>
        <w:spacing w:after="0"/>
        <w:tabs>
          <w:tab w:leader="none" w:pos="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litigation against us may be required to be brought in Nevada;</w:t>
      </w:r>
    </w:p>
    <w:p>
      <w:pPr>
        <w:sectPr>
          <w:pgSz w:w="11880" w:h="15480" w:orient="portrait"/>
          <w:cols w:equalWidth="0" w:num="1">
            <w:col w:w="9980"/>
          </w:cols>
          <w:pgMar w:left="940" w:top="696" w:right="960" w:bottom="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980"/>
          </w:cols>
          <w:pgMar w:left="940" w:top="696" w:right="960" w:bottom="0" w:gutter="0" w:footer="0" w:header="0"/>
          <w:type w:val="continuous"/>
        </w:sectPr>
      </w:pPr>
    </w:p>
    <w:bookmarkStart w:id="143" w:name="page144"/>
    <w:bookmarkEnd w:id="143"/>
    <w:p>
      <w:pPr>
        <w:ind w:left="700" w:right="20" w:hanging="351"/>
        <w:spacing w:after="0" w:line="269" w:lineRule="auto"/>
        <w:tabs>
          <w:tab w:leader="none" w:pos="7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articles of incorporation authorizes undesignated preferred stock, the terms of which may be established and shares of which may be issued, without the approval of the holders of Class A common stock; and</w:t>
      </w:r>
    </w:p>
    <w:p>
      <w:pPr>
        <w:spacing w:after="0" w:line="186" w:lineRule="exact"/>
        <w:rPr>
          <w:rFonts w:ascii="Times New Roman" w:cs="Times New Roman" w:eastAsia="Times New Roman" w:hAnsi="Times New Roman"/>
          <w:sz w:val="20"/>
          <w:szCs w:val="20"/>
          <w:color w:val="auto"/>
        </w:rPr>
      </w:pPr>
    </w:p>
    <w:p>
      <w:pPr>
        <w:ind w:left="700" w:right="220" w:hanging="351"/>
        <w:spacing w:after="0" w:line="269" w:lineRule="auto"/>
        <w:tabs>
          <w:tab w:leader="none" w:pos="7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apply for stockholders to nominate candidates for election as directors or to bring matters before an annual meeting of stockholders.</w:t>
      </w:r>
    </w:p>
    <w:p>
      <w:pPr>
        <w:spacing w:after="0" w:line="187" w:lineRule="exact"/>
        <w:rPr>
          <w:sz w:val="20"/>
          <w:szCs w:val="20"/>
          <w:color w:val="auto"/>
        </w:rPr>
      </w:pPr>
    </w:p>
    <w:p>
      <w:pPr>
        <w:ind w:right="200" w:firstLine="439"/>
        <w:spacing w:after="0" w:line="250" w:lineRule="auto"/>
        <w:rPr>
          <w:sz w:val="20"/>
          <w:szCs w:val="20"/>
          <w:color w:val="auto"/>
        </w:rPr>
      </w:pPr>
      <w:r>
        <w:rPr>
          <w:rFonts w:ascii="Times New Roman" w:cs="Times New Roman" w:eastAsia="Times New Roman" w:hAnsi="Times New Roman"/>
          <w:sz w:val="20"/>
          <w:szCs w:val="20"/>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98"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Eighth Judicial District Court of the State of Nevada, Clark County,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74" w:lineRule="exact"/>
        <w:rPr>
          <w:sz w:val="20"/>
          <w:szCs w:val="20"/>
          <w:color w:val="auto"/>
        </w:rPr>
      </w:pPr>
    </w:p>
    <w:p>
      <w:pPr>
        <w:ind w:right="120" w:firstLine="439"/>
        <w:spacing w:after="0" w:line="248" w:lineRule="auto"/>
        <w:rPr>
          <w:sz w:val="20"/>
          <w:szCs w:val="20"/>
          <w:color w:val="auto"/>
        </w:rPr>
      </w:pPr>
      <w:r>
        <w:rPr>
          <w:rFonts w:ascii="Times New Roman" w:cs="Times New Roman" w:eastAsia="Times New Roman" w:hAnsi="Times New Roman"/>
          <w:sz w:val="20"/>
          <w:szCs w:val="20"/>
          <w:color w:val="auto"/>
        </w:rPr>
        <w:t>Our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Nevada Revised Statutes, or the articles of incorporation or the bylaws, or (4) any other action asserting a claim that is governed by the internal affairs doctrine shall be the Eighth Judicial District Court of the State of Nevada, Clark County, Nevada, in all cases subject to the court having jurisdiction over indispensable parties named as defendants.</w:t>
      </w:r>
    </w:p>
    <w:p>
      <w:pPr>
        <w:spacing w:after="0" w:line="209" w:lineRule="exact"/>
        <w:rPr>
          <w:sz w:val="20"/>
          <w:szCs w:val="20"/>
          <w:color w:val="auto"/>
        </w:rPr>
      </w:pPr>
    </w:p>
    <w:p>
      <w:pPr>
        <w:ind w:right="180" w:firstLine="439"/>
        <w:spacing w:after="0" w:line="252" w:lineRule="auto"/>
        <w:rPr>
          <w:sz w:val="20"/>
          <w:szCs w:val="20"/>
          <w:color w:val="auto"/>
        </w:rPr>
      </w:pPr>
      <w:r>
        <w:rPr>
          <w:rFonts w:ascii="Times New Roman" w:cs="Times New Roman" w:eastAsia="Times New Roman" w:hAnsi="Times New Roman"/>
          <w:sz w:val="20"/>
          <w:szCs w:val="20"/>
          <w:color w:val="auto"/>
        </w:rPr>
        <w:t>Our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spacing w:after="0" w:line="204" w:lineRule="exact"/>
        <w:rPr>
          <w:sz w:val="20"/>
          <w:szCs w:val="20"/>
          <w:color w:val="auto"/>
        </w:rPr>
      </w:pPr>
    </w:p>
    <w:p>
      <w:pPr>
        <w:ind w:right="20" w:firstLine="439"/>
        <w:spacing w:after="0" w:line="252"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204" w:lineRule="exact"/>
        <w:rPr>
          <w:sz w:val="20"/>
          <w:szCs w:val="20"/>
          <w:color w:val="auto"/>
        </w:rPr>
      </w:pPr>
    </w:p>
    <w:p>
      <w:pPr>
        <w:ind w:right="360" w:firstLine="439"/>
        <w:spacing w:after="0" w:line="269" w:lineRule="auto"/>
        <w:rPr>
          <w:sz w:val="20"/>
          <w:szCs w:val="20"/>
          <w:color w:val="auto"/>
        </w:rPr>
      </w:pPr>
      <w:r>
        <w:rPr>
          <w:rFonts w:ascii="Times New Roman" w:cs="Times New Roman" w:eastAsia="Times New Roman" w:hAnsi="Times New Roman"/>
          <w:sz w:val="20"/>
          <w:szCs w:val="20"/>
          <w:color w:val="auto"/>
        </w:rPr>
        <w:t>If we face relevant litigation and are unable to enforce these provisions, we may incur additional costs associated with resolving the dispute in other jurisdictions, which could harm our results of operations.</w:t>
      </w:r>
    </w:p>
    <w:p>
      <w:pPr>
        <w:spacing w:after="0" w:line="179" w:lineRule="exact"/>
        <w:rPr>
          <w:sz w:val="20"/>
          <w:szCs w:val="20"/>
          <w:color w:val="auto"/>
        </w:rPr>
      </w:pPr>
    </w:p>
    <w:p>
      <w:pPr>
        <w:ind w:right="7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cannot guarantee that our stock repurchase program will be fully implemented or that it will enhance long-term stockholder value.</w:t>
      </w:r>
    </w:p>
    <w:p>
      <w:pPr>
        <w:spacing w:after="0" w:line="185" w:lineRule="exact"/>
        <w:rPr>
          <w:sz w:val="20"/>
          <w:szCs w:val="20"/>
          <w:color w:val="auto"/>
        </w:rPr>
      </w:pPr>
    </w:p>
    <w:p>
      <w:pPr>
        <w:ind w:firstLine="439"/>
        <w:spacing w:after="0" w:line="246" w:lineRule="auto"/>
        <w:rPr>
          <w:sz w:val="20"/>
          <w:szCs w:val="20"/>
          <w:color w:val="auto"/>
        </w:rPr>
      </w:pPr>
      <w:r>
        <w:rPr>
          <w:rFonts w:ascii="Times New Roman" w:cs="Times New Roman" w:eastAsia="Times New Roman" w:hAnsi="Times New Roman"/>
          <w:sz w:val="20"/>
          <w:szCs w:val="20"/>
          <w:color w:val="auto"/>
        </w:rPr>
        <w:t>We initially implemented a stock repurchase program in 2020. In December 2024, the Board of Directors authorized the repurchase of up to an additional $1.2 billion of the outstanding shares of our Class A common stock and in August 2025, the Board of Directors authorized the repurchase of up to an additional $1.5 billion. As of December 31, 2025, we have repurchased approximately $5.7 billion of outstanding shares of our Class A common stock, including under prior authorizations. The repurchase program does not have an expiration date and we are not obligated to repurchase a specified number or dollar value of shares. Share repurchases are made from time-to-time in private transactions or open market purchases, as permitted by securities laws and other legal requirements. Any future share repurchases remain subject to the circumstances in place at that time, including prevailing market prices. As a result, the timing and the volume of our share repurchases may fluctuate. In addition, the United States has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the pace or frequency of our repurchases may fluctuate or change, and our Board of Directors may not authorize additional amounts for repurchase in the future. Even if the current or future stock repurchase programs are fully implemented, such programs may not enhance long-term stockholder value.</w:t>
      </w:r>
    </w:p>
    <w:p>
      <w:pPr>
        <w:sectPr>
          <w:pgSz w:w="11880" w:h="15480" w:orient="portrait"/>
          <w:cols w:equalWidth="0" w:num="1">
            <w:col w:w="10000"/>
          </w:cols>
          <w:pgMar w:left="940" w:top="93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000"/>
          </w:cols>
          <w:pgMar w:left="940" w:top="930" w:right="940" w:bottom="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or other distributions for the foreseeable future.</w:t>
      </w:r>
    </w:p>
    <w:p>
      <w:pPr>
        <w:spacing w:after="0" w:line="293"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20"/>
          <w:szCs w:val="20"/>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or other distributions in the foreseeable future. As a result, stockholders must rely on sales of their Class A common stock after price appreciation as the only way to realize any future gains on their investment. In addition, our term loan facility contains restrictions on our ability to pay dividends.</w:t>
      </w: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disrupted by catastrophic events.</w:t>
      </w:r>
    </w:p>
    <w:p>
      <w:pPr>
        <w:spacing w:after="0" w:line="246" w:lineRule="exact"/>
        <w:rPr>
          <w:sz w:val="20"/>
          <w:szCs w:val="20"/>
          <w:color w:val="auto"/>
        </w:rPr>
      </w:pPr>
    </w:p>
    <w:p>
      <w:pPr>
        <w:ind w:firstLine="439"/>
        <w:spacing w:after="0" w:line="280"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power loss, telecommunications failure, software or hardware malfunctions, cyber-attacks, wars, or terrorist attacks,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spacing w:after="0" w:line="182" w:lineRule="exact"/>
        <w:rPr>
          <w:sz w:val="20"/>
          <w:szCs w:val="20"/>
          <w:color w:val="auto"/>
        </w:rPr>
      </w:pPr>
    </w:p>
    <w:p>
      <w:pPr>
        <w:ind w:firstLine="439"/>
        <w:spacing w:after="0" w:line="279" w:lineRule="auto"/>
        <w:rPr>
          <w:sz w:val="20"/>
          <w:szCs w:val="20"/>
          <w:color w:val="auto"/>
        </w:rPr>
      </w:pPr>
      <w:r>
        <w:rPr>
          <w:rFonts w:ascii="Times New Roman" w:cs="Times New Roman" w:eastAsia="Times New Roman" w:hAnsi="Times New Roman"/>
          <w:sz w:val="18"/>
          <w:szCs w:val="18"/>
          <w:color w:val="auto"/>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have exposure to greater than anticipated tax liabilities, which could adversely impact our results of operations.</w:t>
      </w:r>
    </w:p>
    <w:p>
      <w:pPr>
        <w:spacing w:after="0" w:line="246" w:lineRule="exact"/>
        <w:rPr>
          <w:sz w:val="20"/>
          <w:szCs w:val="20"/>
          <w:color w:val="auto"/>
        </w:rPr>
      </w:pPr>
    </w:p>
    <w:p>
      <w:pPr>
        <w:ind w:right="80" w:firstLine="439"/>
        <w:spacing w:after="0" w:line="250" w:lineRule="auto"/>
        <w:rPr>
          <w:sz w:val="20"/>
          <w:szCs w:val="20"/>
          <w:color w:val="auto"/>
        </w:rPr>
      </w:pPr>
      <w:r>
        <w:rPr>
          <w:rFonts w:ascii="Times New Roman" w:cs="Times New Roman" w:eastAsia="Times New Roman" w:hAnsi="Times New Roman"/>
          <w:sz w:val="20"/>
          <w:szCs w:val="20"/>
          <w:color w:val="auto"/>
        </w:rPr>
        <w:t>We are subject to income and other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253"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We are routinely under audit by federal, state, local and non-US tax authorities. These audits include questioning the timing and the amount of income and deductions and the allocation of income and deductions among various tax jurisdictions. We believe our tax estimates are reasonable; however, tax authorities may disagree with tax positions we take and if any such tax authority were to successfully challenge any such position, our financial results and operations could be materially and adversely affected. The Internal Revenue Service (IRS) is currently examining our consolidated federal income tax returns for the periods ending December 31, 2022 through December 31, 2024. We may also be subject to additional tax liabilities due to changes in non-income-based taxes resulting from changes in U.S. federal or state, or non-U.S. tax laws, including the implementation of digital services or other similar taxes or taxes imposed in retaliation for any tariffs in the United States,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18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5" w:lineRule="exact"/>
        <w:rPr>
          <w:sz w:val="20"/>
          <w:szCs w:val="20"/>
          <w:color w:val="auto"/>
        </w:rPr>
      </w:pPr>
    </w:p>
    <w:p>
      <w:pPr>
        <w:ind w:right="60" w:firstLine="439"/>
        <w:spacing w:after="0" w:line="256"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w:t>
      </w:r>
    </w:p>
    <w:p>
      <w:pPr>
        <w:sectPr>
          <w:pgSz w:w="11880" w:h="15480" w:orient="portrait"/>
          <w:cols w:equalWidth="0" w:num="1">
            <w:col w:w="9980"/>
          </w:cols>
          <w:pgMar w:left="940" w:top="9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980"/>
          </w:cols>
          <w:pgMar w:left="940" w:top="922" w:right="960" w:bottom="0" w:gutter="0" w:footer="0" w:header="0"/>
          <w:type w:val="continuous"/>
        </w:sectPr>
      </w:pPr>
    </w:p>
    <w:bookmarkStart w:id="145" w:name="page146"/>
    <w:bookmarkEnd w:id="145"/>
    <w:p>
      <w:pPr>
        <w:spacing w:after="0" w:line="269" w:lineRule="auto"/>
        <w:rPr>
          <w:sz w:val="20"/>
          <w:szCs w:val="20"/>
          <w:color w:val="auto"/>
        </w:rPr>
      </w:pPr>
      <w:r>
        <w:rPr>
          <w:rFonts w:ascii="Times New Roman" w:cs="Times New Roman" w:eastAsia="Times New Roman" w:hAnsi="Times New Roman"/>
          <w:sz w:val="20"/>
          <w:szCs w:val="20"/>
          <w:color w:val="auto"/>
        </w:rPr>
        <w:t>compliance costs, make some activities more difficult, time-consuming and costly, and place significant strain on our personnel, systems, and resources.</w:t>
      </w:r>
    </w:p>
    <w:p>
      <w:pPr>
        <w:spacing w:after="0" w:line="187" w:lineRule="exact"/>
        <w:rPr>
          <w:sz w:val="20"/>
          <w:szCs w:val="20"/>
          <w:color w:val="auto"/>
        </w:rPr>
      </w:pPr>
    </w:p>
    <w:p>
      <w:pPr>
        <w:ind w:right="40" w:firstLine="439"/>
        <w:spacing w:after="0" w:line="27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00" w:lineRule="exact"/>
        <w:rPr>
          <w:sz w:val="20"/>
          <w:szCs w:val="20"/>
          <w:color w:val="auto"/>
        </w:rPr>
      </w:pPr>
    </w:p>
    <w:p>
      <w:pPr>
        <w:spacing w:after="0" w:line="221" w:lineRule="exact"/>
        <w:rPr>
          <w:sz w:val="20"/>
          <w:szCs w:val="20"/>
          <w:color w:val="auto"/>
        </w:rPr>
      </w:pPr>
    </w:p>
    <w:p>
      <w:pPr>
        <w:ind w:right="20" w:firstLine="439"/>
        <w:spacing w:after="0" w:line="246" w:lineRule="auto"/>
        <w:rPr>
          <w:sz w:val="20"/>
          <w:szCs w:val="20"/>
          <w:color w:val="auto"/>
        </w:rPr>
      </w:pPr>
      <w:r>
        <w:rPr>
          <w:rFonts w:ascii="Times New Roman" w:cs="Times New Roman" w:eastAsia="Times New Roman" w:hAnsi="Times New Roman"/>
          <w:sz w:val="20"/>
          <w:szCs w:val="20"/>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0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reported results of operations may be adversely affected by changes in accounting principles generally accepted in the United States.</w:t>
      </w:r>
    </w:p>
    <w:p>
      <w:pPr>
        <w:spacing w:after="0" w:line="185" w:lineRule="exact"/>
        <w:rPr>
          <w:sz w:val="20"/>
          <w:szCs w:val="20"/>
          <w:color w:val="auto"/>
        </w:rPr>
      </w:pPr>
    </w:p>
    <w:p>
      <w:pPr>
        <w:ind w:right="120" w:firstLine="439"/>
        <w:spacing w:after="0" w:line="249" w:lineRule="auto"/>
        <w:rPr>
          <w:sz w:val="20"/>
          <w:szCs w:val="20"/>
          <w:color w:val="auto"/>
        </w:rPr>
      </w:pPr>
      <w:r>
        <w:rPr>
          <w:rFonts w:ascii="Times New Roman" w:cs="Times New Roman" w:eastAsia="Times New Roman" w:hAnsi="Times New Roman"/>
          <w:sz w:val="20"/>
          <w:szCs w:val="20"/>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9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need additional capital, and we cannot be certain that additional financing will be available on favorable terms, or at all.</w:t>
      </w:r>
    </w:p>
    <w:p>
      <w:pPr>
        <w:spacing w:after="0" w:line="185" w:lineRule="exact"/>
        <w:rPr>
          <w:sz w:val="20"/>
          <w:szCs w:val="20"/>
          <w:color w:val="auto"/>
        </w:rPr>
      </w:pPr>
    </w:p>
    <w:p>
      <w:pPr>
        <w:ind w:right="20" w:firstLine="439"/>
        <w:spacing w:after="0" w:line="247" w:lineRule="auto"/>
        <w:rPr>
          <w:sz w:val="20"/>
          <w:szCs w:val="20"/>
          <w:color w:val="auto"/>
        </w:rPr>
      </w:pPr>
      <w:r>
        <w:rPr>
          <w:rFonts w:ascii="Times New Roman" w:cs="Times New Roman" w:eastAsia="Times New Roman" w:hAnsi="Times New Roman"/>
          <w:sz w:val="20"/>
          <w:szCs w:val="20"/>
          <w:color w:val="auto"/>
        </w:rPr>
        <w:t>Historically, we have funded our operations and capital expenditures primarily through equity issuances, cash generated from our operations, and debt financing. Although we currently anticipate that our existing cash, cash equivalents and short-term investments, amounts available under our existing term loan facility,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fluctuating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000"/>
          </w:cols>
          <w:pgMar w:left="940" w:top="696" w:right="940" w:bottom="0" w:gutter="0" w:footer="0" w:header="0"/>
          <w:type w:val="continuous"/>
        </w:sectPr>
      </w:pPr>
    </w:p>
    <w:bookmarkStart w:id="146" w:name="page147"/>
    <w:bookmarkEnd w:id="146"/>
    <w:p>
      <w:pPr>
        <w:ind w:left="2" w:right="2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5" w:lineRule="exact"/>
        <w:rPr>
          <w:sz w:val="20"/>
          <w:szCs w:val="20"/>
          <w:color w:val="auto"/>
        </w:rPr>
      </w:pPr>
    </w:p>
    <w:p>
      <w:pPr>
        <w:ind w:left="2" w:right="40" w:firstLine="439"/>
        <w:spacing w:after="0" w:line="248" w:lineRule="auto"/>
        <w:rPr>
          <w:sz w:val="20"/>
          <w:szCs w:val="20"/>
          <w:color w:val="auto"/>
        </w:rPr>
      </w:pPr>
      <w:r>
        <w:rPr>
          <w:rFonts w:ascii="Times New Roman" w:cs="Times New Roman" w:eastAsia="Times New Roman" w:hAnsi="Times New Roman"/>
          <w:sz w:val="20"/>
          <w:szCs w:val="20"/>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maintain coverage of us, or if one or more of these analysts cease coverage of us or fail to publish reports on us regularly, demand for our securities could decrease, which could cause the price and trading volume of our Class A common stock to decline.</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3"/>
          <w:szCs w:val="23"/>
          <w:b w:val="1"/>
          <w:bCs w:val="1"/>
          <w:color w:val="auto"/>
        </w:rPr>
        <w:t>ITEM 1B. UNRESOLVED STAFF COMMENTS</w:t>
      </w:r>
    </w:p>
    <w:p>
      <w:pPr>
        <w:spacing w:after="0" w:line="154"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color w:val="auto"/>
        </w:rPr>
        <w:t>None.</w:t>
      </w:r>
    </w:p>
    <w:p>
      <w:pPr>
        <w:spacing w:after="0" w:line="33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3"/>
          <w:szCs w:val="23"/>
          <w:b w:val="1"/>
          <w:bCs w:val="1"/>
          <w:color w:val="auto"/>
        </w:rPr>
        <w:t>ITEM 1C. CYBERSECURITY</w:t>
      </w:r>
    </w:p>
    <w:p>
      <w:pPr>
        <w:spacing w:after="0" w:line="3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45" w:lineRule="exact"/>
        <w:rPr>
          <w:sz w:val="20"/>
          <w:szCs w:val="20"/>
          <w:color w:val="auto"/>
        </w:rPr>
      </w:pPr>
    </w:p>
    <w:p>
      <w:pPr>
        <w:jc w:val="both"/>
        <w:ind w:left="2" w:firstLine="439"/>
        <w:spacing w:after="0" w:line="271"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These risks include, among other things, operational risks; intellectual property theft; fraud; extortion; harm to employees or customers; violation of privacy or security laws and other litigation and legal risk; and reputational risks. We have implemented a variety of cybersecurity processes, technologies, and controls to aid in our efforts to identify, assess and manage such material risks. Our approach includes: (1) an enterprise risk management program, which includes cybersecurity risks and is periodically refreshed; (2) security and privacy reviews designed to identify risks from new features, software, and vendors; (3) a vulnerability management program designed to identify hardware and software vulnerabilities; (4) an internal red team program, which simulates cyber threats, intended to allow us to address vulnerabilities before threat actors identify them; and</w:t>
      </w:r>
    </w:p>
    <w:p>
      <w:pPr>
        <w:spacing w:after="0" w:line="2" w:lineRule="exact"/>
        <w:rPr>
          <w:sz w:val="20"/>
          <w:szCs w:val="20"/>
          <w:color w:val="auto"/>
        </w:rPr>
      </w:pPr>
    </w:p>
    <w:p>
      <w:pPr>
        <w:ind w:left="2" w:hanging="2"/>
        <w:spacing w:after="0" w:line="269" w:lineRule="auto"/>
        <w:tabs>
          <w:tab w:leader="none" w:pos="293"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threat intelligence program designed to model and research our adversaries. These processes vary in maturity across the business and are processes we work to continually improve.</w:t>
      </w:r>
    </w:p>
    <w:p>
      <w:pPr>
        <w:spacing w:after="0" w:line="187" w:lineRule="exact"/>
        <w:rPr>
          <w:sz w:val="20"/>
          <w:szCs w:val="20"/>
          <w:color w:val="auto"/>
        </w:rPr>
      </w:pPr>
    </w:p>
    <w:p>
      <w:pPr>
        <w:jc w:val="both"/>
        <w:ind w:left="2" w:firstLine="439"/>
        <w:spacing w:after="0" w:line="252" w:lineRule="auto"/>
        <w:rPr>
          <w:sz w:val="20"/>
          <w:szCs w:val="20"/>
          <w:color w:val="auto"/>
        </w:rPr>
      </w:pPr>
      <w:r>
        <w:rPr>
          <w:rFonts w:ascii="Times New Roman" w:cs="Times New Roman" w:eastAsia="Times New Roman" w:hAnsi="Times New Roman"/>
          <w:sz w:val="20"/>
          <w:szCs w:val="20"/>
          <w:color w:val="auto"/>
        </w:rPr>
        <w:t>Our process for identifying and assessing material risks from cybersecurity threats (our “Cybersecurity Process”) operates alongside our broader overall risk assessment process, covering other risks facing the company. As part of our Cybersecurity Process appropriate disclosure personnel will collaborate with subject matter specialists, as necessary, to gather insights for identifying and assessing material cybersecurity threat risks, their severity, and potential mitigations.</w:t>
      </w:r>
    </w:p>
    <w:p>
      <w:pPr>
        <w:spacing w:after="0" w:line="204" w:lineRule="exact"/>
        <w:rPr>
          <w:sz w:val="20"/>
          <w:szCs w:val="20"/>
          <w:color w:val="auto"/>
        </w:rPr>
      </w:pPr>
    </w:p>
    <w:p>
      <w:pPr>
        <w:jc w:val="both"/>
        <w:ind w:left="2" w:firstLine="439"/>
        <w:spacing w:after="0" w:line="280" w:lineRule="auto"/>
        <w:rPr>
          <w:sz w:val="20"/>
          <w:szCs w:val="20"/>
          <w:color w:val="auto"/>
        </w:rPr>
      </w:pPr>
      <w:r>
        <w:rPr>
          <w:rFonts w:ascii="Times New Roman" w:cs="Times New Roman" w:eastAsia="Times New Roman" w:hAnsi="Times New Roman"/>
          <w:sz w:val="18"/>
          <w:szCs w:val="18"/>
          <w:color w:val="auto"/>
        </w:rPr>
        <w:t>We also maintain an incident response program to prepare for, detect, respond to, and recover from cybersecurity incidents, which include processes to triage, assess the severity of, escalate, contain, investigate, and remediate identified incidents, as well as to comply with potentially applicable legal obligations and mitigate brand and reputational damage. Further, we conduct periodic tabletop exercises to test and fortify the controls of our cyber incident response program. The incident response team assesses the severity and priority of incidents, with escalations of cybersecurity incidents provided to our management team. If a cybersecurity incident is determined to be a material cybersecurity incident, our incident response plan and cybersecurity disclosure controls and procedures define the process to disclose such a material cybersecurity incident.</w:t>
      </w:r>
    </w:p>
    <w:p>
      <w:pPr>
        <w:spacing w:after="0" w:line="182" w:lineRule="exact"/>
        <w:rPr>
          <w:sz w:val="20"/>
          <w:szCs w:val="20"/>
          <w:color w:val="auto"/>
        </w:rPr>
      </w:pPr>
    </w:p>
    <w:p>
      <w:pPr>
        <w:jc w:val="both"/>
        <w:ind w:left="2" w:firstLine="439"/>
        <w:spacing w:after="0" w:line="248" w:lineRule="auto"/>
        <w:rPr>
          <w:sz w:val="20"/>
          <w:szCs w:val="20"/>
          <w:color w:val="auto"/>
        </w:rPr>
      </w:pPr>
      <w:r>
        <w:rPr>
          <w:rFonts w:ascii="Times New Roman" w:cs="Times New Roman" w:eastAsia="Times New Roman" w:hAnsi="Times New Roman"/>
          <w:sz w:val="20"/>
          <w:szCs w:val="20"/>
          <w:color w:val="auto"/>
        </w:rPr>
        <w:t>Our cybersecurity risk management approach is supplemented by external and internal management audits against commonly accepted frameworks, including SOC-2 and ISO/IEC 27001, which are designed to test the effectiveness of our security controls. We conduct penetration testing on a periodic basis and have established an external bug bounty program through which security researchers can help identify vulnerabilities in our systems before threat actors do. We also maintain a vendor risk management program designed to identify and mitigate risks associated with third-party suppliers and business partners. This program includes pre-engagement diligence, contractual security and notification provisions, and ongoing monitoring, as appropriate.</w:t>
      </w:r>
    </w:p>
    <w:p>
      <w:pPr>
        <w:spacing w:after="0" w:line="209" w:lineRule="exact"/>
        <w:rPr>
          <w:sz w:val="20"/>
          <w:szCs w:val="20"/>
          <w:color w:val="auto"/>
        </w:rPr>
      </w:pPr>
    </w:p>
    <w:p>
      <w:pPr>
        <w:jc w:val="both"/>
        <w:ind w:left="2" w:firstLine="439"/>
        <w:spacing w:after="0" w:line="250" w:lineRule="auto"/>
        <w:rPr>
          <w:sz w:val="20"/>
          <w:szCs w:val="20"/>
          <w:color w:val="auto"/>
        </w:rPr>
      </w:pPr>
      <w:r>
        <w:rPr>
          <w:rFonts w:ascii="Times New Roman" w:cs="Times New Roman" w:eastAsia="Times New Roman" w:hAnsi="Times New Roman"/>
          <w:sz w:val="20"/>
          <w:szCs w:val="20"/>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have in the past and may continue to experience privacy and data security breaches or incidents” included as part of our risk factor disclosures at Item 1A of this Annual Report on Form 10-K.</w:t>
      </w:r>
    </w:p>
    <w:p>
      <w:pPr>
        <w:sectPr>
          <w:pgSz w:w="11880" w:h="15480" w:orient="portrait"/>
          <w:cols w:equalWidth="0" w:num="1">
            <w:col w:w="10002"/>
          </w:cols>
          <w:pgMar w:left="938" w:top="92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002"/>
          </w:cols>
          <w:pgMar w:left="938" w:top="922" w:right="940" w:bottom="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45" w:lineRule="exact"/>
        <w:rPr>
          <w:sz w:val="20"/>
          <w:szCs w:val="20"/>
          <w:color w:val="auto"/>
        </w:rPr>
      </w:pPr>
    </w:p>
    <w:p>
      <w:pPr>
        <w:jc w:val="both"/>
        <w:ind w:firstLine="439"/>
        <w:spacing w:after="0" w:line="250" w:lineRule="auto"/>
        <w:rPr>
          <w:sz w:val="20"/>
          <w:szCs w:val="20"/>
          <w:color w:val="auto"/>
        </w:rPr>
      </w:pPr>
      <w:r>
        <w:rPr>
          <w:rFonts w:ascii="Times New Roman" w:cs="Times New Roman" w:eastAsia="Times New Roman" w:hAnsi="Times New Roman"/>
          <w:sz w:val="20"/>
          <w:szCs w:val="20"/>
          <w:color w:val="auto"/>
        </w:rPr>
        <w:t>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w:t>
      </w:r>
    </w:p>
    <w:p>
      <w:pPr>
        <w:spacing w:after="0" w:line="206" w:lineRule="exact"/>
        <w:rPr>
          <w:sz w:val="20"/>
          <w:szCs w:val="20"/>
          <w:color w:val="auto"/>
        </w:rPr>
      </w:pPr>
    </w:p>
    <w:p>
      <w:pPr>
        <w:ind w:right="20" w:firstLine="439"/>
        <w:spacing w:after="0" w:line="277" w:lineRule="auto"/>
        <w:rPr>
          <w:sz w:val="20"/>
          <w:szCs w:val="20"/>
          <w:color w:val="auto"/>
        </w:rPr>
      </w:pPr>
      <w:r>
        <w:rPr>
          <w:rFonts w:ascii="Times New Roman" w:cs="Times New Roman" w:eastAsia="Times New Roman" w:hAnsi="Times New Roman"/>
          <w:sz w:val="18"/>
          <w:szCs w:val="18"/>
          <w:color w:val="auto"/>
        </w:rPr>
        <w:t>We have also established a cross-functional leadership team to oversee our information security and privacy programs and practices, as well as to assess, identify, manage,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Legal Officer, who also serves as our Chief Privacy Officer, our Chief Technology Officer, and our Head of Security. Our Chief Legal Officer and Chief Privacy Officer has held various roles advising Dropbox and two other large publicly-traded technology companies on a variety of privacy, regulatory, and product counseling issues since 2010. Our Chief Technology Officer joined Dropbox in March 2025 and has more than 25 years of experience leading engineering and product functions at top technology companies. Our Head of Security joined Dropbox in 2022 and has more than 25 years of experience in security and intelligence, including a decade in leadership roles across the financial services and technology sectors.</w:t>
      </w:r>
    </w:p>
    <w:p>
      <w:pPr>
        <w:spacing w:after="0" w:line="185" w:lineRule="exact"/>
        <w:rPr>
          <w:sz w:val="20"/>
          <w:szCs w:val="20"/>
          <w:color w:val="auto"/>
        </w:rPr>
      </w:pPr>
    </w:p>
    <w:p>
      <w:pPr>
        <w:jc w:val="both"/>
        <w:ind w:firstLine="439"/>
        <w:spacing w:after="0" w:line="285" w:lineRule="auto"/>
        <w:rPr>
          <w:sz w:val="20"/>
          <w:szCs w:val="20"/>
          <w:color w:val="auto"/>
        </w:rPr>
      </w:pPr>
      <w:r>
        <w:rPr>
          <w:rFonts w:ascii="Times New Roman" w:cs="Times New Roman" w:eastAsia="Times New Roman" w:hAnsi="Times New Roman"/>
          <w:sz w:val="18"/>
          <w:szCs w:val="18"/>
          <w:color w:val="auto"/>
        </w:rPr>
        <w:t>Members of senior leadership are informed about and monitor the prevention, mitigation, detection, and remediation of cybersecurity incidents through their management of, and participation in, the cybersecurity risk management and strategy processes described herein, including the operation of our incident response plan. Additionally, all employees are required to complete annual information security and privacy training, which are reviewed and updated annually. They also receive ongoing security awareness education via informational emails, talks and presentations, and resources available on our intranet.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2. PROPERTIES</w:t>
      </w:r>
    </w:p>
    <w:p>
      <w:pPr>
        <w:spacing w:after="0" w:line="154" w:lineRule="exact"/>
        <w:rPr>
          <w:sz w:val="20"/>
          <w:szCs w:val="20"/>
          <w:color w:val="auto"/>
        </w:rPr>
      </w:pPr>
    </w:p>
    <w:p>
      <w:pPr>
        <w:ind w:right="200" w:firstLine="483"/>
        <w:spacing w:after="0" w:line="252" w:lineRule="auto"/>
        <w:rPr>
          <w:sz w:val="20"/>
          <w:szCs w:val="20"/>
          <w:color w:val="auto"/>
        </w:rPr>
      </w:pPr>
      <w:r>
        <w:rPr>
          <w:rFonts w:ascii="Times New Roman" w:cs="Times New Roman" w:eastAsia="Times New Roman" w:hAnsi="Times New Roman"/>
          <w:sz w:val="20"/>
          <w:szCs w:val="20"/>
          <w:color w:val="auto"/>
        </w:rPr>
        <w:t>Our corporate headquarters are located in San Francisco, California, pursuant to an operating lease that expires in 2033. We lease additional offices in San Francisco and around the world, including in Seattle, Washington and Dublin, Ireland. We have datacenter co-location facilities in Oregon, Texas, Virginia, Paris, and Hamburg. We believe that these facilities are generally suitable to meet our needs.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3. LEGAL PROCEEDINGS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28" w:lineRule="exact"/>
        <w:rPr>
          <w:sz w:val="20"/>
          <w:szCs w:val="20"/>
          <w:color w:val="auto"/>
        </w:rPr>
      </w:pPr>
    </w:p>
    <w:p>
      <w:pPr>
        <w:jc w:val="both"/>
        <w:ind w:right="180" w:firstLine="439"/>
        <w:spacing w:after="0" w:line="256" w:lineRule="auto"/>
        <w:rPr>
          <w:sz w:val="20"/>
          <w:szCs w:val="20"/>
          <w:color w:val="auto"/>
        </w:rPr>
      </w:pPr>
      <w:r>
        <w:rPr>
          <w:rFonts w:ascii="Times New Roman" w:cs="Times New Roman" w:eastAsia="Times New Roman" w:hAnsi="Times New Roman"/>
          <w:sz w:val="20"/>
          <w:szCs w:val="20"/>
          <w:color w:val="auto"/>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spacing w:after="0" w:line="200" w:lineRule="exact"/>
        <w:rPr>
          <w:sz w:val="20"/>
          <w:szCs w:val="20"/>
          <w:color w:val="auto"/>
        </w:rPr>
      </w:pPr>
    </w:p>
    <w:p>
      <w:pPr>
        <w:ind w:right="220" w:firstLine="439"/>
        <w:spacing w:after="0" w:line="252" w:lineRule="auto"/>
        <w:rPr>
          <w:sz w:val="20"/>
          <w:szCs w:val="20"/>
          <w:color w:val="auto"/>
        </w:rPr>
      </w:pPr>
      <w:r>
        <w:rPr>
          <w:rFonts w:ascii="Times New Roman" w:cs="Times New Roman" w:eastAsia="Times New Roman" w:hAnsi="Times New Roman"/>
          <w:sz w:val="20"/>
          <w:szCs w:val="20"/>
          <w:color w:val="auto"/>
        </w:rPr>
        <w:t>On July 19, 2019 and July 23, 2021, Motion Offense, LLC (“Motion Offense”) filed patent infringement suits in the Western District of Texas (Waco Division) asserting infringement of a total of six U.S. patents. These lawsuits were consolidated in September 2021 (“the Consolidated Action”). In April 2023, Motion Offense filed a third patent infringement lawsuit involving one U.S. patent, which was not consolidated into the Consolidated Action.</w:t>
      </w:r>
    </w:p>
    <w:p>
      <w:pPr>
        <w:spacing w:after="0" w:line="204" w:lineRule="exact"/>
        <w:rPr>
          <w:sz w:val="20"/>
          <w:szCs w:val="20"/>
          <w:color w:val="auto"/>
        </w:rPr>
      </w:pPr>
    </w:p>
    <w:p>
      <w:pPr>
        <w:ind w:right="200" w:firstLine="439"/>
        <w:spacing w:after="0" w:line="252" w:lineRule="auto"/>
        <w:rPr>
          <w:sz w:val="20"/>
          <w:szCs w:val="20"/>
          <w:color w:val="auto"/>
        </w:rPr>
      </w:pPr>
      <w:r>
        <w:rPr>
          <w:rFonts w:ascii="Times New Roman" w:cs="Times New Roman" w:eastAsia="Times New Roman" w:hAnsi="Times New Roman"/>
          <w:sz w:val="20"/>
          <w:szCs w:val="20"/>
          <w:color w:val="auto"/>
        </w:rPr>
        <w:t>The Consolidated Action had a jury trial in May 2023, and the jury found in favor of Dropbox on all counts including non-infringement and invalidity of the patents and awarded no damages to Motion Offense. In August 2024, the court entered judgment in line with the May 2023 verdict. A decision on post-trial briefing is currently pending. The final judgment in the district court may be appealed to the Federal Circuit.</w:t>
      </w:r>
    </w:p>
    <w:p>
      <w:pPr>
        <w:spacing w:after="0" w:line="204" w:lineRule="exact"/>
        <w:rPr>
          <w:sz w:val="20"/>
          <w:szCs w:val="20"/>
          <w:color w:val="auto"/>
        </w:rPr>
      </w:pPr>
    </w:p>
    <w:p>
      <w:pPr>
        <w:ind w:right="100" w:firstLine="439"/>
        <w:spacing w:after="0" w:line="250" w:lineRule="auto"/>
        <w:rPr>
          <w:sz w:val="20"/>
          <w:szCs w:val="20"/>
          <w:color w:val="auto"/>
        </w:rPr>
      </w:pPr>
      <w:r>
        <w:rPr>
          <w:rFonts w:ascii="Times New Roman" w:cs="Times New Roman" w:eastAsia="Times New Roman" w:hAnsi="Times New Roman"/>
          <w:sz w:val="20"/>
          <w:szCs w:val="20"/>
          <w:color w:val="auto"/>
        </w:rPr>
        <w:t>In Motion Offense’s third patent infringement suit, the parties filed their initial pleadings but the case is currently stayed pending Dropbox’s Inter Partes Review (“IPR”) of the asserted patent. On June 30 and July 1, 2025, the Patent Trial and Appeal Board issued Final Written Decisions in the IPRs determining the challenged and asserted claims unpatentable. Motion Offense filed an appeal with the Federal Circuit and briefing is pending. Dropbox believes Motion Offense’s allegations in the third lawsuit are similarly without merit and will vigorously defend against them.</w:t>
      </w:r>
    </w:p>
    <w:p>
      <w:pPr>
        <w:sectPr>
          <w:pgSz w:w="11880" w:h="15480" w:orient="portrait"/>
          <w:cols w:equalWidth="0" w:num="1">
            <w:col w:w="10000"/>
          </w:cols>
          <w:pgMar w:left="940" w:top="92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000"/>
          </w:cols>
          <w:pgMar w:left="940" w:top="923" w:right="940" w:bottom="0" w:gutter="0" w:footer="0" w:header="0"/>
          <w:type w:val="continuous"/>
        </w:sectPr>
      </w:pPr>
    </w:p>
    <w:bookmarkStart w:id="148" w:name="page149"/>
    <w:bookmarkEnd w:id="148"/>
    <w:p>
      <w:pPr>
        <w:ind w:firstLine="439"/>
        <w:spacing w:after="0" w:line="250" w:lineRule="auto"/>
        <w:rPr>
          <w:sz w:val="20"/>
          <w:szCs w:val="20"/>
          <w:color w:val="auto"/>
        </w:rPr>
      </w:pPr>
      <w:r>
        <w:rPr>
          <w:rFonts w:ascii="Times New Roman" w:cs="Times New Roman" w:eastAsia="Times New Roman" w:hAnsi="Times New Roman"/>
          <w:sz w:val="20"/>
          <w:szCs w:val="20"/>
          <w:color w:val="auto"/>
        </w:rPr>
        <w:t>In addition, in December 2022, Entangled Media, LLC filed a patent infringement suit asserting two U.S. patents against Dropbox. The case is currently pending in the Northern District of California (San Jose Division). In August 2025, the court granted-in-part Dropbox’s Motion for Summary Judgment, finding that Dropbox does not infringe one of the asserted patents. One patent remains for trial, which is currently set for September 8, 2026. Dropbox believes it has meritorious defenses and plans to vigorously defend this matter.</w:t>
      </w:r>
    </w:p>
    <w:p>
      <w:pPr>
        <w:spacing w:after="0" w:line="206" w:lineRule="exact"/>
        <w:rPr>
          <w:sz w:val="20"/>
          <w:szCs w:val="20"/>
          <w:color w:val="auto"/>
        </w:rPr>
      </w:pPr>
    </w:p>
    <w:p>
      <w:pPr>
        <w:ind w:right="120" w:firstLine="439"/>
        <w:spacing w:after="0" w:line="256" w:lineRule="auto"/>
        <w:rPr>
          <w:sz w:val="20"/>
          <w:szCs w:val="20"/>
          <w:color w:val="auto"/>
        </w:rPr>
      </w:pPr>
      <w:r>
        <w:rPr>
          <w:rFonts w:ascii="Times New Roman" w:cs="Times New Roman" w:eastAsia="Times New Roman" w:hAnsi="Times New Roman"/>
          <w:sz w:val="20"/>
          <w:szCs w:val="20"/>
          <w:color w:val="auto"/>
        </w:rPr>
        <w:t>While we remain confident in the Company’s defenses to the asserted allegations in these cases, it is not possible to determine the ultimate outcome at this time, however, we do not believe any potential loss would be material to our financial position or results of operations.</w:t>
      </w:r>
    </w:p>
    <w:p>
      <w:pPr>
        <w:spacing w:after="0" w:line="200" w:lineRule="exact"/>
        <w:rPr>
          <w:sz w:val="20"/>
          <w:szCs w:val="20"/>
          <w:color w:val="auto"/>
        </w:rPr>
      </w:pPr>
    </w:p>
    <w:p>
      <w:pPr>
        <w:ind w:right="60" w:firstLine="439"/>
        <w:spacing w:after="0" w:line="252" w:lineRule="auto"/>
        <w:rPr>
          <w:sz w:val="20"/>
          <w:szCs w:val="20"/>
          <w:color w:val="auto"/>
        </w:rPr>
      </w:pPr>
      <w:r>
        <w:rPr>
          <w:rFonts w:ascii="Times New Roman" w:cs="Times New Roman" w:eastAsia="Times New Roman" w:hAnsi="Times New Roman"/>
          <w:sz w:val="20"/>
          <w:szCs w:val="20"/>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4. MINE SAFETY DISCLOSURES</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860"/>
          </w:cols>
          <w:pgMar w:left="940" w:top="69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860"/>
          </w:cols>
          <w:pgMar w:left="940" w:top="696" w:right="1080" w:bottom="0" w:gutter="0" w:footer="0" w:header="0"/>
          <w:type w:val="continuous"/>
        </w:sectPr>
      </w:pPr>
    </w:p>
    <w:bookmarkStart w:id="149" w:name="page150"/>
    <w:bookmarkEnd w:id="149"/>
    <w:p>
      <w:pPr>
        <w:ind w:left="2"/>
        <w:spacing w:after="0"/>
        <w:rPr>
          <w:sz w:val="20"/>
          <w:szCs w:val="20"/>
          <w:color w:val="auto"/>
        </w:rPr>
      </w:pPr>
      <w:r>
        <w:rPr>
          <w:rFonts w:ascii="Times New Roman" w:cs="Times New Roman" w:eastAsia="Times New Roman" w:hAnsi="Times New Roman"/>
          <w:sz w:val="27"/>
          <w:szCs w:val="27"/>
          <w:b w:val="1"/>
          <w:bCs w:val="1"/>
          <w:color w:val="auto"/>
        </w:rPr>
        <w:t>PART II</w:t>
      </w:r>
    </w:p>
    <w:p>
      <w:pPr>
        <w:spacing w:after="0" w:line="358" w:lineRule="exact"/>
        <w:rPr>
          <w:sz w:val="20"/>
          <w:szCs w:val="20"/>
          <w:color w:val="auto"/>
        </w:rPr>
      </w:pPr>
    </w:p>
    <w:p>
      <w:pPr>
        <w:ind w:left="2" w:right="340"/>
        <w:spacing w:after="0" w:line="296" w:lineRule="auto"/>
        <w:rPr>
          <w:sz w:val="20"/>
          <w:szCs w:val="20"/>
          <w:color w:val="auto"/>
        </w:rPr>
      </w:pPr>
      <w:r>
        <w:rPr>
          <w:rFonts w:ascii="Times New Roman" w:cs="Times New Roman" w:eastAsia="Times New Roman" w:hAnsi="Times New Roman"/>
          <w:sz w:val="23"/>
          <w:szCs w:val="23"/>
          <w:b w:val="1"/>
          <w:bCs w:val="1"/>
          <w:color w:val="auto"/>
        </w:rPr>
        <w:t>ITEM 5. MARKET FOR REGISTRANT’S COMMON EQUITY, RELATED STOCKHOLDER MATTERS AND ISSUER PURCHASES OF EQUITY SECURITIES</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Market Information for Class A Common Stock</w:t>
      </w:r>
    </w:p>
    <w:p>
      <w:pPr>
        <w:spacing w:after="0" w:line="128"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8"/>
          <w:szCs w:val="18"/>
          <w:color w:val="auto"/>
        </w:rPr>
        <w:t>Our Class A common stock has been listed on the Nasdaq Global Market under the symbol "DBX" since March 23, 2018.</w:t>
      </w:r>
    </w:p>
    <w:p>
      <w:pPr>
        <w:spacing w:after="0" w:line="2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28" w:lineRule="exact"/>
        <w:rPr>
          <w:sz w:val="20"/>
          <w:szCs w:val="20"/>
          <w:color w:val="auto"/>
        </w:rPr>
      </w:pPr>
    </w:p>
    <w:p>
      <w:pPr>
        <w:ind w:left="2" w:right="20" w:firstLine="483"/>
        <w:spacing w:after="0" w:line="252" w:lineRule="auto"/>
        <w:rPr>
          <w:sz w:val="20"/>
          <w:szCs w:val="20"/>
          <w:color w:val="auto"/>
        </w:rPr>
      </w:pPr>
      <w:r>
        <w:rPr>
          <w:rFonts w:ascii="Times New Roman" w:cs="Times New Roman" w:eastAsia="Times New Roman" w:hAnsi="Times New Roman"/>
          <w:sz w:val="20"/>
          <w:szCs w:val="20"/>
          <w:color w:val="auto"/>
        </w:rPr>
        <w:t>As of February 13, 2026, we had 496 holders of record of our Class A common stock, 69 holders of record of our Class B common stock, and no holders of record of our Class C common stock. The actual number of stockholders is greater than this number of record holders and includes stockholders who are beneficial owners, but whose shares are held in street name by brokers and other nominees.</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8" w:lineRule="exact"/>
        <w:rPr>
          <w:sz w:val="20"/>
          <w:szCs w:val="20"/>
          <w:color w:val="auto"/>
        </w:rPr>
      </w:pPr>
    </w:p>
    <w:p>
      <w:pPr>
        <w:ind w:left="2" w:right="40" w:firstLine="483"/>
        <w:spacing w:after="0" w:line="250"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45" w:lineRule="exact"/>
        <w:rPr>
          <w:sz w:val="20"/>
          <w:szCs w:val="20"/>
          <w:color w:val="auto"/>
        </w:rPr>
      </w:pPr>
    </w:p>
    <w:p>
      <w:pPr>
        <w:ind w:left="2" w:right="720" w:firstLine="702"/>
        <w:spacing w:after="0" w:line="269" w:lineRule="auto"/>
        <w:rPr>
          <w:sz w:val="20"/>
          <w:szCs w:val="20"/>
          <w:color w:val="auto"/>
        </w:rPr>
      </w:pPr>
      <w:r>
        <w:rPr>
          <w:rFonts w:ascii="Times New Roman" w:cs="Times New Roman" w:eastAsia="Times New Roman" w:hAnsi="Times New Roman"/>
          <w:sz w:val="20"/>
          <w:szCs w:val="20"/>
          <w:color w:val="auto"/>
        </w:rPr>
        <w:t>The following table presents information with respect to our repurchases of Class A common stock during the quarter ended December 31, 2025.</w:t>
      </w:r>
    </w:p>
    <w:p>
      <w:pPr>
        <w:spacing w:after="0" w:line="135" w:lineRule="exact"/>
        <w:rPr>
          <w:sz w:val="20"/>
          <w:szCs w:val="20"/>
          <w:color w:val="auto"/>
        </w:rPr>
      </w:pPr>
    </w:p>
    <w:tbl>
      <w:tblPr>
        <w:tblLayout w:type="fixed"/>
        <w:tblInd w:w="42" w:type="dxa"/>
        <w:tblCellMar>
          <w:top w:w="0" w:type="dxa"/>
          <w:left w:w="0" w:type="dxa"/>
          <w:bottom w:w="0" w:type="dxa"/>
          <w:right w:w="0" w:type="dxa"/>
        </w:tblCellMar>
      </w:tblPr>
      <w:tr>
        <w:trPr>
          <w:trHeight w:val="207"/>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Total Number of Shares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88"/>
              <w:spacing w:after="0"/>
              <w:rPr>
                <w:sz w:val="20"/>
                <w:szCs w:val="20"/>
                <w:color w:val="auto"/>
              </w:rPr>
            </w:pPr>
            <w:r>
              <w:rPr>
                <w:rFonts w:ascii="Times New Roman" w:cs="Times New Roman" w:eastAsia="Times New Roman" w:hAnsi="Times New Roman"/>
                <w:sz w:val="18"/>
                <w:szCs w:val="18"/>
                <w:color w:val="auto"/>
                <w:w w:val="97"/>
              </w:rPr>
              <w:t>Approximate Dollar</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Value of Shares that May</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Purchased as Part of</w:t>
            </w:r>
          </w:p>
        </w:tc>
        <w:tc>
          <w:tcPr>
            <w:tcW w:w="80" w:type="dxa"/>
            <w:vAlign w:val="bottom"/>
          </w:tcPr>
          <w:p>
            <w:pPr>
              <w:spacing w:after="0"/>
              <w:rPr>
                <w:sz w:val="15"/>
                <w:szCs w:val="15"/>
                <w:color w:val="auto"/>
              </w:rPr>
            </w:pPr>
          </w:p>
        </w:tc>
        <w:tc>
          <w:tcPr>
            <w:tcW w:w="19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Yet Be Purchased Under</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vMerge w:val="restart"/>
          </w:tcPr>
          <w:p>
            <w:pPr>
              <w:jc w:val="right"/>
              <w:ind w:right="27"/>
              <w:spacing w:after="0"/>
              <w:rPr>
                <w:sz w:val="20"/>
                <w:szCs w:val="20"/>
                <w:color w:val="auto"/>
              </w:rPr>
            </w:pPr>
            <w:r>
              <w:rPr>
                <w:rFonts w:ascii="Times New Roman" w:cs="Times New Roman" w:eastAsia="Times New Roman" w:hAnsi="Times New Roman"/>
                <w:sz w:val="18"/>
                <w:szCs w:val="18"/>
                <w:color w:val="auto"/>
              </w:rPr>
              <w:t>Total Number of 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vMerge w:val="restart"/>
          </w:tcPr>
          <w:p>
            <w:pPr>
              <w:jc w:val="right"/>
              <w:ind w:right="46"/>
              <w:spacing w:after="0"/>
              <w:rPr>
                <w:sz w:val="20"/>
                <w:szCs w:val="20"/>
                <w:color w:val="auto"/>
              </w:rPr>
            </w:pPr>
            <w:r>
              <w:rPr>
                <w:rFonts w:ascii="Times New Roman" w:cs="Times New Roman" w:eastAsia="Times New Roman" w:hAnsi="Times New Roman"/>
                <w:sz w:val="18"/>
                <w:szCs w:val="18"/>
                <w:color w:val="auto"/>
                <w:w w:val="97"/>
              </w:rPr>
              <w:t>Average Price Paid per</w:t>
            </w: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Publicly Announced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jc w:val="center"/>
              <w:ind w:right="108"/>
              <w:spacing w:after="0" w:line="176" w:lineRule="exact"/>
              <w:rPr>
                <w:sz w:val="20"/>
                <w:szCs w:val="20"/>
                <w:color w:val="auto"/>
              </w:rPr>
            </w:pPr>
            <w:r>
              <w:rPr>
                <w:rFonts w:ascii="Times New Roman" w:cs="Times New Roman" w:eastAsia="Times New Roman" w:hAnsi="Times New Roman"/>
                <w:sz w:val="18"/>
                <w:szCs w:val="18"/>
                <w:color w:val="auto"/>
                <w:w w:val="97"/>
              </w:rPr>
              <w:t>Publicly Announced</w:t>
            </w:r>
          </w:p>
        </w:tc>
        <w:tc>
          <w:tcPr>
            <w:tcW w:w="0" w:type="dxa"/>
            <w:vAlign w:val="bottom"/>
          </w:tcPr>
          <w:p>
            <w:pPr>
              <w:spacing w:after="0"/>
              <w:rPr>
                <w:sz w:val="1"/>
                <w:szCs w:val="1"/>
                <w:color w:val="auto"/>
              </w:rPr>
            </w:pPr>
          </w:p>
        </w:tc>
      </w:tr>
      <w:tr>
        <w:trPr>
          <w:trHeight w:val="176"/>
        </w:trPr>
        <w:tc>
          <w:tcPr>
            <w:tcW w:w="19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Programs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jc w:val="center"/>
              <w:ind w:right="108"/>
              <w:spacing w:after="0" w:line="176" w:lineRule="exact"/>
              <w:rPr>
                <w:sz w:val="20"/>
                <w:szCs w:val="20"/>
                <w:color w:val="auto"/>
              </w:rPr>
            </w:pPr>
            <w:r>
              <w:rPr>
                <w:rFonts w:ascii="Times New Roman" w:cs="Times New Roman" w:eastAsia="Times New Roman" w:hAnsi="Times New Roman"/>
                <w:sz w:val="18"/>
                <w:szCs w:val="18"/>
                <w:color w:val="auto"/>
                <w:w w:val="98"/>
              </w:rPr>
              <w:t>Programs</w:t>
            </w:r>
          </w:p>
        </w:tc>
        <w:tc>
          <w:tcPr>
            <w:tcW w:w="0" w:type="dxa"/>
            <w:vAlign w:val="bottom"/>
          </w:tcPr>
          <w:p>
            <w:pPr>
              <w:spacing w:after="0"/>
              <w:rPr>
                <w:sz w:val="1"/>
                <w:szCs w:val="1"/>
                <w:color w:val="auto"/>
              </w:rPr>
            </w:pPr>
          </w:p>
        </w:tc>
      </w:tr>
      <w:tr>
        <w:trPr>
          <w:trHeight w:val="232"/>
        </w:trPr>
        <w:tc>
          <w:tcPr>
            <w:tcW w:w="1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Purchased (in millions)</w:t>
            </w:r>
            <w:r>
              <w:rPr>
                <w:rFonts w:ascii="Times New Roman" w:cs="Times New Roman" w:eastAsia="Times New Roman" w:hAnsi="Times New Roman"/>
                <w:sz w:val="11"/>
                <w:szCs w:val="11"/>
                <w:color w:val="auto"/>
              </w:rPr>
              <w:t>(1)</w:t>
            </w:r>
          </w:p>
        </w:tc>
        <w:tc>
          <w:tcPr>
            <w:tcW w:w="8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11"/>
                <w:szCs w:val="11"/>
                <w:color w:val="auto"/>
              </w:rPr>
              <w:t>(2)</w:t>
            </w:r>
          </w:p>
        </w:tc>
        <w:tc>
          <w:tcPr>
            <w:tcW w:w="80" w:type="dxa"/>
            <w:vAlign w:val="bottom"/>
            <w:tcBorders>
              <w:bottom w:val="single" w:sz="8" w:color="E6E6E6"/>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 millions)</w:t>
            </w:r>
            <w:r>
              <w:rPr>
                <w:rFonts w:ascii="Times New Roman" w:cs="Times New Roman" w:eastAsia="Times New Roman" w:hAnsi="Times New Roman"/>
                <w:sz w:val="11"/>
                <w:szCs w:val="11"/>
                <w:color w:val="auto"/>
                <w:w w:val="97"/>
              </w:rPr>
              <w:t>(1)</w:t>
            </w:r>
          </w:p>
        </w:tc>
        <w:tc>
          <w:tcPr>
            <w:tcW w:w="8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8"/>
                <w:szCs w:val="18"/>
                <w:color w:val="auto"/>
                <w:w w:val="97"/>
              </w:rPr>
              <w:t>(in millions)</w:t>
            </w:r>
            <w:r>
              <w:rPr>
                <w:rFonts w:ascii="Times New Roman" w:cs="Times New Roman" w:eastAsia="Times New Roman" w:hAnsi="Times New Roman"/>
                <w:sz w:val="11"/>
                <w:szCs w:val="11"/>
                <w:color w:val="auto"/>
                <w:w w:val="97"/>
              </w:rPr>
              <w:t>(1)</w:t>
            </w:r>
          </w:p>
        </w:tc>
        <w:tc>
          <w:tcPr>
            <w:tcW w:w="0" w:type="dxa"/>
            <w:vAlign w:val="bottom"/>
          </w:tcPr>
          <w:p>
            <w:pPr>
              <w:spacing w:after="0"/>
              <w:rPr>
                <w:sz w:val="1"/>
                <w:szCs w:val="1"/>
                <w:color w:val="auto"/>
              </w:rPr>
            </w:pPr>
          </w:p>
        </w:tc>
      </w:tr>
      <w:tr>
        <w:trPr>
          <w:trHeight w:val="283"/>
        </w:trPr>
        <w:tc>
          <w:tcPr>
            <w:tcW w:w="19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October 1 - 31</w:t>
            </w:r>
          </w:p>
        </w:tc>
        <w:tc>
          <w:tcPr>
            <w:tcW w:w="2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29.11</w:t>
            </w:r>
          </w:p>
        </w:tc>
        <w:tc>
          <w:tcPr>
            <w:tcW w:w="2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28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1,436.20</w:t>
            </w:r>
          </w:p>
        </w:tc>
        <w:tc>
          <w:tcPr>
            <w:tcW w:w="0" w:type="dxa"/>
            <w:vAlign w:val="bottom"/>
          </w:tcPr>
          <w:p>
            <w:pPr>
              <w:spacing w:after="0"/>
              <w:rPr>
                <w:sz w:val="1"/>
                <w:szCs w:val="1"/>
                <w:color w:val="auto"/>
              </w:rPr>
            </w:pPr>
          </w:p>
        </w:tc>
      </w:tr>
      <w:tr>
        <w:trPr>
          <w:trHeight w:val="286"/>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1 - 30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w:t>
            </w:r>
            <w:r>
              <w:rPr>
                <w:rFonts w:ascii="Times New Roman" w:cs="Times New Roman" w:eastAsia="Times New Roman" w:hAnsi="Times New Roman"/>
                <w:sz w:val="12"/>
                <w:szCs w:val="12"/>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1,368.53</w:t>
            </w:r>
          </w:p>
        </w:tc>
        <w:tc>
          <w:tcPr>
            <w:tcW w:w="0" w:type="dxa"/>
            <w:vAlign w:val="bottom"/>
          </w:tcPr>
          <w:p>
            <w:pPr>
              <w:spacing w:after="0"/>
              <w:rPr>
                <w:sz w:val="1"/>
                <w:szCs w:val="1"/>
                <w:color w:val="auto"/>
              </w:rPr>
            </w:pPr>
          </w:p>
        </w:tc>
      </w:tr>
      <w:tr>
        <w:trPr>
          <w:trHeight w:val="289"/>
        </w:trPr>
        <w:tc>
          <w:tcPr>
            <w:tcW w:w="192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December 1 - 31</w:t>
            </w:r>
          </w:p>
        </w:tc>
        <w:tc>
          <w:tcPr>
            <w:tcW w:w="80" w:type="dxa"/>
            <w:vAlign w:val="bottom"/>
            <w:tcBorders>
              <w:bottom w:val="single" w:sz="8" w:color="E6E6E6"/>
            </w:tcBorders>
            <w:shd w:val="clear" w:color="auto" w:fill="E6E6E6"/>
          </w:tcPr>
          <w:p>
            <w:pPr>
              <w:spacing w:after="0"/>
              <w:rPr>
                <w:sz w:val="24"/>
                <w:szCs w:val="24"/>
                <w:color w:val="auto"/>
              </w:rPr>
            </w:pPr>
          </w:p>
        </w:tc>
        <w:tc>
          <w:tcPr>
            <w:tcW w:w="1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7.16</w:t>
            </w:r>
          </w:p>
        </w:tc>
        <w:tc>
          <w:tcPr>
            <w:tcW w:w="22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28.21</w:t>
            </w:r>
          </w:p>
        </w:tc>
        <w:tc>
          <w:tcPr>
            <w:tcW w:w="80" w:type="dxa"/>
            <w:vAlign w:val="bottom"/>
            <w:tcBorders>
              <w:bottom w:val="single" w:sz="8" w:color="E6E6E6"/>
            </w:tcBorders>
            <w:shd w:val="clear" w:color="auto" w:fill="E6E6E6"/>
          </w:tcPr>
          <w:p>
            <w:pPr>
              <w:spacing w:after="0"/>
              <w:rPr>
                <w:sz w:val="24"/>
                <w:szCs w:val="24"/>
                <w:color w:val="auto"/>
              </w:rPr>
            </w:pPr>
          </w:p>
        </w:tc>
        <w:tc>
          <w:tcPr>
            <w:tcW w:w="1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7.16</w:t>
            </w:r>
          </w:p>
        </w:tc>
        <w:tc>
          <w:tcPr>
            <w:tcW w:w="280" w:type="dxa"/>
            <w:vAlign w:val="bottom"/>
            <w:tcBorders>
              <w:bottom w:val="single" w:sz="8" w:color="E6E6E6"/>
            </w:tcBorders>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1,166.70</w:t>
            </w:r>
          </w:p>
        </w:tc>
        <w:tc>
          <w:tcPr>
            <w:tcW w:w="0" w:type="dxa"/>
            <w:vAlign w:val="bottom"/>
          </w:tcPr>
          <w:p>
            <w:pPr>
              <w:spacing w:after="0"/>
              <w:rPr>
                <w:sz w:val="1"/>
                <w:szCs w:val="1"/>
                <w:color w:val="auto"/>
              </w:rPr>
            </w:pPr>
          </w:p>
        </w:tc>
      </w:tr>
      <w:tr>
        <w:trPr>
          <w:trHeight w:val="292"/>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8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28.80</w:t>
            </w:r>
          </w:p>
        </w:tc>
        <w:tc>
          <w:tcPr>
            <w:tcW w:w="8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-785495</wp:posOffset>
            </wp:positionV>
            <wp:extent cx="6343650" cy="495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
                      <a:extLst>
                        <a:ext uri="{28A0092B-C50C-407E-A947-70E740481C1C}"/>
                      </a:extLst>
                    </a:blip>
                    <a:srcRect/>
                    <a:stretch>
                      <a:fillRect/>
                    </a:stretch>
                  </pic:blipFill>
                  <pic:spPr bwMode="auto">
                    <a:xfrm>
                      <a:off x="0" y="0"/>
                      <a:ext cx="6343650" cy="4953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-228600</wp:posOffset>
            </wp:positionV>
            <wp:extent cx="1275715" cy="495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
                      <a:extLst>
                        <a:ext uri="{28A0092B-C50C-407E-A947-70E740481C1C}"/>
                      </a:extLst>
                    </a:blip>
                    <a:srcRect/>
                    <a:stretch>
                      <a:fillRect/>
                    </a:stretch>
                  </pic:blipFill>
                  <pic:spPr bwMode="auto">
                    <a:xfrm>
                      <a:off x="0" y="0"/>
                      <a:ext cx="1275715" cy="4953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-228600</wp:posOffset>
            </wp:positionV>
            <wp:extent cx="1275715" cy="495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
                      <a:extLst>
                        <a:ext uri="{28A0092B-C50C-407E-A947-70E740481C1C}"/>
                      </a:extLst>
                    </a:blip>
                    <a:srcRect/>
                    <a:stretch>
                      <a:fillRect/>
                    </a:stretch>
                  </pic:blipFill>
                  <pic:spPr bwMode="auto">
                    <a:xfrm>
                      <a:off x="0" y="0"/>
                      <a:ext cx="1275715" cy="4953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-55245</wp:posOffset>
            </wp:positionV>
            <wp:extent cx="1275715" cy="742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
                      <a:extLst>
                        <a:ext uri="{28A0092B-C50C-407E-A947-70E740481C1C}"/>
                      </a:extLst>
                    </a:blip>
                    <a:srcRect/>
                    <a:stretch>
                      <a:fillRect/>
                    </a:stretch>
                  </pic:blipFill>
                  <pic:spPr bwMode="auto">
                    <a:xfrm>
                      <a:off x="0" y="0"/>
                      <a:ext cx="1275715" cy="7429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-55245</wp:posOffset>
            </wp:positionV>
            <wp:extent cx="1275715" cy="742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
                      <a:extLst>
                        <a:ext uri="{28A0092B-C50C-407E-A947-70E740481C1C}"/>
                      </a:extLst>
                    </a:blip>
                    <a:srcRect/>
                    <a:stretch>
                      <a:fillRect/>
                    </a:stretch>
                  </pic:blipFill>
                  <pic:spPr bwMode="auto">
                    <a:xfrm>
                      <a:off x="0" y="0"/>
                      <a:ext cx="1275715" cy="74295"/>
                    </a:xfrm>
                    <a:prstGeom prst="rect">
                      <a:avLst/>
                    </a:prstGeom>
                    <a:noFill/>
                  </pic:spPr>
                </pic:pic>
              </a:graphicData>
            </a:graphic>
          </wp:anchor>
        </w:drawing>
      </w:r>
    </w:p>
    <w:p>
      <w:pPr>
        <w:spacing w:after="0" w:line="241" w:lineRule="exact"/>
        <w:rPr>
          <w:sz w:val="20"/>
          <w:szCs w:val="20"/>
          <w:color w:val="auto"/>
        </w:rPr>
      </w:pPr>
    </w:p>
    <w:p>
      <w:pPr>
        <w:ind w:left="2" w:hanging="2"/>
        <w:spacing w:after="0" w:line="267" w:lineRule="auto"/>
        <w:tabs>
          <w:tab w:leader="none" w:pos="182" w:val="left"/>
        </w:tabs>
        <w:numPr>
          <w:ilvl w:val="0"/>
          <w:numId w:val="1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February 2022, our Board of Directors authorized a $1.2 billion share repurchase program, which we completed during the three months ended March 31, 2024. In July 2023, the Board of Directors authorized an additional $1.2 billion program, which we completed during the three months ended March 31, 2025. In December 2024, the Board of Directors authorized a third $1.2 billion program, which we completed during the three months ended December 31, 2025. In August 2025, the Board of Directors authorized a new share repurchase program for the purchase of an additional $1.5 billion of shares of our Class A common stock, under which we continue to repurchase shares.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to our consolidated financial statements included elsewhere in this Annual Report on Form 10-K.</w:t>
      </w:r>
    </w:p>
    <w:p>
      <w:pPr>
        <w:spacing w:after="0" w:line="200" w:lineRule="exact"/>
        <w:rPr>
          <w:rFonts w:ascii="Times New Roman" w:cs="Times New Roman" w:eastAsia="Times New Roman" w:hAnsi="Times New Roman"/>
          <w:sz w:val="23"/>
          <w:szCs w:val="23"/>
          <w:color w:val="auto"/>
          <w:vertAlign w:val="superscript"/>
        </w:rPr>
      </w:pPr>
    </w:p>
    <w:p>
      <w:pPr>
        <w:spacing w:after="0" w:line="226" w:lineRule="exact"/>
        <w:rPr>
          <w:rFonts w:ascii="Times New Roman" w:cs="Times New Roman" w:eastAsia="Times New Roman" w:hAnsi="Times New Roman"/>
          <w:sz w:val="23"/>
          <w:szCs w:val="23"/>
          <w:color w:val="auto"/>
          <w:vertAlign w:val="superscript"/>
        </w:rPr>
      </w:pPr>
    </w:p>
    <w:p>
      <w:pPr>
        <w:ind w:left="2" w:right="240" w:hanging="2"/>
        <w:spacing w:after="0" w:line="241" w:lineRule="auto"/>
        <w:tabs>
          <w:tab w:leader="none" w:pos="181" w:val="left"/>
        </w:tabs>
        <w:numPr>
          <w:ilvl w:val="0"/>
          <w:numId w:val="1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Average price paid per share includes costs associated with the repurchases, excluding the 1% excise tax imposed as part of the Inflation Reduction Act.</w:t>
      </w:r>
    </w:p>
    <w:p>
      <w:pPr>
        <w:spacing w:after="0" w:line="204" w:lineRule="exact"/>
        <w:rPr>
          <w:rFonts w:ascii="Times New Roman" w:cs="Times New Roman" w:eastAsia="Times New Roman" w:hAnsi="Times New Roman"/>
          <w:sz w:val="23"/>
          <w:szCs w:val="23"/>
          <w:color w:val="auto"/>
          <w:vertAlign w:val="superscript"/>
        </w:rPr>
      </w:pPr>
    </w:p>
    <w:p>
      <w:pPr>
        <w:ind w:left="2" w:right="660" w:hanging="2"/>
        <w:spacing w:after="0" w:line="241" w:lineRule="auto"/>
        <w:tabs>
          <w:tab w:leader="none" w:pos="181" w:val="left"/>
        </w:tabs>
        <w:numPr>
          <w:ilvl w:val="0"/>
          <w:numId w:val="1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11,354 shares of restricted common stock withheld by the Company upon vesting of restricted stock awards to satisfy tax withholding requirements.</w:t>
      </w:r>
    </w:p>
    <w:p>
      <w:pPr>
        <w:sectPr>
          <w:pgSz w:w="11880" w:h="15480" w:orient="portrait"/>
          <w:cols w:equalWidth="0" w:num="1">
            <w:col w:w="10002"/>
          </w:cols>
          <w:pgMar w:left="938" w:top="89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002"/>
          </w:cols>
          <w:pgMar w:left="938" w:top="896" w:right="940"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42" w:lineRule="exact"/>
        <w:rPr>
          <w:sz w:val="20"/>
          <w:szCs w:val="20"/>
          <w:color w:val="auto"/>
        </w:rPr>
      </w:pPr>
    </w:p>
    <w:p>
      <w:pPr>
        <w:ind w:firstLine="48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86" w:lineRule="exact"/>
        <w:rPr>
          <w:sz w:val="20"/>
          <w:szCs w:val="20"/>
          <w:color w:val="auto"/>
        </w:rPr>
      </w:pPr>
    </w:p>
    <w:p>
      <w:pPr>
        <w:ind w:firstLine="483"/>
        <w:spacing w:after="0" w:line="282" w:lineRule="auto"/>
        <w:rPr>
          <w:sz w:val="20"/>
          <w:szCs w:val="20"/>
          <w:color w:val="auto"/>
        </w:rPr>
      </w:pPr>
      <w:r>
        <w:rPr>
          <w:rFonts w:ascii="Times New Roman" w:cs="Times New Roman" w:eastAsia="Times New Roman" w:hAnsi="Times New Roman"/>
          <w:sz w:val="18"/>
          <w:szCs w:val="18"/>
          <w:color w:val="auto"/>
        </w:rPr>
        <w:t>The following graph compares (i) the cumulative total stockholder return on our Class A common stock from December 31, 2020 through December 31, 2025 with (ii) the cumulative total return of the Standard &amp; Poor's 500 Index and the Nasdaq Computer Index over the same period, assuming the investment of $100 in our common stock and in both of the other indices on December 31, 2020 and the reinvestment of dividends. The graph uses the closing market price on December 31, 2020 of $22.19 per share as the initial value of our common stock. As discussed above, we have never declared or paid a cash dividend on our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152400</wp:posOffset>
            </wp:positionV>
            <wp:extent cx="6046470" cy="23672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
                      <a:extLst>
                        <a:ext uri="{28A0092B-C50C-407E-A947-70E740481C1C}"/>
                      </a:extLst>
                    </a:blip>
                    <a:srcRect/>
                    <a:stretch>
                      <a:fillRect/>
                    </a:stretch>
                  </pic:blipFill>
                  <pic:spPr bwMode="auto">
                    <a:xfrm>
                      <a:off x="0" y="0"/>
                      <a:ext cx="6046470" cy="236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firstLine="483"/>
        <w:spacing w:after="0" w:line="269" w:lineRule="auto"/>
        <w:rPr>
          <w:sz w:val="20"/>
          <w:szCs w:val="20"/>
          <w:color w:val="auto"/>
        </w:rPr>
      </w:pPr>
      <w:r>
        <w:rPr>
          <w:rFonts w:ascii="Times New Roman" w:cs="Times New Roman" w:eastAsia="Times New Roman" w:hAnsi="Times New Roman"/>
          <w:sz w:val="20"/>
          <w:szCs w:val="20"/>
          <w:color w:val="auto"/>
        </w:rPr>
        <w:t>*Returns are based on historical results and are not necessarily indicative of future performance. See the disclosure in Part I, Item 1A, “Risk 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6. RESERVED</w:t>
      </w:r>
    </w:p>
    <w:p>
      <w:pPr>
        <w:sectPr>
          <w:pgSz w:w="11880" w:h="15480" w:orient="portrait"/>
          <w:cols w:equalWidth="0" w:num="1">
            <w:col w:w="9880"/>
          </w:cols>
          <w:pgMar w:left="940" w:top="899"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880"/>
          </w:cols>
          <w:pgMar w:left="940" w:top="899" w:right="1060" w:bottom="0" w:gutter="0" w:footer="0" w:header="0"/>
          <w:type w:val="continuous"/>
        </w:sectPr>
      </w:pPr>
    </w:p>
    <w:bookmarkStart w:id="151" w:name="page152"/>
    <w:bookmarkEnd w:id="151"/>
    <w:p>
      <w:pPr>
        <w:ind w:right="20"/>
        <w:spacing w:after="0" w:line="296" w:lineRule="auto"/>
        <w:rPr>
          <w:sz w:val="20"/>
          <w:szCs w:val="20"/>
          <w:color w:val="auto"/>
        </w:rPr>
      </w:pPr>
      <w:r>
        <w:rPr>
          <w:rFonts w:ascii="Times New Roman" w:cs="Times New Roman" w:eastAsia="Times New Roman" w:hAnsi="Times New Roman"/>
          <w:sz w:val="23"/>
          <w:szCs w:val="23"/>
          <w:b w:val="1"/>
          <w:bCs w:val="1"/>
          <w:color w:val="auto"/>
        </w:rPr>
        <w:t>ITEM 7. MANAGEMENT’S DISCUSSION AND ANALYSIS OF FINANCIAL CONDITION AND RESULTS OF OPERATIONS</w:t>
      </w:r>
    </w:p>
    <w:p>
      <w:pPr>
        <w:spacing w:after="0" w:line="161" w:lineRule="exact"/>
        <w:rPr>
          <w:sz w:val="20"/>
          <w:szCs w:val="20"/>
          <w:color w:val="auto"/>
        </w:rPr>
      </w:pPr>
    </w:p>
    <w:p>
      <w:pPr>
        <w:ind w:right="40" w:firstLine="526"/>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For a comparison of our results of operations for the fiscal years ended December 31, 2024 and 2023 see Item 7, Management’s Discussion and Analysis of Financial Condition and Results of Operations, of our Annual Report on Form 10-K for the fiscal year ended December 31, 2024, filed with the SEC on February 21,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8" w:lineRule="exact"/>
        <w:rPr>
          <w:sz w:val="20"/>
          <w:szCs w:val="20"/>
          <w:color w:val="auto"/>
        </w:rPr>
      </w:pPr>
    </w:p>
    <w:p>
      <w:pPr>
        <w:jc w:val="both"/>
        <w:ind w:right="120" w:firstLine="483"/>
        <w:spacing w:after="0" w:line="256" w:lineRule="auto"/>
        <w:rPr>
          <w:sz w:val="20"/>
          <w:szCs w:val="20"/>
          <w:color w:val="auto"/>
        </w:rPr>
      </w:pPr>
      <w:r>
        <w:rPr>
          <w:rFonts w:ascii="Times New Roman" w:cs="Times New Roman" w:eastAsia="Times New Roman" w:hAnsi="Times New Roman"/>
          <w:sz w:val="20"/>
          <w:szCs w:val="20"/>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200" w:lineRule="exact"/>
        <w:rPr>
          <w:sz w:val="20"/>
          <w:szCs w:val="20"/>
          <w:color w:val="auto"/>
        </w:rPr>
      </w:pPr>
    </w:p>
    <w:p>
      <w:pPr>
        <w:ind w:right="40" w:firstLine="483"/>
        <w:spacing w:after="0" w:line="256" w:lineRule="auto"/>
        <w:rPr>
          <w:sz w:val="20"/>
          <w:szCs w:val="20"/>
          <w:color w:val="auto"/>
        </w:rPr>
      </w:pPr>
      <w:r>
        <w:rPr>
          <w:rFonts w:ascii="Times New Roman" w:cs="Times New Roman" w:eastAsia="Times New Roman" w:hAnsi="Times New Roman"/>
          <w:sz w:val="20"/>
          <w:szCs w:val="20"/>
          <w:color w:val="auto"/>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spacing w:after="0" w:line="200" w:lineRule="exact"/>
        <w:rPr>
          <w:sz w:val="20"/>
          <w:szCs w:val="20"/>
          <w:color w:val="auto"/>
        </w:rPr>
      </w:pPr>
    </w:p>
    <w:p>
      <w:pPr>
        <w:ind w:right="140" w:firstLine="483"/>
        <w:spacing w:after="0" w:line="269" w:lineRule="auto"/>
        <w:rPr>
          <w:sz w:val="20"/>
          <w:szCs w:val="20"/>
          <w:color w:val="auto"/>
        </w:rPr>
      </w:pPr>
      <w:r>
        <w:rPr>
          <w:rFonts w:ascii="Times New Roman" w:cs="Times New Roman" w:eastAsia="Times New Roman" w:hAnsi="Times New Roman"/>
          <w:sz w:val="20"/>
          <w:szCs w:val="20"/>
          <w:color w:val="auto"/>
        </w:rPr>
        <w:t>By solving these universal problems, we’ve become invaluable to our users. The popularity of our platform allows us to scale efficiently. We’ve built a thriving global business with 18.08 million paying users.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Subscription Plans</w:t>
      </w:r>
    </w:p>
    <w:p>
      <w:pPr>
        <w:spacing w:after="0" w:line="128" w:lineRule="exact"/>
        <w:rPr>
          <w:sz w:val="20"/>
          <w:szCs w:val="20"/>
          <w:color w:val="auto"/>
        </w:rPr>
      </w:pPr>
    </w:p>
    <w:p>
      <w:pPr>
        <w:ind w:right="120" w:firstLine="439"/>
        <w:spacing w:after="0" w:line="246" w:lineRule="auto"/>
        <w:rPr>
          <w:sz w:val="20"/>
          <w:szCs w:val="20"/>
          <w:color w:val="auto"/>
        </w:rPr>
      </w:pPr>
      <w:r>
        <w:rPr>
          <w:rFonts w:ascii="Times New Roman" w:cs="Times New Roman" w:eastAsia="Times New Roman" w:hAnsi="Times New Roman"/>
          <w:sz w:val="20"/>
          <w:szCs w:val="20"/>
          <w:color w:val="auto"/>
        </w:rPr>
        <w:t>We generate revenue from individuals, families, teams, and organizations by selling subscriptions to our platform, which serve the varying needs of our diverse customer base. Our subscriptions include individual licenses through our Plus, Simple, Professional or Essentials plans, or multiple licenses through our Family plan or our Standard, Advanced, Business, Business Plus and Enterprise team plans. We also offer Dash, our AI-powered universal search tool, which we offer to teams at an additional cost.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15" w:lineRule="exact"/>
        <w:rPr>
          <w:sz w:val="20"/>
          <w:szCs w:val="20"/>
          <w:color w:val="auto"/>
        </w:rPr>
      </w:pPr>
    </w:p>
    <w:p>
      <w:pPr>
        <w:ind w:right="80" w:firstLine="439"/>
        <w:spacing w:after="0" w:line="250" w:lineRule="auto"/>
        <w:rPr>
          <w:sz w:val="20"/>
          <w:szCs w:val="20"/>
          <w:color w:val="auto"/>
        </w:rPr>
      </w:pPr>
      <w:r>
        <w:rPr>
          <w:rFonts w:ascii="Times New Roman" w:cs="Times New Roman" w:eastAsia="Times New Roman" w:hAnsi="Times New Roman"/>
          <w:sz w:val="20"/>
          <w:szCs w:val="20"/>
          <w:color w:val="auto"/>
        </w:rPr>
        <w:t>Our premium subscription plans, such as Professional and Advanced, provide more functionality than our other subscription plans and have higher per user prices. Our team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6" w:lineRule="exact"/>
        <w:rPr>
          <w:sz w:val="20"/>
          <w:szCs w:val="20"/>
          <w:color w:val="auto"/>
        </w:rPr>
      </w:pPr>
    </w:p>
    <w:p>
      <w:pPr>
        <w:ind w:firstLine="483"/>
        <w:spacing w:after="0" w:line="282" w:lineRule="auto"/>
        <w:rPr>
          <w:sz w:val="20"/>
          <w:szCs w:val="20"/>
          <w:color w:val="auto"/>
        </w:rPr>
      </w:pPr>
      <w:r>
        <w:rPr>
          <w:rFonts w:ascii="Times New Roman" w:cs="Times New Roman" w:eastAsia="Times New Roman" w:hAnsi="Times New Roman"/>
          <w:sz w:val="18"/>
          <w:szCs w:val="18"/>
          <w:color w:val="auto"/>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 We made the strategic decision to significantly reduce investments in FormSwift at the beginning of 2025, which has negatively impacted our annual recurring revenue ("ARR"), revenue and paying users in 2025.</w:t>
      </w:r>
    </w:p>
    <w:p>
      <w:pPr>
        <w:spacing w:after="0" w:line="179" w:lineRule="exact"/>
        <w:rPr>
          <w:sz w:val="20"/>
          <w:szCs w:val="20"/>
          <w:color w:val="auto"/>
        </w:rPr>
      </w:pPr>
    </w:p>
    <w:p>
      <w:pPr>
        <w:ind w:right="20" w:firstLine="439"/>
        <w:spacing w:after="0" w:line="282" w:lineRule="auto"/>
        <w:rPr>
          <w:sz w:val="20"/>
          <w:szCs w:val="20"/>
          <w:color w:val="auto"/>
        </w:rPr>
      </w:pPr>
      <w:r>
        <w:rPr>
          <w:rFonts w:ascii="Times New Roman" w:cs="Times New Roman" w:eastAsia="Times New Roman" w:hAnsi="Times New Roman"/>
          <w:sz w:val="18"/>
          <w:szCs w:val="18"/>
          <w:color w:val="auto"/>
        </w:rPr>
        <w:t>We also offer DocSend as our secure document sharing and analytics solution. DocSend offers paid subscription plans, including a Personal plan designed for individuals and Standard, Advanced, Advanced Data Rooms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ectPr>
          <w:pgSz w:w="11880" w:h="15480" w:orient="portrait"/>
          <w:cols w:equalWidth="0" w:num="1">
            <w:col w:w="9980"/>
          </w:cols>
          <w:pgMar w:left="940" w:top="67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980"/>
          </w:cols>
          <w:pgMar w:left="940" w:top="675" w:right="960" w:bottom="0" w:gutter="0" w:footer="0" w:header="0"/>
          <w:type w:val="continuous"/>
        </w:sectPr>
      </w:pPr>
    </w:p>
    <w:bookmarkStart w:id="152" w:name="page153"/>
    <w:bookmarkEnd w:id="152"/>
    <w:p>
      <w:pPr>
        <w:ind w:right="100" w:firstLine="439"/>
        <w:spacing w:after="0" w:line="248" w:lineRule="auto"/>
        <w:rPr>
          <w:sz w:val="20"/>
          <w:szCs w:val="20"/>
          <w:color w:val="auto"/>
        </w:rPr>
      </w:pPr>
      <w:r>
        <w:rPr>
          <w:rFonts w:ascii="Times New Roman" w:cs="Times New Roman" w:eastAsia="Times New Roman" w:hAnsi="Times New Roman"/>
          <w:sz w:val="20"/>
          <w:szCs w:val="20"/>
          <w:color w:val="auto"/>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Dropbox Sign products are offered globally, with pricing primarily denominated in U.S. dollars.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Model</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Drive new signups</w:t>
      </w:r>
    </w:p>
    <w:p>
      <w:pPr>
        <w:spacing w:after="0" w:line="246"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20"/>
          <w:szCs w:val="20"/>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Increase conversion of registered users to our paid subscription plans</w:t>
      </w:r>
    </w:p>
    <w:p>
      <w:pPr>
        <w:spacing w:after="0" w:line="246" w:lineRule="exact"/>
        <w:rPr>
          <w:sz w:val="20"/>
          <w:szCs w:val="20"/>
          <w:color w:val="auto"/>
        </w:rPr>
      </w:pPr>
    </w:p>
    <w:p>
      <w:pPr>
        <w:ind w:firstLine="483"/>
        <w:spacing w:after="0" w:line="250" w:lineRule="auto"/>
        <w:rPr>
          <w:sz w:val="20"/>
          <w:szCs w:val="20"/>
          <w:color w:val="auto"/>
        </w:rPr>
      </w:pPr>
      <w:r>
        <w:rPr>
          <w:rFonts w:ascii="Times New Roman" w:cs="Times New Roman" w:eastAsia="Times New Roman" w:hAnsi="Times New Roman"/>
          <w:sz w:val="20"/>
          <w:szCs w:val="20"/>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Upgrade and expand existing customers</w:t>
      </w:r>
    </w:p>
    <w:p>
      <w:pPr>
        <w:spacing w:after="0" w:line="246" w:lineRule="exact"/>
        <w:rPr>
          <w:sz w:val="20"/>
          <w:szCs w:val="20"/>
          <w:color w:val="auto"/>
        </w:rPr>
      </w:pPr>
    </w:p>
    <w:p>
      <w:pPr>
        <w:ind w:right="100" w:firstLine="439"/>
        <w:spacing w:after="0" w:line="248" w:lineRule="auto"/>
        <w:rPr>
          <w:sz w:val="20"/>
          <w:szCs w:val="20"/>
          <w:color w:val="auto"/>
        </w:rPr>
      </w:pPr>
      <w:r>
        <w:rPr>
          <w:rFonts w:ascii="Times New Roman" w:cs="Times New Roman" w:eastAsia="Times New Roman" w:hAnsi="Times New Roman"/>
          <w:sz w:val="20"/>
          <w:szCs w:val="20"/>
          <w:color w:val="auto"/>
        </w:rPr>
        <w:t>We offer a range of paid subscription plans, from Plus, Simple, Professional, and Essentials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Reclaim.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Impact of Macroeconomic Factors on our Business</w:t>
      </w:r>
    </w:p>
    <w:p>
      <w:pPr>
        <w:spacing w:after="0" w:line="246" w:lineRule="exact"/>
        <w:rPr>
          <w:sz w:val="20"/>
          <w:szCs w:val="20"/>
          <w:color w:val="auto"/>
        </w:rPr>
      </w:pPr>
    </w:p>
    <w:p>
      <w:pPr>
        <w:ind w:right="440" w:firstLine="439"/>
        <w:spacing w:after="0" w:line="281"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and geopolitical conditions and their impact on customer behavior. Uncertain economic conditions including inflation, fluctuations in interest rates, fluctuations in foreign exchange rates, impacts of tariffs and retaliatory actions, geopolitical issues, changes in government administration policy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positions, and other conditions may adversely impact our results of operations and financial performance.</w:t>
      </w:r>
    </w:p>
    <w:p>
      <w:pPr>
        <w:spacing w:after="0" w:line="258" w:lineRule="exact"/>
        <w:rPr>
          <w:sz w:val="20"/>
          <w:szCs w:val="20"/>
          <w:color w:val="auto"/>
        </w:rPr>
      </w:pPr>
    </w:p>
    <w:p>
      <w:pPr>
        <w:ind w:right="100" w:firstLine="439"/>
        <w:spacing w:after="0" w:line="250" w:lineRule="auto"/>
        <w:rPr>
          <w:sz w:val="20"/>
          <w:szCs w:val="20"/>
          <w:color w:val="auto"/>
        </w:rPr>
      </w:pPr>
      <w:r>
        <w:rPr>
          <w:rFonts w:ascii="Times New Roman" w:cs="Times New Roman" w:eastAsia="Times New Roman" w:hAnsi="Times New Roman"/>
          <w:sz w:val="20"/>
          <w:szCs w:val="20"/>
          <w:color w:val="auto"/>
        </w:rPr>
        <w:t>During the year ended December 31, 2025, our overall performance exceeded expectations, with business trends reflecting steady execution amid ongoing macroeconomic uncertainty. We saw better than expected improvements in customer retention and engagement, particularly across our Individual plans. While Teams performance showed signs of stabilization, it continues to be affected by cautious customer spend amid broader macroeconomic uncertainty. Additionally, DocSend delivered strong growth, while Sign modestly exceeded expectations.</w:t>
      </w:r>
    </w:p>
    <w:p>
      <w:pPr>
        <w:spacing w:after="0" w:line="206" w:lineRule="exact"/>
        <w:rPr>
          <w:sz w:val="20"/>
          <w:szCs w:val="20"/>
          <w:color w:val="auto"/>
        </w:rPr>
      </w:pPr>
    </w:p>
    <w:p>
      <w:pPr>
        <w:ind w:right="20" w:firstLine="439"/>
        <w:spacing w:after="0" w:line="252" w:lineRule="auto"/>
        <w:rPr>
          <w:sz w:val="20"/>
          <w:szCs w:val="20"/>
          <w:color w:val="auto"/>
        </w:rPr>
      </w:pPr>
      <w:r>
        <w:rPr>
          <w:rFonts w:ascii="Times New Roman" w:cs="Times New Roman" w:eastAsia="Times New Roman" w:hAnsi="Times New Roman"/>
          <w:sz w:val="20"/>
          <w:szCs w:val="20"/>
          <w:color w:val="auto"/>
        </w:rPr>
        <w:t>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 Item 1A. of this report.</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000"/>
          </w:cols>
          <w:pgMar w:left="940" w:top="696" w:right="940" w:bottom="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color w:val="auto"/>
        </w:rPr>
        <w:t>Key Business Metrics</w:t>
      </w:r>
    </w:p>
    <w:p>
      <w:pPr>
        <w:spacing w:after="0" w:line="245" w:lineRule="exact"/>
        <w:rPr>
          <w:sz w:val="20"/>
          <w:szCs w:val="20"/>
          <w:color w:val="auto"/>
        </w:rPr>
      </w:pPr>
    </w:p>
    <w:p>
      <w:pPr>
        <w:ind w:right="420" w:firstLine="439"/>
        <w:spacing w:after="0" w:line="326"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Total annual recurring revenue</w:t>
      </w:r>
    </w:p>
    <w:p>
      <w:pPr>
        <w:spacing w:after="0" w:line="129" w:lineRule="exact"/>
        <w:rPr>
          <w:sz w:val="20"/>
          <w:szCs w:val="20"/>
          <w:color w:val="auto"/>
        </w:rPr>
      </w:pPr>
    </w:p>
    <w:p>
      <w:pPr>
        <w:ind w:right="80" w:firstLine="439"/>
        <w:spacing w:after="0" w:line="282" w:lineRule="auto"/>
        <w:rPr>
          <w:sz w:val="20"/>
          <w:szCs w:val="20"/>
          <w:color w:val="auto"/>
        </w:rPr>
      </w:pPr>
      <w:r>
        <w:rPr>
          <w:rFonts w:ascii="Times New Roman" w:cs="Times New Roman" w:eastAsia="Times New Roman" w:hAnsi="Times New Roman"/>
          <w:sz w:val="18"/>
          <w:szCs w:val="18"/>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179" w:lineRule="exact"/>
        <w:rPr>
          <w:sz w:val="20"/>
          <w:szCs w:val="20"/>
          <w:color w:val="auto"/>
        </w:rPr>
      </w:pPr>
    </w:p>
    <w:p>
      <w:pPr>
        <w:ind w:right="80" w:firstLine="439"/>
        <w:spacing w:after="0" w:line="250" w:lineRule="auto"/>
        <w:rPr>
          <w:sz w:val="20"/>
          <w:szCs w:val="20"/>
          <w:color w:val="auto"/>
        </w:rPr>
      </w:pPr>
      <w:r>
        <w:rPr>
          <w:rFonts w:ascii="Times New Roman" w:cs="Times New Roman" w:eastAsia="Times New Roman" w:hAnsi="Times New Roman"/>
          <w:sz w:val="20"/>
          <w:szCs w:val="20"/>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spacing w:after="0" w:line="206" w:lineRule="exact"/>
        <w:rPr>
          <w:sz w:val="20"/>
          <w:szCs w:val="20"/>
          <w:color w:val="auto"/>
        </w:rPr>
      </w:pPr>
    </w:p>
    <w:p>
      <w:pPr>
        <w:jc w:val="both"/>
        <w:ind w:right="860" w:firstLine="439"/>
        <w:spacing w:after="0" w:line="298" w:lineRule="auto"/>
        <w:rPr>
          <w:sz w:val="20"/>
          <w:szCs w:val="20"/>
          <w:color w:val="auto"/>
        </w:rPr>
      </w:pPr>
      <w:r>
        <w:rPr>
          <w:rFonts w:ascii="Times New Roman" w:cs="Times New Roman" w:eastAsia="Times New Roman" w:hAnsi="Times New Roman"/>
          <w:sz w:val="18"/>
          <w:szCs w:val="18"/>
          <w:color w:val="auto"/>
        </w:rPr>
        <w:t>Our ARR fluctuates and may decrease in some periods as compared to prior periods. In the near term, ARR has experienced and may continue to experience a slight decline, reflecting our strategic decision to significantly reduce investments in FormSwift at the beginning of 2025 as well as our plan to wind down operations by the end of 2026.</w:t>
      </w:r>
    </w:p>
    <w:p>
      <w:pPr>
        <w:spacing w:after="0" w:line="165" w:lineRule="exact"/>
        <w:rPr>
          <w:sz w:val="20"/>
          <w:szCs w:val="20"/>
          <w:color w:val="auto"/>
        </w:rPr>
      </w:pPr>
    </w:p>
    <w:p>
      <w:pPr>
        <w:ind w:right="260" w:firstLine="439"/>
        <w:spacing w:after="0" w:line="256" w:lineRule="auto"/>
        <w:rPr>
          <w:sz w:val="20"/>
          <w:szCs w:val="20"/>
          <w:color w:val="auto"/>
        </w:rPr>
      </w:pPr>
      <w:r>
        <w:rPr>
          <w:rFonts w:ascii="Times New Roman" w:cs="Times New Roman" w:eastAsia="Times New Roman" w:hAnsi="Times New Roman"/>
          <w:sz w:val="20"/>
          <w:szCs w:val="20"/>
          <w:color w:val="auto"/>
        </w:rPr>
        <w:t>Total ARR decreased for the period ended December 31, 2025, compared to the period ended December 31, 2024 primarily driven by our strategic decision to significantly reduce our investment in FormSwift at the beginning of 2025 and a challenging operating environment across our Teams plans, partially offset by growth in Individuals plans.</w:t>
      </w:r>
    </w:p>
    <w:p>
      <w:pPr>
        <w:spacing w:after="0" w:line="200" w:lineRule="exact"/>
        <w:rPr>
          <w:sz w:val="20"/>
          <w:szCs w:val="20"/>
          <w:color w:val="auto"/>
        </w:rPr>
      </w:pPr>
    </w:p>
    <w:p>
      <w:pPr>
        <w:ind w:right="160" w:firstLine="483"/>
        <w:spacing w:after="0" w:line="269" w:lineRule="auto"/>
        <w:rPr>
          <w:sz w:val="20"/>
          <w:szCs w:val="20"/>
          <w:color w:val="auto"/>
        </w:rPr>
      </w:pPr>
      <w:r>
        <w:rPr>
          <w:rFonts w:ascii="Times New Roman" w:cs="Times New Roman" w:eastAsia="Times New Roman" w:hAnsi="Times New Roman"/>
          <w:sz w:val="20"/>
          <w:szCs w:val="20"/>
          <w:color w:val="auto"/>
        </w:rPr>
        <w:t>The below tables set forth our Total ARR using the exchange rates set at the beginning of the applicable year, as well as on a constant currency basis relative to the exchange rates used in 2025.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5"/>
          </w:tcPr>
          <w:p>
            <w:pPr>
              <w:jc w:val="center"/>
              <w:ind w:right="302"/>
              <w:spacing w:after="0"/>
              <w:rPr>
                <w:sz w:val="20"/>
                <w:szCs w:val="20"/>
                <w:color w:val="auto"/>
              </w:rPr>
            </w:pPr>
            <w:r>
              <w:rPr>
                <w:rFonts w:ascii="Times New Roman" w:cs="Times New Roman" w:eastAsia="Times New Roman" w:hAnsi="Times New Roman"/>
                <w:sz w:val="20"/>
                <w:szCs w:val="20"/>
                <w:b w:val="1"/>
                <w:bCs w:val="1"/>
                <w:color w:val="auto"/>
                <w:w w:val="96"/>
              </w:rPr>
              <w:t>As of December 31,</w:t>
            </w:r>
          </w:p>
        </w:tc>
        <w:tc>
          <w:tcPr>
            <w:tcW w:w="2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80" w:type="dxa"/>
            <w:vAlign w:val="bottom"/>
            <w:gridSpan w:val="4"/>
          </w:tcPr>
          <w:p>
            <w:pPr>
              <w:jc w:val="center"/>
              <w:ind w:left="682"/>
              <w:spacing w:after="0"/>
              <w:rPr>
                <w:sz w:val="20"/>
                <w:szCs w:val="20"/>
                <w:color w:val="auto"/>
              </w:rPr>
            </w:pPr>
            <w:r>
              <w:rPr>
                <w:rFonts w:ascii="Times New Roman" w:cs="Times New Roman" w:eastAsia="Times New Roman" w:hAnsi="Times New Roman"/>
                <w:sz w:val="20"/>
                <w:szCs w:val="20"/>
                <w:b w:val="1"/>
                <w:bCs w:val="1"/>
                <w:i w:val="1"/>
                <w:iCs w:val="1"/>
                <w:color w:val="auto"/>
                <w:w w:val="92"/>
              </w:rPr>
              <w:t>(In millions)</w:t>
            </w: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3"/>
        </w:trPr>
        <w:tc>
          <w:tcPr>
            <w:tcW w:w="20" w:type="dxa"/>
            <w:vAlign w:val="bottom"/>
          </w:tcPr>
          <w:p>
            <w:pPr>
              <w:spacing w:after="0"/>
              <w:rPr>
                <w:sz w:val="24"/>
                <w:szCs w:val="24"/>
                <w:color w:val="auto"/>
              </w:rPr>
            </w:pPr>
          </w:p>
        </w:tc>
        <w:tc>
          <w:tcPr>
            <w:tcW w:w="6400" w:type="dxa"/>
            <w:vAlign w:val="bottom"/>
            <w:tcBorders>
              <w:top w:val="single" w:sz="8" w:color="E6E6E6"/>
            </w:tcBorders>
            <w:gridSpan w:val="2"/>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ARR</w:t>
            </w:r>
          </w:p>
        </w:tc>
        <w:tc>
          <w:tcPr>
            <w:tcW w:w="400" w:type="dxa"/>
            <w:vAlign w:val="bottom"/>
            <w:tcBorders>
              <w:top w:val="single" w:sz="8" w:color="auto"/>
            </w:tcBorders>
            <w:shd w:val="clear" w:color="auto" w:fill="E6E6E6"/>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2,526</w:t>
            </w:r>
          </w:p>
        </w:tc>
        <w:tc>
          <w:tcPr>
            <w:tcW w:w="80" w:type="dxa"/>
            <w:vAlign w:val="bottom"/>
            <w:tcBorders>
              <w:top w:val="single" w:sz="8" w:color="E6E6E6"/>
            </w:tcBorders>
            <w:shd w:val="clear" w:color="auto" w:fill="E6E6E6"/>
          </w:tcPr>
          <w:p>
            <w:pPr>
              <w:spacing w:after="0"/>
              <w:rPr>
                <w:sz w:val="24"/>
                <w:szCs w:val="24"/>
                <w:color w:val="auto"/>
              </w:rPr>
            </w:pPr>
          </w:p>
        </w:tc>
        <w:tc>
          <w:tcPr>
            <w:tcW w:w="560" w:type="dxa"/>
            <w:vAlign w:val="bottom"/>
            <w:tcBorders>
              <w:top w:val="single" w:sz="8" w:color="auto"/>
            </w:tcBorders>
            <w:gridSpan w:val="2"/>
            <w:shd w:val="clear" w:color="auto" w:fill="E6E6E6"/>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20" w:type="dxa"/>
            <w:vAlign w:val="bottom"/>
          </w:tcPr>
          <w:p>
            <w:pPr>
              <w:spacing w:after="0"/>
              <w:rPr>
                <w:sz w:val="24"/>
                <w:szCs w:val="24"/>
                <w:color w:val="auto"/>
              </w:rPr>
            </w:pPr>
          </w:p>
        </w:tc>
      </w:tr>
      <w:tr>
        <w:trPr>
          <w:trHeight w:val="59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center"/>
              <w:ind w:right="322"/>
              <w:spacing w:after="0"/>
              <w:rPr>
                <w:sz w:val="20"/>
                <w:szCs w:val="20"/>
                <w:color w:val="auto"/>
              </w:rPr>
            </w:pPr>
            <w:r>
              <w:rPr>
                <w:rFonts w:ascii="Times New Roman" w:cs="Times New Roman" w:eastAsia="Times New Roman" w:hAnsi="Times New Roman"/>
                <w:sz w:val="20"/>
                <w:szCs w:val="20"/>
                <w:b w:val="1"/>
                <w:bCs w:val="1"/>
                <w:color w:val="auto"/>
                <w:w w:val="97"/>
              </w:rPr>
              <w:t>As of December 31,</w:t>
            </w:r>
          </w:p>
        </w:tc>
        <w:tc>
          <w:tcPr>
            <w:tcW w:w="20" w:type="dxa"/>
            <w:vAlign w:val="bottom"/>
            <w:tcBorders>
              <w:bottom w:val="single" w:sz="8" w:color="auto"/>
            </w:tcBorders>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63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Constant Currency</w:t>
            </w: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80" w:type="dxa"/>
            <w:vAlign w:val="bottom"/>
            <w:gridSpan w:val="4"/>
          </w:tcPr>
          <w:p>
            <w:pPr>
              <w:jc w:val="center"/>
              <w:ind w:left="682"/>
              <w:spacing w:after="0"/>
              <w:rPr>
                <w:sz w:val="20"/>
                <w:szCs w:val="20"/>
                <w:color w:val="auto"/>
              </w:rPr>
            </w:pPr>
            <w:r>
              <w:rPr>
                <w:rFonts w:ascii="Times New Roman" w:cs="Times New Roman" w:eastAsia="Times New Roman" w:hAnsi="Times New Roman"/>
                <w:sz w:val="20"/>
                <w:szCs w:val="20"/>
                <w:b w:val="1"/>
                <w:bCs w:val="1"/>
                <w:i w:val="1"/>
                <w:iCs w:val="1"/>
                <w:color w:val="auto"/>
                <w:w w:val="92"/>
              </w:rPr>
              <w:t>(In millions)</w:t>
            </w: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3"/>
        </w:trPr>
        <w:tc>
          <w:tcPr>
            <w:tcW w:w="20" w:type="dxa"/>
            <w:vAlign w:val="bottom"/>
            <w:tcBorders>
              <w:top w:val="single" w:sz="8" w:color="E6E6E6"/>
            </w:tcBorders>
            <w:shd w:val="clear" w:color="auto" w:fill="E6E6E6"/>
          </w:tcPr>
          <w:p>
            <w:pPr>
              <w:spacing w:after="0"/>
              <w:rPr>
                <w:sz w:val="24"/>
                <w:szCs w:val="24"/>
                <w:color w:val="auto"/>
              </w:rPr>
            </w:pPr>
          </w:p>
        </w:tc>
        <w:tc>
          <w:tcPr>
            <w:tcW w:w="6380" w:type="dxa"/>
            <w:vAlign w:val="bottom"/>
            <w:tcBorders>
              <w:top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ARR</w:t>
            </w:r>
          </w:p>
        </w:tc>
        <w:tc>
          <w:tcPr>
            <w:tcW w:w="20" w:type="dxa"/>
            <w:vAlign w:val="bottom"/>
            <w:tcBorders>
              <w:top w:val="single" w:sz="8" w:color="auto"/>
            </w:tcBorders>
            <w:shd w:val="clear" w:color="auto" w:fill="E6E6E6"/>
          </w:tcPr>
          <w:p>
            <w:pPr>
              <w:spacing w:after="0"/>
              <w:rPr>
                <w:sz w:val="24"/>
                <w:szCs w:val="24"/>
                <w:color w:val="auto"/>
              </w:rPr>
            </w:pPr>
          </w:p>
        </w:tc>
        <w:tc>
          <w:tcPr>
            <w:tcW w:w="400" w:type="dxa"/>
            <w:vAlign w:val="bottom"/>
            <w:tcBorders>
              <w:top w:val="single" w:sz="8" w:color="auto"/>
            </w:tcBorders>
            <w:shd w:val="clear" w:color="auto" w:fill="E6E6E6"/>
          </w:tcPr>
          <w:p>
            <w:pPr>
              <w:jc w:val="right"/>
              <w:ind w:right="182"/>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2,526</w:t>
            </w:r>
          </w:p>
        </w:tc>
        <w:tc>
          <w:tcPr>
            <w:tcW w:w="100" w:type="dxa"/>
            <w:vAlign w:val="bottom"/>
            <w:tcBorders>
              <w:top w:val="single" w:sz="8" w:color="E6E6E6"/>
            </w:tcBorders>
            <w:gridSpan w:val="2"/>
            <w:shd w:val="clear" w:color="auto" w:fill="E6E6E6"/>
          </w:tcPr>
          <w:p>
            <w:pPr>
              <w:spacing w:after="0"/>
              <w:rPr>
                <w:sz w:val="24"/>
                <w:szCs w:val="24"/>
                <w:color w:val="auto"/>
              </w:rPr>
            </w:pPr>
          </w:p>
        </w:tc>
        <w:tc>
          <w:tcPr>
            <w:tcW w:w="540" w:type="dxa"/>
            <w:vAlign w:val="bottom"/>
            <w:tcBorders>
              <w:top w:val="single" w:sz="8" w:color="auto"/>
            </w:tcBorders>
            <w:shd w:val="clear" w:color="auto" w:fill="E6E6E6"/>
          </w:tcPr>
          <w:p>
            <w:pPr>
              <w:jc w:val="right"/>
              <w:ind w:right="322"/>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2,571</w:t>
            </w:r>
          </w:p>
        </w:tc>
        <w:tc>
          <w:tcPr>
            <w:tcW w:w="20" w:type="dxa"/>
            <w:vAlign w:val="bottom"/>
            <w:tcBorders>
              <w:top w:val="single" w:sz="8" w:color="auto"/>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-1144905</wp:posOffset>
            </wp:positionV>
            <wp:extent cx="2315845" cy="495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2">
                      <a:extLst>
                        <a:ext uri="{28A0092B-C50C-407E-A947-70E740481C1C}"/>
                      </a:extLst>
                    </a:blip>
                    <a:srcRect/>
                    <a:stretch>
                      <a:fillRect/>
                    </a:stretch>
                  </pic:blipFill>
                  <pic:spPr bwMode="auto">
                    <a:xfrm>
                      <a:off x="0" y="0"/>
                      <a:ext cx="2315845" cy="49530"/>
                    </a:xfrm>
                    <a:prstGeom prst="rect">
                      <a:avLst/>
                    </a:prstGeom>
                    <a:noFill/>
                  </pic:spPr>
                </pic:pic>
              </a:graphicData>
            </a:graphic>
          </wp:anchor>
        </w:drawing>
        <w:drawing>
          <wp:anchor simplePos="0" relativeHeight="251657728" behindDoc="1" locked="0" layoutInCell="0" allowOverlap="1">
            <wp:simplePos x="0" y="0"/>
            <wp:positionH relativeFrom="column">
              <wp:posOffset>4037330</wp:posOffset>
            </wp:positionH>
            <wp:positionV relativeFrom="paragraph">
              <wp:posOffset>-210185</wp:posOffset>
            </wp:positionV>
            <wp:extent cx="2334260" cy="495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
                      <a:extLst>
                        <a:ext uri="{28A0092B-C50C-407E-A947-70E740481C1C}"/>
                      </a:extLst>
                    </a:blip>
                    <a:srcRect/>
                    <a:stretch>
                      <a:fillRect/>
                    </a:stretch>
                  </pic:blipFill>
                  <pic:spPr bwMode="auto">
                    <a:xfrm>
                      <a:off x="0" y="0"/>
                      <a:ext cx="2334260" cy="49530"/>
                    </a:xfrm>
                    <a:prstGeom prst="rect">
                      <a:avLst/>
                    </a:prstGeom>
                    <a:noFill/>
                  </pic:spPr>
                </pic:pic>
              </a:graphicData>
            </a:graphic>
          </wp:anchor>
        </w:drawing>
      </w:r>
    </w:p>
    <w:p>
      <w:pPr>
        <w:spacing w:after="0" w:line="387" w:lineRule="exact"/>
        <w:rPr>
          <w:sz w:val="20"/>
          <w:szCs w:val="20"/>
          <w:color w:val="auto"/>
        </w:rPr>
      </w:pPr>
    </w:p>
    <w:p>
      <w:pPr>
        <w:ind w:right="220" w:firstLine="483"/>
        <w:spacing w:after="0" w:line="269" w:lineRule="auto"/>
        <w:rPr>
          <w:sz w:val="20"/>
          <w:szCs w:val="20"/>
          <w:color w:val="auto"/>
        </w:rPr>
      </w:pPr>
      <w:r>
        <w:rPr>
          <w:rFonts w:ascii="Times New Roman" w:cs="Times New Roman" w:eastAsia="Times New Roman" w:hAnsi="Times New Roman"/>
          <w:sz w:val="20"/>
          <w:szCs w:val="20"/>
          <w:color w:val="auto"/>
        </w:rPr>
        <w:t>Revaluing our ending Total ARR for fiscal 2025 using exchange rates set at the beginning of fiscal 2026, Total ARR at the end of fiscal 2025 would be $2,562 million.</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Paying users</w:t>
      </w:r>
    </w:p>
    <w:p>
      <w:pPr>
        <w:spacing w:after="0" w:line="129" w:lineRule="exact"/>
        <w:rPr>
          <w:sz w:val="20"/>
          <w:szCs w:val="20"/>
          <w:color w:val="auto"/>
        </w:rPr>
      </w:pPr>
    </w:p>
    <w:p>
      <w:pPr>
        <w:ind w:right="80" w:firstLine="439"/>
        <w:spacing w:after="0" w:line="234" w:lineRule="auto"/>
        <w:rPr>
          <w:sz w:val="20"/>
          <w:szCs w:val="20"/>
          <w:color w:val="auto"/>
        </w:rPr>
      </w:pPr>
      <w:r>
        <w:rPr>
          <w:rFonts w:ascii="Times New Roman" w:cs="Times New Roman" w:eastAsia="Times New Roman" w:hAnsi="Times New Roman"/>
          <w:sz w:val="20"/>
          <w:szCs w:val="20"/>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spacing w:after="0" w:line="184" w:lineRule="exact"/>
        <w:rPr>
          <w:sz w:val="20"/>
          <w:szCs w:val="20"/>
          <w:color w:val="auto"/>
        </w:rPr>
      </w:pPr>
    </w:p>
    <w:p>
      <w:pPr>
        <w:ind w:right="220" w:firstLine="439"/>
        <w:spacing w:after="0" w:line="269" w:lineRule="auto"/>
        <w:rPr>
          <w:sz w:val="20"/>
          <w:szCs w:val="20"/>
          <w:color w:val="auto"/>
        </w:rPr>
      </w:pPr>
      <w:r>
        <w:rPr>
          <w:rFonts w:ascii="Times New Roman" w:cs="Times New Roman" w:eastAsia="Times New Roman" w:hAnsi="Times New Roman"/>
          <w:sz w:val="20"/>
          <w:szCs w:val="20"/>
          <w:color w:val="auto"/>
        </w:rPr>
        <w:t>For DocSend, FormSwift and Reclaim, we define paying users as the number of users who have active paid licenses for access to our platform as of the end of the period.</w:t>
      </w:r>
    </w:p>
    <w:p>
      <w:pPr>
        <w:sectPr>
          <w:pgSz w:w="11880" w:h="15480" w:orient="portrait"/>
          <w:cols w:equalWidth="0" w:num="1">
            <w:col w:w="10000"/>
          </w:cols>
          <w:pgMar w:left="940" w:top="6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000"/>
          </w:cols>
          <w:pgMar w:left="940" w:top="689" w:right="940" w:bottom="0" w:gutter="0" w:footer="0" w:header="0"/>
          <w:type w:val="continuous"/>
        </w:sectPr>
      </w:pPr>
    </w:p>
    <w:bookmarkStart w:id="154" w:name="page155"/>
    <w:bookmarkEnd w:id="154"/>
    <w:p>
      <w:pPr>
        <w:ind w:right="80" w:firstLine="439"/>
        <w:spacing w:after="0" w:line="249" w:lineRule="auto"/>
        <w:rPr>
          <w:sz w:val="20"/>
          <w:szCs w:val="20"/>
          <w:color w:val="auto"/>
        </w:rPr>
      </w:pPr>
      <w:r>
        <w:rPr>
          <w:rFonts w:ascii="Times New Roman" w:cs="Times New Roman" w:eastAsia="Times New Roman" w:hAnsi="Times New Roman"/>
          <w:sz w:val="20"/>
          <w:szCs w:val="20"/>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07"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20"/>
          <w:szCs w:val="20"/>
          <w:color w:val="auto"/>
        </w:rPr>
        <w:t>The number of paying users as of December 31, 2025 declined as compared to December 31, 2024, largely due to reduced outbound sales activity following our 2024 reduction in workforce, continued pressure on our Teams plans and our strategic decision to significantly reduce our investments in FormSwift at the beginning of 2025, offset by growth in Simple. We expect that the total number of paying users will continue to fluctuate from period to period and may continue to decrease in some periods as compared to prior periods.</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below table sets forth the number of paying users as of December 31, 2025 and 2024.</w:t>
      </w:r>
    </w:p>
    <w:p>
      <w:pPr>
        <w:spacing w:after="0" w:line="30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0"/>
          <w:szCs w:val="20"/>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4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6"/>
        </w:trPr>
        <w:tc>
          <w:tcPr>
            <w:tcW w:w="6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tc>
        <w:tc>
          <w:tcPr>
            <w:tcW w:w="1180" w:type="dxa"/>
            <w:vAlign w:val="bottom"/>
          </w:tcPr>
          <w:p>
            <w:pPr>
              <w:spacing w:after="0"/>
              <w:rPr>
                <w:sz w:val="23"/>
                <w:szCs w:val="23"/>
                <w:color w:val="auto"/>
              </w:rPr>
            </w:pPr>
          </w:p>
        </w:tc>
      </w:tr>
      <w:tr>
        <w:trPr>
          <w:trHeight w:val="299"/>
        </w:trPr>
        <w:tc>
          <w:tcPr>
            <w:tcW w:w="7580" w:type="dxa"/>
            <w:vAlign w:val="bottom"/>
            <w:gridSpan w:val="2"/>
            <w:shd w:val="clear" w:color="auto" w:fill="E6E6E6"/>
          </w:tcPr>
          <w:p>
            <w:pPr>
              <w:jc w:val="right"/>
              <w:ind w:right="6442"/>
              <w:spacing w:after="0"/>
              <w:rPr>
                <w:sz w:val="20"/>
                <w:szCs w:val="20"/>
                <w:color w:val="auto"/>
              </w:rPr>
            </w:pPr>
            <w:r>
              <w:rPr>
                <w:rFonts w:ascii="Times New Roman" w:cs="Times New Roman" w:eastAsia="Times New Roman" w:hAnsi="Times New Roman"/>
                <w:sz w:val="20"/>
                <w:szCs w:val="20"/>
                <w:color w:val="auto"/>
              </w:rPr>
              <w:t>Paying users</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18.08</w:t>
            </w:r>
          </w:p>
        </w:tc>
        <w:tc>
          <w:tcPr>
            <w:tcW w:w="6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18.22</w:t>
            </w:r>
          </w:p>
        </w:tc>
      </w:tr>
    </w:tbl>
    <w:p>
      <w:pPr>
        <w:spacing w:after="0" w:line="2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Average revenue per paying user</w:t>
      </w:r>
    </w:p>
    <w:p>
      <w:pPr>
        <w:spacing w:after="0" w:line="129"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20"/>
          <w:szCs w:val="20"/>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323" w:lineRule="exact"/>
        <w:rPr>
          <w:sz w:val="20"/>
          <w:szCs w:val="20"/>
          <w:color w:val="auto"/>
        </w:rPr>
      </w:pPr>
    </w:p>
    <w:p>
      <w:pPr>
        <w:ind w:right="280" w:firstLine="483"/>
        <w:spacing w:after="0" w:line="256" w:lineRule="auto"/>
        <w:rPr>
          <w:sz w:val="20"/>
          <w:szCs w:val="20"/>
          <w:color w:val="auto"/>
        </w:rPr>
      </w:pPr>
      <w:r>
        <w:rPr>
          <w:rFonts w:ascii="Times New Roman" w:cs="Times New Roman" w:eastAsia="Times New Roman" w:hAnsi="Times New Roman"/>
          <w:sz w:val="20"/>
          <w:szCs w:val="20"/>
          <w:color w:val="auto"/>
        </w:rPr>
        <w:t>The average revenue per paying user for the year ended December 31, 2025 decreased as compared to the year ended December 31, 2024 as a result of our strategic decision to significantly reduce our investment in FormSwift and an increased mix of sales towards our lower priced plans.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below table sets forth our ARPU for the years ended December 31, 2025 and 2024.</w:t>
      </w:r>
    </w:p>
    <w:p>
      <w:pPr>
        <w:spacing w:after="0" w:line="26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8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4326255</wp:posOffset>
                </wp:positionH>
                <wp:positionV relativeFrom="paragraph">
                  <wp:posOffset>26035</wp:posOffset>
                </wp:positionV>
                <wp:extent cx="2025015"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65pt,2.05pt" to="500.1pt,2.05pt" o:allowincell="f" strokecolor="#000000" strokeweight="0.975pt"/>
            </w:pict>
          </mc:Fallback>
        </mc:AlternateContent>
      </w:r>
    </w:p>
    <w:p>
      <w:pPr>
        <w:spacing w:after="0" w:line="28" w:lineRule="exact"/>
        <w:rPr>
          <w:sz w:val="20"/>
          <w:szCs w:val="20"/>
          <w:color w:val="auto"/>
        </w:rPr>
      </w:pPr>
    </w:p>
    <w:p>
      <w:pPr>
        <w:ind w:left="7400"/>
        <w:spacing w:after="0"/>
        <w:tabs>
          <w:tab w:leader="none" w:pos="90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6377940" cy="2108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4">
                      <a:extLst>
                        <a:ext uri="{28A0092B-C50C-407E-A947-70E740481C1C}"/>
                      </a:extLst>
                    </a:blip>
                    <a:srcRect/>
                    <a:stretch>
                      <a:fillRect/>
                    </a:stretch>
                  </pic:blipFill>
                  <pic:spPr bwMode="auto">
                    <a:xfrm>
                      <a:off x="0" y="0"/>
                      <a:ext cx="6377940" cy="210820"/>
                    </a:xfrm>
                    <a:prstGeom prst="rect">
                      <a:avLst/>
                    </a:prstGeom>
                    <a:noFill/>
                  </pic:spPr>
                </pic:pic>
              </a:graphicData>
            </a:graphic>
          </wp:anchor>
        </w:drawing>
      </w:r>
    </w:p>
    <w:p>
      <w:pPr>
        <w:spacing w:after="0" w:line="11" w:lineRule="exact"/>
        <w:rPr>
          <w:sz w:val="20"/>
          <w:szCs w:val="20"/>
          <w:color w:val="auto"/>
        </w:rPr>
      </w:pPr>
    </w:p>
    <w:p>
      <w:pPr>
        <w:ind w:left="40"/>
        <w:spacing w:after="0"/>
        <w:tabs>
          <w:tab w:leader="none" w:pos="6840" w:val="left"/>
          <w:tab w:leader="none" w:pos="7740" w:val="left"/>
          <w:tab w:leader="none" w:pos="8460" w:val="left"/>
          <w:tab w:leader="none" w:pos="9360" w:val="left"/>
        </w:tabs>
        <w:rPr>
          <w:sz w:val="20"/>
          <w:szCs w:val="20"/>
          <w:color w:val="auto"/>
        </w:rPr>
      </w:pPr>
      <w:r>
        <w:rPr>
          <w:rFonts w:ascii="Times New Roman" w:cs="Times New Roman" w:eastAsia="Times New Roman" w:hAnsi="Times New Roman"/>
          <w:sz w:val="20"/>
          <w:szCs w:val="20"/>
          <w:color w:val="auto"/>
        </w:rPr>
        <w:t>ARPU</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138.91</w:t>
        <w:tab/>
        <w:t>$</w:t>
      </w:r>
      <w:r>
        <w:rPr>
          <w:sz w:val="20"/>
          <w:szCs w:val="20"/>
          <w:color w:val="auto"/>
        </w:rPr>
        <w:tab/>
      </w:r>
      <w:r>
        <w:rPr>
          <w:rFonts w:ascii="Times New Roman" w:cs="Times New Roman" w:eastAsia="Times New Roman" w:hAnsi="Times New Roman"/>
          <w:sz w:val="18"/>
          <w:szCs w:val="18"/>
          <w:color w:val="auto"/>
        </w:rPr>
        <w:t>140.23</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000"/>
          </w:cols>
          <w:pgMar w:left="940" w:top="696" w:right="940"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auto"/>
        </w:rPr>
        <w:t>Non-GAAP Financial Measure</w:t>
      </w:r>
    </w:p>
    <w:p>
      <w:pPr>
        <w:spacing w:after="0" w:line="245" w:lineRule="exact"/>
        <w:rPr>
          <w:sz w:val="20"/>
          <w:szCs w:val="20"/>
          <w:color w:val="auto"/>
        </w:rPr>
      </w:pPr>
    </w:p>
    <w:p>
      <w:pPr>
        <w:ind w:right="420" w:firstLine="439"/>
        <w:spacing w:after="0" w:line="269" w:lineRule="auto"/>
        <w:rPr>
          <w:sz w:val="20"/>
          <w:szCs w:val="20"/>
          <w:color w:val="auto"/>
        </w:rPr>
      </w:pPr>
      <w:r>
        <w:rPr>
          <w:rFonts w:ascii="Times New Roman" w:cs="Times New Roman" w:eastAsia="Times New Roman" w:hAnsi="Times New Roman"/>
          <w:sz w:val="20"/>
          <w:szCs w:val="20"/>
          <w:color w:val="auto"/>
        </w:rPr>
        <w:t>In addition to our results determined in accordance with U.S. generally accepted accounting principles, or GAAP, we believe that free cash flow, or FCF, a non-GAAP financial measure, is useful in evaluating our liquidity.</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129" w:lineRule="exact"/>
        <w:rPr>
          <w:sz w:val="20"/>
          <w:szCs w:val="20"/>
          <w:color w:val="auto"/>
        </w:rPr>
      </w:pPr>
    </w:p>
    <w:p>
      <w:pPr>
        <w:ind w:right="20" w:firstLine="439"/>
        <w:spacing w:after="0" w:line="247" w:lineRule="auto"/>
        <w:rPr>
          <w:sz w:val="20"/>
          <w:szCs w:val="20"/>
          <w:color w:val="auto"/>
        </w:rPr>
      </w:pPr>
      <w:r>
        <w:rPr>
          <w:rFonts w:ascii="Times New Roman" w:cs="Times New Roman" w:eastAsia="Times New Roman" w:hAnsi="Times New Roman"/>
          <w:sz w:val="20"/>
          <w:szCs w:val="20"/>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210" w:lineRule="exact"/>
        <w:rPr>
          <w:sz w:val="20"/>
          <w:szCs w:val="20"/>
          <w:color w:val="auto"/>
        </w:rPr>
      </w:pPr>
    </w:p>
    <w:p>
      <w:pPr>
        <w:ind w:firstLine="483"/>
        <w:spacing w:after="0" w:line="235" w:lineRule="auto"/>
        <w:rPr>
          <w:sz w:val="20"/>
          <w:szCs w:val="20"/>
          <w:color w:val="auto"/>
        </w:rPr>
      </w:pPr>
      <w:r>
        <w:rPr>
          <w:rFonts w:ascii="Times New Roman" w:cs="Times New Roman" w:eastAsia="Times New Roman" w:hAnsi="Times New Roman"/>
          <w:sz w:val="20"/>
          <w:szCs w:val="20"/>
          <w:color w:val="auto"/>
        </w:rPr>
        <w:t>Our FCF increased for the year ended December 31, 2025, compared to the year ended December 31, 2024, primarily due to an increase in cash provided by operating activities. The increase in cash provided by operating activities was primarily due to ongoing operating efficiency initiatives and payments related to our reduction in workforce in the fourth quarter of 2024, offset by increased foreign tax and accounts payable payments, and lease termination payments related to the partial termination of our lease for our San Francisco, California corporate headquarters.</w:t>
      </w:r>
    </w:p>
    <w:p>
      <w:pPr>
        <w:spacing w:after="0" w:line="200" w:lineRule="exact"/>
        <w:rPr>
          <w:sz w:val="20"/>
          <w:szCs w:val="20"/>
          <w:color w:val="auto"/>
        </w:rPr>
      </w:pPr>
    </w:p>
    <w:p>
      <w:pPr>
        <w:ind w:right="140" w:firstLine="439"/>
        <w:spacing w:after="0" w:line="261" w:lineRule="auto"/>
        <w:rPr>
          <w:sz w:val="20"/>
          <w:szCs w:val="20"/>
          <w:color w:val="auto"/>
        </w:rPr>
      </w:pPr>
      <w:r>
        <w:rPr>
          <w:rFonts w:ascii="Times New Roman" w:cs="Times New Roman" w:eastAsia="Times New Roman" w:hAnsi="Times New Roman"/>
          <w:sz w:val="18"/>
          <w:szCs w:val="18"/>
          <w:color w:val="auto"/>
        </w:rPr>
        <w:t>We expect our FCF to fluctuate in the near term due to ongoing operating efficiency initiatives and variability in interest payments for any additional draws on our term loan facility, as well as fluctuations in market interest rates. We expect to continue purchasing infrastructure equipment to support our user base and expect a one-time incremental investment related to the build-out of our new San Francisco, California headquarters given we will vacate our current San Francisco, California headquarters due to recent sublease activity. See Note 16, "Subsequent Events" to our consolidated financial statements included elsewhere in this Annual Report on Form 10-K. We anticipate that our capital expenditures will generally remain consistent in future periods as we continue to invest in our internal infrastructure, network and security. The timing of our operating expenses as described below, may cause FCF to vary from period to period as a percentage of revenue.</w:t>
      </w:r>
    </w:p>
    <w:p>
      <w:pPr>
        <w:spacing w:after="0" w:line="181" w:lineRule="exact"/>
        <w:rPr>
          <w:sz w:val="20"/>
          <w:szCs w:val="20"/>
          <w:color w:val="auto"/>
        </w:rPr>
      </w:pPr>
    </w:p>
    <w:p>
      <w:pPr>
        <w:ind w:right="720" w:firstLine="483"/>
        <w:spacing w:after="0" w:line="269" w:lineRule="auto"/>
        <w:rPr>
          <w:sz w:val="20"/>
          <w:szCs w:val="20"/>
          <w:color w:val="auto"/>
        </w:rPr>
      </w:pPr>
      <w:r>
        <w:rPr>
          <w:rFonts w:ascii="Times New Roman" w:cs="Times New Roman" w:eastAsia="Times New Roman" w:hAnsi="Times New Roman"/>
          <w:sz w:val="20"/>
          <w:szCs w:val="20"/>
          <w:color w:val="auto"/>
        </w:rPr>
        <w:t>The following is a reconciliation of FCF to the most comparable GAAP measure, net cash provided by operating activities:</w:t>
      </w:r>
    </w:p>
    <w:p>
      <w:pPr>
        <w:spacing w:after="0" w:line="29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7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7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6"/>
        </w:trPr>
        <w:tc>
          <w:tcPr>
            <w:tcW w:w="6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tc>
        <w:tc>
          <w:tcPr>
            <w:tcW w:w="1040" w:type="dxa"/>
            <w:vAlign w:val="bottom"/>
          </w:tcPr>
          <w:p>
            <w:pPr>
              <w:spacing w:after="0"/>
              <w:rPr>
                <w:sz w:val="23"/>
                <w:szCs w:val="23"/>
                <w:color w:val="auto"/>
              </w:rPr>
            </w:pPr>
          </w:p>
        </w:tc>
      </w:tr>
      <w:tr>
        <w:trPr>
          <w:trHeight w:val="299"/>
        </w:trPr>
        <w:tc>
          <w:tcPr>
            <w:tcW w:w="67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100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951.8</w:t>
            </w:r>
          </w:p>
        </w:tc>
        <w:tc>
          <w:tcPr>
            <w:tcW w:w="6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894.1</w:t>
            </w:r>
          </w:p>
        </w:tc>
      </w:tr>
      <w:tr>
        <w:trPr>
          <w:trHeight w:val="282"/>
        </w:trPr>
        <w:tc>
          <w:tcPr>
            <w:tcW w:w="672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Capital expenditures</w:t>
            </w: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Borders>
              <w:bottom w:val="single" w:sz="8" w:color="E6E6E6"/>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w:t>
            </w:r>
          </w:p>
        </w:tc>
      </w:tr>
      <w:tr>
        <w:trPr>
          <w:trHeight w:val="292"/>
        </w:trPr>
        <w:tc>
          <w:tcPr>
            <w:tcW w:w="672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Free cash flow</w:t>
            </w:r>
          </w:p>
        </w:tc>
        <w:tc>
          <w:tcPr>
            <w:tcW w:w="1000" w:type="dxa"/>
            <w:vAlign w:val="bottom"/>
            <w:tcBorders>
              <w:bottom w:val="single" w:sz="8" w:color="auto"/>
            </w:tcBorders>
            <w:shd w:val="clear" w:color="auto" w:fill="E6E6E6"/>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930.8</w:t>
            </w:r>
          </w:p>
        </w:tc>
        <w:tc>
          <w:tcPr>
            <w:tcW w:w="6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jc w:val="right"/>
              <w:ind w:right="28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871.6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-228600</wp:posOffset>
            </wp:positionV>
            <wp:extent cx="2083435" cy="495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5">
                      <a:extLst>
                        <a:ext uri="{28A0092B-C50C-407E-A947-70E740481C1C}"/>
                      </a:extLst>
                    </a:blip>
                    <a:srcRect/>
                    <a:stretch>
                      <a:fillRect/>
                    </a:stretch>
                  </pic:blipFill>
                  <pic:spPr bwMode="auto">
                    <a:xfrm>
                      <a:off x="0" y="0"/>
                      <a:ext cx="2083435" cy="4953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-55245</wp:posOffset>
            </wp:positionV>
            <wp:extent cx="2083435" cy="742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6">
                      <a:extLst>
                        <a:ext uri="{28A0092B-C50C-407E-A947-70E740481C1C}"/>
                      </a:extLst>
                    </a:blip>
                    <a:srcRect/>
                    <a:stretch>
                      <a:fillRect/>
                    </a:stretch>
                  </pic:blipFill>
                  <pic:spPr bwMode="auto">
                    <a:xfrm>
                      <a:off x="0" y="0"/>
                      <a:ext cx="2083435" cy="74295"/>
                    </a:xfrm>
                    <a:prstGeom prst="rect">
                      <a:avLst/>
                    </a:prstGeom>
                    <a:noFill/>
                  </pic:spPr>
                </pic:pic>
              </a:graphicData>
            </a:graphic>
          </wp:anchor>
        </w:drawing>
      </w:r>
    </w:p>
    <w:p>
      <w:pPr>
        <w:sectPr>
          <w:pgSz w:w="11880" w:h="15480" w:orient="portrait"/>
          <w:cols w:equalWidth="0" w:num="1">
            <w:col w:w="10000"/>
          </w:cols>
          <w:pgMar w:left="940" w:top="6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000"/>
          </w:cols>
          <w:pgMar w:left="940" w:top="689" w:right="94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We generate revenue from sales of subscriptions to our platform.</w:t>
      </w:r>
    </w:p>
    <w:p>
      <w:pPr>
        <w:spacing w:after="0" w:line="238" w:lineRule="exact"/>
        <w:rPr>
          <w:sz w:val="20"/>
          <w:szCs w:val="20"/>
          <w:color w:val="auto"/>
        </w:rPr>
      </w:pPr>
    </w:p>
    <w:p>
      <w:pPr>
        <w:ind w:right="100" w:firstLine="439"/>
        <w:spacing w:after="0" w:line="250" w:lineRule="auto"/>
        <w:rPr>
          <w:sz w:val="20"/>
          <w:szCs w:val="20"/>
          <w:color w:val="auto"/>
        </w:rPr>
      </w:pPr>
      <w:r>
        <w:rPr>
          <w:rFonts w:ascii="Times New Roman" w:cs="Times New Roman" w:eastAsia="Times New Roman" w:hAnsi="Times New Roman"/>
          <w:sz w:val="20"/>
          <w:szCs w:val="20"/>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6" w:lineRule="exact"/>
        <w:rPr>
          <w:sz w:val="20"/>
          <w:szCs w:val="20"/>
          <w:color w:val="auto"/>
        </w:rPr>
      </w:pPr>
    </w:p>
    <w:p>
      <w:pPr>
        <w:ind w:right="120" w:firstLine="483"/>
        <w:spacing w:after="0" w:line="256" w:lineRule="auto"/>
        <w:rPr>
          <w:sz w:val="20"/>
          <w:szCs w:val="20"/>
          <w:color w:val="auto"/>
        </w:rPr>
      </w:pPr>
      <w:r>
        <w:rPr>
          <w:rFonts w:ascii="Times New Roman" w:cs="Times New Roman" w:eastAsia="Times New Roman" w:hAnsi="Times New Roman"/>
          <w:sz w:val="20"/>
          <w:szCs w:val="20"/>
          <w:color w:val="auto"/>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spacing w:after="0" w:line="200" w:lineRule="exact"/>
        <w:rPr>
          <w:sz w:val="20"/>
          <w:szCs w:val="20"/>
          <w:color w:val="auto"/>
        </w:rPr>
      </w:pPr>
    </w:p>
    <w:p>
      <w:pPr>
        <w:ind w:right="60" w:firstLine="439"/>
        <w:spacing w:after="0" w:line="250" w:lineRule="auto"/>
        <w:rPr>
          <w:sz w:val="20"/>
          <w:szCs w:val="20"/>
          <w:color w:val="auto"/>
        </w:rPr>
      </w:pPr>
      <w:r>
        <w:rPr>
          <w:rFonts w:ascii="Times New Roman" w:cs="Times New Roman" w:eastAsia="Times New Roman" w:hAnsi="Times New Roman"/>
          <w:sz w:val="20"/>
          <w:szCs w:val="20"/>
          <w:color w:val="auto"/>
        </w:rPr>
        <w:t>Our revenue growth is impacted by both the number of paying users and our ability to increase the average revenue per paying user. Our overall paying user growth rate has declined, and we expect growth in paying users to fluctuate from period to period in the future. If we do not successfully reverse the trend of decreasing average revenue per paying user, for example through increased sales of our higher-priced subscription plans, or otherwise offset slower growth or declines in paying users, we expect our revenue and revenue growth rate to continue decreasing.</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 and gross margin</w:t>
      </w:r>
    </w:p>
    <w:p>
      <w:pPr>
        <w:spacing w:after="0" w:line="126" w:lineRule="exact"/>
        <w:rPr>
          <w:sz w:val="20"/>
          <w:szCs w:val="20"/>
          <w:color w:val="auto"/>
        </w:rPr>
      </w:pPr>
    </w:p>
    <w:p>
      <w:pPr>
        <w:ind w:right="20" w:firstLine="439"/>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color w:val="auto"/>
        </w:rPr>
        <w:t>Our cost of revenue consists primarily of expenses associated with the storage, delivery, and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platform for both paying 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reduction in workforce in the fourth quarter of 2024, such as severance, benefits and other related items,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spacing w:after="0" w:line="200" w:lineRule="exact"/>
        <w:rPr>
          <w:sz w:val="20"/>
          <w:szCs w:val="20"/>
          <w:color w:val="auto"/>
        </w:rPr>
      </w:pPr>
    </w:p>
    <w:p>
      <w:pPr>
        <w:spacing w:after="0" w:line="227" w:lineRule="exact"/>
        <w:rPr>
          <w:sz w:val="20"/>
          <w:szCs w:val="20"/>
          <w:color w:val="auto"/>
        </w:rPr>
      </w:pPr>
    </w:p>
    <w:p>
      <w:pPr>
        <w:ind w:right="120" w:firstLine="439"/>
        <w:spacing w:after="0" w:line="256" w:lineRule="auto"/>
        <w:rPr>
          <w:sz w:val="20"/>
          <w:szCs w:val="20"/>
          <w:color w:val="auto"/>
        </w:rPr>
      </w:pPr>
      <w:r>
        <w:rPr>
          <w:rFonts w:ascii="Times New Roman" w:cs="Times New Roman" w:eastAsia="Times New Roman" w:hAnsi="Times New Roman"/>
          <w:sz w:val="20"/>
          <w:szCs w:val="20"/>
          <w:color w:val="auto"/>
        </w:rPr>
        <w:t>We plan to continue increasing the capacity and enhancing the capability and reliability of our infrastructure to support user growth and increased use of our platform. We expect that cost of revenue will increase in absolute dollars in both the near term and long term.</w:t>
      </w:r>
    </w:p>
    <w:p>
      <w:pPr>
        <w:spacing w:after="0" w:line="197" w:lineRule="exact"/>
        <w:rPr>
          <w:sz w:val="20"/>
          <w:szCs w:val="20"/>
          <w:color w:val="auto"/>
        </w:rPr>
      </w:pPr>
    </w:p>
    <w:p>
      <w:pPr>
        <w:ind w:right="180" w:firstLine="439"/>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Gross margin. </w:t>
      </w:r>
      <w:r>
        <w:rPr>
          <w:rFonts w:ascii="Times New Roman" w:cs="Times New Roman" w:eastAsia="Times New Roman" w:hAnsi="Times New Roman"/>
          <w:sz w:val="20"/>
          <w:szCs w:val="20"/>
          <w:color w:val="auto"/>
        </w:rPr>
        <w:t>Gross margin is gross profit expressed as a percentage of revenue. Our gross margin may fluctuate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period to period based on the timing of additional capital expenditures and the related depreciation expense, or other increases in our infrastructure costs, as well as revenue fluctuations. We expect gross margin to remain relatively constant in both the near term and long term.</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6" w:lineRule="exact"/>
        <w:rPr>
          <w:sz w:val="20"/>
          <w:szCs w:val="20"/>
          <w:color w:val="auto"/>
        </w:rPr>
      </w:pPr>
    </w:p>
    <w:p>
      <w:pPr>
        <w:ind w:firstLine="439"/>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w:t>
      </w:r>
      <w:r>
        <w:rPr>
          <w:rFonts w:ascii="Times New Roman" w:cs="Times New Roman" w:eastAsia="Times New Roman" w:hAnsi="Times New Roman"/>
          <w:sz w:val="20"/>
          <w:szCs w:val="20"/>
          <w:color w:val="auto"/>
        </w:rPr>
        <w:t>. Our research and development expenses consist primarily of employee-related costs for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engineering, product, and design teams, expenses related to our reduction in workforce in the fourth quarter of 2024,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208"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20"/>
          <w:szCs w:val="20"/>
          <w:color w:val="auto"/>
        </w:rPr>
        <w:t>We expect that research and development costs will decrease in absolute dollars and as a percentage of revenue in both the near term and long term as we continue to drive operating efficiencies across the business, partially offset by ongoing investment in key growth initiatives.</w:t>
      </w:r>
    </w:p>
    <w:p>
      <w:pPr>
        <w:sectPr>
          <w:pgSz w:w="11880" w:h="15480" w:orient="portrait"/>
          <w:cols w:equalWidth="0" w:num="1">
            <w:col w:w="10000"/>
          </w:cols>
          <w:pgMar w:left="940" w:top="689" w:right="94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000"/>
          </w:cols>
          <w:pgMar w:left="940" w:top="689" w:right="940" w:bottom="0" w:gutter="0" w:footer="0" w:header="0"/>
          <w:type w:val="continuous"/>
        </w:sectPr>
      </w:pPr>
    </w:p>
    <w:bookmarkStart w:id="157" w:name="page158"/>
    <w:bookmarkEnd w:id="157"/>
    <w:p>
      <w:pPr>
        <w:ind w:right="20" w:firstLine="439"/>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Sales and marketing</w:t>
      </w:r>
      <w:r>
        <w:rPr>
          <w:rFonts w:ascii="Times New Roman" w:cs="Times New Roman" w:eastAsia="Times New Roman" w:hAnsi="Times New Roman"/>
          <w:sz w:val="20"/>
          <w:szCs w:val="20"/>
          <w:color w:val="auto"/>
        </w:rPr>
        <w:t>. Our sales and marketing expenses relate to both self-serve and outbound sales activities, and consist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primarily of employee-related costs, expenses related to our reduction in workforce in the fourth quarter of 2024,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208" w:lineRule="exact"/>
        <w:rPr>
          <w:sz w:val="20"/>
          <w:szCs w:val="20"/>
          <w:color w:val="auto"/>
        </w:rPr>
      </w:pPr>
    </w:p>
    <w:p>
      <w:pPr>
        <w:ind w:right="160" w:firstLine="439"/>
        <w:spacing w:after="0" w:line="256" w:lineRule="auto"/>
        <w:rPr>
          <w:sz w:val="20"/>
          <w:szCs w:val="20"/>
          <w:color w:val="auto"/>
        </w:rPr>
      </w:pPr>
      <w:r>
        <w:rPr>
          <w:rFonts w:ascii="Times New Roman" w:cs="Times New Roman" w:eastAsia="Times New Roman" w:hAnsi="Times New Roman"/>
          <w:sz w:val="20"/>
          <w:szCs w:val="20"/>
          <w:color w:val="auto"/>
        </w:rPr>
        <w:t>We expect that sales and marketing expenses will remain consistent in absolute dollars in the near term and could fluctuate in the long term as we seek to grow our user base and increase our brand awareness while also retaining flexibility to invest in growth.</w:t>
      </w:r>
    </w:p>
    <w:p>
      <w:pPr>
        <w:spacing w:after="0" w:line="197"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r>
        <w:rPr>
          <w:rFonts w:ascii="Times New Roman" w:cs="Times New Roman" w:eastAsia="Times New Roman" w:hAnsi="Times New Roman"/>
          <w:sz w:val="20"/>
          <w:szCs w:val="20"/>
          <w:color w:val="auto"/>
        </w:rPr>
        <w:t>. Our general and administrative expenses consist primarily of employee-related costs for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legal, finance, human resources, and other administrative teams, as well as certain executives. In addition, general and administrative expenses include expenses related to our reduction in workforce in the fourth quarter of 2024, such as severance, benefits and other related items, allocated overhead, outside legal, accounting and other professional fees, and non income-based taxes.</w:t>
      </w:r>
    </w:p>
    <w:p>
      <w:pPr>
        <w:spacing w:after="0" w:line="204"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20"/>
          <w:szCs w:val="20"/>
          <w:color w:val="auto"/>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Net (gain) loss on real estate assets</w:t>
      </w:r>
    </w:p>
    <w:p>
      <w:pPr>
        <w:spacing w:after="0" w:line="129" w:lineRule="exact"/>
        <w:rPr>
          <w:sz w:val="20"/>
          <w:szCs w:val="20"/>
          <w:color w:val="auto"/>
        </w:rPr>
      </w:pPr>
    </w:p>
    <w:p>
      <w:pPr>
        <w:ind w:right="60" w:firstLine="439"/>
        <w:spacing w:after="0" w:line="256" w:lineRule="auto"/>
        <w:rPr>
          <w:sz w:val="20"/>
          <w:szCs w:val="20"/>
          <w:color w:val="auto"/>
        </w:rPr>
      </w:pPr>
      <w:r>
        <w:rPr>
          <w:rFonts w:ascii="Times New Roman" w:cs="Times New Roman" w:eastAsia="Times New Roman" w:hAnsi="Times New Roman"/>
          <w:sz w:val="20"/>
          <w:szCs w:val="20"/>
          <w:color w:val="auto"/>
        </w:rPr>
        <w:t>Net (gain) loss on real estate assets consists of gains and losses related to real estate and lease activity, including impairment charges. See Note 9, "Leases" to our consolidated financial statements included elsewhere in this Annual Report on Form 10-K.</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income, net</w:t>
      </w:r>
    </w:p>
    <w:p>
      <w:pPr>
        <w:spacing w:after="0" w:line="129" w:lineRule="exact"/>
        <w:rPr>
          <w:sz w:val="20"/>
          <w:szCs w:val="20"/>
          <w:color w:val="auto"/>
        </w:rPr>
      </w:pPr>
    </w:p>
    <w:p>
      <w:pPr>
        <w:ind w:right="200" w:firstLine="439"/>
        <w:spacing w:after="0" w:line="250" w:lineRule="auto"/>
        <w:rPr>
          <w:sz w:val="20"/>
          <w:szCs w:val="20"/>
          <w:color w:val="auto"/>
        </w:rPr>
      </w:pPr>
      <w:r>
        <w:rPr>
          <w:rFonts w:ascii="Times New Roman" w:cs="Times New Roman" w:eastAsia="Times New Roman" w:hAnsi="Times New Roman"/>
          <w:sz w:val="20"/>
          <w:szCs w:val="20"/>
          <w:color w:val="auto"/>
        </w:rPr>
        <w:t>Interest (expense) income, net consists primarily of interest expense related to our term loan facility, finance lease obligations for infrastructure and amortization of debt issuance costs, offset by interest income earned on our investments classified as cash and cash equivalents, and short-term investments. We expect that interest (expense), income, net may fluctuate in both the near term and the long term, depending on the timing and magnitude of any additional draws on our term loan facility, as well as changes in market interest rates.</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129" w:lineRule="exact"/>
        <w:rPr>
          <w:sz w:val="20"/>
          <w:szCs w:val="20"/>
          <w:color w:val="auto"/>
        </w:rPr>
      </w:pPr>
    </w:p>
    <w:p>
      <w:pPr>
        <w:ind w:right="160" w:firstLine="439"/>
        <w:spacing w:after="0" w:line="256" w:lineRule="auto"/>
        <w:rPr>
          <w:sz w:val="20"/>
          <w:szCs w:val="20"/>
          <w:color w:val="auto"/>
        </w:rPr>
      </w:pPr>
      <w:r>
        <w:rPr>
          <w:rFonts w:ascii="Times New Roman" w:cs="Times New Roman" w:eastAsia="Times New Roman" w:hAnsi="Times New Roman"/>
          <w:sz w:val="20"/>
          <w:szCs w:val="20"/>
          <w:color w:val="auto"/>
        </w:rPr>
        <w:t>Other income, net consists of other non-operating gains or losses, including those related to gains or losses on sale of assets, foreign currency transaction gains and losses, lease arrangements, which include sublease income, and gains and losses related to our short-term investments.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129" w:lineRule="exact"/>
        <w:rPr>
          <w:sz w:val="20"/>
          <w:szCs w:val="20"/>
          <w:color w:val="auto"/>
        </w:rPr>
      </w:pPr>
    </w:p>
    <w:p>
      <w:pPr>
        <w:jc w:val="both"/>
        <w:ind w:right="300" w:firstLine="439"/>
        <w:spacing w:after="0" w:line="256" w:lineRule="auto"/>
        <w:rPr>
          <w:sz w:val="20"/>
          <w:szCs w:val="20"/>
          <w:color w:val="auto"/>
        </w:rPr>
      </w:pPr>
      <w:r>
        <w:rPr>
          <w:rFonts w:ascii="Times New Roman" w:cs="Times New Roman" w:eastAsia="Times New Roman" w:hAnsi="Times New Roman"/>
          <w:sz w:val="20"/>
          <w:szCs w:val="20"/>
          <w:color w:val="auto"/>
        </w:rPr>
        <w:t>Provision for income taxes consists of U.S. federal, state and foreign jurisdiction income taxes. For 2025 and 2024, the difference between the U.S. statutory rate and our effective tax rate is primarily due to the jurisdictional mix of earnings, tax credits, state income taxes, stock-based compensation, and changes to our unrecognized tax benefits.</w:t>
      </w:r>
    </w:p>
    <w:p>
      <w:pPr>
        <w:sectPr>
          <w:pgSz w:w="11880" w:h="15480" w:orient="portrait"/>
          <w:cols w:equalWidth="0" w:num="1">
            <w:col w:w="10000"/>
          </w:cols>
          <w:pgMar w:left="940" w:top="92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000"/>
          </w:cols>
          <w:pgMar w:left="940" w:top="927" w:right="940" w:bottom="0" w:gutter="0" w:footer="0" w:header="0"/>
          <w:type w:val="continuous"/>
        </w:sectPr>
      </w:pPr>
    </w:p>
    <w:bookmarkStart w:id="158" w:name="page159"/>
    <w:bookmarkEnd w:id="158"/>
    <w:p>
      <w:pPr>
        <w:ind w:left="2"/>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5"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w:t>
      </w:r>
    </w:p>
    <w:p>
      <w:pPr>
        <w:sectPr>
          <w:pgSz w:w="11880" w:h="15480" w:orient="portrait"/>
          <w:cols w:equalWidth="0" w:num="1">
            <w:col w:w="10002"/>
          </w:cols>
          <w:pgMar w:left="938" w:top="6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352540" cy="175895"/>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75895"/>
                        </a:xfrm>
                        <a:prstGeom prst="rect">
                          <a:avLst/>
                        </a:prstGeom>
                        <a:solidFill>
                          <a:srgbClr val="E6E6E6"/>
                        </a:solidFill>
                      </wps:spPr>
                      <wps:bodyPr/>
                    </wps:wsp>
                  </a:graphicData>
                </a:graphic>
              </wp:anchor>
            </w:drawing>
          </mc:Choice>
          <mc:Fallback>
            <w:pict>
              <v:rect id="Shape 450" o:spid="_x0000_s1475" style="position:absolute;margin-left:0pt;margin-top:-10.9499pt;width:500.2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48"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20"/>
          <w:szCs w:val="20"/>
          <w:color w:val="auto"/>
        </w:rPr>
        <w:t>Cost of revenue</w:t>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377940" cy="2012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7">
                      <a:extLst>
                        <a:ext uri="{28A0092B-C50C-407E-A947-70E740481C1C}"/>
                      </a:extLst>
                    </a:blip>
                    <a:srcRect/>
                    <a:stretch>
                      <a:fillRect/>
                    </a:stretch>
                  </pic:blipFill>
                  <pic:spPr bwMode="auto">
                    <a:xfrm>
                      <a:off x="0" y="0"/>
                      <a:ext cx="6377940" cy="201295"/>
                    </a:xfrm>
                    <a:prstGeom prst="rect">
                      <a:avLst/>
                    </a:prstGeom>
                    <a:noFill/>
                  </pic:spPr>
                </pic:pic>
              </a:graphicData>
            </a:graphic>
          </wp:anchor>
        </w:drawing>
      </w:r>
    </w:p>
    <w:p>
      <w:pPr>
        <w:spacing w:after="0" w:line="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Gross profit</w:t>
      </w:r>
    </w:p>
    <w:p>
      <w:pPr>
        <w:spacing w:after="0" w:line="6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Operating expenses:</w:t>
      </w:r>
    </w:p>
    <w:p>
      <w:pPr>
        <w:spacing w:after="0" w:line="2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Research and development</w:t>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352540" cy="175895"/>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75895"/>
                        </a:xfrm>
                        <a:prstGeom prst="rect">
                          <a:avLst/>
                        </a:prstGeom>
                        <a:solidFill>
                          <a:srgbClr val="E6E6E6"/>
                        </a:solidFill>
                      </wps:spPr>
                      <wps:bodyPr/>
                    </wps:wsp>
                  </a:graphicData>
                </a:graphic>
              </wp:anchor>
            </w:drawing>
          </mc:Choice>
          <mc:Fallback>
            <w:pict>
              <v:rect id="Shape 452" o:spid="_x0000_s1477" style="position:absolute;margin-left:0pt;margin-top:-10.9499pt;width:500.2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Sales and marketing</w:t>
      </w:r>
      <w:r>
        <w:rPr>
          <w:rFonts w:ascii="Times New Roman" w:cs="Times New Roman" w:eastAsia="Times New Roman" w:hAnsi="Times New Roman"/>
          <w:sz w:val="12"/>
          <w:szCs w:val="12"/>
          <w:color w:val="auto"/>
        </w:rPr>
        <w:t>(1)(2)</w:t>
      </w:r>
    </w:p>
    <w:p>
      <w:pPr>
        <w:spacing w:after="0" w:line="4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General and administrative</w:t>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352540" cy="175895"/>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75895"/>
                        </a:xfrm>
                        <a:prstGeom prst="rect">
                          <a:avLst/>
                        </a:prstGeom>
                        <a:solidFill>
                          <a:srgbClr val="E6E6E6"/>
                        </a:solidFill>
                      </wps:spPr>
                      <wps:bodyPr/>
                    </wps:wsp>
                  </a:graphicData>
                </a:graphic>
              </wp:anchor>
            </w:drawing>
          </mc:Choice>
          <mc:Fallback>
            <w:pict>
              <v:rect id="Shape 453" o:spid="_x0000_s1478" style="position:absolute;margin-left:0pt;margin-top:-10.9499pt;width:500.2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Net (gain) loss on real estate assets</w:t>
      </w: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6377940" cy="2012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8">
                      <a:extLst>
                        <a:ext uri="{28A0092B-C50C-407E-A947-70E740481C1C}"/>
                      </a:extLst>
                    </a:blip>
                    <a:srcRect/>
                    <a:stretch>
                      <a:fillRect/>
                    </a:stretch>
                  </pic:blipFill>
                  <pic:spPr bwMode="auto">
                    <a:xfrm>
                      <a:off x="0" y="0"/>
                      <a:ext cx="6377940" cy="201295"/>
                    </a:xfrm>
                    <a:prstGeom prst="rect">
                      <a:avLst/>
                    </a:prstGeom>
                    <a:noFill/>
                  </pic:spPr>
                </pic:pic>
              </a:graphicData>
            </a:graphic>
          </wp:anchor>
        </w:drawing>
      </w:r>
    </w:p>
    <w:p>
      <w:pPr>
        <w:spacing w:after="0" w:line="51"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Total operating expenses</w:t>
      </w:r>
    </w:p>
    <w:p>
      <w:pPr>
        <w:spacing w:after="0" w:line="4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Income from operations</w:t>
      </w:r>
    </w:p>
    <w:p>
      <w:pPr>
        <w:spacing w:after="0" w:line="4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Interest (expense) income,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352540" cy="175895"/>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75895"/>
                        </a:xfrm>
                        <a:prstGeom prst="rect">
                          <a:avLst/>
                        </a:prstGeom>
                        <a:solidFill>
                          <a:srgbClr val="E6E6E6"/>
                        </a:solidFill>
                      </wps:spPr>
                      <wps:bodyPr/>
                    </wps:wsp>
                  </a:graphicData>
                </a:graphic>
              </wp:anchor>
            </w:drawing>
          </mc:Choice>
          <mc:Fallback>
            <w:pict>
              <v:rect id="Shape 455" o:spid="_x0000_s1480" style="position:absolute;margin-left:0pt;margin-top:-10.9499pt;width:500.2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377940" cy="2012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9">
                      <a:extLst>
                        <a:ext uri="{28A0092B-C50C-407E-A947-70E740481C1C}"/>
                      </a:extLst>
                    </a:blip>
                    <a:srcRect/>
                    <a:stretch>
                      <a:fillRect/>
                    </a:stretch>
                  </pic:blipFill>
                  <pic:spPr bwMode="auto">
                    <a:xfrm>
                      <a:off x="0" y="0"/>
                      <a:ext cx="6377940" cy="201295"/>
                    </a:xfrm>
                    <a:prstGeom prst="rect">
                      <a:avLst/>
                    </a:prstGeom>
                    <a:noFill/>
                  </pic:spPr>
                </pic:pic>
              </a:graphicData>
            </a:graphic>
          </wp:anchor>
        </w:drawing>
      </w:r>
    </w:p>
    <w:p>
      <w:pPr>
        <w:spacing w:after="0" w:line="2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Income before income taxes</w:t>
      </w:r>
    </w:p>
    <w:p>
      <w:pPr>
        <w:spacing w:after="0" w:line="4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377940" cy="23812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60">
                      <a:extLst>
                        <a:ext uri="{28A0092B-C50C-407E-A947-70E740481C1C}"/>
                      </a:extLst>
                    </a:blip>
                    <a:srcRect/>
                    <a:stretch>
                      <a:fillRect/>
                    </a:stretch>
                  </pic:blipFill>
                  <pic:spPr bwMode="auto">
                    <a:xfrm>
                      <a:off x="0" y="0"/>
                      <a:ext cx="6377940" cy="238125"/>
                    </a:xfrm>
                    <a:prstGeom prst="rect">
                      <a:avLst/>
                    </a:prstGeom>
                    <a:noFill/>
                  </pic:spPr>
                </pic:pic>
              </a:graphicData>
            </a:graphic>
          </wp:anchor>
        </w:drawing>
      </w:r>
    </w:p>
    <w:p>
      <w:pPr>
        <w:spacing w:after="0" w:line="2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Net income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10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2058670" cy="495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61">
                      <a:extLst>
                        <a:ext uri="{28A0092B-C50C-407E-A947-70E740481C1C}"/>
                      </a:extLst>
                    </a:blip>
                    <a:srcRect/>
                    <a:stretch>
                      <a:fillRect/>
                    </a:stretch>
                  </pic:blipFill>
                  <pic:spPr bwMode="auto">
                    <a:xfrm>
                      <a:off x="0" y="0"/>
                      <a:ext cx="2058670" cy="49530"/>
                    </a:xfrm>
                    <a:prstGeom prst="rect">
                      <a:avLst/>
                    </a:prstGeom>
                    <a:noFill/>
                  </pic:spPr>
                </pic:pic>
              </a:graphicData>
            </a:graphic>
          </wp:anchor>
        </w:drawing>
      </w:r>
    </w:p>
    <w:p>
      <w:pPr>
        <w:spacing w:after="0" w:line="28" w:lineRule="exact"/>
        <w:rPr>
          <w:sz w:val="20"/>
          <w:szCs w:val="20"/>
          <w:color w:val="auto"/>
        </w:rPr>
      </w:pPr>
    </w:p>
    <w:p>
      <w:pPr>
        <w:ind w:left="5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993140"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314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pt" to="78.2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1039495</wp:posOffset>
                </wp:positionH>
                <wp:positionV relativeFrom="paragraph">
                  <wp:posOffset>26035</wp:posOffset>
                </wp:positionV>
                <wp:extent cx="993775"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377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85pt,2.05pt" to="160.1pt,2.05pt" o:allowincell="f" strokecolor="#000000" strokeweight="0.975pt"/>
            </w:pict>
          </mc:Fallback>
        </mc:AlternateConten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p>
      <w:pPr>
        <w:spacing w:after="0" w:line="51" w:lineRule="exact"/>
        <w:rPr>
          <w:sz w:val="20"/>
          <w:szCs w:val="20"/>
          <w:color w:val="auto"/>
        </w:rPr>
      </w:pPr>
    </w:p>
    <w:p>
      <w:pPr>
        <w:ind w:left="60"/>
        <w:spacing w:after="0"/>
        <w:tabs>
          <w:tab w:leader="none" w:pos="880" w:val="left"/>
          <w:tab w:leader="none" w:pos="1660" w:val="left"/>
          <w:tab w:leader="none" w:pos="25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2,521.0</w:t>
        <w:tab/>
        <w:t>$</w:t>
      </w:r>
      <w:r>
        <w:rPr>
          <w:sz w:val="20"/>
          <w:szCs w:val="20"/>
          <w:color w:val="auto"/>
        </w:rPr>
        <w:tab/>
      </w:r>
      <w:r>
        <w:rPr>
          <w:rFonts w:ascii="Times New Roman" w:cs="Times New Roman" w:eastAsia="Times New Roman" w:hAnsi="Times New Roman"/>
          <w:sz w:val="18"/>
          <w:szCs w:val="18"/>
          <w:color w:val="auto"/>
        </w:rPr>
        <w:t>2,548.2</w:t>
      </w:r>
    </w:p>
    <w:p>
      <w:pPr>
        <w:spacing w:after="0" w:line="48" w:lineRule="exact"/>
        <w:rPr>
          <w:sz w:val="20"/>
          <w:szCs w:val="20"/>
          <w:color w:val="auto"/>
        </w:rPr>
      </w:pPr>
    </w:p>
    <w:p>
      <w:pPr>
        <w:ind w:left="1040"/>
        <w:spacing w:after="0"/>
        <w:tabs>
          <w:tab w:leader="none" w:pos="2660" w:val="left"/>
        </w:tabs>
        <w:rPr>
          <w:sz w:val="20"/>
          <w:szCs w:val="20"/>
          <w:color w:val="auto"/>
        </w:rPr>
      </w:pPr>
      <w:r>
        <w:rPr>
          <w:rFonts w:ascii="Times New Roman" w:cs="Times New Roman" w:eastAsia="Times New Roman" w:hAnsi="Times New Roman"/>
          <w:sz w:val="20"/>
          <w:szCs w:val="20"/>
          <w:color w:val="auto"/>
        </w:rPr>
        <w:t>500.8</w:t>
      </w:r>
      <w:r>
        <w:rPr>
          <w:sz w:val="20"/>
          <w:szCs w:val="20"/>
          <w:color w:val="auto"/>
        </w:rPr>
        <w:tab/>
      </w:r>
      <w:r>
        <w:rPr>
          <w:rFonts w:ascii="Times New Roman" w:cs="Times New Roman" w:eastAsia="Times New Roman" w:hAnsi="Times New Roman"/>
          <w:sz w:val="18"/>
          <w:szCs w:val="18"/>
          <w:color w:val="auto"/>
        </w:rPr>
        <w:t>445.1</w:t>
      </w:r>
    </w:p>
    <w:p>
      <w:pPr>
        <w:spacing w:after="0" w:line="48" w:lineRule="exact"/>
        <w:rPr>
          <w:sz w:val="20"/>
          <w:szCs w:val="20"/>
          <w:color w:val="auto"/>
        </w:rPr>
      </w:pPr>
    </w:p>
    <w:p>
      <w:pPr>
        <w:ind w:left="900"/>
        <w:spacing w:after="0"/>
        <w:tabs>
          <w:tab w:leader="none" w:pos="2520" w:val="left"/>
        </w:tabs>
        <w:rPr>
          <w:sz w:val="20"/>
          <w:szCs w:val="20"/>
          <w:color w:val="auto"/>
        </w:rPr>
      </w:pPr>
      <w:r>
        <w:rPr>
          <w:rFonts w:ascii="Times New Roman" w:cs="Times New Roman" w:eastAsia="Times New Roman" w:hAnsi="Times New Roman"/>
          <w:sz w:val="20"/>
          <w:szCs w:val="20"/>
          <w:color w:val="auto"/>
        </w:rPr>
        <w:t>2,020.2</w:t>
      </w:r>
      <w:r>
        <w:rPr>
          <w:sz w:val="20"/>
          <w:szCs w:val="20"/>
          <w:color w:val="auto"/>
        </w:rPr>
        <w:tab/>
      </w:r>
      <w:r>
        <w:rPr>
          <w:rFonts w:ascii="Times New Roman" w:cs="Times New Roman" w:eastAsia="Times New Roman" w:hAnsi="Times New Roman"/>
          <w:sz w:val="18"/>
          <w:szCs w:val="18"/>
          <w:color w:val="auto"/>
        </w:rPr>
        <w:t>2,103.1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914.9</w:t>
            </w:r>
          </w:p>
        </w:tc>
      </w:tr>
      <w:tr>
        <w:trPr>
          <w:trHeight w:val="278"/>
        </w:trPr>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369.9</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460.7</w:t>
            </w:r>
          </w:p>
        </w:tc>
      </w:tr>
      <w:tr>
        <w:trPr>
          <w:trHeight w:val="278"/>
        </w:trPr>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241.2</w:t>
            </w:r>
          </w:p>
        </w:tc>
      </w:tr>
      <w:tr>
        <w:trPr>
          <w:trHeight w:val="281"/>
        </w:trPr>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55"/>
        </w:trPr>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1,616.9</w:t>
            </w:r>
          </w:p>
        </w:tc>
      </w:tr>
      <w:tr>
        <w:trPr>
          <w:trHeight w:val="278"/>
        </w:trPr>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486.2</w:t>
            </w:r>
          </w:p>
        </w:tc>
      </w:tr>
      <w:tr>
        <w:trPr>
          <w:trHeight w:val="278"/>
        </w:trPr>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81"/>
        </w:trPr>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5"/>
        </w:trPr>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617.6</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509.8</w:t>
            </w:r>
          </w:p>
        </w:tc>
      </w:tr>
      <w:tr>
        <w:trPr>
          <w:trHeight w:val="281"/>
        </w:trPr>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w:t>
            </w:r>
          </w:p>
        </w:tc>
      </w:tr>
      <w:tr>
        <w:trPr>
          <w:trHeight w:val="239"/>
        </w:trPr>
        <w:tc>
          <w:tcPr>
            <w:tcW w:w="520" w:type="dxa"/>
            <w:vAlign w:val="bottom"/>
          </w:tcPr>
          <w:p>
            <w:pPr>
              <w:jc w:val="right"/>
              <w:ind w:right="28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508.4</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452.3</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6082" w:space="720"/>
            <w:col w:w="3200"/>
          </w:cols>
          <w:pgMar w:left="938" w:top="689" w:right="940" w:bottom="0" w:gutter="0" w:footer="0" w:header="0"/>
          <w:type w:val="continuous"/>
        </w:sectPr>
      </w:pPr>
    </w:p>
    <w:p>
      <w:pPr>
        <w:spacing w:after="0" w:line="47" w:lineRule="exact"/>
        <w:rPr>
          <w:sz w:val="20"/>
          <w:szCs w:val="20"/>
          <w:color w:val="auto"/>
        </w:rPr>
      </w:pPr>
    </w:p>
    <w:p>
      <w:pPr>
        <w:ind w:left="162" w:hanging="162"/>
        <w:spacing w:after="0"/>
        <w:tabs>
          <w:tab w:leader="none" w:pos="162" w:val="left"/>
        </w:tabs>
        <w:numPr>
          <w:ilvl w:val="0"/>
          <w:numId w:val="153"/>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Includes stock-based compensation as follows:</w:t>
      </w:r>
    </w:p>
    <w:p>
      <w:pPr>
        <w:sectPr>
          <w:pgSz w:w="11880" w:h="15480" w:orient="portrait"/>
          <w:cols w:equalWidth="0" w:num="1">
            <w:col w:w="10002"/>
          </w:cols>
          <w:pgMar w:left="938" w:top="689"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Cost of revenue</w:t>
      </w:r>
    </w:p>
    <w:p>
      <w:pPr>
        <w:spacing w:after="0" w:line="63"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Research and development</w:t>
      </w:r>
    </w:p>
    <w:p>
      <w:pPr>
        <w:spacing w:after="0" w:line="63"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Sales and marketing</w:t>
      </w:r>
    </w:p>
    <w:p>
      <w:pPr>
        <w:spacing w:after="0" w:line="63"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86" w:lineRule="exact"/>
        <w:rPr>
          <w:sz w:val="20"/>
          <w:szCs w:val="20"/>
          <w:color w:val="auto"/>
        </w:rPr>
      </w:pPr>
    </w:p>
    <w:p>
      <w:pPr>
        <w:ind w:left="62"/>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10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9"/>
        </w:trPr>
        <w:tc>
          <w:tcPr>
            <w:tcW w:w="36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tc>
        <w:tc>
          <w:tcPr>
            <w:tcW w:w="1060" w:type="dxa"/>
            <w:vAlign w:val="bottom"/>
          </w:tcPr>
          <w:p>
            <w:pPr>
              <w:spacing w:after="0"/>
              <w:rPr>
                <w:sz w:val="23"/>
                <w:szCs w:val="23"/>
                <w:color w:val="auto"/>
              </w:rPr>
            </w:pPr>
          </w:p>
        </w:tc>
      </w:tr>
      <w:tr>
        <w:trPr>
          <w:trHeight w:val="293"/>
        </w:trPr>
        <w:tc>
          <w:tcPr>
            <w:tcW w:w="3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60" w:type="dxa"/>
            <w:vAlign w:val="bottom"/>
          </w:tcPr>
          <w:p>
            <w:pPr>
              <w:spacing w:after="0"/>
              <w:rPr>
                <w:sz w:val="24"/>
                <w:szCs w:val="24"/>
                <w:color w:val="auto"/>
              </w:rPr>
            </w:pPr>
          </w:p>
        </w:tc>
        <w:tc>
          <w:tcPr>
            <w:tcW w:w="52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r>
      <w:tr>
        <w:trPr>
          <w:trHeight w:val="293"/>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211.2</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w:t>
            </w:r>
          </w:p>
        </w:tc>
      </w:tr>
      <w:tr>
        <w:trPr>
          <w:trHeight w:val="293"/>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r>
      <w:tr>
        <w:trPr>
          <w:trHeight w:val="295"/>
        </w:trPr>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60" w:type="dxa"/>
            <w:vAlign w:val="bottom"/>
            <w:tcBorders>
              <w:bottom w:val="single" w:sz="8" w:color="E6E6E6"/>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52.3</w:t>
            </w:r>
          </w:p>
        </w:tc>
      </w:tr>
      <w:tr>
        <w:trPr>
          <w:trHeight w:val="292"/>
        </w:trPr>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300.8</w:t>
            </w:r>
          </w:p>
        </w:tc>
        <w:tc>
          <w:tcPr>
            <w:tcW w:w="6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auto"/>
            </w:tcBorders>
            <w:shd w:val="clear" w:color="auto" w:fill="E6E6E6"/>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346.5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-4314190</wp:posOffset>
                </wp:positionH>
                <wp:positionV relativeFrom="paragraph">
                  <wp:posOffset>-946785</wp:posOffset>
                </wp:positionV>
                <wp:extent cx="6343015" cy="186055"/>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015" cy="186055"/>
                        </a:xfrm>
                        <a:prstGeom prst="rect">
                          <a:avLst/>
                        </a:prstGeom>
                        <a:solidFill>
                          <a:srgbClr val="E6E6E6"/>
                        </a:solidFill>
                      </wps:spPr>
                      <wps:bodyPr/>
                    </wps:wsp>
                  </a:graphicData>
                </a:graphic>
              </wp:anchor>
            </w:drawing>
          </mc:Choice>
          <mc:Fallback>
            <w:pict>
              <v:rect id="Shape 461" o:spid="_x0000_s1486" style="position:absolute;margin-left:-339.6999pt;margin-top:-74.5499pt;width:499.45pt;height:14.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-4314190</wp:posOffset>
                </wp:positionH>
                <wp:positionV relativeFrom="paragraph">
                  <wp:posOffset>-575310</wp:posOffset>
                </wp:positionV>
                <wp:extent cx="6343015" cy="186055"/>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015" cy="186055"/>
                        </a:xfrm>
                        <a:prstGeom prst="rect">
                          <a:avLst/>
                        </a:prstGeom>
                        <a:solidFill>
                          <a:srgbClr val="E6E6E6"/>
                        </a:solidFill>
                      </wps:spPr>
                      <wps:bodyPr/>
                    </wps:wsp>
                  </a:graphicData>
                </a:graphic>
              </wp:anchor>
            </w:drawing>
          </mc:Choice>
          <mc:Fallback>
            <w:pict>
              <v:rect id="Shape 462" o:spid="_x0000_s1487" style="position:absolute;margin-left:-339.6999pt;margin-top:-45.2999pt;width:499.45pt;height:14.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-4314190</wp:posOffset>
            </wp:positionH>
            <wp:positionV relativeFrom="paragraph">
              <wp:posOffset>-228600</wp:posOffset>
            </wp:positionV>
            <wp:extent cx="6368415" cy="2476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62">
                      <a:extLst>
                        <a:ext uri="{28A0092B-C50C-407E-A947-70E740481C1C}"/>
                      </a:extLst>
                    </a:blip>
                    <a:srcRect/>
                    <a:stretch>
                      <a:fillRect/>
                    </a:stretch>
                  </pic:blipFill>
                  <pic:spPr bwMode="auto">
                    <a:xfrm>
                      <a:off x="0" y="0"/>
                      <a:ext cx="6368415" cy="24765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082" w:space="720"/>
            <w:col w:w="3200"/>
          </w:cols>
          <w:pgMar w:left="938" w:top="689" w:right="940" w:bottom="0" w:gutter="0" w:footer="0" w:header="0"/>
          <w:type w:val="continuous"/>
        </w:sectPr>
      </w:pPr>
    </w:p>
    <w:p>
      <w:pPr>
        <w:spacing w:after="0" w:line="47" w:lineRule="exact"/>
        <w:rPr>
          <w:sz w:val="20"/>
          <w:szCs w:val="20"/>
          <w:color w:val="auto"/>
        </w:rPr>
      </w:pPr>
    </w:p>
    <w:p>
      <w:pPr>
        <w:ind w:left="2" w:right="160" w:hanging="2"/>
        <w:spacing w:after="0" w:line="256" w:lineRule="auto"/>
        <w:tabs>
          <w:tab w:leader="none" w:pos="163" w:val="left"/>
        </w:tabs>
        <w:numPr>
          <w:ilvl w:val="0"/>
          <w:numId w:val="15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expenses related to the Company's reduction in workforce such as severance, benefits and other related items during the years ended December 31, 2025 and 2024. See Note 1, "Description of the Business and Summary of Significant Accounting Policies - Reduction in Workforce" to the Company's consolidated financial statements included elsewhere in this Annual Report on Form 10-K.</w:t>
      </w:r>
    </w:p>
    <w:p>
      <w:pPr>
        <w:spacing w:after="0" w:line="180" w:lineRule="exact"/>
        <w:rPr>
          <w:rFonts w:ascii="Times New Roman" w:cs="Times New Roman" w:eastAsia="Times New Roman" w:hAnsi="Times New Roman"/>
          <w:sz w:val="11"/>
          <w:szCs w:val="11"/>
          <w:color w:val="auto"/>
        </w:rPr>
      </w:pPr>
    </w:p>
    <w:p>
      <w:pPr>
        <w:ind w:left="162" w:hanging="162"/>
        <w:spacing w:after="0"/>
        <w:tabs>
          <w:tab w:leader="none" w:pos="162" w:val="left"/>
        </w:tabs>
        <w:numPr>
          <w:ilvl w:val="0"/>
          <w:numId w:val="15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See Note 9, "Leases" to the Company's consolidated financial statements included elsewhere in this Annual Report on Form 10-K.</w:t>
      </w:r>
    </w:p>
    <w:p>
      <w:pPr>
        <w:sectPr>
          <w:pgSz w:w="11880" w:h="15480" w:orient="portrait"/>
          <w:cols w:equalWidth="0" w:num="1">
            <w:col w:w="10002"/>
          </w:cols>
          <w:pgMar w:left="938" w:top="689"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002"/>
          </w:cols>
          <w:pgMar w:left="938" w:top="689" w:right="940" w:bottom="0" w:gutter="0" w:footer="0" w:header="0"/>
          <w:type w:val="continuous"/>
        </w:sectPr>
      </w:pPr>
    </w:p>
    <w:bookmarkStart w:id="159" w:name="page160"/>
    <w:bookmarkEnd w:id="159"/>
    <w:p>
      <w:pPr>
        <w:ind w:left="442"/>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revenue:</w:t>
      </w:r>
    </w:p>
    <w:p>
      <w:pPr>
        <w:sectPr>
          <w:pgSz w:w="11880" w:h="15480" w:orient="portrait"/>
          <w:cols w:equalWidth="0" w:num="1">
            <w:col w:w="10002"/>
          </w:cols>
          <w:pgMar w:left="938" w:top="106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352540" cy="175895"/>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75895"/>
                        </a:xfrm>
                        <a:prstGeom prst="rect">
                          <a:avLst/>
                        </a:prstGeom>
                        <a:solidFill>
                          <a:srgbClr val="E6E6E6"/>
                        </a:solidFill>
                      </wps:spPr>
                      <wps:bodyPr/>
                    </wps:wsp>
                  </a:graphicData>
                </a:graphic>
              </wp:anchor>
            </w:drawing>
          </mc:Choice>
          <mc:Fallback>
            <w:pict>
              <v:rect id="Shape 464" o:spid="_x0000_s1489" style="position:absolute;margin-left:0pt;margin-top:-10.9499pt;width:500.2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48"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20"/>
          <w:szCs w:val="20"/>
          <w:color w:val="auto"/>
        </w:rPr>
        <w:t>Cost of revenue</w:t>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377940" cy="2012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63">
                      <a:extLst>
                        <a:ext uri="{28A0092B-C50C-407E-A947-70E740481C1C}"/>
                      </a:extLst>
                    </a:blip>
                    <a:srcRect/>
                    <a:stretch>
                      <a:fillRect/>
                    </a:stretch>
                  </pic:blipFill>
                  <pic:spPr bwMode="auto">
                    <a:xfrm>
                      <a:off x="0" y="0"/>
                      <a:ext cx="6377940" cy="201295"/>
                    </a:xfrm>
                    <a:prstGeom prst="rect">
                      <a:avLst/>
                    </a:prstGeom>
                    <a:noFill/>
                  </pic:spPr>
                </pic:pic>
              </a:graphicData>
            </a:graphic>
          </wp:anchor>
        </w:drawing>
      </w:r>
    </w:p>
    <w:p>
      <w:pPr>
        <w:spacing w:after="0" w:line="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Gross profit</w:t>
      </w:r>
    </w:p>
    <w:p>
      <w:pPr>
        <w:spacing w:after="0" w:line="6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Operating expenses:</w:t>
      </w:r>
    </w:p>
    <w:p>
      <w:pPr>
        <w:spacing w:after="0" w:line="2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Research and development</w:t>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352540" cy="175895"/>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75895"/>
                        </a:xfrm>
                        <a:prstGeom prst="rect">
                          <a:avLst/>
                        </a:prstGeom>
                        <a:solidFill>
                          <a:srgbClr val="E6E6E6"/>
                        </a:solidFill>
                      </wps:spPr>
                      <wps:bodyPr/>
                    </wps:wsp>
                  </a:graphicData>
                </a:graphic>
              </wp:anchor>
            </w:drawing>
          </mc:Choice>
          <mc:Fallback>
            <w:pict>
              <v:rect id="Shape 466" o:spid="_x0000_s1491" style="position:absolute;margin-left:0pt;margin-top:-10.9499pt;width:500.2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Sales and marketing</w:t>
      </w:r>
      <w:r>
        <w:rPr>
          <w:rFonts w:ascii="Times New Roman" w:cs="Times New Roman" w:eastAsia="Times New Roman" w:hAnsi="Times New Roman"/>
          <w:sz w:val="12"/>
          <w:szCs w:val="12"/>
          <w:color w:val="auto"/>
        </w:rPr>
        <w:t>(1)(2)</w:t>
      </w:r>
    </w:p>
    <w:p>
      <w:pPr>
        <w:spacing w:after="0" w:line="4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General and administrative</w:t>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352540" cy="175895"/>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75895"/>
                        </a:xfrm>
                        <a:prstGeom prst="rect">
                          <a:avLst/>
                        </a:prstGeom>
                        <a:solidFill>
                          <a:srgbClr val="E6E6E6"/>
                        </a:solidFill>
                      </wps:spPr>
                      <wps:bodyPr/>
                    </wps:wsp>
                  </a:graphicData>
                </a:graphic>
              </wp:anchor>
            </w:drawing>
          </mc:Choice>
          <mc:Fallback>
            <w:pict>
              <v:rect id="Shape 467" o:spid="_x0000_s1492" style="position:absolute;margin-left:0pt;margin-top:-10.9499pt;width:500.2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Net (gain) loss on real estate assets</w:t>
      </w: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6377940" cy="2012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64">
                      <a:extLst>
                        <a:ext uri="{28A0092B-C50C-407E-A947-70E740481C1C}"/>
                      </a:extLst>
                    </a:blip>
                    <a:srcRect/>
                    <a:stretch>
                      <a:fillRect/>
                    </a:stretch>
                  </pic:blipFill>
                  <pic:spPr bwMode="auto">
                    <a:xfrm>
                      <a:off x="0" y="0"/>
                      <a:ext cx="6377940" cy="201295"/>
                    </a:xfrm>
                    <a:prstGeom prst="rect">
                      <a:avLst/>
                    </a:prstGeom>
                    <a:noFill/>
                  </pic:spPr>
                </pic:pic>
              </a:graphicData>
            </a:graphic>
          </wp:anchor>
        </w:drawing>
      </w:r>
    </w:p>
    <w:p>
      <w:pPr>
        <w:spacing w:after="0" w:line="51"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Total operating expenses</w:t>
      </w:r>
    </w:p>
    <w:p>
      <w:pPr>
        <w:spacing w:after="0" w:line="4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Income from operations</w:t>
      </w:r>
    </w:p>
    <w:p>
      <w:pPr>
        <w:spacing w:after="0" w:line="4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Interest (expense) income,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352540" cy="175895"/>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75895"/>
                        </a:xfrm>
                        <a:prstGeom prst="rect">
                          <a:avLst/>
                        </a:prstGeom>
                        <a:solidFill>
                          <a:srgbClr val="E6E6E6"/>
                        </a:solidFill>
                      </wps:spPr>
                      <wps:bodyPr/>
                    </wps:wsp>
                  </a:graphicData>
                </a:graphic>
              </wp:anchor>
            </w:drawing>
          </mc:Choice>
          <mc:Fallback>
            <w:pict>
              <v:rect id="Shape 469" o:spid="_x0000_s1494" style="position:absolute;margin-left:0pt;margin-top:-10.9499pt;width:500.2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377940" cy="2012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65">
                      <a:extLst>
                        <a:ext uri="{28A0092B-C50C-407E-A947-70E740481C1C}"/>
                      </a:extLst>
                    </a:blip>
                    <a:srcRect/>
                    <a:stretch>
                      <a:fillRect/>
                    </a:stretch>
                  </pic:blipFill>
                  <pic:spPr bwMode="auto">
                    <a:xfrm>
                      <a:off x="0" y="0"/>
                      <a:ext cx="6377940" cy="201295"/>
                    </a:xfrm>
                    <a:prstGeom prst="rect">
                      <a:avLst/>
                    </a:prstGeom>
                    <a:noFill/>
                  </pic:spPr>
                </pic:pic>
              </a:graphicData>
            </a:graphic>
          </wp:anchor>
        </w:drawing>
      </w:r>
    </w:p>
    <w:p>
      <w:pPr>
        <w:spacing w:after="0" w:line="2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Income before income taxes</w:t>
      </w:r>
    </w:p>
    <w:p>
      <w:pPr>
        <w:spacing w:after="0" w:line="4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377940" cy="23812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66">
                      <a:extLst>
                        <a:ext uri="{28A0092B-C50C-407E-A947-70E740481C1C}"/>
                      </a:extLst>
                    </a:blip>
                    <a:srcRect/>
                    <a:stretch>
                      <a:fillRect/>
                    </a:stretch>
                  </pic:blipFill>
                  <pic:spPr bwMode="auto">
                    <a:xfrm>
                      <a:off x="0" y="0"/>
                      <a:ext cx="6377940" cy="238125"/>
                    </a:xfrm>
                    <a:prstGeom prst="rect">
                      <a:avLst/>
                    </a:prstGeom>
                    <a:noFill/>
                  </pic:spPr>
                </pic:pic>
              </a:graphicData>
            </a:graphic>
          </wp:anchor>
        </w:drawing>
      </w:r>
    </w:p>
    <w:p>
      <w:pPr>
        <w:spacing w:after="0" w:line="28"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0"/>
          <w:szCs w:val="20"/>
          <w:color w:val="auto"/>
        </w:rPr>
        <w:t>Net income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10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6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20" w:type="dxa"/>
            <w:vAlign w:val="bottom"/>
            <w:tcBorders>
              <w:top w:val="single" w:sz="8" w:color="auto"/>
            </w:tcBorders>
            <w:gridSpan w:val="2"/>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7"/>
        </w:trPr>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(As a % of</w:t>
            </w:r>
          </w:p>
        </w:tc>
        <w:tc>
          <w:tcPr>
            <w:tcW w:w="60" w:type="dxa"/>
            <w:vAlign w:val="bottom"/>
          </w:tcPr>
          <w:p>
            <w:pPr>
              <w:spacing w:after="0"/>
              <w:rPr>
                <w:sz w:val="22"/>
                <w:szCs w:val="22"/>
                <w:color w:val="auto"/>
              </w:rPr>
            </w:pPr>
          </w:p>
        </w:tc>
        <w:tc>
          <w:tcPr>
            <w:tcW w:w="1560" w:type="dxa"/>
            <w:vAlign w:val="bottom"/>
            <w:tcBorders>
              <w:top w:val="single" w:sz="8" w:color="auto"/>
            </w:tcBorders>
          </w:tcPr>
          <w:p>
            <w:pPr>
              <w:jc w:val="right"/>
              <w:ind w:right="662"/>
              <w:spacing w:after="0"/>
              <w:rPr>
                <w:sz w:val="20"/>
                <w:szCs w:val="20"/>
                <w:color w:val="auto"/>
              </w:rPr>
            </w:pPr>
            <w:r>
              <w:rPr>
                <w:rFonts w:ascii="Times New Roman" w:cs="Times New Roman" w:eastAsia="Times New Roman" w:hAnsi="Times New Roman"/>
                <w:sz w:val="20"/>
                <w:szCs w:val="20"/>
                <w:b w:val="1"/>
                <w:bCs w:val="1"/>
                <w:i w:val="1"/>
                <w:iCs w:val="1"/>
                <w:color w:val="auto"/>
                <w:w w:val="94"/>
              </w:rPr>
              <w:t>revenue)*</w:t>
            </w:r>
          </w:p>
        </w:tc>
      </w:tr>
      <w:tr>
        <w:trPr>
          <w:trHeight w:val="275"/>
        </w:trPr>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81"/>
        </w:trPr>
        <w:tc>
          <w:tcPr>
            <w:tcW w:w="15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15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17</w:t>
            </w:r>
          </w:p>
        </w:tc>
      </w:tr>
      <w:tr>
        <w:trPr>
          <w:trHeight w:val="255"/>
        </w:trPr>
        <w:tc>
          <w:tcPr>
            <w:tcW w:w="15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80</w:t>
            </w:r>
          </w:p>
        </w:tc>
        <w:tc>
          <w:tcPr>
            <w:tcW w:w="16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83</w:t>
            </w:r>
          </w:p>
        </w:tc>
      </w:tr>
      <w:tr>
        <w:trPr>
          <w:trHeight w:val="556"/>
        </w:trPr>
        <w:tc>
          <w:tcPr>
            <w:tcW w:w="15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29</w:t>
            </w:r>
          </w:p>
        </w:tc>
        <w:tc>
          <w:tcPr>
            <w:tcW w:w="16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36</w:t>
            </w:r>
          </w:p>
        </w:tc>
      </w:tr>
      <w:tr>
        <w:trPr>
          <w:trHeight w:val="278"/>
        </w:trPr>
        <w:tc>
          <w:tcPr>
            <w:tcW w:w="15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15</w:t>
            </w:r>
          </w:p>
        </w:tc>
        <w:tc>
          <w:tcPr>
            <w:tcW w:w="16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18</w:t>
            </w:r>
          </w:p>
        </w:tc>
      </w:tr>
      <w:tr>
        <w:trPr>
          <w:trHeight w:val="278"/>
        </w:trPr>
        <w:tc>
          <w:tcPr>
            <w:tcW w:w="15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9</w:t>
            </w:r>
          </w:p>
        </w:tc>
        <w:tc>
          <w:tcPr>
            <w:tcW w:w="16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9</w:t>
            </w:r>
          </w:p>
        </w:tc>
      </w:tr>
      <w:tr>
        <w:trPr>
          <w:trHeight w:val="281"/>
        </w:trPr>
        <w:tc>
          <w:tcPr>
            <w:tcW w:w="15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5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15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53</w:t>
            </w:r>
          </w:p>
        </w:tc>
        <w:tc>
          <w:tcPr>
            <w:tcW w:w="16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63</w:t>
            </w:r>
          </w:p>
        </w:tc>
      </w:tr>
      <w:tr>
        <w:trPr>
          <w:trHeight w:val="278"/>
        </w:trPr>
        <w:tc>
          <w:tcPr>
            <w:tcW w:w="15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27</w:t>
            </w:r>
          </w:p>
        </w:tc>
        <w:tc>
          <w:tcPr>
            <w:tcW w:w="16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19</w:t>
            </w:r>
          </w:p>
        </w:tc>
      </w:tr>
      <w:tr>
        <w:trPr>
          <w:trHeight w:val="278"/>
        </w:trPr>
        <w:tc>
          <w:tcPr>
            <w:tcW w:w="1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w:t>
            </w:r>
          </w:p>
        </w:tc>
        <w:tc>
          <w:tcPr>
            <w:tcW w:w="16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w:t>
            </w:r>
          </w:p>
        </w:tc>
      </w:tr>
      <w:tr>
        <w:trPr>
          <w:trHeight w:val="281"/>
        </w:trPr>
        <w:tc>
          <w:tcPr>
            <w:tcW w:w="15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5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15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24</w:t>
            </w:r>
          </w:p>
        </w:tc>
        <w:tc>
          <w:tcPr>
            <w:tcW w:w="16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20</w:t>
            </w:r>
          </w:p>
        </w:tc>
      </w:tr>
      <w:tr>
        <w:trPr>
          <w:trHeight w:val="281"/>
        </w:trPr>
        <w:tc>
          <w:tcPr>
            <w:tcW w:w="15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15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w:t>
            </w:r>
          </w:p>
        </w:tc>
      </w:tr>
      <w:tr>
        <w:trPr>
          <w:trHeight w:val="239"/>
        </w:trPr>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18 %</w:t>
            </w:r>
          </w:p>
        </w:tc>
      </w:tr>
      <w:tr>
        <w:trPr>
          <w:trHeight w:val="20"/>
        </w:trPr>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6102" w:space="720"/>
            <w:col w:w="3180"/>
          </w:cols>
          <w:pgMar w:left="938" w:top="1062" w:right="940" w:bottom="0" w:gutter="0" w:footer="0" w:header="0"/>
          <w:type w:val="continuous"/>
        </w:sectPr>
      </w:pPr>
    </w:p>
    <w:p>
      <w:pPr>
        <w:spacing w:after="0" w:line="24" w:lineRule="exact"/>
        <w:rPr>
          <w:sz w:val="20"/>
          <w:szCs w:val="20"/>
          <w:color w:val="auto"/>
        </w:rPr>
      </w:pPr>
    </w:p>
    <w:p>
      <w:pPr>
        <w:ind w:left="162" w:hanging="162"/>
        <w:spacing w:after="0"/>
        <w:tabs>
          <w:tab w:leader="none" w:pos="162" w:val="left"/>
        </w:tabs>
        <w:numPr>
          <w:ilvl w:val="0"/>
          <w:numId w:val="155"/>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Includes stock-based compensation as a percentage of revenue as follows:</w:t>
      </w:r>
    </w:p>
    <w:p>
      <w:pPr>
        <w:sectPr>
          <w:pgSz w:w="11880" w:h="15480" w:orient="portrait"/>
          <w:cols w:equalWidth="0" w:num="1">
            <w:col w:w="10002"/>
          </w:cols>
          <w:pgMar w:left="938" w:top="1062"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Cost of revenue</w:t>
      </w:r>
    </w:p>
    <w:p>
      <w:pPr>
        <w:spacing w:after="0" w:line="63"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Research and development</w:t>
      </w:r>
    </w:p>
    <w:p>
      <w:pPr>
        <w:spacing w:after="0" w:line="63"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20"/>
          <w:szCs w:val="20"/>
          <w:color w:val="auto"/>
        </w:rPr>
        <w:t>Sales and marketing</w:t>
      </w:r>
    </w:p>
    <w:p>
      <w:pPr>
        <w:spacing w:after="0" w:line="63"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86" w:lineRule="exact"/>
        <w:rPr>
          <w:sz w:val="20"/>
          <w:szCs w:val="20"/>
          <w:color w:val="auto"/>
        </w:rPr>
      </w:pPr>
    </w:p>
    <w:p>
      <w:pPr>
        <w:ind w:left="62"/>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10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top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9"/>
        </w:trPr>
        <w:tc>
          <w:tcPr>
            <w:tcW w:w="20" w:type="dxa"/>
            <w:vAlign w:val="bottom"/>
          </w:tcPr>
          <w:p>
            <w:pPr>
              <w:spacing w:after="0"/>
              <w:rPr>
                <w:sz w:val="23"/>
                <w:szCs w:val="23"/>
                <w:color w:val="auto"/>
              </w:rPr>
            </w:pPr>
          </w:p>
        </w:tc>
        <w:tc>
          <w:tcPr>
            <w:tcW w:w="3180" w:type="dxa"/>
            <w:vAlign w:val="bottom"/>
            <w:gridSpan w:val="3"/>
          </w:tcPr>
          <w:p>
            <w:pPr>
              <w:jc w:val="right"/>
              <w:ind w:right="682"/>
              <w:spacing w:after="0"/>
              <w:rPr>
                <w:sz w:val="20"/>
                <w:szCs w:val="20"/>
                <w:color w:val="auto"/>
              </w:rPr>
            </w:pPr>
            <w:r>
              <w:rPr>
                <w:rFonts w:ascii="Times New Roman" w:cs="Times New Roman" w:eastAsia="Times New Roman" w:hAnsi="Times New Roman"/>
                <w:sz w:val="20"/>
                <w:szCs w:val="20"/>
                <w:b w:val="1"/>
                <w:bCs w:val="1"/>
                <w:i w:val="1"/>
                <w:iCs w:val="1"/>
                <w:color w:val="auto"/>
              </w:rPr>
              <w:t>(As a % of revenue)*</w:t>
            </w:r>
          </w:p>
        </w:tc>
      </w:tr>
      <w:tr>
        <w:trPr>
          <w:trHeight w:val="293"/>
        </w:trPr>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293"/>
        </w:trPr>
        <w:tc>
          <w:tcPr>
            <w:tcW w:w="156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15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10</w:t>
            </w:r>
          </w:p>
        </w:tc>
      </w:tr>
      <w:tr>
        <w:trPr>
          <w:trHeight w:val="293"/>
        </w:trPr>
        <w:tc>
          <w:tcPr>
            <w:tcW w:w="156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5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w:t>
            </w:r>
          </w:p>
        </w:tc>
      </w:tr>
      <w:tr>
        <w:trPr>
          <w:trHeight w:val="295"/>
        </w:trPr>
        <w:tc>
          <w:tcPr>
            <w:tcW w:w="20" w:type="dxa"/>
            <w:vAlign w:val="bottom"/>
            <w:tcBorders>
              <w:bottom w:val="single" w:sz="8" w:color="E6E6E6"/>
            </w:tcBorders>
          </w:tcPr>
          <w:p>
            <w:pPr>
              <w:spacing w:after="0"/>
              <w:rPr>
                <w:sz w:val="24"/>
                <w:szCs w:val="24"/>
                <w:color w:val="auto"/>
              </w:rPr>
            </w:pPr>
          </w:p>
        </w:tc>
        <w:tc>
          <w:tcPr>
            <w:tcW w:w="15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bottom w:val="single" w:sz="8" w:color="E6E6E6"/>
            </w:tcBorders>
          </w:tcPr>
          <w:p>
            <w:pPr>
              <w:spacing w:after="0"/>
              <w:rPr>
                <w:sz w:val="24"/>
                <w:szCs w:val="24"/>
                <w:color w:val="auto"/>
              </w:rPr>
            </w:pPr>
          </w:p>
        </w:tc>
        <w:tc>
          <w:tcPr>
            <w:tcW w:w="15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2</w:t>
            </w:r>
          </w:p>
        </w:tc>
      </w:tr>
      <w:tr>
        <w:trPr>
          <w:trHeight w:val="292"/>
        </w:trPr>
        <w:tc>
          <w:tcPr>
            <w:tcW w:w="20" w:type="dxa"/>
            <w:vAlign w:val="bottom"/>
            <w:tcBorders>
              <w:bottom w:val="single" w:sz="8" w:color="E6E6E6"/>
            </w:tcBorders>
            <w:shd w:val="clear" w:color="auto" w:fill="E6E6E6"/>
          </w:tcPr>
          <w:p>
            <w:pPr>
              <w:spacing w:after="0"/>
              <w:rPr>
                <w:sz w:val="24"/>
                <w:szCs w:val="24"/>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-4314825</wp:posOffset>
                </wp:positionH>
                <wp:positionV relativeFrom="paragraph">
                  <wp:posOffset>-946785</wp:posOffset>
                </wp:positionV>
                <wp:extent cx="6343015" cy="18542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015" cy="185420"/>
                        </a:xfrm>
                        <a:prstGeom prst="rect">
                          <a:avLst/>
                        </a:prstGeom>
                        <a:solidFill>
                          <a:srgbClr val="E6E6E6"/>
                        </a:solidFill>
                      </wps:spPr>
                      <wps:bodyPr/>
                    </wps:wsp>
                  </a:graphicData>
                </a:graphic>
              </wp:anchor>
            </w:drawing>
          </mc:Choice>
          <mc:Fallback>
            <w:pict>
              <v:rect id="Shape 472" o:spid="_x0000_s1497" style="position:absolute;margin-left:-339.7499pt;margin-top:-74.5499pt;width:499.4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-4314825</wp:posOffset>
                </wp:positionH>
                <wp:positionV relativeFrom="paragraph">
                  <wp:posOffset>-575310</wp:posOffset>
                </wp:positionV>
                <wp:extent cx="6343015" cy="18542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015" cy="185420"/>
                        </a:xfrm>
                        <a:prstGeom prst="rect">
                          <a:avLst/>
                        </a:prstGeom>
                        <a:solidFill>
                          <a:srgbClr val="E6E6E6"/>
                        </a:solidFill>
                      </wps:spPr>
                      <wps:bodyPr/>
                    </wps:wsp>
                  </a:graphicData>
                </a:graphic>
              </wp:anchor>
            </w:drawing>
          </mc:Choice>
          <mc:Fallback>
            <w:pict>
              <v:rect id="Shape 473" o:spid="_x0000_s1498" style="position:absolute;margin-left:-339.7499pt;margin-top:-45.2999pt;width:499.4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-4314190</wp:posOffset>
            </wp:positionH>
            <wp:positionV relativeFrom="paragraph">
              <wp:posOffset>-228600</wp:posOffset>
            </wp:positionV>
            <wp:extent cx="6368415" cy="2476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67">
                      <a:extLst>
                        <a:ext uri="{28A0092B-C50C-407E-A947-70E740481C1C}"/>
                      </a:extLst>
                    </a:blip>
                    <a:srcRect/>
                    <a:stretch>
                      <a:fillRect/>
                    </a:stretch>
                  </pic:blipFill>
                  <pic:spPr bwMode="auto">
                    <a:xfrm>
                      <a:off x="0" y="0"/>
                      <a:ext cx="6368415" cy="24765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082" w:space="720"/>
            <w:col w:w="3200"/>
          </w:cols>
          <w:pgMar w:left="938" w:top="1062" w:right="940" w:bottom="0" w:gutter="0" w:footer="0" w:header="0"/>
          <w:type w:val="continuous"/>
        </w:sectPr>
      </w:pPr>
    </w:p>
    <w:p>
      <w:pPr>
        <w:spacing w:after="0" w:line="47" w:lineRule="exact"/>
        <w:rPr>
          <w:sz w:val="20"/>
          <w:szCs w:val="20"/>
          <w:color w:val="auto"/>
        </w:rPr>
      </w:pPr>
    </w:p>
    <w:p>
      <w:pPr>
        <w:ind w:left="2" w:right="160" w:hanging="2"/>
        <w:spacing w:after="0" w:line="256" w:lineRule="auto"/>
        <w:tabs>
          <w:tab w:leader="none" w:pos="163" w:val="left"/>
        </w:tabs>
        <w:numPr>
          <w:ilvl w:val="1"/>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expenses related to the Company's reduction in workforce such as severance, benefits and other related items during the years ended December 31, 2025 and 2024. See Note 1, "Description of the Business and Summary of Significant Accounting Policies - Reduction in Workforce" to the Company's consolidated financial statements included elsewhere in this Annual Report on Form 10-K.</w:t>
      </w:r>
    </w:p>
    <w:p>
      <w:pPr>
        <w:spacing w:after="0" w:line="180" w:lineRule="exact"/>
        <w:rPr>
          <w:rFonts w:ascii="Times New Roman" w:cs="Times New Roman" w:eastAsia="Times New Roman" w:hAnsi="Times New Roman"/>
          <w:sz w:val="11"/>
          <w:szCs w:val="11"/>
          <w:color w:val="auto"/>
        </w:rPr>
      </w:pPr>
    </w:p>
    <w:p>
      <w:pPr>
        <w:ind w:left="2" w:right="680" w:hanging="2"/>
        <w:spacing w:after="0" w:line="497" w:lineRule="auto"/>
        <w:tabs>
          <w:tab w:leader="none" w:pos="163" w:val="left"/>
        </w:tabs>
        <w:numPr>
          <w:ilvl w:val="1"/>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See Note 9, "Leases" to the Company's consolidated financial statements included elsewhere in this Annual Report on Form 10-K. * Percentages may not foot due to rounding.</w:t>
      </w:r>
    </w:p>
    <w:p>
      <w:pPr>
        <w:sectPr>
          <w:pgSz w:w="11880" w:h="15480" w:orient="portrait"/>
          <w:cols w:equalWidth="0" w:num="1">
            <w:col w:w="10002"/>
          </w:cols>
          <w:pgMar w:left="938" w:top="1062"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002"/>
          </w:cols>
          <w:pgMar w:left="938" w:top="1062" w:right="940" w:bottom="0" w:gutter="0" w:footer="0" w:header="0"/>
          <w:type w:val="continuous"/>
        </w:sectPr>
      </w:pPr>
    </w:p>
    <w:bookmarkStart w:id="160" w:name="page161"/>
    <w:bookmarkEnd w:id="160"/>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4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54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166243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243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364.8pt,2.05pt" o:allowincell="f" strokecolor="#000000" strokeweight="0.975pt"/>
            </w:pict>
          </mc:Fallback>
        </mc:AlternateContent>
      </w:r>
    </w:p>
    <w:p>
      <w:pPr>
        <w:spacing w:after="0" w:line="28" w:lineRule="exact"/>
        <w:rPr>
          <w:sz w:val="20"/>
          <w:szCs w:val="20"/>
          <w:color w:val="auto"/>
        </w:rPr>
      </w:pPr>
    </w:p>
    <w:p>
      <w:pPr>
        <w:ind w:left="5120"/>
        <w:spacing w:after="0"/>
        <w:tabs>
          <w:tab w:leader="none" w:pos="6440" w:val="left"/>
          <w:tab w:leader="none" w:pos="7600" w:val="left"/>
          <w:tab w:leader="none" w:pos="89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807720"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297.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3824605</wp:posOffset>
                </wp:positionH>
                <wp:positionV relativeFrom="paragraph">
                  <wp:posOffset>26035</wp:posOffset>
                </wp:positionV>
                <wp:extent cx="808355"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15pt,2.05pt" to="364.8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4679315</wp:posOffset>
                </wp:positionH>
                <wp:positionV relativeFrom="paragraph">
                  <wp:posOffset>26035</wp:posOffset>
                </wp:positionV>
                <wp:extent cx="807720"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45pt,2.05pt" to="432.0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5534025</wp:posOffset>
                </wp:positionH>
                <wp:positionV relativeFrom="paragraph">
                  <wp:posOffset>26035</wp:posOffset>
                </wp:positionV>
                <wp:extent cx="80772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75pt,2.05pt" to="499.35pt,2.05pt" o:allowincell="f" strokecolor="#000000" strokeweight="0.975pt"/>
            </w:pict>
          </mc:Fallback>
        </mc:AlternateContent>
      </w:r>
    </w:p>
    <w:p>
      <w:pPr>
        <w:spacing w:after="0" w:line="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p>
      <w:pPr>
        <w:spacing w:after="0" w:line="31" w:lineRule="exact"/>
        <w:rPr>
          <w:sz w:val="20"/>
          <w:szCs w:val="20"/>
          <w:color w:val="auto"/>
        </w:rPr>
      </w:pPr>
    </w:p>
    <w:p>
      <w:pPr>
        <w:ind w:left="40"/>
        <w:spacing w:after="0"/>
        <w:tabs>
          <w:tab w:leader="none" w:pos="4700" w:val="left"/>
          <w:tab w:leader="none" w:pos="5260" w:val="left"/>
          <w:tab w:leader="none" w:pos="6060" w:val="left"/>
          <w:tab w:leader="none" w:pos="6620" w:val="left"/>
          <w:tab w:leader="none" w:pos="7400" w:val="left"/>
          <w:tab w:leader="none" w:pos="8140" w:val="left"/>
          <w:tab w:leader="none" w:pos="9420" w:val="left"/>
        </w:tabs>
        <w:rPr>
          <w:sz w:val="20"/>
          <w:szCs w:val="20"/>
          <w:color w:val="auto"/>
        </w:rPr>
      </w:pPr>
      <w:r>
        <w:rPr>
          <w:rFonts w:ascii="Times New Roman" w:cs="Times New Roman" w:eastAsia="Times New Roman" w:hAnsi="Times New Roman"/>
          <w:sz w:val="20"/>
          <w:szCs w:val="20"/>
          <w:color w:val="auto"/>
        </w:rPr>
        <w:t>Revenue</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2,521.0</w:t>
        <w:tab/>
        <w:t>$</w:t>
      </w:r>
      <w:r>
        <w:rPr>
          <w:sz w:val="20"/>
          <w:szCs w:val="20"/>
          <w:color w:val="auto"/>
        </w:rPr>
        <w:tab/>
      </w:r>
      <w:r>
        <w:rPr>
          <w:rFonts w:ascii="Times New Roman" w:cs="Times New Roman" w:eastAsia="Times New Roman" w:hAnsi="Times New Roman"/>
          <w:sz w:val="20"/>
          <w:szCs w:val="20"/>
          <w:color w:val="auto"/>
        </w:rPr>
        <w:t>2,548.2</w:t>
        <w:tab/>
        <w:t>$</w:t>
      </w:r>
      <w:r>
        <w:rPr>
          <w:sz w:val="20"/>
          <w:szCs w:val="20"/>
          <w:color w:val="auto"/>
        </w:rPr>
        <w:tab/>
      </w:r>
      <w:r>
        <w:rPr>
          <w:rFonts w:ascii="Times New Roman" w:cs="Times New Roman" w:eastAsia="Times New Roman" w:hAnsi="Times New Roman"/>
          <w:sz w:val="20"/>
          <w:szCs w:val="20"/>
          <w:color w:val="auto"/>
        </w:rPr>
        <w:t>(27.2)</w:t>
      </w:r>
      <w:r>
        <w:rPr>
          <w:sz w:val="20"/>
          <w:szCs w:val="20"/>
          <w:color w:val="auto"/>
        </w:rPr>
        <w:tab/>
      </w: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-139065</wp:posOffset>
                </wp:positionV>
                <wp:extent cx="6343015" cy="18542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015" cy="185420"/>
                        </a:xfrm>
                        <a:prstGeom prst="rect">
                          <a:avLst/>
                        </a:prstGeom>
                        <a:solidFill>
                          <a:srgbClr val="E6E6E6"/>
                        </a:solidFill>
                      </wps:spPr>
                      <wps:bodyPr/>
                    </wps:wsp>
                  </a:graphicData>
                </a:graphic>
              </wp:anchor>
            </w:drawing>
          </mc:Choice>
          <mc:Fallback>
            <w:pict>
              <v:rect id="Shape 480" o:spid="_x0000_s1505" style="position:absolute;margin-left:-0.0499pt;margin-top:-10.9499pt;width:499.4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23" w:lineRule="exact"/>
        <w:rPr>
          <w:sz w:val="20"/>
          <w:szCs w:val="20"/>
          <w:color w:val="auto"/>
        </w:rPr>
      </w:pPr>
    </w:p>
    <w:p>
      <w:pPr>
        <w:ind w:right="360" w:firstLine="439"/>
        <w:spacing w:after="0" w:line="252" w:lineRule="auto"/>
        <w:rPr>
          <w:sz w:val="20"/>
          <w:szCs w:val="20"/>
          <w:color w:val="auto"/>
        </w:rPr>
      </w:pPr>
      <w:r>
        <w:rPr>
          <w:rFonts w:ascii="Times New Roman" w:cs="Times New Roman" w:eastAsia="Times New Roman" w:hAnsi="Times New Roman"/>
          <w:sz w:val="20"/>
          <w:szCs w:val="20"/>
          <w:color w:val="auto"/>
        </w:rPr>
        <w:t>Revenue decreased $27.2 million or 1.1% during the year ended December 31, 2025, as compared to the year ended December 31, 2024, primarily due to our strategic decision to significantly reduce our investment in FormSwift and a challenging Teams environment, offset by growth in our Individuals plans. Revenue was positively impacted by changes in foreign exchange rates across multiple currencies.</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 gross profit, and gross margin</w:t>
      </w:r>
    </w:p>
    <w:p>
      <w:pPr>
        <w:spacing w:after="0" w:line="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54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1662430"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243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364.8pt,2.05pt" o:allowincell="f" strokecolor="#000000" strokeweight="0.975pt"/>
            </w:pict>
          </mc:Fallback>
        </mc:AlternateContent>
      </w:r>
    </w:p>
    <w:p>
      <w:pPr>
        <w:spacing w:after="0" w:line="28" w:lineRule="exact"/>
        <w:rPr>
          <w:sz w:val="20"/>
          <w:szCs w:val="20"/>
          <w:color w:val="auto"/>
        </w:rPr>
      </w:pPr>
    </w:p>
    <w:p>
      <w:pPr>
        <w:ind w:left="5120"/>
        <w:spacing w:after="0"/>
        <w:tabs>
          <w:tab w:leader="none" w:pos="6440" w:val="left"/>
          <w:tab w:leader="none" w:pos="7600" w:val="left"/>
          <w:tab w:leader="none" w:pos="89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807720"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297.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3824605</wp:posOffset>
                </wp:positionH>
                <wp:positionV relativeFrom="paragraph">
                  <wp:posOffset>26035</wp:posOffset>
                </wp:positionV>
                <wp:extent cx="808355" cy="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15pt,2.05pt" to="364.8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4679315</wp:posOffset>
                </wp:positionH>
                <wp:positionV relativeFrom="paragraph">
                  <wp:posOffset>26035</wp:posOffset>
                </wp:positionV>
                <wp:extent cx="807720" cy="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45pt,2.05pt" to="432.0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5534025</wp:posOffset>
                </wp:positionH>
                <wp:positionV relativeFrom="paragraph">
                  <wp:posOffset>26035</wp:posOffset>
                </wp:positionV>
                <wp:extent cx="807720" cy="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75pt,2.05pt" to="499.35pt,2.05pt" o:allowincell="f" strokecolor="#000000" strokeweight="0.975pt"/>
            </w:pict>
          </mc:Fallback>
        </mc:AlternateContent>
      </w:r>
    </w:p>
    <w:p>
      <w:pPr>
        <w:spacing w:after="0" w:line="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0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Cost of revenue</w:t>
            </w:r>
          </w:p>
        </w:tc>
        <w:tc>
          <w:tcPr>
            <w:tcW w:w="1980" w:type="dxa"/>
            <w:vAlign w:val="bottom"/>
            <w:shd w:val="clear" w:color="auto" w:fill="E6E6E6"/>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6E6E6"/>
          </w:tcPr>
          <w:p>
            <w:pPr>
              <w:jc w:val="right"/>
              <w:ind w:right="202"/>
              <w:spacing w:after="0"/>
              <w:rPr>
                <w:sz w:val="20"/>
                <w:szCs w:val="20"/>
                <w:color w:val="auto"/>
              </w:rPr>
            </w:pPr>
            <w:r>
              <w:rPr>
                <w:rFonts w:ascii="Times New Roman" w:cs="Times New Roman" w:eastAsia="Times New Roman" w:hAnsi="Times New Roman"/>
                <w:sz w:val="20"/>
                <w:szCs w:val="20"/>
                <w:color w:val="auto"/>
              </w:rPr>
              <w:t>500.8</w:t>
            </w:r>
          </w:p>
        </w:tc>
        <w:tc>
          <w:tcPr>
            <w:tcW w:w="320" w:type="dxa"/>
            <w:vAlign w:val="bottom"/>
            <w:shd w:val="clear" w:color="auto" w:fill="E6E6E6"/>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ind w:right="202"/>
              <w:spacing w:after="0"/>
              <w:rPr>
                <w:sz w:val="20"/>
                <w:szCs w:val="20"/>
                <w:color w:val="auto"/>
              </w:rPr>
            </w:pPr>
            <w:r>
              <w:rPr>
                <w:rFonts w:ascii="Times New Roman" w:cs="Times New Roman" w:eastAsia="Times New Roman" w:hAnsi="Times New Roman"/>
                <w:sz w:val="20"/>
                <w:szCs w:val="20"/>
                <w:color w:val="auto"/>
              </w:rPr>
              <w:t>445.1</w:t>
            </w:r>
          </w:p>
        </w:tc>
        <w:tc>
          <w:tcPr>
            <w:tcW w:w="480" w:type="dxa"/>
            <w:vAlign w:val="bottom"/>
            <w:shd w:val="clear" w:color="auto" w:fill="E6E6E6"/>
          </w:tcPr>
          <w:p>
            <w:pPr>
              <w:jc w:val="right"/>
              <w:ind w:right="2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6E6E6"/>
          </w:tcPr>
          <w:p>
            <w:pPr>
              <w:jc w:val="right"/>
              <w:ind w:right="362"/>
              <w:spacing w:after="0"/>
              <w:rPr>
                <w:sz w:val="20"/>
                <w:szCs w:val="20"/>
                <w:color w:val="auto"/>
              </w:rPr>
            </w:pPr>
            <w:r>
              <w:rPr>
                <w:rFonts w:ascii="Times New Roman" w:cs="Times New Roman" w:eastAsia="Times New Roman" w:hAnsi="Times New Roman"/>
                <w:sz w:val="20"/>
                <w:szCs w:val="20"/>
                <w:color w:val="auto"/>
              </w:rPr>
              <w:t>55.7</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12.5 %</w:t>
            </w:r>
          </w:p>
        </w:tc>
      </w:tr>
      <w:tr>
        <w:trPr>
          <w:trHeight w:val="286"/>
        </w:trPr>
        <w:tc>
          <w:tcPr>
            <w:tcW w:w="3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profit</w:t>
            </w:r>
          </w:p>
        </w:tc>
        <w:tc>
          <w:tcPr>
            <w:tcW w:w="1980" w:type="dxa"/>
            <w:vAlign w:val="bottom"/>
          </w:tcPr>
          <w:p>
            <w:pPr>
              <w:spacing w:after="0"/>
              <w:rPr>
                <w:sz w:val="24"/>
                <w:szCs w:val="24"/>
                <w:color w:val="auto"/>
              </w:rPr>
            </w:pPr>
          </w:p>
        </w:tc>
        <w:tc>
          <w:tcPr>
            <w:tcW w:w="10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2,020.2</w:t>
            </w:r>
          </w:p>
        </w:tc>
        <w:tc>
          <w:tcPr>
            <w:tcW w:w="320" w:type="dxa"/>
            <w:vAlign w:val="bottom"/>
          </w:tcPr>
          <w:p>
            <w:pPr>
              <w:spacing w:after="0"/>
              <w:rPr>
                <w:sz w:val="24"/>
                <w:szCs w:val="24"/>
                <w:color w:val="auto"/>
              </w:rPr>
            </w:pP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2,103.1</w:t>
            </w:r>
          </w:p>
        </w:tc>
        <w:tc>
          <w:tcPr>
            <w:tcW w:w="480" w:type="dxa"/>
            <w:vAlign w:val="bottom"/>
          </w:tcPr>
          <w:p>
            <w:pPr>
              <w:spacing w:after="0"/>
              <w:rPr>
                <w:sz w:val="24"/>
                <w:szCs w:val="24"/>
                <w:color w:val="auto"/>
              </w:rPr>
            </w:pPr>
          </w:p>
        </w:tc>
        <w:tc>
          <w:tcPr>
            <w:tcW w:w="1180" w:type="dxa"/>
            <w:vAlign w:val="bottom"/>
          </w:tcPr>
          <w:p>
            <w:pPr>
              <w:jc w:val="right"/>
              <w:ind w:right="302"/>
              <w:spacing w:after="0"/>
              <w:rPr>
                <w:sz w:val="20"/>
                <w:szCs w:val="20"/>
                <w:color w:val="auto"/>
              </w:rPr>
            </w:pPr>
            <w:r>
              <w:rPr>
                <w:rFonts w:ascii="Times New Roman" w:cs="Times New Roman" w:eastAsia="Times New Roman" w:hAnsi="Times New Roman"/>
                <w:sz w:val="20"/>
                <w:szCs w:val="20"/>
                <w:color w:val="auto"/>
              </w:rPr>
              <w:t>(82.9)</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99"/>
        </w:trPr>
        <w:tc>
          <w:tcPr>
            <w:tcW w:w="30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Gross margin</w:t>
            </w:r>
          </w:p>
        </w:tc>
        <w:tc>
          <w:tcPr>
            <w:tcW w:w="19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80 %</w:t>
            </w:r>
          </w:p>
        </w:tc>
        <w:tc>
          <w:tcPr>
            <w:tcW w:w="3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83 %</w:t>
            </w:r>
          </w:p>
        </w:tc>
        <w:tc>
          <w:tcPr>
            <w:tcW w:w="480" w:type="dxa"/>
            <w:vAlign w:val="bottom"/>
            <w:shd w:val="clear" w:color="auto" w:fill="E6E6E6"/>
          </w:tcPr>
          <w:p>
            <w:pPr>
              <w:spacing w:after="0"/>
              <w:rPr>
                <w:sz w:val="24"/>
                <w:szCs w:val="24"/>
                <w:color w:val="auto"/>
              </w:rPr>
            </w:pPr>
          </w:p>
        </w:tc>
        <w:tc>
          <w:tcPr>
            <w:tcW w:w="11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bl>
    <w:p>
      <w:pPr>
        <w:spacing w:after="0" w:line="270"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20"/>
          <w:szCs w:val="20"/>
          <w:color w:val="auto"/>
        </w:rPr>
        <w:t>Cost of revenue increased $55.7 million or 12.5% during the year ended December 31, 2025, as compared to the year ended December 31, 2024. This increase was primarily driven by a $53.1 million increase in infrastructure costs, including costs associated with adding equipment in support of our data center refresh cycle and data center facilities costs. Additionally, we saw a smaller benefit in depreciation expense compared to the 2024 period as a result of the change in useful lives from four to five years of certain infrastructure and component assets which was effective January 1, 2024.</w:t>
      </w:r>
    </w:p>
    <w:p>
      <w:pPr>
        <w:spacing w:after="0" w:line="206" w:lineRule="exact"/>
        <w:rPr>
          <w:sz w:val="20"/>
          <w:szCs w:val="20"/>
          <w:color w:val="auto"/>
        </w:rPr>
      </w:pPr>
    </w:p>
    <w:p>
      <w:pPr>
        <w:ind w:right="140" w:firstLine="439"/>
        <w:spacing w:after="0" w:line="326" w:lineRule="auto"/>
        <w:rPr>
          <w:sz w:val="20"/>
          <w:szCs w:val="20"/>
          <w:color w:val="auto"/>
        </w:rPr>
      </w:pPr>
      <w:r>
        <w:rPr>
          <w:rFonts w:ascii="Times New Roman" w:cs="Times New Roman" w:eastAsia="Times New Roman" w:hAnsi="Times New Roman"/>
          <w:sz w:val="18"/>
          <w:szCs w:val="18"/>
          <w:color w:val="auto"/>
        </w:rPr>
        <w:t>Our gross margin decreased during the year ended December 31, 2025 compared to the year ended December 31, 2024, primarily due to a 12.5% increase in our cost of revenue as described above and a 1.1% decrease in revenue during the period.</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54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1662430"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243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364.8pt,2.05pt" o:allowincell="f" strokecolor="#000000" strokeweight="0.975pt"/>
            </w:pict>
          </mc:Fallback>
        </mc:AlternateContent>
      </w:r>
    </w:p>
    <w:p>
      <w:pPr>
        <w:spacing w:after="0" w:line="28" w:lineRule="exact"/>
        <w:rPr>
          <w:sz w:val="20"/>
          <w:szCs w:val="20"/>
          <w:color w:val="auto"/>
        </w:rPr>
      </w:pPr>
    </w:p>
    <w:p>
      <w:pPr>
        <w:ind w:left="5120"/>
        <w:spacing w:after="0"/>
        <w:tabs>
          <w:tab w:leader="none" w:pos="6440" w:val="left"/>
          <w:tab w:leader="none" w:pos="7600" w:val="left"/>
          <w:tab w:leader="none" w:pos="89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807720" cy="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87" o:spid="_x0000_s15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297.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3824605</wp:posOffset>
                </wp:positionH>
                <wp:positionV relativeFrom="paragraph">
                  <wp:posOffset>26035</wp:posOffset>
                </wp:positionV>
                <wp:extent cx="808355"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15pt,2.05pt" to="364.8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4679315</wp:posOffset>
                </wp:positionH>
                <wp:positionV relativeFrom="paragraph">
                  <wp:posOffset>26035</wp:posOffset>
                </wp:positionV>
                <wp:extent cx="807720" cy="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45pt,2.05pt" to="432.0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5534025</wp:posOffset>
                </wp:positionH>
                <wp:positionV relativeFrom="paragraph">
                  <wp:posOffset>26035</wp:posOffset>
                </wp:positionV>
                <wp:extent cx="807720" cy="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75pt,2.05pt" to="499.35pt,2.05pt" o:allowincell="f" strokecolor="#000000" strokeweight="0.975pt"/>
            </w:pict>
          </mc:Fallback>
        </mc:AlternateContent>
      </w:r>
    </w:p>
    <w:p>
      <w:pPr>
        <w:spacing w:after="0" w:line="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p>
      <w:pPr>
        <w:spacing w:after="0" w:line="31" w:lineRule="exact"/>
        <w:rPr>
          <w:sz w:val="20"/>
          <w:szCs w:val="20"/>
          <w:color w:val="auto"/>
        </w:rPr>
      </w:pPr>
    </w:p>
    <w:p>
      <w:pPr>
        <w:ind w:left="40"/>
        <w:spacing w:after="0"/>
        <w:tabs>
          <w:tab w:leader="none" w:pos="4700" w:val="left"/>
          <w:tab w:leader="none" w:pos="5420" w:val="left"/>
          <w:tab w:leader="none" w:pos="6060" w:val="left"/>
          <w:tab w:leader="none" w:pos="6760" w:val="left"/>
          <w:tab w:leader="none" w:pos="7400" w:val="left"/>
          <w:tab w:leader="none" w:pos="8040" w:val="left"/>
          <w:tab w:leader="none" w:pos="9320" w:val="left"/>
        </w:tabs>
        <w:rPr>
          <w:sz w:val="20"/>
          <w:szCs w:val="20"/>
          <w:color w:val="auto"/>
        </w:rPr>
      </w:pPr>
      <w:r>
        <w:rPr>
          <w:rFonts w:ascii="Times New Roman" w:cs="Times New Roman" w:eastAsia="Times New Roman" w:hAnsi="Times New Roman"/>
          <w:sz w:val="20"/>
          <w:szCs w:val="20"/>
          <w:color w:val="auto"/>
        </w:rPr>
        <w:t>Research and development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732.0</w:t>
        <w:tab/>
        <w:t>$</w:t>
      </w:r>
      <w:r>
        <w:rPr>
          <w:sz w:val="20"/>
          <w:szCs w:val="20"/>
          <w:color w:val="auto"/>
        </w:rPr>
        <w:tab/>
      </w:r>
      <w:r>
        <w:rPr>
          <w:rFonts w:ascii="Times New Roman" w:cs="Times New Roman" w:eastAsia="Times New Roman" w:hAnsi="Times New Roman"/>
          <w:sz w:val="20"/>
          <w:szCs w:val="20"/>
          <w:color w:val="auto"/>
        </w:rPr>
        <w:t>914.9</w:t>
        <w:tab/>
        <w:t>$</w:t>
      </w:r>
      <w:r>
        <w:rPr>
          <w:sz w:val="20"/>
          <w:szCs w:val="20"/>
          <w:color w:val="auto"/>
        </w:rPr>
        <w:tab/>
      </w:r>
      <w:r>
        <w:rPr>
          <w:rFonts w:ascii="Times New Roman" w:cs="Times New Roman" w:eastAsia="Times New Roman" w:hAnsi="Times New Roman"/>
          <w:sz w:val="20"/>
          <w:szCs w:val="20"/>
          <w:color w:val="auto"/>
        </w:rPr>
        <w:t>(182.9)</w:t>
      </w:r>
      <w:r>
        <w:rPr>
          <w:sz w:val="20"/>
          <w:szCs w:val="20"/>
          <w:color w:val="auto"/>
        </w:rPr>
        <w:tab/>
      </w: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-139065</wp:posOffset>
                </wp:positionV>
                <wp:extent cx="6343015" cy="185420"/>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015" cy="185420"/>
                        </a:xfrm>
                        <a:prstGeom prst="rect">
                          <a:avLst/>
                        </a:prstGeom>
                        <a:solidFill>
                          <a:srgbClr val="E6E6E6"/>
                        </a:solidFill>
                      </wps:spPr>
                      <wps:bodyPr/>
                    </wps:wsp>
                  </a:graphicData>
                </a:graphic>
              </wp:anchor>
            </w:drawing>
          </mc:Choice>
          <mc:Fallback>
            <w:pict>
              <v:rect id="Shape 491" o:spid="_x0000_s1516" style="position:absolute;margin-left:-0.0499pt;margin-top:-10.9499pt;width:499.4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23"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20"/>
          <w:szCs w:val="20"/>
          <w:color w:val="auto"/>
        </w:rPr>
        <w:t>Research and development expenses decreased $182.9 million or 20.0% during the year ended December 31, 2025, as compared to the year ended December 31, 2024, primarily due to decreases of $147.8 million in employee-related costs driven by a decrease in headcount and $32.0 million in allocated overhead.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54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1662430"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243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364.8pt,2.05pt" o:allowincell="f" strokecolor="#000000" strokeweight="0.975pt"/>
            </w:pict>
          </mc:Fallback>
        </mc:AlternateContent>
      </w:r>
    </w:p>
    <w:p>
      <w:pPr>
        <w:spacing w:after="0" w:line="28" w:lineRule="exact"/>
        <w:rPr>
          <w:sz w:val="20"/>
          <w:szCs w:val="20"/>
          <w:color w:val="auto"/>
        </w:rPr>
      </w:pPr>
    </w:p>
    <w:p>
      <w:pPr>
        <w:ind w:left="5120"/>
        <w:spacing w:after="0"/>
        <w:tabs>
          <w:tab w:leader="none" w:pos="6440" w:val="left"/>
          <w:tab w:leader="none" w:pos="7600" w:val="left"/>
          <w:tab w:leader="none" w:pos="89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807720" cy="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297.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3824605</wp:posOffset>
                </wp:positionH>
                <wp:positionV relativeFrom="paragraph">
                  <wp:posOffset>26035</wp:posOffset>
                </wp:positionV>
                <wp:extent cx="808355" cy="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94" o:spid="_x0000_s15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15pt,2.05pt" to="364.8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4679315</wp:posOffset>
                </wp:positionH>
                <wp:positionV relativeFrom="paragraph">
                  <wp:posOffset>26035</wp:posOffset>
                </wp:positionV>
                <wp:extent cx="807720" cy="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45pt,2.05pt" to="432.0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5534025</wp:posOffset>
                </wp:positionH>
                <wp:positionV relativeFrom="paragraph">
                  <wp:posOffset>26035</wp:posOffset>
                </wp:positionV>
                <wp:extent cx="807720" cy="0"/>
                <wp:wrapNone/>
                <wp:docPr id="496" name="Shape 4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96" o:spid="_x0000_s15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75pt,2.05pt" to="499.35pt,2.05pt" o:allowincell="f" strokecolor="#000000" strokeweight="0.975pt"/>
            </w:pict>
          </mc:Fallback>
        </mc:AlternateContent>
      </w:r>
    </w:p>
    <w:p>
      <w:pPr>
        <w:spacing w:after="0" w:line="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p>
      <w:pPr>
        <w:spacing w:after="0" w:line="31" w:lineRule="exact"/>
        <w:rPr>
          <w:sz w:val="20"/>
          <w:szCs w:val="20"/>
          <w:color w:val="auto"/>
        </w:rPr>
      </w:pPr>
    </w:p>
    <w:p>
      <w:pPr>
        <w:ind w:left="40"/>
        <w:spacing w:after="0"/>
        <w:tabs>
          <w:tab w:leader="none" w:pos="4700" w:val="left"/>
          <w:tab w:leader="none" w:pos="5420" w:val="left"/>
          <w:tab w:leader="none" w:pos="6060" w:val="left"/>
          <w:tab w:leader="none" w:pos="6760" w:val="left"/>
          <w:tab w:leader="none" w:pos="7400" w:val="left"/>
          <w:tab w:leader="none" w:pos="8140" w:val="left"/>
          <w:tab w:leader="none" w:pos="9320" w:val="left"/>
        </w:tabs>
        <w:rPr>
          <w:sz w:val="20"/>
          <w:szCs w:val="20"/>
          <w:color w:val="auto"/>
        </w:rPr>
      </w:pPr>
      <w:r>
        <w:rPr>
          <w:rFonts w:ascii="Times New Roman" w:cs="Times New Roman" w:eastAsia="Times New Roman" w:hAnsi="Times New Roman"/>
          <w:sz w:val="20"/>
          <w:szCs w:val="20"/>
          <w:color w:val="auto"/>
        </w:rPr>
        <w:t>Sales and marketing</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369.9</w:t>
        <w:tab/>
        <w:t>$</w:t>
      </w:r>
      <w:r>
        <w:rPr>
          <w:sz w:val="20"/>
          <w:szCs w:val="20"/>
          <w:color w:val="auto"/>
        </w:rPr>
        <w:tab/>
      </w:r>
      <w:r>
        <w:rPr>
          <w:rFonts w:ascii="Times New Roman" w:cs="Times New Roman" w:eastAsia="Times New Roman" w:hAnsi="Times New Roman"/>
          <w:sz w:val="20"/>
          <w:szCs w:val="20"/>
          <w:color w:val="auto"/>
        </w:rPr>
        <w:t>460.7</w:t>
        <w:tab/>
        <w:t>$</w:t>
      </w:r>
      <w:r>
        <w:rPr>
          <w:sz w:val="20"/>
          <w:szCs w:val="20"/>
          <w:color w:val="auto"/>
        </w:rPr>
        <w:tab/>
      </w:r>
      <w:r>
        <w:rPr>
          <w:rFonts w:ascii="Times New Roman" w:cs="Times New Roman" w:eastAsia="Times New Roman" w:hAnsi="Times New Roman"/>
          <w:sz w:val="20"/>
          <w:szCs w:val="20"/>
          <w:color w:val="auto"/>
        </w:rPr>
        <w:t>(90.8)</w:t>
      </w:r>
      <w:r>
        <w:rPr>
          <w:sz w:val="20"/>
          <w:szCs w:val="20"/>
          <w:color w:val="auto"/>
        </w:rPr>
        <w:tab/>
      </w: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-139065</wp:posOffset>
                </wp:positionV>
                <wp:extent cx="6343015" cy="184785"/>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015" cy="184785"/>
                        </a:xfrm>
                        <a:prstGeom prst="rect">
                          <a:avLst/>
                        </a:prstGeom>
                        <a:solidFill>
                          <a:srgbClr val="E6E6E6"/>
                        </a:solidFill>
                      </wps:spPr>
                      <wps:bodyPr/>
                    </wps:wsp>
                  </a:graphicData>
                </a:graphic>
              </wp:anchor>
            </w:drawing>
          </mc:Choice>
          <mc:Fallback>
            <w:pict>
              <v:rect id="Shape 497" o:spid="_x0000_s1522" style="position:absolute;margin-left:-0.0499pt;margin-top:-10.9499pt;width:499.4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0" w:lineRule="exact"/>
        <w:rPr>
          <w:sz w:val="20"/>
          <w:szCs w:val="20"/>
          <w:color w:val="auto"/>
        </w:rPr>
      </w:pPr>
    </w:p>
    <w:p>
      <w:pPr>
        <w:spacing w:after="0" w:line="357" w:lineRule="exact"/>
        <w:rPr>
          <w:sz w:val="20"/>
          <w:szCs w:val="20"/>
          <w:color w:val="auto"/>
        </w:rPr>
      </w:pPr>
    </w:p>
    <w:p>
      <w:pPr>
        <w:ind w:right="140" w:firstLine="439"/>
        <w:spacing w:after="0" w:line="326" w:lineRule="auto"/>
        <w:rPr>
          <w:sz w:val="20"/>
          <w:szCs w:val="20"/>
          <w:color w:val="auto"/>
        </w:rPr>
      </w:pPr>
      <w:r>
        <w:rPr>
          <w:rFonts w:ascii="Times New Roman" w:cs="Times New Roman" w:eastAsia="Times New Roman" w:hAnsi="Times New Roman"/>
          <w:sz w:val="18"/>
          <w:szCs w:val="18"/>
          <w:color w:val="auto"/>
        </w:rPr>
        <w:t>Sales and marketing expenses decreased $90.8 million or 19.7% during the year ended December 31, 2025, as compared to the year ended December 31, 2024, primarily due to a decrease of $52.3 million related to advertising due to our strategic</w:t>
      </w:r>
    </w:p>
    <w:p>
      <w:pPr>
        <w:sectPr>
          <w:pgSz w:w="11880" w:h="15480" w:orient="portrait"/>
          <w:cols w:equalWidth="0" w:num="1">
            <w:col w:w="9980"/>
          </w:cols>
          <w:pgMar w:left="940" w:top="688" w:right="960" w:bottom="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980"/>
          </w:cols>
          <w:pgMar w:left="940" w:top="688" w:right="960" w:bottom="0" w:gutter="0" w:footer="0" w:header="0"/>
          <w:type w:val="continuous"/>
        </w:sectPr>
      </w:pPr>
    </w:p>
    <w:bookmarkStart w:id="161" w:name="page162"/>
    <w:bookmarkEnd w:id="161"/>
    <w:p>
      <w:pPr>
        <w:ind w:right="360"/>
        <w:spacing w:after="0" w:line="269" w:lineRule="auto"/>
        <w:rPr>
          <w:sz w:val="20"/>
          <w:szCs w:val="20"/>
          <w:color w:val="auto"/>
        </w:rPr>
      </w:pPr>
      <w:r>
        <w:rPr>
          <w:rFonts w:ascii="Times New Roman" w:cs="Times New Roman" w:eastAsia="Times New Roman" w:hAnsi="Times New Roman"/>
          <w:sz w:val="20"/>
          <w:szCs w:val="20"/>
          <w:color w:val="auto"/>
        </w:rPr>
        <w:t>decision to significantly reduce our investments in FormSwift and other marketing related expenses as well as a decrease of $31.8 million in employee-related costs driven by a decrease in headcount.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54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1662430" cy="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243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364.8pt,2.05pt" o:allowincell="f" strokecolor="#000000" strokeweight="0.975pt"/>
            </w:pict>
          </mc:Fallback>
        </mc:AlternateContent>
      </w:r>
    </w:p>
    <w:p>
      <w:pPr>
        <w:spacing w:after="0" w:line="28" w:lineRule="exact"/>
        <w:rPr>
          <w:sz w:val="20"/>
          <w:szCs w:val="20"/>
          <w:color w:val="auto"/>
        </w:rPr>
      </w:pPr>
    </w:p>
    <w:p>
      <w:pPr>
        <w:ind w:left="5120"/>
        <w:spacing w:after="0"/>
        <w:tabs>
          <w:tab w:leader="none" w:pos="6440" w:val="left"/>
          <w:tab w:leader="none" w:pos="7600" w:val="left"/>
          <w:tab w:leader="none" w:pos="89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2970530</wp:posOffset>
                </wp:positionH>
                <wp:positionV relativeFrom="paragraph">
                  <wp:posOffset>26035</wp:posOffset>
                </wp:positionV>
                <wp:extent cx="807720"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pt,2.05pt" to="297.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3824605</wp:posOffset>
                </wp:positionH>
                <wp:positionV relativeFrom="paragraph">
                  <wp:posOffset>26035</wp:posOffset>
                </wp:positionV>
                <wp:extent cx="808355" cy="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15pt,2.05pt" to="364.8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4679315</wp:posOffset>
                </wp:positionH>
                <wp:positionV relativeFrom="paragraph">
                  <wp:posOffset>26035</wp:posOffset>
                </wp:positionV>
                <wp:extent cx="807720"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45pt,2.05pt" to="432.05pt,2.05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5534025</wp:posOffset>
                </wp:positionH>
                <wp:positionV relativeFrom="paragraph">
                  <wp:posOffset>26035</wp:posOffset>
                </wp:positionV>
                <wp:extent cx="807720"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75pt,2.05pt" to="499.35pt,2.05pt" o:allowincell="f" strokecolor="#000000" strokeweight="0.975pt"/>
            </w:pict>
          </mc:Fallback>
        </mc:AlternateContent>
      </w:r>
    </w:p>
    <w:p>
      <w:pPr>
        <w:spacing w:after="0" w:line="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p>
      <w:pPr>
        <w:spacing w:after="0" w:line="31" w:lineRule="exact"/>
        <w:rPr>
          <w:sz w:val="20"/>
          <w:szCs w:val="20"/>
          <w:color w:val="auto"/>
        </w:rPr>
      </w:pPr>
    </w:p>
    <w:p>
      <w:pPr>
        <w:ind w:left="40"/>
        <w:spacing w:after="0"/>
        <w:tabs>
          <w:tab w:leader="none" w:pos="4700" w:val="left"/>
          <w:tab w:leader="none" w:pos="5420" w:val="left"/>
          <w:tab w:leader="none" w:pos="6060" w:val="left"/>
          <w:tab w:leader="none" w:pos="6760" w:val="left"/>
          <w:tab w:leader="none" w:pos="7400" w:val="left"/>
          <w:tab w:leader="none" w:pos="8140" w:val="left"/>
          <w:tab w:leader="none" w:pos="9420" w:val="left"/>
        </w:tabs>
        <w:rPr>
          <w:sz w:val="20"/>
          <w:szCs w:val="20"/>
          <w:color w:val="auto"/>
        </w:rPr>
      </w:pPr>
      <w:r>
        <w:rPr>
          <w:rFonts w:ascii="Times New Roman" w:cs="Times New Roman" w:eastAsia="Times New Roman" w:hAnsi="Times New Roman"/>
          <w:sz w:val="20"/>
          <w:szCs w:val="20"/>
          <w:color w:val="auto"/>
        </w:rPr>
        <w:t>General and administrative</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230.5</w:t>
        <w:tab/>
        <w:t>$</w:t>
      </w:r>
      <w:r>
        <w:rPr>
          <w:sz w:val="20"/>
          <w:szCs w:val="20"/>
          <w:color w:val="auto"/>
        </w:rPr>
        <w:tab/>
      </w:r>
      <w:r>
        <w:rPr>
          <w:rFonts w:ascii="Times New Roman" w:cs="Times New Roman" w:eastAsia="Times New Roman" w:hAnsi="Times New Roman"/>
          <w:sz w:val="20"/>
          <w:szCs w:val="20"/>
          <w:color w:val="auto"/>
        </w:rPr>
        <w:t>241.2</w:t>
        <w:tab/>
        <w:t>$</w:t>
      </w:r>
      <w:r>
        <w:rPr>
          <w:sz w:val="20"/>
          <w:szCs w:val="20"/>
          <w:color w:val="auto"/>
        </w:rPr>
        <w:tab/>
      </w: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-139065</wp:posOffset>
                </wp:positionV>
                <wp:extent cx="6343015" cy="18542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015" cy="185420"/>
                        </a:xfrm>
                        <a:prstGeom prst="rect">
                          <a:avLst/>
                        </a:prstGeom>
                        <a:solidFill>
                          <a:srgbClr val="E6E6E6"/>
                        </a:solidFill>
                      </wps:spPr>
                      <wps:bodyPr/>
                    </wps:wsp>
                  </a:graphicData>
                </a:graphic>
              </wp:anchor>
            </w:drawing>
          </mc:Choice>
          <mc:Fallback>
            <w:pict>
              <v:rect id="Shape 503" o:spid="_x0000_s1528" style="position:absolute;margin-left:-0.0499pt;margin-top:-10.9499pt;width:499.4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0" w:lineRule="exact"/>
        <w:rPr>
          <w:sz w:val="20"/>
          <w:szCs w:val="20"/>
          <w:color w:val="auto"/>
        </w:rPr>
      </w:pPr>
    </w:p>
    <w:p>
      <w:pPr>
        <w:spacing w:after="0" w:line="279" w:lineRule="exact"/>
        <w:rPr>
          <w:sz w:val="20"/>
          <w:szCs w:val="20"/>
          <w:color w:val="auto"/>
        </w:rPr>
      </w:pPr>
    </w:p>
    <w:p>
      <w:pPr>
        <w:ind w:right="80" w:firstLine="439"/>
        <w:spacing w:after="0" w:line="256" w:lineRule="auto"/>
        <w:rPr>
          <w:sz w:val="20"/>
          <w:szCs w:val="20"/>
          <w:color w:val="auto"/>
        </w:rPr>
      </w:pPr>
      <w:r>
        <w:rPr>
          <w:rFonts w:ascii="Times New Roman" w:cs="Times New Roman" w:eastAsia="Times New Roman" w:hAnsi="Times New Roman"/>
          <w:sz w:val="20"/>
          <w:szCs w:val="20"/>
          <w:color w:val="auto"/>
        </w:rPr>
        <w:t>General and administrative expenses decreased $10.7 million or 4.4% during the year ended December 31, 2025, as compared to the year ended December 31, 2024, primarily due to decreases of $7.4 million in outside services and $6.5 million in allocated overhead.</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Net (gain) loss on real estate assets</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51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34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 Change</w:t>
            </w:r>
          </w:p>
        </w:tc>
      </w:tr>
      <w:tr>
        <w:trPr>
          <w:trHeight w:val="305"/>
        </w:trPr>
        <w:tc>
          <w:tcPr>
            <w:tcW w:w="4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gridSpan w:val="3"/>
          </w:tcPr>
          <w:p>
            <w:pPr>
              <w:jc w:val="right"/>
              <w:ind w:right="402"/>
              <w:spacing w:after="0"/>
              <w:rPr>
                <w:sz w:val="20"/>
                <w:szCs w:val="20"/>
                <w:color w:val="auto"/>
              </w:rPr>
            </w:pPr>
            <w:r>
              <w:rPr>
                <w:rFonts w:ascii="Times New Roman" w:cs="Times New Roman" w:eastAsia="Times New Roman" w:hAnsi="Times New Roman"/>
                <w:sz w:val="20"/>
                <w:szCs w:val="20"/>
                <w:b w:val="1"/>
                <w:bCs w:val="1"/>
                <w:i w:val="1"/>
                <w:iCs w:val="1"/>
                <w:color w:val="auto"/>
                <w:w w:val="92"/>
              </w:rPr>
              <w:t>(In millions)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43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Net (gain) loss on real estate assets</w:t>
            </w:r>
          </w:p>
        </w:tc>
        <w:tc>
          <w:tcPr>
            <w:tcW w:w="880" w:type="dxa"/>
            <w:vAlign w:val="bottom"/>
            <w:shd w:val="clear" w:color="auto" w:fill="E6E6E6"/>
          </w:tcPr>
          <w:p>
            <w:pPr>
              <w:jc w:val="right"/>
              <w:ind w:right="622"/>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20" w:type="dxa"/>
            <w:vAlign w:val="bottom"/>
            <w:gridSpan w:val="2"/>
            <w:shd w:val="clear" w:color="auto" w:fill="E6E6E6"/>
          </w:tcPr>
          <w:p>
            <w:pPr>
              <w:jc w:val="right"/>
              <w:ind w:right="70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3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(1,400)%</w:t>
            </w:r>
          </w:p>
        </w:tc>
      </w:tr>
    </w:tbl>
    <w:p>
      <w:pPr>
        <w:spacing w:after="0" w:line="255" w:lineRule="exact"/>
        <w:rPr>
          <w:sz w:val="20"/>
          <w:szCs w:val="20"/>
          <w:color w:val="auto"/>
        </w:rPr>
      </w:pPr>
    </w:p>
    <w:p>
      <w:pPr>
        <w:ind w:right="140" w:firstLine="483"/>
        <w:spacing w:after="0" w:line="250" w:lineRule="auto"/>
        <w:rPr>
          <w:sz w:val="20"/>
          <w:szCs w:val="20"/>
          <w:color w:val="auto"/>
        </w:rPr>
      </w:pPr>
      <w:r>
        <w:rPr>
          <w:rFonts w:ascii="Times New Roman" w:cs="Times New Roman" w:eastAsia="Times New Roman" w:hAnsi="Times New Roman"/>
          <w:sz w:val="20"/>
          <w:szCs w:val="20"/>
          <w:color w:val="auto"/>
        </w:rPr>
        <w:t>Net gain on real estate assets was $1.3 million for the year ended December 31, 2025, primarily resulting from a reduction of the liability for unrecoverable common area maintenance costs related to our San Francisco, California corporate headquarters due to recent sublease activity. Net loss on real estate assets was $0.1 million for the year ended December 31, 2024, primarily due to changes in the corporate real estate market, which impacted our subleasing strategy in conjunction with our Virtual First work model.</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income, net</w:t>
      </w:r>
    </w:p>
    <w:p>
      <w:pPr>
        <w:spacing w:after="0" w:line="241" w:lineRule="exact"/>
        <w:rPr>
          <w:sz w:val="20"/>
          <w:szCs w:val="20"/>
          <w:color w:val="auto"/>
        </w:rPr>
      </w:pPr>
    </w:p>
    <w:p>
      <w:pPr>
        <w:ind w:right="160" w:firstLine="439"/>
        <w:spacing w:after="0" w:line="256" w:lineRule="auto"/>
        <w:rPr>
          <w:sz w:val="20"/>
          <w:szCs w:val="20"/>
          <w:color w:val="auto"/>
        </w:rPr>
      </w:pPr>
      <w:r>
        <w:rPr>
          <w:rFonts w:ascii="Times New Roman" w:cs="Times New Roman" w:eastAsia="Times New Roman" w:hAnsi="Times New Roman"/>
          <w:sz w:val="20"/>
          <w:szCs w:val="20"/>
          <w:color w:val="auto"/>
        </w:rPr>
        <w:t>Interest (expense) income, net changed by $92.5 million during the year ended December 31, 2025, as compared to the year ended December 31, 2024, primarily due to an increase in interest expense related to our term loan facility entered into in the fourth quarter of 2024.</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41" w:lineRule="exact"/>
        <w:rPr>
          <w:sz w:val="20"/>
          <w:szCs w:val="20"/>
          <w:color w:val="auto"/>
        </w:rPr>
      </w:pPr>
    </w:p>
    <w:p>
      <w:pPr>
        <w:ind w:right="320" w:firstLine="439"/>
        <w:spacing w:after="0" w:line="269" w:lineRule="auto"/>
        <w:rPr>
          <w:sz w:val="20"/>
          <w:szCs w:val="20"/>
          <w:color w:val="auto"/>
        </w:rPr>
      </w:pPr>
      <w:r>
        <w:rPr>
          <w:rFonts w:ascii="Times New Roman" w:cs="Times New Roman" w:eastAsia="Times New Roman" w:hAnsi="Times New Roman"/>
          <w:sz w:val="20"/>
          <w:szCs w:val="20"/>
          <w:color w:val="auto"/>
        </w:rPr>
        <w:t>Other income, net decreased by $2.6 million during the year ended December 31, 2025, as compared to the year ended December 31, 2024, primarily due to a $2.0 million increase in foreign currency transaction losses.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241" w:lineRule="exact"/>
        <w:rPr>
          <w:sz w:val="20"/>
          <w:szCs w:val="20"/>
          <w:color w:val="auto"/>
        </w:rPr>
      </w:pPr>
    </w:p>
    <w:p>
      <w:pPr>
        <w:ind w:firstLine="439"/>
        <w:spacing w:after="0" w:line="237" w:lineRule="auto"/>
        <w:rPr>
          <w:sz w:val="20"/>
          <w:szCs w:val="20"/>
          <w:color w:val="auto"/>
        </w:rPr>
      </w:pPr>
      <w:r>
        <w:rPr>
          <w:rFonts w:ascii="Times New Roman" w:cs="Times New Roman" w:eastAsia="Times New Roman" w:hAnsi="Times New Roman"/>
          <w:sz w:val="20"/>
          <w:szCs w:val="20"/>
          <w:color w:val="auto"/>
        </w:rPr>
        <w:t>Provision for income taxes increased $51.7 million during the year ended December 31, 2025, as compared to the year ended December 31, 2024, primarily due to an increase in income before taxes, a reduction in tax credits, and increases to our unrecognized tax benefits in the current year, as compared to reductions to our uncertain tax positions in the prior year due to an effective settlement with a foreign taxing authority.</w:t>
      </w:r>
    </w:p>
    <w:p>
      <w:pPr>
        <w:spacing w:after="0" w:line="184" w:lineRule="exact"/>
        <w:rPr>
          <w:sz w:val="20"/>
          <w:szCs w:val="20"/>
          <w:color w:val="auto"/>
        </w:rPr>
      </w:pPr>
    </w:p>
    <w:p>
      <w:pPr>
        <w:ind w:right="60" w:firstLine="439"/>
        <w:spacing w:after="0" w:line="235" w:lineRule="auto"/>
        <w:rPr>
          <w:sz w:val="20"/>
          <w:szCs w:val="20"/>
          <w:color w:val="auto"/>
        </w:rPr>
      </w:pPr>
      <w:r>
        <w:rPr>
          <w:rFonts w:ascii="Times New Roman" w:cs="Times New Roman" w:eastAsia="Times New Roman" w:hAnsi="Times New Roman"/>
          <w:sz w:val="20"/>
          <w:szCs w:val="20"/>
          <w:color w:val="auto"/>
        </w:rPr>
        <w:t>On July 4, 2025,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OBBBA reduced our U.S. cash tax payments in 2025, but increased tax expense, primarily due to limits to the availability of certain credits and deductions resulting from the reinstatement of immediate expensing for U.S. research expenditures.</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000"/>
          </w:cols>
          <w:pgMar w:left="940" w:top="696" w:right="940" w:bottom="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As of December 31, 2025, we had cash and cash equivalents of $891.3 million and short-term investments of</w:t>
      </w:r>
    </w:p>
    <w:p>
      <w:pPr>
        <w:spacing w:after="0" w:line="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$146.9 million, which were held for working capital purposes. Our cash, cash equivalents, and short-term investments consist primarily of cash, money market funds, corporate notes and obligations, U.S. Treasury securities, asset-backed securities, U.S. agency obligations, supranational securities, and municipal securities. As of December 31, 2025, $413.8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spacing w:after="0" w:line="210" w:lineRule="exact"/>
        <w:rPr>
          <w:sz w:val="20"/>
          <w:szCs w:val="20"/>
          <w:color w:val="auto"/>
        </w:rPr>
      </w:pPr>
    </w:p>
    <w:p>
      <w:pPr>
        <w:ind w:firstLine="439"/>
        <w:spacing w:after="0" w:line="248" w:lineRule="auto"/>
        <w:rPr>
          <w:sz w:val="20"/>
          <w:szCs w:val="20"/>
          <w:color w:val="auto"/>
        </w:rPr>
      </w:pPr>
      <w:r>
        <w:rPr>
          <w:rFonts w:ascii="Times New Roman" w:cs="Times New Roman" w:eastAsia="Times New Roman" w:hAnsi="Times New Roman"/>
          <w:sz w:val="20"/>
          <w:szCs w:val="20"/>
          <w:color w:val="auto"/>
        </w:rPr>
        <w:t>We have historically financed our operations primarily through cash generated from our operations, the Notes (as defined below) issuance, borrowings from our term loan facility, equity issuances, and finance leases for our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delayed draw term loan features as part of the term loan facility for additional working capital flexibility, as described below.</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In February 2021, we issued approximately $1.4 billion in aggregate principal amount of the 2026 Notes and the 2028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(together the "Notes"), comprised of $695.8 million in aggregate principal amount of 2026 Notes and $693.3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principal amount of 2028 Notes. The net proceeds from the issuance of the 2026 Notes and 2028 Notes were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$684.8 million, net of debt issuance costs, and $682.3 million, net of debt issuance costs, respectively. The 2026 Notes mature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 2026 and the 2028 Notes mature on March 1, 2028. The Notes of each series do not bear regular interest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does not accrete. The Notes of each series may bear special interest as the remedy relating to our failure to comply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certain of our reporting obligations. These Notes can be converted or repurchased prior to maturity if certain conditions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met.</w:t>
      </w:r>
    </w:p>
    <w:p>
      <w:pPr>
        <w:spacing w:after="0" w:line="222"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In December 2024, we entered into a secured five-year term loan facility in an aggregate principal amount of up to $2.0 billion, consisting of initial term loans and initial delayed draw term loan commitments (the "initial delayed draw term loans") each in an aggregate principal amount of up to $1.0 billion, respectively. The terms of the initial Credit Agreement also provide for a secured letter of credit facility in an aggregate amount of up to $35.0 million. In September 2025, we entered into the First Amendment to the term loan facility which provided for additional secured delayed draw term loan commitments in an aggregate principal amount of up to $700.0 million (the "2025 delayed draw term loans"). The 2025 delayed draw term loans may be borrowed solely for the purpose of prepaying, repaying, repurchasing, redeeming, exchanging or settling upon conversion the 2026 Notes. We expect to pay the 2026 Notes using proceeds from the loans prior to or at maturity in 2026.</w:t>
      </w:r>
    </w:p>
    <w:p>
      <w:pPr>
        <w:spacing w:after="0" w:line="103" w:lineRule="exact"/>
        <w:rPr>
          <w:sz w:val="20"/>
          <w:szCs w:val="20"/>
          <w:color w:val="auto"/>
        </w:rPr>
      </w:pPr>
    </w:p>
    <w:p>
      <w:pPr>
        <w:ind w:right="40" w:firstLine="439"/>
        <w:spacing w:after="0" w:line="247" w:lineRule="auto"/>
        <w:rPr>
          <w:sz w:val="20"/>
          <w:szCs w:val="20"/>
          <w:color w:val="auto"/>
        </w:rPr>
      </w:pPr>
      <w:r>
        <w:rPr>
          <w:rFonts w:ascii="Times New Roman" w:cs="Times New Roman" w:eastAsia="Times New Roman" w:hAnsi="Times New Roman"/>
          <w:sz w:val="20"/>
          <w:szCs w:val="20"/>
          <w:color w:val="auto"/>
        </w:rPr>
        <w:t>The initial term loans and initial delayed draw term loans have a maturity date of December 11, 2029 and the 2025 delayed draw term loans have a maturity date of September 9, 2030. Quarterly principal payments for the initial term loans and initial delayed draw term loans began on March 31, 2025 and on the last business day of the quarter after the funding of such loans, respectively, and will continue on the last business day of each quarter thereafter, equal to 0.25% of the original principal amount of such term loans or such greater percentage as may be required to make the initial delayed draw term loans fungible with any then-outstanding term loans. Quarterly repayments of 0.25% of the original principal amount of the 2025 delayed draw term loans are required beginning on the last business day of the quarter after the funding of such loans and continuing thereafter. As of December 31, 2025, we had $1,488.3 million of outstanding initial term loans and initial delayed draw term loans, no outstanding 2025 delayed draw term loans, and $1,200.0 million available to draw on the term loan facility. As of December 31, 2025, $17.5 million letters of credit were issued under the letter of credit facility.</w:t>
      </w:r>
    </w:p>
    <w:p>
      <w:pPr>
        <w:spacing w:after="0" w:line="129" w:lineRule="exact"/>
        <w:rPr>
          <w:sz w:val="20"/>
          <w:szCs w:val="20"/>
          <w:color w:val="auto"/>
        </w:rPr>
      </w:pPr>
    </w:p>
    <w:p>
      <w:pPr>
        <w:ind w:firstLine="439"/>
        <w:spacing w:after="0" w:line="239" w:lineRule="auto"/>
        <w:rPr>
          <w:sz w:val="20"/>
          <w:szCs w:val="20"/>
          <w:color w:val="auto"/>
        </w:rPr>
      </w:pPr>
      <w:r>
        <w:rPr>
          <w:rFonts w:ascii="Times New Roman" w:cs="Times New Roman" w:eastAsia="Times New Roman" w:hAnsi="Times New Roman"/>
          <w:sz w:val="20"/>
          <w:szCs w:val="20"/>
          <w:color w:val="auto"/>
        </w:rPr>
        <w:t>Interest on borrowings under the term loan facility accrues at either an alternate base rate plus a margin of 2.75% or a term SOFR rate plus a margin of 3.75% (further described in Note 8 "Debt") at our option. Pursuant to the terms of the Amended Credit Agreement, we are required to pay a quarterly commitment fee that accrues at a rate of 1.00% per annum on both the unused portion of the initial delayed draw term loan commitments and the unused portion of the 2025 delayed draw term loans. The 2025 delayed draw term loans commitment fees started accruing on the unused portion three months after the effective date of the First Amendment.</w:t>
      </w:r>
    </w:p>
    <w:p>
      <w:pPr>
        <w:spacing w:after="0" w:line="206" w:lineRule="exact"/>
        <w:rPr>
          <w:sz w:val="20"/>
          <w:szCs w:val="20"/>
          <w:color w:val="auto"/>
        </w:rPr>
      </w:pPr>
    </w:p>
    <w:p>
      <w:pPr>
        <w:ind w:right="220" w:firstLine="483"/>
        <w:spacing w:after="0" w:line="298" w:lineRule="auto"/>
        <w:rPr>
          <w:sz w:val="20"/>
          <w:szCs w:val="20"/>
          <w:color w:val="auto"/>
        </w:rPr>
      </w:pPr>
      <w:r>
        <w:rPr>
          <w:rFonts w:ascii="Times New Roman" w:cs="Times New Roman" w:eastAsia="Times New Roman" w:hAnsi="Times New Roman"/>
          <w:sz w:val="18"/>
          <w:szCs w:val="18"/>
          <w:color w:val="auto"/>
        </w:rPr>
        <w:t>The term loan facility permits the Company, subject to satisfaction of certain conditions, including obtaining commitments from new or existing lenders, to add new term loan facilities or increase the term loan commitments under the term loan agreement, in each case, subject to certain limits. Additionally, the Amended Credit Agreement contains customary</w:t>
      </w:r>
    </w:p>
    <w:p>
      <w:pPr>
        <w:sectPr>
          <w:pgSz w:w="11880" w:h="15480" w:orient="portrait"/>
          <w:cols w:equalWidth="0" w:num="1">
            <w:col w:w="10000"/>
          </w:cols>
          <w:pgMar w:left="940" w:top="689" w:right="94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000"/>
          </w:cols>
          <w:pgMar w:left="940" w:top="689" w:right="940" w:bottom="0" w:gutter="0" w:footer="0" w:header="0"/>
          <w:type w:val="continuous"/>
        </w:sectPr>
      </w:pPr>
    </w:p>
    <w:bookmarkStart w:id="163" w:name="page164"/>
    <w:bookmarkEnd w:id="163"/>
    <w:p>
      <w:pPr>
        <w:ind w:right="140"/>
        <w:spacing w:after="0" w:line="256" w:lineRule="auto"/>
        <w:rPr>
          <w:sz w:val="20"/>
          <w:szCs w:val="20"/>
          <w:color w:val="auto"/>
        </w:rPr>
      </w:pPr>
      <w:r>
        <w:rPr>
          <w:rFonts w:ascii="Times New Roman" w:cs="Times New Roman" w:eastAsia="Times New Roman" w:hAnsi="Times New Roman"/>
          <w:sz w:val="20"/>
          <w:szCs w:val="20"/>
          <w:color w:val="auto"/>
        </w:rPr>
        <w:t>representations and warranties, customary affirmative and negative covenants, and customary events of default. Failure to comply with these covenants may result in a portion of the outstanding term loan debt becoming due immediately. We were in compliance with all covenants under the term loan facility as of December 31, 2025.</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2025, we have utilized a significant portion of our U.S. federal, state and foreign net operating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utilization of remaining net operating loss and research credit carryforwards are subject to statutory limits.</w:t>
      </w:r>
    </w:p>
    <w:p>
      <w:pPr>
        <w:spacing w:after="0" w:line="238" w:lineRule="exact"/>
        <w:rPr>
          <w:sz w:val="20"/>
          <w:szCs w:val="20"/>
          <w:color w:val="auto"/>
        </w:rPr>
      </w:pPr>
    </w:p>
    <w:p>
      <w:pPr>
        <w:ind w:right="20" w:firstLine="439"/>
        <w:spacing w:after="0" w:line="248" w:lineRule="auto"/>
        <w:rPr>
          <w:sz w:val="20"/>
          <w:szCs w:val="20"/>
          <w:color w:val="auto"/>
        </w:rPr>
      </w:pPr>
      <w:r>
        <w:rPr>
          <w:rFonts w:ascii="Times New Roman" w:cs="Times New Roman" w:eastAsia="Times New Roman" w:hAnsi="Times New Roman"/>
          <w:sz w:val="20"/>
          <w:szCs w:val="20"/>
          <w:color w:val="auto"/>
        </w:rPr>
        <w:t>We believe our existing cash and cash equivalents, together with our short-term investments, cash provided by operations and amounts available under the term loan facility, will be sufficient to meet our needs for the foreseeable future. In addition to the Notes and obligations under the term loan facility discussed above, as of December 31, 2025, we have cash commitments due to additional known contractual obligations. Our cash commitments due to known contractual obligations primarily relate to operating and finance lease arrangements. As of December 31, 2025, we additionally had $91.4 million of commitments with third-party vendors for services related to our infrastructure, infrastructure warranty contracts, and asset retirement obligations for office modifications, with terms of 11 years or less.</w:t>
      </w:r>
    </w:p>
    <w:p>
      <w:pPr>
        <w:spacing w:after="0" w:line="209" w:lineRule="exact"/>
        <w:rPr>
          <w:sz w:val="20"/>
          <w:szCs w:val="20"/>
          <w:color w:val="auto"/>
        </w:rPr>
      </w:pPr>
    </w:p>
    <w:p>
      <w:pPr>
        <w:ind w:right="140" w:firstLine="439"/>
        <w:spacing w:after="0" w:line="280" w:lineRule="auto"/>
        <w:rPr>
          <w:sz w:val="20"/>
          <w:szCs w:val="20"/>
          <w:color w:val="auto"/>
        </w:rPr>
      </w:pPr>
      <w:r>
        <w:rPr>
          <w:rFonts w:ascii="Times New Roman" w:cs="Times New Roman" w:eastAsia="Times New Roman" w:hAnsi="Times New Roman"/>
          <w:sz w:val="18"/>
          <w:szCs w:val="18"/>
          <w:color w:val="auto"/>
        </w:rPr>
        <w:t>Our operating lease arrangements consist of leases for our offices and datacenters with terms of 11 years or less. As of December 31, 2025, future non-cancelable minimum rental payments related to operating leases were $646.1 million, which includes $162.9 million of future contractual rent payments allocated to non-lease components, and excludes rent payments from our subtenants and variable operating expenses. As of December 31, 2025, we are entitled to non-cancelable rent payments from our subtenants of $65.9 million, which will be collected over the next 8 years. Our finance lease arrangements primarily consist of leases for our infrastructure with terms of 4 years or less. As of December 31, 2025, future non-cancelable minimum rental payments under finance leases were$373.1 million. Refer to Note 9, "Leases", for more information.</w:t>
      </w:r>
    </w:p>
    <w:p>
      <w:pPr>
        <w:spacing w:after="0" w:line="182" w:lineRule="exact"/>
        <w:rPr>
          <w:sz w:val="20"/>
          <w:szCs w:val="20"/>
          <w:color w:val="auto"/>
        </w:rPr>
      </w:pPr>
    </w:p>
    <w:p>
      <w:pPr>
        <w:ind w:firstLine="439"/>
        <w:spacing w:after="0" w:line="246" w:lineRule="auto"/>
        <w:rPr>
          <w:sz w:val="20"/>
          <w:szCs w:val="20"/>
          <w:color w:val="auto"/>
        </w:rPr>
      </w:pPr>
      <w:r>
        <w:rPr>
          <w:rFonts w:ascii="Times New Roman" w:cs="Times New Roman" w:eastAsia="Times New Roman" w:hAnsi="Times New Roman"/>
          <w:sz w:val="20"/>
          <w:szCs w:val="20"/>
          <w:color w:val="auto"/>
        </w:rPr>
        <w:t>Our principal uses of cash in recent periods have been funding our operations, repurchases of our Class A common stock, the satisfaction of tax withholding obligations in connection with the settlement of restricted stock units ("RSUs") and restricted stock awards ("RSAs"), making principal payments on our finance lease obligations, and capital expenditures. Our Board of Directors has authorized three separate $1.2 billion Class A common stock repurchase programs since February 2022, with authorizations in February 2022, July 2023 and December 2024. We completed the February 2022, July 2023 and December 2024 authorizations during the three months ended March 31, 2024, March 31, 2025, and December 31, 2025 respectively. In August 2025, our Board of Directors authorized a new repurchase program of up to an additional $1.5 billion of the outstanding shares of our Class A common stock.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us to repurchase any specific number of shares and has no specified time limit; it may be discontinued at any time. During the year ended December 31, 2025, we repurchased and subsequently retired 60.4 million shares of our Class A common stock for an aggregate amount of $1.7 billion. This amount includes the 1% excise tax under the Inflation Reduction Act, as well as repurchase execution costs incurred in connection with our share repurchase program. The pace of our share repurchases may fluctuate due to various circumstances, including market conditions, our stock price, and other strategic investments.</w:t>
      </w:r>
    </w:p>
    <w:p>
      <w:pPr>
        <w:spacing w:after="0" w:line="130" w:lineRule="exact"/>
        <w:rPr>
          <w:sz w:val="20"/>
          <w:szCs w:val="20"/>
          <w:color w:val="auto"/>
        </w:rPr>
      </w:pPr>
    </w:p>
    <w:p>
      <w:pPr>
        <w:ind w:right="20" w:firstLine="439"/>
        <w:spacing w:after="0" w:line="27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investments in sales and marketing, the expansion of international operations, the introduction of new product capabilities and enhancement of our platform, the continuing market acceptance of our platform, and the volume, timing, and amount of our share repurchases. In addition, we have and may in the future enter into arrangements to acquire or invest in complementary businesses, services, and technologies, including intellectual property rights. In light of all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000"/>
          </w:cols>
          <w:pgMar w:left="940" w:top="696" w:right="940" w:bottom="0" w:gutter="0" w:footer="0" w:header="0"/>
          <w:type w:val="continuous"/>
        </w:sectPr>
      </w:pPr>
    </w:p>
    <w:bookmarkStart w:id="164" w:name="page165"/>
    <w:bookmarkEnd w:id="164"/>
    <w:p>
      <w:pPr>
        <w:ind w:left="440"/>
        <w:spacing w:after="0"/>
        <w:rPr>
          <w:sz w:val="20"/>
          <w:szCs w:val="20"/>
          <w:color w:val="auto"/>
        </w:rPr>
      </w:pPr>
      <w:r>
        <w:rPr>
          <w:rFonts w:ascii="Times New Roman" w:cs="Times New Roman" w:eastAsia="Times New Roman" w:hAnsi="Times New Roman"/>
          <w:sz w:val="20"/>
          <w:szCs w:val="20"/>
          <w:color w:val="auto"/>
        </w:rPr>
        <w:t>Our cash flow activities were as follows for the periods presented:</w:t>
      </w:r>
    </w:p>
    <w:p>
      <w:pPr>
        <w:spacing w:after="0" w:line="17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7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7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6"/>
        </w:trPr>
        <w:tc>
          <w:tcPr>
            <w:tcW w:w="6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tc>
        <w:tc>
          <w:tcPr>
            <w:tcW w:w="1060" w:type="dxa"/>
            <w:vAlign w:val="bottom"/>
          </w:tcPr>
          <w:p>
            <w:pPr>
              <w:spacing w:after="0"/>
              <w:rPr>
                <w:sz w:val="23"/>
                <w:szCs w:val="23"/>
                <w:color w:val="auto"/>
              </w:rPr>
            </w:pPr>
          </w:p>
        </w:tc>
      </w:tr>
      <w:tr>
        <w:trPr>
          <w:trHeight w:val="299"/>
        </w:trPr>
        <w:tc>
          <w:tcPr>
            <w:tcW w:w="67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60" w:type="dxa"/>
            <w:vAlign w:val="bottom"/>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951.8</w:t>
            </w:r>
          </w:p>
        </w:tc>
        <w:tc>
          <w:tcPr>
            <w:tcW w:w="580" w:type="dxa"/>
            <w:vAlign w:val="bottom"/>
            <w:gridSpan w:val="2"/>
            <w:shd w:val="clear" w:color="auto" w:fill="E6E6E6"/>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894.1</w:t>
            </w:r>
          </w:p>
        </w:tc>
      </w:tr>
      <w:tr>
        <w:trPr>
          <w:trHeight w:val="286"/>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443.8</w:t>
            </w:r>
          </w:p>
        </w:tc>
      </w:tr>
      <w:tr>
        <w:trPr>
          <w:trHeight w:val="299"/>
        </w:trPr>
        <w:tc>
          <w:tcPr>
            <w:tcW w:w="67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(1,530.7)</w:t>
            </w:r>
          </w:p>
        </w:tc>
        <w:tc>
          <w:tcPr>
            <w:tcW w:w="6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(586.6)</w:t>
            </w:r>
          </w:p>
        </w:tc>
      </w:tr>
      <w:tr>
        <w:trPr>
          <w:trHeight w:val="282"/>
        </w:trPr>
        <w:tc>
          <w:tcPr>
            <w:tcW w:w="672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Borders>
              <w:bottom w:val="single" w:sz="8" w:color="E6E6E6"/>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92"/>
        </w:trPr>
        <w:tc>
          <w:tcPr>
            <w:tcW w:w="672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Net (decrease) increase in cash and cash equivalents</w:t>
            </w: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(454.6)</w:t>
            </w:r>
          </w:p>
        </w:tc>
        <w:tc>
          <w:tcPr>
            <w:tcW w:w="6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auto"/>
            </w:tcBorders>
            <w:shd w:val="clear" w:color="auto" w:fill="E6E6E6"/>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-228600</wp:posOffset>
            </wp:positionV>
            <wp:extent cx="2083435" cy="4953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8">
                      <a:extLst>
                        <a:ext uri="{28A0092B-C50C-407E-A947-70E740481C1C}"/>
                      </a:extLst>
                    </a:blip>
                    <a:srcRect/>
                    <a:stretch>
                      <a:fillRect/>
                    </a:stretch>
                  </pic:blipFill>
                  <pic:spPr bwMode="auto">
                    <a:xfrm>
                      <a:off x="0" y="0"/>
                      <a:ext cx="2083435" cy="4953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-55245</wp:posOffset>
            </wp:positionV>
            <wp:extent cx="2083435" cy="742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9">
                      <a:extLst>
                        <a:ext uri="{28A0092B-C50C-407E-A947-70E740481C1C}"/>
                      </a:extLst>
                    </a:blip>
                    <a:srcRect/>
                    <a:stretch>
                      <a:fillRect/>
                    </a:stretch>
                  </pic:blipFill>
                  <pic:spPr bwMode="auto">
                    <a:xfrm>
                      <a:off x="0" y="0"/>
                      <a:ext cx="2083435" cy="74295"/>
                    </a:xfrm>
                    <a:prstGeom prst="rect">
                      <a:avLst/>
                    </a:prstGeom>
                    <a:noFill/>
                  </pic:spPr>
                </pic:pic>
              </a:graphicData>
            </a:graphic>
          </wp:anchor>
        </w:drawing>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68"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20"/>
          <w:szCs w:val="20"/>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as well as the effect of changes in operating assets and liabilities.</w:t>
      </w:r>
    </w:p>
    <w:p>
      <w:pPr>
        <w:spacing w:after="0" w:line="362"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2025, net cash provided by operating activities was $951.8 million, which primarily consisted of our net income of $508.4 million, adjusted for stock-based compensation expense of $300.8 million, depreciation and amortization expenses of $157.4 million, and net cash outflow of $126.8 million from operating assets and liabilities. The outflow from operating assets and liabilities was primarily due to the payment of our 2024 corporate bonus, the payment for the third tranche termination fee for the partial termination of our lease for our San Francisco, California corporate headquarters, and payments related to our operating leases.</w:t>
      </w:r>
    </w:p>
    <w:p>
      <w:pPr>
        <w:spacing w:after="0" w:line="207" w:lineRule="exact"/>
        <w:rPr>
          <w:sz w:val="20"/>
          <w:szCs w:val="20"/>
          <w:color w:val="auto"/>
        </w:rPr>
      </w:pPr>
    </w:p>
    <w:p>
      <w:pPr>
        <w:ind w:right="80" w:firstLine="439"/>
        <w:spacing w:after="0" w:line="248" w:lineRule="auto"/>
        <w:rPr>
          <w:sz w:val="20"/>
          <w:szCs w:val="20"/>
          <w:color w:val="auto"/>
        </w:rPr>
      </w:pPr>
      <w:r>
        <w:rPr>
          <w:rFonts w:ascii="Times New Roman" w:cs="Times New Roman" w:eastAsia="Times New Roman" w:hAnsi="Times New Roman"/>
          <w:sz w:val="20"/>
          <w:szCs w:val="20"/>
          <w:color w:val="auto"/>
        </w:rPr>
        <w:t>The increase of $57.7 million in net cash provided by operating activities during the year ended December 31, 2025, compared to the year ended December 31, 2024, was primarily due to an increase of $73.0 million in net income, as adjusted for stock-based compensation, depreciation and amortization expenses, and other non-cash (gains) losses, partially offset by an increase of $15.3 million in cash outflows from changes in operating assets and liabilities. The increase in cash outflows is primarily driven by an increase in foreign tax and accounts payable payments, and an increase in termination fee payments related to the partial termination of our lease for our San Francisco, California corporate headquarters, offset by the payments related to our reduction in workforce in the fourth quarter of 2024.</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68"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20"/>
          <w:szCs w:val="20"/>
          <w:color w:val="auto"/>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spacing w:after="0" w:line="122" w:lineRule="exact"/>
        <w:rPr>
          <w:sz w:val="20"/>
          <w:szCs w:val="20"/>
          <w:color w:val="auto"/>
        </w:rPr>
      </w:pPr>
    </w:p>
    <w:p>
      <w:pPr>
        <w:ind w:right="240" w:firstLine="439"/>
        <w:spacing w:after="0" w:line="256" w:lineRule="auto"/>
        <w:rPr>
          <w:sz w:val="20"/>
          <w:szCs w:val="20"/>
          <w:color w:val="auto"/>
        </w:rPr>
      </w:pPr>
      <w:r>
        <w:rPr>
          <w:rFonts w:ascii="Times New Roman" w:cs="Times New Roman" w:eastAsia="Times New Roman" w:hAnsi="Times New Roman"/>
          <w:sz w:val="20"/>
          <w:szCs w:val="20"/>
          <w:color w:val="auto"/>
        </w:rPr>
        <w:t>For the year ended December 31, 2025, net cash provided by investing activities was $111.9 million, which primarily related to $124.8 million in investment activity inflows, driven by the maturities of short-term investments. The increase was partially offset by cash paid for acquisitions of $13.1 million.</w:t>
      </w:r>
    </w:p>
    <w:p>
      <w:pPr>
        <w:spacing w:after="0" w:line="200" w:lineRule="exact"/>
        <w:rPr>
          <w:sz w:val="20"/>
          <w:szCs w:val="20"/>
          <w:color w:val="auto"/>
        </w:rPr>
      </w:pPr>
    </w:p>
    <w:p>
      <w:pPr>
        <w:ind w:right="200" w:firstLine="439"/>
        <w:spacing w:after="0" w:line="252" w:lineRule="auto"/>
        <w:rPr>
          <w:sz w:val="20"/>
          <w:szCs w:val="20"/>
          <w:color w:val="auto"/>
        </w:rPr>
      </w:pPr>
      <w:r>
        <w:rPr>
          <w:rFonts w:ascii="Times New Roman" w:cs="Times New Roman" w:eastAsia="Times New Roman" w:hAnsi="Times New Roman"/>
          <w:sz w:val="20"/>
          <w:szCs w:val="20"/>
          <w:color w:val="auto"/>
        </w:rPr>
        <w:t>The decrease of $331.9 million in net cash provided by investing activities during the year ended December 31, 2025, compared to the year ended December 31, 2024, was primarily due to a decrease of $368.3 million in net investment activity inflows and a decrease in cash receipts from equipment rebates of $15.2 million, offset by a decrease of $44.7 million in cash paid for acquisitions.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68"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20"/>
          <w:szCs w:val="20"/>
          <w:color w:val="auto"/>
        </w:rPr>
        <w:t>Net cash used in financing activities is primarily impacted by cash used for repurchases of common stock, tax withholding obligations for the release of restricted stock units and restricted stock awards, principal payments on finance lease obligations for our infrastructure equipment, principal payments on amounts drawn upon the term loan facility, payments of debt issuance costs and loan commitment fees related to the term loan facility, and payments of acquisition-related indemnity holdback amounts, offset by proceeds from the term loan facility.</w:t>
      </w:r>
    </w:p>
    <w:p>
      <w:pPr>
        <w:sectPr>
          <w:pgSz w:w="11880" w:h="15480" w:orient="portrait"/>
          <w:cols w:equalWidth="0" w:num="1">
            <w:col w:w="9980"/>
          </w:cols>
          <w:pgMar w:left="940" w:top="696" w:right="96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980"/>
          </w:cols>
          <w:pgMar w:left="940" w:top="696" w:right="960" w:bottom="0" w:gutter="0" w:footer="0" w:header="0"/>
          <w:type w:val="continuous"/>
        </w:sectPr>
      </w:pPr>
    </w:p>
    <w:bookmarkStart w:id="165" w:name="page166"/>
    <w:bookmarkEnd w:id="165"/>
    <w:p>
      <w:pPr>
        <w:ind w:right="200" w:firstLine="439"/>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2025, net cash used in financing activities was $1,530.7 million, which primarily consisted of $1,713.9 million for the repurchase of our common stock, $151.0 million for the satisfaction of tax withholding obligations for the release of restricted stock units and awards, $128.6 million in principal payments on finance lease obligations, $11.6 million in principal payments against the term loan facility, and $21.6 million in payments of debt issuance costs and loan commitment fees under the term loan facility. The outflow was offset by $500.0 million in proceeds from the term loan facility.</w:t>
      </w:r>
    </w:p>
    <w:p>
      <w:pPr>
        <w:spacing w:after="0" w:line="207" w:lineRule="exact"/>
        <w:rPr>
          <w:sz w:val="20"/>
          <w:szCs w:val="20"/>
          <w:color w:val="auto"/>
        </w:rPr>
      </w:pPr>
    </w:p>
    <w:p>
      <w:pPr>
        <w:ind w:right="240" w:firstLine="439"/>
        <w:spacing w:after="0" w:line="249" w:lineRule="auto"/>
        <w:rPr>
          <w:sz w:val="20"/>
          <w:szCs w:val="20"/>
          <w:color w:val="auto"/>
        </w:rPr>
      </w:pPr>
      <w:r>
        <w:rPr>
          <w:rFonts w:ascii="Times New Roman" w:cs="Times New Roman" w:eastAsia="Times New Roman" w:hAnsi="Times New Roman"/>
          <w:sz w:val="20"/>
          <w:szCs w:val="20"/>
          <w:color w:val="auto"/>
        </w:rPr>
        <w:t>The increase of $944.1 million in net cash used in financing activities during the year ended December 31, 2025, compared to the year ended December 31, 2024, was primarily due to a decrease of $500.0 million in proceeds from the term loan facility, an increase of $472.3 million in repurchases of our common stock, and an increase of $11.6 million in principal payments against the term loan facility, offset by a decrease of $28.5 million in payments of debt issuance costs and loan commitment fees and a decrease of $13.6 million in cash paid for the release of acquisition-related indemnity holdback payments after the acquisition date in accordance with the merger agreement.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Impacts of Stock-Based Compensation</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Co-Founder Grant</w:t>
      </w:r>
    </w:p>
    <w:p>
      <w:pPr>
        <w:spacing w:after="0" w:line="246" w:lineRule="exact"/>
        <w:rPr>
          <w:sz w:val="20"/>
          <w:szCs w:val="20"/>
          <w:color w:val="auto"/>
        </w:rPr>
      </w:pPr>
    </w:p>
    <w:p>
      <w:pPr>
        <w:ind w:right="80" w:firstLine="483"/>
        <w:spacing w:after="0" w:line="249" w:lineRule="auto"/>
        <w:rPr>
          <w:sz w:val="20"/>
          <w:szCs w:val="20"/>
          <w:color w:val="auto"/>
        </w:rPr>
      </w:pPr>
      <w:r>
        <w:rPr>
          <w:rFonts w:ascii="Times New Roman" w:cs="Times New Roman" w:eastAsia="Times New Roman" w:hAnsi="Times New Roman"/>
          <w:sz w:val="20"/>
          <w:szCs w:val="20"/>
          <w:color w:val="auto"/>
        </w:rPr>
        <w:t>In December 2017, the Board of Directors approved the grant to Drew Houston, the Company's Co-Founder and Chief Executive Officer, of 10.3 million shares of Class A common stock in the form of RSAs (the "Co-Founder Grant").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207" w:lineRule="exact"/>
        <w:rPr>
          <w:sz w:val="20"/>
          <w:szCs w:val="20"/>
          <w:color w:val="auto"/>
        </w:rPr>
      </w:pPr>
    </w:p>
    <w:p>
      <w:pPr>
        <w:ind w:right="340" w:firstLine="483"/>
        <w:spacing w:after="0" w:line="250" w:lineRule="auto"/>
        <w:rPr>
          <w:sz w:val="20"/>
          <w:szCs w:val="20"/>
          <w:color w:val="auto"/>
        </w:rPr>
      </w:pPr>
      <w:r>
        <w:rPr>
          <w:rFonts w:ascii="Times New Roman" w:cs="Times New Roman" w:eastAsia="Times New Roman" w:hAnsi="Times New Roman"/>
          <w:sz w:val="20"/>
          <w:szCs w:val="20"/>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Company Stock Price</w:t>
            </w:r>
          </w:p>
        </w:tc>
        <w:tc>
          <w:tcPr>
            <w:tcW w:w="80" w:type="dxa"/>
            <w:vAlign w:val="bottom"/>
          </w:tcPr>
          <w:p>
            <w:pPr>
              <w:spacing w:after="0"/>
              <w:rPr>
                <w:sz w:val="19"/>
                <w:szCs w:val="19"/>
                <w:color w:val="auto"/>
              </w:rPr>
            </w:pPr>
          </w:p>
        </w:tc>
        <w:tc>
          <w:tcPr>
            <w:tcW w:w="50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Shares Eligible to Vest for</w:t>
            </w:r>
          </w:p>
        </w:tc>
      </w:tr>
      <w:tr>
        <w:trPr>
          <w:trHeight w:val="256"/>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80" w:type="dxa"/>
            <w:vAlign w:val="bottom"/>
            <w:tcBorders>
              <w:bottom w:val="single" w:sz="8" w:color="E6E6E6"/>
            </w:tcBorders>
          </w:tcPr>
          <w:p>
            <w:pPr>
              <w:spacing w:after="0"/>
              <w:rPr>
                <w:sz w:val="22"/>
                <w:szCs w:val="22"/>
                <w:color w:val="auto"/>
              </w:rPr>
            </w:pP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Mr. Houston</w:t>
            </w:r>
          </w:p>
        </w:tc>
        <w:tc>
          <w:tcPr>
            <w:tcW w:w="80" w:type="dxa"/>
            <w:vAlign w:val="bottom"/>
            <w:tcBorders>
              <w:bottom w:val="single" w:sz="8" w:color="E6E6E6"/>
            </w:tcBorders>
          </w:tcPr>
          <w:p>
            <w:pPr>
              <w:spacing w:after="0"/>
              <w:rPr>
                <w:sz w:val="22"/>
                <w:szCs w:val="22"/>
                <w:color w:val="auto"/>
              </w:rPr>
            </w:pPr>
          </w:p>
        </w:tc>
      </w:tr>
      <w:tr>
        <w:trPr>
          <w:trHeight w:val="282"/>
        </w:trPr>
        <w:tc>
          <w:tcPr>
            <w:tcW w:w="48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$30.00</w:t>
            </w:r>
          </w:p>
        </w:tc>
        <w:tc>
          <w:tcPr>
            <w:tcW w:w="5060" w:type="dxa"/>
            <w:vAlign w:val="bottom"/>
            <w:gridSpan w:val="2"/>
            <w:shd w:val="clear" w:color="auto" w:fill="E6E6E6"/>
          </w:tcPr>
          <w:p>
            <w:pPr>
              <w:jc w:val="center"/>
              <w:ind w:left="22"/>
              <w:spacing w:after="0"/>
              <w:rPr>
                <w:sz w:val="20"/>
                <w:szCs w:val="20"/>
                <w:color w:val="auto"/>
              </w:rPr>
            </w:pPr>
            <w:r>
              <w:rPr>
                <w:rFonts w:ascii="Times New Roman" w:cs="Times New Roman" w:eastAsia="Times New Roman" w:hAnsi="Times New Roman"/>
                <w:sz w:val="20"/>
                <w:szCs w:val="20"/>
                <w:color w:val="auto"/>
                <w:w w:val="97"/>
              </w:rPr>
              <w:t>2,066,667</w:t>
            </w:r>
          </w:p>
        </w:tc>
        <w:tc>
          <w:tcPr>
            <w:tcW w:w="80" w:type="dxa"/>
            <w:vAlign w:val="bottom"/>
            <w:shd w:val="clear" w:color="auto" w:fill="E6E6E6"/>
          </w:tcPr>
          <w:p>
            <w:pPr>
              <w:spacing w:after="0"/>
              <w:rPr>
                <w:sz w:val="24"/>
                <w:szCs w:val="24"/>
                <w:color w:val="auto"/>
              </w:rPr>
            </w:pPr>
          </w:p>
        </w:tc>
      </w:tr>
      <w:tr>
        <w:trPr>
          <w:trHeight w:val="286"/>
        </w:trPr>
        <w:tc>
          <w:tcPr>
            <w:tcW w:w="4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$37.50</w:t>
            </w:r>
          </w:p>
        </w:tc>
        <w:tc>
          <w:tcPr>
            <w:tcW w:w="50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1,033,334</w:t>
            </w:r>
          </w:p>
        </w:tc>
        <w:tc>
          <w:tcPr>
            <w:tcW w:w="80" w:type="dxa"/>
            <w:vAlign w:val="bottom"/>
          </w:tcPr>
          <w:p>
            <w:pPr>
              <w:spacing w:after="0"/>
              <w:rPr>
                <w:sz w:val="24"/>
                <w:szCs w:val="24"/>
                <w:color w:val="auto"/>
              </w:rPr>
            </w:pPr>
          </w:p>
        </w:tc>
      </w:tr>
      <w:tr>
        <w:trPr>
          <w:trHeight w:val="299"/>
        </w:trPr>
        <w:tc>
          <w:tcPr>
            <w:tcW w:w="48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$45.00</w:t>
            </w:r>
          </w:p>
        </w:tc>
        <w:tc>
          <w:tcPr>
            <w:tcW w:w="5060" w:type="dxa"/>
            <w:vAlign w:val="bottom"/>
            <w:gridSpan w:val="2"/>
            <w:shd w:val="clear" w:color="auto" w:fill="E6E6E6"/>
          </w:tcPr>
          <w:p>
            <w:pPr>
              <w:jc w:val="center"/>
              <w:ind w:left="22"/>
              <w:spacing w:after="0"/>
              <w:rPr>
                <w:sz w:val="20"/>
                <w:szCs w:val="20"/>
                <w:color w:val="auto"/>
              </w:rPr>
            </w:pPr>
            <w:r>
              <w:rPr>
                <w:rFonts w:ascii="Times New Roman" w:cs="Times New Roman" w:eastAsia="Times New Roman" w:hAnsi="Times New Roman"/>
                <w:sz w:val="20"/>
                <w:szCs w:val="20"/>
                <w:color w:val="auto"/>
                <w:w w:val="97"/>
              </w:rPr>
              <w:t>1,033,334</w:t>
            </w:r>
          </w:p>
        </w:tc>
        <w:tc>
          <w:tcPr>
            <w:tcW w:w="80" w:type="dxa"/>
            <w:vAlign w:val="bottom"/>
            <w:shd w:val="clear" w:color="auto" w:fill="E6E6E6"/>
          </w:tcPr>
          <w:p>
            <w:pPr>
              <w:spacing w:after="0"/>
              <w:rPr>
                <w:sz w:val="24"/>
                <w:szCs w:val="24"/>
                <w:color w:val="auto"/>
              </w:rPr>
            </w:pPr>
          </w:p>
        </w:tc>
      </w:tr>
      <w:tr>
        <w:trPr>
          <w:trHeight w:val="286"/>
        </w:trPr>
        <w:tc>
          <w:tcPr>
            <w:tcW w:w="4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$52.50</w:t>
            </w:r>
          </w:p>
        </w:tc>
        <w:tc>
          <w:tcPr>
            <w:tcW w:w="50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1,033,333</w:t>
            </w:r>
          </w:p>
        </w:tc>
        <w:tc>
          <w:tcPr>
            <w:tcW w:w="80" w:type="dxa"/>
            <w:vAlign w:val="bottom"/>
          </w:tcPr>
          <w:p>
            <w:pPr>
              <w:spacing w:after="0"/>
              <w:rPr>
                <w:sz w:val="24"/>
                <w:szCs w:val="24"/>
                <w:color w:val="auto"/>
              </w:rPr>
            </w:pPr>
          </w:p>
        </w:tc>
      </w:tr>
      <w:tr>
        <w:trPr>
          <w:trHeight w:val="299"/>
        </w:trPr>
        <w:tc>
          <w:tcPr>
            <w:tcW w:w="48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$60.00</w:t>
            </w:r>
          </w:p>
        </w:tc>
        <w:tc>
          <w:tcPr>
            <w:tcW w:w="5060" w:type="dxa"/>
            <w:vAlign w:val="bottom"/>
            <w:gridSpan w:val="2"/>
            <w:shd w:val="clear" w:color="auto" w:fill="E6E6E6"/>
          </w:tcPr>
          <w:p>
            <w:pPr>
              <w:jc w:val="center"/>
              <w:ind w:left="22"/>
              <w:spacing w:after="0"/>
              <w:rPr>
                <w:sz w:val="20"/>
                <w:szCs w:val="20"/>
                <w:color w:val="auto"/>
              </w:rPr>
            </w:pPr>
            <w:r>
              <w:rPr>
                <w:rFonts w:ascii="Times New Roman" w:cs="Times New Roman" w:eastAsia="Times New Roman" w:hAnsi="Times New Roman"/>
                <w:sz w:val="20"/>
                <w:szCs w:val="20"/>
                <w:color w:val="auto"/>
                <w:w w:val="97"/>
              </w:rPr>
              <w:t>1,033,333</w:t>
            </w:r>
          </w:p>
        </w:tc>
        <w:tc>
          <w:tcPr>
            <w:tcW w:w="80" w:type="dxa"/>
            <w:vAlign w:val="bottom"/>
            <w:shd w:val="clear" w:color="auto" w:fill="E6E6E6"/>
          </w:tcPr>
          <w:p>
            <w:pPr>
              <w:spacing w:after="0"/>
              <w:rPr>
                <w:sz w:val="24"/>
                <w:szCs w:val="24"/>
                <w:color w:val="auto"/>
              </w:rPr>
            </w:pPr>
          </w:p>
        </w:tc>
      </w:tr>
      <w:tr>
        <w:trPr>
          <w:trHeight w:val="286"/>
        </w:trPr>
        <w:tc>
          <w:tcPr>
            <w:tcW w:w="4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$67.50</w:t>
            </w:r>
          </w:p>
        </w:tc>
        <w:tc>
          <w:tcPr>
            <w:tcW w:w="50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1,033,333</w:t>
            </w:r>
          </w:p>
        </w:tc>
        <w:tc>
          <w:tcPr>
            <w:tcW w:w="80" w:type="dxa"/>
            <w:vAlign w:val="bottom"/>
          </w:tcPr>
          <w:p>
            <w:pPr>
              <w:spacing w:after="0"/>
              <w:rPr>
                <w:sz w:val="24"/>
                <w:szCs w:val="24"/>
                <w:color w:val="auto"/>
              </w:rPr>
            </w:pPr>
          </w:p>
        </w:tc>
      </w:tr>
      <w:tr>
        <w:trPr>
          <w:trHeight w:val="299"/>
        </w:trPr>
        <w:tc>
          <w:tcPr>
            <w:tcW w:w="48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$75.00</w:t>
            </w:r>
          </w:p>
        </w:tc>
        <w:tc>
          <w:tcPr>
            <w:tcW w:w="5060" w:type="dxa"/>
            <w:vAlign w:val="bottom"/>
            <w:gridSpan w:val="2"/>
            <w:shd w:val="clear" w:color="auto" w:fill="E6E6E6"/>
          </w:tcPr>
          <w:p>
            <w:pPr>
              <w:jc w:val="center"/>
              <w:ind w:left="22"/>
              <w:spacing w:after="0"/>
              <w:rPr>
                <w:sz w:val="20"/>
                <w:szCs w:val="20"/>
                <w:color w:val="auto"/>
              </w:rPr>
            </w:pPr>
            <w:r>
              <w:rPr>
                <w:rFonts w:ascii="Times New Roman" w:cs="Times New Roman" w:eastAsia="Times New Roman" w:hAnsi="Times New Roman"/>
                <w:sz w:val="20"/>
                <w:szCs w:val="20"/>
                <w:color w:val="auto"/>
                <w:w w:val="97"/>
              </w:rPr>
              <w:t>1,033,333</w:t>
            </w:r>
          </w:p>
        </w:tc>
        <w:tc>
          <w:tcPr>
            <w:tcW w:w="80" w:type="dxa"/>
            <w:vAlign w:val="bottom"/>
            <w:shd w:val="clear" w:color="auto" w:fill="E6E6E6"/>
          </w:tcPr>
          <w:p>
            <w:pPr>
              <w:spacing w:after="0"/>
              <w:rPr>
                <w:sz w:val="24"/>
                <w:szCs w:val="24"/>
                <w:color w:val="auto"/>
              </w:rPr>
            </w:pPr>
          </w:p>
        </w:tc>
      </w:tr>
      <w:tr>
        <w:trPr>
          <w:trHeight w:val="286"/>
        </w:trPr>
        <w:tc>
          <w:tcPr>
            <w:tcW w:w="4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$82.50</w:t>
            </w:r>
          </w:p>
        </w:tc>
        <w:tc>
          <w:tcPr>
            <w:tcW w:w="50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1,033,333</w:t>
            </w:r>
          </w:p>
        </w:tc>
        <w:tc>
          <w:tcPr>
            <w:tcW w:w="80" w:type="dxa"/>
            <w:vAlign w:val="bottom"/>
          </w:tcPr>
          <w:p>
            <w:pPr>
              <w:spacing w:after="0"/>
              <w:rPr>
                <w:sz w:val="24"/>
                <w:szCs w:val="24"/>
                <w:color w:val="auto"/>
              </w:rPr>
            </w:pPr>
          </w:p>
        </w:tc>
      </w:tr>
      <w:tr>
        <w:trPr>
          <w:trHeight w:val="299"/>
        </w:trPr>
        <w:tc>
          <w:tcPr>
            <w:tcW w:w="48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$90.00</w:t>
            </w:r>
          </w:p>
        </w:tc>
        <w:tc>
          <w:tcPr>
            <w:tcW w:w="5060" w:type="dxa"/>
            <w:vAlign w:val="bottom"/>
            <w:gridSpan w:val="2"/>
            <w:shd w:val="clear" w:color="auto" w:fill="E6E6E6"/>
          </w:tcPr>
          <w:p>
            <w:pPr>
              <w:jc w:val="center"/>
              <w:ind w:left="22"/>
              <w:spacing w:after="0"/>
              <w:rPr>
                <w:sz w:val="20"/>
                <w:szCs w:val="20"/>
                <w:color w:val="auto"/>
              </w:rPr>
            </w:pPr>
            <w:r>
              <w:rPr>
                <w:rFonts w:ascii="Times New Roman" w:cs="Times New Roman" w:eastAsia="Times New Roman" w:hAnsi="Times New Roman"/>
                <w:sz w:val="20"/>
                <w:szCs w:val="20"/>
                <w:color w:val="auto"/>
                <w:w w:val="97"/>
              </w:rPr>
              <w:t>1,033,333</w:t>
            </w:r>
          </w:p>
        </w:tc>
        <w:tc>
          <w:tcPr>
            <w:tcW w:w="80" w:type="dxa"/>
            <w:vAlign w:val="bottom"/>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-1696085</wp:posOffset>
            </wp:positionV>
            <wp:extent cx="6343650" cy="495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70">
                      <a:extLst>
                        <a:ext uri="{28A0092B-C50C-407E-A947-70E740481C1C}"/>
                      </a:extLst>
                    </a:blip>
                    <a:srcRect/>
                    <a:stretch>
                      <a:fillRect/>
                    </a:stretch>
                  </pic:blipFill>
                  <pic:spPr bwMode="auto">
                    <a:xfrm>
                      <a:off x="0" y="0"/>
                      <a:ext cx="6343650" cy="49530"/>
                    </a:xfrm>
                    <a:prstGeom prst="rect">
                      <a:avLst/>
                    </a:prstGeom>
                    <a:noFill/>
                  </pic:spPr>
                </pic:pic>
              </a:graphicData>
            </a:graphic>
          </wp:anchor>
        </w:drawing>
      </w:r>
    </w:p>
    <w:p>
      <w:pPr>
        <w:spacing w:after="0" w:line="250" w:lineRule="exact"/>
        <w:rPr>
          <w:sz w:val="20"/>
          <w:szCs w:val="20"/>
          <w:color w:val="auto"/>
        </w:rPr>
      </w:pPr>
    </w:p>
    <w:p>
      <w:pPr>
        <w:ind w:right="40" w:firstLine="483"/>
        <w:spacing w:after="0" w:line="256" w:lineRule="auto"/>
        <w:rPr>
          <w:sz w:val="20"/>
          <w:szCs w:val="20"/>
          <w:color w:val="auto"/>
        </w:rPr>
      </w:pPr>
      <w:r>
        <w:rPr>
          <w:rFonts w:ascii="Times New Roman" w:cs="Times New Roman" w:eastAsia="Times New Roman" w:hAnsi="Times New Roman"/>
          <w:sz w:val="20"/>
          <w:szCs w:val="20"/>
          <w:color w:val="auto"/>
        </w:rPr>
        <w:t>The Performance Vesting Condition for the Co-Founder Grant was satisfied on the date the Company’s shares of Class A common stock commenced trading on the Nasdaq Global Select Market in connection with the Company’s IPO, which was March 23, 2018.</w:t>
      </w:r>
    </w:p>
    <w:p>
      <w:pPr>
        <w:spacing w:after="0" w:line="200" w:lineRule="exact"/>
        <w:rPr>
          <w:sz w:val="20"/>
          <w:szCs w:val="20"/>
          <w:color w:val="auto"/>
        </w:rPr>
      </w:pPr>
    </w:p>
    <w:p>
      <w:pPr>
        <w:ind w:right="80" w:firstLine="483"/>
        <w:spacing w:after="0" w:line="250" w:lineRule="auto"/>
        <w:rPr>
          <w:sz w:val="20"/>
          <w:szCs w:val="20"/>
          <w:color w:val="auto"/>
        </w:rPr>
      </w:pPr>
      <w:r>
        <w:rPr>
          <w:rFonts w:ascii="Times New Roman" w:cs="Times New Roman" w:eastAsia="Times New Roman" w:hAnsi="Times New Roman"/>
          <w:sz w:val="20"/>
          <w:szCs w:val="20"/>
          <w:color w:val="auto"/>
        </w:rPr>
        <w:t>The first tranche of the Co-Founder Grant, or 2.1 million shares of Class A common stock, vested in the fourth quarter of 2021. The stock-based compensation expense for the Co-Founder Grant was recognized utilizing the accelerated attribution method over the requisite service period identified as the derived service period over which the market conditions are expected to be achieved, and is not reversed if the market conditions are not satisfied. As of December 31, 2024, the Company had fully recognized all related stock-based compensation expense.</w:t>
      </w:r>
    </w:p>
    <w:p>
      <w:pPr>
        <w:sectPr>
          <w:pgSz w:w="11880" w:h="15480" w:orient="portrait"/>
          <w:cols w:equalWidth="0" w:num="1">
            <w:col w:w="10000"/>
          </w:cols>
          <w:pgMar w:left="940" w:top="696" w:right="94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000"/>
          </w:cols>
          <w:pgMar w:left="940" w:top="696" w:right="940" w:bottom="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8" w:lineRule="exact"/>
        <w:rPr>
          <w:sz w:val="20"/>
          <w:szCs w:val="20"/>
          <w:color w:val="auto"/>
        </w:rPr>
      </w:pPr>
    </w:p>
    <w:p>
      <w:pPr>
        <w:ind w:firstLine="483"/>
        <w:spacing w:after="0" w:line="280"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82" w:lineRule="exact"/>
        <w:rPr>
          <w:sz w:val="20"/>
          <w:szCs w:val="20"/>
          <w:color w:val="auto"/>
        </w:rPr>
      </w:pPr>
    </w:p>
    <w:p>
      <w:pPr>
        <w:jc w:val="both"/>
        <w:ind w:right="40" w:firstLine="483"/>
        <w:spacing w:after="0" w:line="280"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“Description of the Business and Summary of Significant Accounting Policies” to our Consolidated Financial Statements in Part II, Item 8 of this Annual Report on Form 10-K, we believe that the accounting policies described below involve a greater degree of judgment and estimation uncertainty.</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81"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20"/>
          <w:szCs w:val="20"/>
          <w:color w:val="auto"/>
        </w:rPr>
        <w:t>Deferred income tax balances reflect the effects of temporary differences between the financial reporting and tax bases of our assets and liabilities using enacted tax rates expected to apply when taxes are actually paid or recovered. In addition, deferred tax assets are recorded for net operating loss and credit carryforwards.</w:t>
      </w:r>
    </w:p>
    <w:p>
      <w:pPr>
        <w:spacing w:after="0" w:line="235" w:lineRule="exact"/>
        <w:rPr>
          <w:sz w:val="20"/>
          <w:szCs w:val="20"/>
          <w:color w:val="auto"/>
        </w:rPr>
      </w:pPr>
    </w:p>
    <w:p>
      <w:pPr>
        <w:ind w:right="60" w:firstLine="351"/>
        <w:spacing w:after="0" w:line="249" w:lineRule="auto"/>
        <w:rPr>
          <w:sz w:val="20"/>
          <w:szCs w:val="20"/>
          <w:color w:val="auto"/>
        </w:rPr>
      </w:pPr>
      <w:r>
        <w:rPr>
          <w:rFonts w:ascii="Times New Roman" w:cs="Times New Roman" w:eastAsia="Times New Roman" w:hAnsi="Times New Roman"/>
          <w:sz w:val="20"/>
          <w:szCs w:val="20"/>
          <w:color w:val="auto"/>
        </w:rPr>
        <w:t>A valuation allowance is provided against deferred tax assets unless it is more likely than not that they will be realized based on all available positive and negative evidence. Such evidence, which requires management's judgment, includes, but is not limited to, recent cumulative earnings or losses, expectations of future taxable income by taxing jurisdiction, and the carry-forward periods available for the utilization of deferred tax assets. Any changes in our assessment of the realizability of deferred tax assets would result in a corresponding increase or decrease to income tax expense in the period in which such change is recorded.</w:t>
      </w:r>
    </w:p>
    <w:p>
      <w:pPr>
        <w:spacing w:after="0" w:line="207" w:lineRule="exact"/>
        <w:rPr>
          <w:sz w:val="20"/>
          <w:szCs w:val="20"/>
          <w:color w:val="auto"/>
        </w:rPr>
      </w:pPr>
    </w:p>
    <w:p>
      <w:pPr>
        <w:ind w:firstLine="351"/>
        <w:spacing w:after="0" w:line="247" w:lineRule="auto"/>
        <w:rPr>
          <w:sz w:val="20"/>
          <w:szCs w:val="20"/>
          <w:color w:val="auto"/>
        </w:rPr>
      </w:pPr>
      <w:r>
        <w:rPr>
          <w:rFonts w:ascii="Times New Roman" w:cs="Times New Roman" w:eastAsia="Times New Roman" w:hAnsi="Times New Roman"/>
          <w:sz w:val="20"/>
          <w:szCs w:val="20"/>
          <w:color w:val="auto"/>
        </w:rPr>
        <w:t>We are subject to income taxes in the United States and various foreign jurisdictions and are required to make judgments and estimates in determining our provision for income taxes, including the recognition and measurement of uncertain tax positions. We recognize the tax benefit of an uncertain tax position only if it is more likely than not that the position will be sustained upon examination by the applicable taxing authority, based on the technical merits of the position. The evaluation of uncertain tax positions can require significant judgment and may involve assumptions regarding the interpretation and application of complex tax laws, and the resolution of issues with taxing authorities. These judgments may change as a result of new information, including changes in tax law, regulations, or interpretations thereof, the outcome of tax audits, or refinements to our estimates. Although we believe that our estimates related to uncertain tax positions are reasonable, the ultimate outcome of these matters may differ from our estimates. Any such differences could materially affect our provision for income taxes, effective tax rate, and cash flows in the period in which the matter is resolved.</w:t>
      </w:r>
    </w:p>
    <w:p>
      <w:pPr>
        <w:spacing w:after="0" w:line="207" w:lineRule="exact"/>
        <w:rPr>
          <w:sz w:val="20"/>
          <w:szCs w:val="20"/>
          <w:color w:val="auto"/>
        </w:rPr>
      </w:pPr>
    </w:p>
    <w:p>
      <w:pPr>
        <w:ind w:right="360" w:firstLine="351"/>
        <w:spacing w:after="0" w:line="269" w:lineRule="auto"/>
        <w:rPr>
          <w:sz w:val="20"/>
          <w:szCs w:val="20"/>
          <w:color w:val="auto"/>
        </w:rPr>
      </w:pPr>
      <w:r>
        <w:rPr>
          <w:rFonts w:ascii="Times New Roman" w:cs="Times New Roman" w:eastAsia="Times New Roman" w:hAnsi="Times New Roman"/>
          <w:sz w:val="20"/>
          <w:szCs w:val="20"/>
          <w:color w:val="auto"/>
        </w:rPr>
        <w:t>Refer to Note 14, “Income Taxes” to the Consolidated Financial Statements in Part II, Item 8 of this Annual Report on Form 10-K for more information.</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5" w:lineRule="exact"/>
        <w:rPr>
          <w:sz w:val="20"/>
          <w:szCs w:val="20"/>
          <w:color w:val="auto"/>
        </w:rPr>
      </w:pPr>
    </w:p>
    <w:p>
      <w:pPr>
        <w:jc w:val="both"/>
        <w:ind w:right="60" w:firstLine="483"/>
        <w:spacing w:after="0" w:line="256" w:lineRule="auto"/>
        <w:rPr>
          <w:sz w:val="20"/>
          <w:szCs w:val="20"/>
          <w:color w:val="auto"/>
        </w:rPr>
      </w:pPr>
      <w:r>
        <w:rPr>
          <w:rFonts w:ascii="Times New Roman" w:cs="Times New Roman" w:eastAsia="Times New Roman" w:hAnsi="Times New Roman"/>
          <w:sz w:val="20"/>
          <w:szCs w:val="20"/>
          <w:color w:val="auto"/>
        </w:rPr>
        <w:t>See Note 1, “Description of the Business and Summary of Significant Accounting Policies” to our consolidated financial statements included elsewhere in this Annual Report on Form 10-K for recently adopted accounting pronouncements as of the date of this Annual Report on Form 10-K.</w:t>
      </w:r>
    </w:p>
    <w:p>
      <w:pPr>
        <w:sectPr>
          <w:pgSz w:w="11880" w:h="15480" w:orient="portrait"/>
          <w:cols w:equalWidth="0" w:num="1">
            <w:col w:w="9960"/>
          </w:cols>
          <w:pgMar w:left="940" w:top="10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960"/>
          </w:cols>
          <w:pgMar w:left="940" w:top="1040" w:right="980" w:bottom="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23"/>
          <w:szCs w:val="23"/>
          <w:b w:val="1"/>
          <w:bCs w:val="1"/>
          <w:color w:val="auto"/>
        </w:rPr>
        <w:t>ITEM 7A. QUANTITATIVE AND QUALITATIVE DISCLOSURES ABOUT MARKET RISK</w:t>
      </w: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68" w:lineRule="exact"/>
        <w:rPr>
          <w:sz w:val="20"/>
          <w:szCs w:val="20"/>
          <w:color w:val="auto"/>
        </w:rPr>
      </w:pPr>
    </w:p>
    <w:p>
      <w:pPr>
        <w:ind w:right="120" w:firstLine="439"/>
        <w:spacing w:after="0" w:line="248" w:lineRule="auto"/>
        <w:rPr>
          <w:sz w:val="20"/>
          <w:szCs w:val="20"/>
          <w:color w:val="auto"/>
        </w:rPr>
      </w:pPr>
      <w:r>
        <w:rPr>
          <w:rFonts w:ascii="Times New Roman" w:cs="Times New Roman" w:eastAsia="Times New Roman" w:hAnsi="Times New Roman"/>
          <w:sz w:val="20"/>
          <w:szCs w:val="20"/>
          <w:color w:val="auto"/>
        </w:rPr>
        <w:t>We had cash and cash equivalents of $891.3 million and short-term investments of $146.9 million as of December 31, 2025. We hold our cash and cash equivalents and short-term investments for working capital purposes. Our cash, cash equivalents, and short-term investments consist primarily of cash, money market funds, corporate notes and obligations, U.S. Treasury securities, asset-backed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31" w:lineRule="exact"/>
        <w:rPr>
          <w:sz w:val="20"/>
          <w:szCs w:val="20"/>
          <w:color w:val="auto"/>
        </w:rPr>
      </w:pPr>
    </w:p>
    <w:p>
      <w:pPr>
        <w:jc w:val="both"/>
        <w:ind w:right="440" w:firstLine="439"/>
        <w:spacing w:after="0" w:line="256" w:lineRule="auto"/>
        <w:rPr>
          <w:sz w:val="20"/>
          <w:szCs w:val="20"/>
          <w:color w:val="auto"/>
        </w:rPr>
      </w:pPr>
      <w:r>
        <w:rPr>
          <w:rFonts w:ascii="Times New Roman" w:cs="Times New Roman" w:eastAsia="Times New Roman" w:hAnsi="Times New Roman"/>
          <w:sz w:val="20"/>
          <w:szCs w:val="20"/>
          <w:color w:val="auto"/>
        </w:rPr>
        <w:t>As of December 31, 2025, a hypothetical increase in interest rates by 100 basis points would have had an immaterial impact on the market value of our investment portfolio. This estimate is based on a sensitivity model that measures market value changes when changes in interest rates occur.</w:t>
      </w:r>
    </w:p>
    <w:p>
      <w:pPr>
        <w:spacing w:after="0" w:line="122" w:lineRule="exact"/>
        <w:rPr>
          <w:sz w:val="20"/>
          <w:szCs w:val="20"/>
          <w:color w:val="auto"/>
        </w:rPr>
      </w:pPr>
    </w:p>
    <w:p>
      <w:pPr>
        <w:ind w:right="20" w:firstLine="439"/>
        <w:spacing w:after="0" w:line="271" w:lineRule="auto"/>
        <w:rPr>
          <w:sz w:val="20"/>
          <w:szCs w:val="20"/>
          <w:color w:val="auto"/>
        </w:rPr>
      </w:pPr>
      <w:r>
        <w:rPr>
          <w:rFonts w:ascii="Times New Roman" w:cs="Times New Roman" w:eastAsia="Times New Roman" w:hAnsi="Times New Roman"/>
          <w:sz w:val="18"/>
          <w:szCs w:val="18"/>
          <w:color w:val="auto"/>
        </w:rPr>
        <w:t>Borrowings under the term loan facility bear interest, at our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2.75% margin, or (b) an overnight term SOFR rate (based on one, three or six month interest periods), plus a</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3.75% margin. As of December 31, 2025, we had $1,488.3 million outstanding under the term loan facility. We do not have any other long-term debt or financial liabilities with floating interest rates that would subject us to interest rate fluctuations. For the year ended December 31, 2025, a hypothetical 100 basis point increase or decrease in interest rates would have resulted in a $10.9 million change in interest expense related to the term loan facility.</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168" w:lineRule="exact"/>
        <w:rPr>
          <w:sz w:val="20"/>
          <w:szCs w:val="20"/>
          <w:color w:val="auto"/>
        </w:rPr>
      </w:pPr>
    </w:p>
    <w:p>
      <w:pPr>
        <w:ind w:right="420" w:firstLine="439"/>
        <w:spacing w:after="0" w:line="269" w:lineRule="auto"/>
        <w:rPr>
          <w:sz w:val="20"/>
          <w:szCs w:val="20"/>
          <w:color w:val="auto"/>
        </w:rPr>
      </w:pPr>
      <w:r>
        <w:rPr>
          <w:rFonts w:ascii="Times New Roman" w:cs="Times New Roman" w:eastAsia="Times New Roman" w:hAnsi="Times New Roman"/>
          <w:sz w:val="20"/>
          <w:szCs w:val="20"/>
          <w:color w:val="auto"/>
        </w:rPr>
        <w:t>Our results of operations and cash flows are subject to fluctuations due to changes in foreign currency exchange rates relative to U.S. dollars, our reporting currency.</w:t>
      </w:r>
    </w:p>
    <w:p>
      <w:pPr>
        <w:spacing w:after="0" w:line="109" w:lineRule="exact"/>
        <w:rPr>
          <w:sz w:val="20"/>
          <w:szCs w:val="20"/>
          <w:color w:val="auto"/>
        </w:rPr>
      </w:pPr>
    </w:p>
    <w:p>
      <w:pPr>
        <w:ind w:right="820" w:firstLine="439"/>
        <w:spacing w:after="0" w:line="269" w:lineRule="auto"/>
        <w:rPr>
          <w:sz w:val="20"/>
          <w:szCs w:val="20"/>
          <w:color w:val="auto"/>
        </w:rPr>
      </w:pPr>
      <w:r>
        <w:rPr>
          <w:rFonts w:ascii="Times New Roman" w:cs="Times New Roman" w:eastAsia="Times New Roman" w:hAnsi="Times New Roman"/>
          <w:sz w:val="20"/>
          <w:szCs w:val="20"/>
          <w:color w:val="auto"/>
        </w:rPr>
        <w:t>Most of our revenue is generated in U.S. dollars, with the remainder generated in Euros, British pounds sterling, Australian dollars, Canadian dollars, and Japanese yen.</w:t>
      </w:r>
    </w:p>
    <w:p>
      <w:pPr>
        <w:spacing w:after="0" w:line="109" w:lineRule="exact"/>
        <w:rPr>
          <w:sz w:val="20"/>
          <w:szCs w:val="20"/>
          <w:color w:val="auto"/>
        </w:rPr>
      </w:pPr>
    </w:p>
    <w:p>
      <w:pPr>
        <w:ind w:right="160" w:firstLine="439"/>
        <w:spacing w:after="0" w:line="250" w:lineRule="auto"/>
        <w:rPr>
          <w:sz w:val="20"/>
          <w:szCs w:val="20"/>
          <w:color w:val="auto"/>
        </w:rPr>
      </w:pPr>
      <w:r>
        <w:rPr>
          <w:rFonts w:ascii="Times New Roman" w:cs="Times New Roman" w:eastAsia="Times New Roman" w:hAnsi="Times New Roman"/>
          <w:sz w:val="20"/>
          <w:szCs w:val="20"/>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28" w:lineRule="exact"/>
        <w:rPr>
          <w:sz w:val="20"/>
          <w:szCs w:val="20"/>
          <w:color w:val="auto"/>
        </w:rPr>
      </w:pPr>
    </w:p>
    <w:p>
      <w:pPr>
        <w:ind w:firstLine="439"/>
        <w:spacing w:after="0" w:line="246" w:lineRule="auto"/>
        <w:rPr>
          <w:sz w:val="20"/>
          <w:szCs w:val="20"/>
          <w:color w:val="auto"/>
        </w:rPr>
      </w:pPr>
      <w:r>
        <w:rPr>
          <w:rFonts w:ascii="Times New Roman" w:cs="Times New Roman" w:eastAsia="Times New Roman" w:hAnsi="Times New Roman"/>
          <w:sz w:val="20"/>
          <w:szCs w:val="20"/>
          <w:color w:val="auto"/>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year ended December 31, 2025,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214" w:lineRule="exact"/>
        <w:rPr>
          <w:sz w:val="20"/>
          <w:szCs w:val="20"/>
          <w:color w:val="auto"/>
        </w:rPr>
      </w:pPr>
    </w:p>
    <w:p>
      <w:pPr>
        <w:ind w:right="300" w:firstLine="439"/>
        <w:spacing w:after="0" w:line="256" w:lineRule="auto"/>
        <w:rPr>
          <w:sz w:val="20"/>
          <w:szCs w:val="20"/>
          <w:color w:val="auto"/>
        </w:rPr>
      </w:pPr>
      <w:r>
        <w:rPr>
          <w:rFonts w:ascii="Times New Roman" w:cs="Times New Roman" w:eastAsia="Times New Roman" w:hAnsi="Times New Roman"/>
          <w:sz w:val="20"/>
          <w:szCs w:val="20"/>
          <w:color w:val="auto"/>
        </w:rPr>
        <w:t>Foreign currency transaction gains and losses were immaterial during the years ended December 31, 2025 and 2024. A hypothetical 10% change in foreign currency rates would not have resulted in material gains or losses for the years ended December 31, 2025 and 2024.</w:t>
      </w:r>
    </w:p>
    <w:p>
      <w:pPr>
        <w:spacing w:after="0" w:line="122" w:lineRule="exact"/>
        <w:rPr>
          <w:sz w:val="20"/>
          <w:szCs w:val="20"/>
          <w:color w:val="auto"/>
        </w:rPr>
      </w:pPr>
    </w:p>
    <w:p>
      <w:pPr>
        <w:ind w:right="40" w:firstLine="439"/>
        <w:spacing w:after="0" w:line="269" w:lineRule="auto"/>
        <w:rPr>
          <w:sz w:val="20"/>
          <w:szCs w:val="20"/>
          <w:color w:val="auto"/>
        </w:rPr>
      </w:pPr>
      <w:r>
        <w:rPr>
          <w:rFonts w:ascii="Times New Roman" w:cs="Times New Roman" w:eastAsia="Times New Roman" w:hAnsi="Times New Roman"/>
          <w:sz w:val="20"/>
          <w:szCs w:val="20"/>
          <w:color w:val="auto"/>
        </w:rPr>
        <w:t>To date, we have not engaged in any hedging activities. As our international operations grow, we will continue to reassess our approach to managing risks relating to fluctuations in currency rates.</w:t>
      </w:r>
    </w:p>
    <w:p>
      <w:pPr>
        <w:sectPr>
          <w:pgSz w:w="11880" w:h="15480" w:orient="portrait"/>
          <w:cols w:equalWidth="0" w:num="1">
            <w:col w:w="10000"/>
          </w:cols>
          <w:pgMar w:left="940" w:top="6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000"/>
          </w:cols>
          <w:pgMar w:left="940" w:top="675" w:right="940" w:bottom="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3"/>
          <w:szCs w:val="23"/>
          <w:b w:val="1"/>
          <w:bCs w:val="1"/>
          <w:color w:val="auto"/>
        </w:rPr>
        <w:t>ITEM 8. FINANCIAL STATEMENTS AND SUPPLEMENTARY DATA</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340" w:type="dxa"/>
            <w:vAlign w:val="bottom"/>
            <w:tcBorders>
              <w:bottom w:val="single" w:sz="8" w:color="E6E6E6"/>
            </w:tcBorders>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68"/>
        </w:trPr>
        <w:tc>
          <w:tcPr>
            <w:tcW w:w="83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42)</w:t>
            </w:r>
          </w:p>
        </w:tc>
        <w:tc>
          <w:tcPr>
            <w:tcW w:w="16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68</w:t>
            </w:r>
          </w:p>
        </w:tc>
      </w:tr>
      <w:tr>
        <w:trPr>
          <w:trHeight w:val="271"/>
        </w:trPr>
        <w:tc>
          <w:tcPr>
            <w:tcW w:w="8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71</w:t>
            </w:r>
          </w:p>
        </w:tc>
      </w:tr>
      <w:tr>
        <w:trPr>
          <w:trHeight w:val="284"/>
        </w:trPr>
        <w:tc>
          <w:tcPr>
            <w:tcW w:w="83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16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72</w:t>
            </w:r>
          </w:p>
        </w:tc>
      </w:tr>
      <w:tr>
        <w:trPr>
          <w:trHeight w:val="271"/>
        </w:trPr>
        <w:tc>
          <w:tcPr>
            <w:tcW w:w="8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Consolidated Statements of Comprehensive Income</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73</w:t>
            </w:r>
          </w:p>
        </w:tc>
      </w:tr>
      <w:tr>
        <w:trPr>
          <w:trHeight w:val="284"/>
        </w:trPr>
        <w:tc>
          <w:tcPr>
            <w:tcW w:w="83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Consolidated Statements of Stockholders’ Deficit</w:t>
            </w:r>
          </w:p>
        </w:tc>
        <w:tc>
          <w:tcPr>
            <w:tcW w:w="16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74</w:t>
            </w:r>
          </w:p>
        </w:tc>
      </w:tr>
      <w:tr>
        <w:trPr>
          <w:trHeight w:val="271"/>
        </w:trPr>
        <w:tc>
          <w:tcPr>
            <w:tcW w:w="8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75</w:t>
            </w:r>
          </w:p>
        </w:tc>
      </w:tr>
      <w:tr>
        <w:trPr>
          <w:trHeight w:val="284"/>
        </w:trPr>
        <w:tc>
          <w:tcPr>
            <w:tcW w:w="83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6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89"/>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-1247140</wp:posOffset>
            </wp:positionV>
            <wp:extent cx="1065530"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71">
                      <a:extLst>
                        <a:ext uri="{28A0092B-C50C-407E-A947-70E740481C1C}"/>
                      </a:extLst>
                    </a:blip>
                    <a:srcRect/>
                    <a:stretch>
                      <a:fillRect/>
                    </a:stretch>
                  </pic:blipFill>
                  <pic:spPr bwMode="auto">
                    <a:xfrm>
                      <a:off x="0" y="0"/>
                      <a:ext cx="1065530" cy="25400"/>
                    </a:xfrm>
                    <a:prstGeom prst="rect">
                      <a:avLst/>
                    </a:prstGeom>
                    <a:noFill/>
                  </pic:spPr>
                </pic:pic>
              </a:graphicData>
            </a:graphic>
          </wp:anchor>
        </w:drawing>
      </w:r>
    </w:p>
    <w:p>
      <w:pPr>
        <w:sectPr>
          <w:pgSz w:w="11880" w:h="15480" w:orient="portrait"/>
          <w:cols w:equalWidth="0" w:num="1">
            <w:col w:w="9980"/>
          </w:cols>
          <w:pgMar w:left="940" w:top="67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980"/>
          </w:cols>
          <w:pgMar w:left="940" w:top="675" w:right="960" w:bottom="0" w:gutter="0" w:footer="0" w:header="0"/>
          <w:type w:val="continuous"/>
        </w:sectPr>
      </w:pPr>
    </w:p>
    <w:bookmarkStart w:id="169" w:name="page170"/>
    <w:bookmarkEnd w:id="169"/>
    <w:p>
      <w:pPr>
        <w:ind w:right="1660" w:firstLine="1662"/>
        <w:spacing w:after="0" w:line="52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Dropbox,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28" w:lineRule="exact"/>
        <w:rPr>
          <w:sz w:val="20"/>
          <w:szCs w:val="20"/>
          <w:color w:val="auto"/>
        </w:rPr>
      </w:pPr>
    </w:p>
    <w:p>
      <w:pPr>
        <w:jc w:val="both"/>
        <w:ind w:firstLine="526"/>
        <w:spacing w:after="0" w:line="233" w:lineRule="auto"/>
        <w:rPr>
          <w:sz w:val="20"/>
          <w:szCs w:val="20"/>
          <w:color w:val="auto"/>
        </w:rPr>
      </w:pPr>
      <w:r>
        <w:rPr>
          <w:rFonts w:ascii="Times New Roman" w:cs="Times New Roman" w:eastAsia="Times New Roman" w:hAnsi="Times New Roman"/>
          <w:sz w:val="20"/>
          <w:szCs w:val="20"/>
          <w:color w:val="333333"/>
        </w:rPr>
        <w:t>We have audited the accompanying consolidated balance sheets of Dropbox, Inc. (the Company) as of December 31, 2025 and 2024, the related consolidated statements of operations, comprehensive income, stockholders'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0" w:lineRule="exact"/>
        <w:rPr>
          <w:sz w:val="20"/>
          <w:szCs w:val="20"/>
          <w:color w:val="auto"/>
        </w:rPr>
      </w:pPr>
    </w:p>
    <w:p>
      <w:pPr>
        <w:jc w:val="both"/>
        <w:ind w:firstLine="526"/>
        <w:spacing w:after="0" w:line="271" w:lineRule="auto"/>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8" w:lineRule="exact"/>
        <w:rPr>
          <w:sz w:val="20"/>
          <w:szCs w:val="20"/>
          <w:color w:val="auto"/>
        </w:rPr>
      </w:pPr>
    </w:p>
    <w:p>
      <w:pPr>
        <w:jc w:val="both"/>
        <w:ind w:firstLine="526"/>
        <w:spacing w:after="0" w:line="237" w:lineRule="auto"/>
        <w:rPr>
          <w:sz w:val="20"/>
          <w:szCs w:val="20"/>
          <w:color w:val="auto"/>
        </w:rPr>
      </w:pPr>
      <w:r>
        <w:rPr>
          <w:rFonts w:ascii="Times New Roman" w:cs="Times New Roman" w:eastAsia="Times New Roman" w:hAnsi="Times New Roman"/>
          <w:sz w:val="20"/>
          <w:szCs w:val="20"/>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ind w:firstLine="526"/>
        <w:spacing w:after="0" w:line="262"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28" w:lineRule="exact"/>
        <w:rPr>
          <w:sz w:val="20"/>
          <w:szCs w:val="20"/>
          <w:color w:val="auto"/>
        </w:rPr>
      </w:pPr>
    </w:p>
    <w:p>
      <w:pPr>
        <w:jc w:val="both"/>
        <w:ind w:firstLine="526"/>
        <w:spacing w:after="0" w:line="234" w:lineRule="auto"/>
        <w:rPr>
          <w:sz w:val="20"/>
          <w:szCs w:val="20"/>
          <w:color w:val="auto"/>
        </w:rPr>
      </w:pPr>
      <w:r>
        <w:rPr>
          <w:rFonts w:ascii="Times New Roman" w:cs="Times New Roman" w:eastAsia="Times New Roman" w:hAnsi="Times New Roman"/>
          <w:sz w:val="20"/>
          <w:szCs w:val="20"/>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1220" w:type="dxa"/>
            <w:vAlign w:val="bottom"/>
          </w:tcPr>
          <w:p>
            <w:pPr>
              <w:spacing w:after="0"/>
              <w:rPr>
                <w:sz w:val="22"/>
                <w:szCs w:val="22"/>
                <w:color w:val="auto"/>
              </w:rPr>
            </w:pPr>
          </w:p>
        </w:tc>
        <w:tc>
          <w:tcPr>
            <w:tcW w:w="866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Revenue from Contracts with Customers</w:t>
            </w:r>
          </w:p>
        </w:tc>
      </w:tr>
      <w:tr>
        <w:trPr>
          <w:trHeight w:val="273"/>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w:t>
            </w:r>
          </w:p>
        </w:tc>
        <w:tc>
          <w:tcPr>
            <w:tcW w:w="86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described in Note 1 to the consolidated financial statements, the Company derives its revenue from the</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Matter</w:t>
            </w:r>
          </w:p>
        </w:tc>
        <w:tc>
          <w:tcPr>
            <w:tcW w:w="86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7"/>
              </w:rPr>
              <w:t>sale of subscriptions for access to its platform, which are recognized ratably over the related contractual term.</w:t>
            </w:r>
          </w:p>
        </w:tc>
      </w:tr>
      <w:tr>
        <w:trPr>
          <w:trHeight w:val="448"/>
        </w:trPr>
        <w:tc>
          <w:tcPr>
            <w:tcW w:w="1220" w:type="dxa"/>
            <w:vAlign w:val="bottom"/>
          </w:tcPr>
          <w:p>
            <w:pPr>
              <w:spacing w:after="0"/>
              <w:rPr>
                <w:sz w:val="24"/>
                <w:szCs w:val="24"/>
                <w:color w:val="auto"/>
              </w:rPr>
            </w:pPr>
          </w:p>
        </w:tc>
        <w:tc>
          <w:tcPr>
            <w:tcW w:w="86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7"/>
              </w:rPr>
              <w:t>Auditing the Company's revenue recognition is especially challenging due to the high volume of individually-</w:t>
            </w:r>
          </w:p>
        </w:tc>
      </w:tr>
      <w:tr>
        <w:trPr>
          <w:trHeight w:val="234"/>
        </w:trPr>
        <w:tc>
          <w:tcPr>
            <w:tcW w:w="1220" w:type="dxa"/>
            <w:vAlign w:val="bottom"/>
          </w:tcPr>
          <w:p>
            <w:pPr>
              <w:spacing w:after="0"/>
              <w:rPr>
                <w:sz w:val="20"/>
                <w:szCs w:val="20"/>
                <w:color w:val="auto"/>
              </w:rPr>
            </w:pPr>
          </w:p>
        </w:tc>
        <w:tc>
          <w:tcPr>
            <w:tcW w:w="86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low-monetary-value transactions that are processed through several applications responsible for initiation,</w:t>
            </w:r>
          </w:p>
        </w:tc>
      </w:tr>
      <w:tr>
        <w:trPr>
          <w:trHeight w:val="254"/>
        </w:trPr>
        <w:tc>
          <w:tcPr>
            <w:tcW w:w="1220" w:type="dxa"/>
            <w:vAlign w:val="bottom"/>
          </w:tcPr>
          <w:p>
            <w:pPr>
              <w:spacing w:after="0"/>
              <w:rPr>
                <w:sz w:val="22"/>
                <w:szCs w:val="22"/>
                <w:color w:val="auto"/>
              </w:rPr>
            </w:pPr>
          </w:p>
        </w:tc>
        <w:tc>
          <w:tcPr>
            <w:tcW w:w="86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processing, and recording.</w:t>
            </w:r>
          </w:p>
        </w:tc>
      </w:tr>
    </w:tbl>
    <w:p>
      <w:pPr>
        <w:spacing w:after="0" w:line="200" w:lineRule="exact"/>
        <w:rPr>
          <w:sz w:val="20"/>
          <w:szCs w:val="20"/>
          <w:color w:val="auto"/>
        </w:rPr>
      </w:pPr>
    </w:p>
    <w:p>
      <w:pPr>
        <w:sectPr>
          <w:pgSz w:w="11880" w:h="15480" w:orient="portrait"/>
          <w:cols w:equalWidth="0" w:num="1">
            <w:col w:w="10000"/>
          </w:cols>
          <w:pgMar w:left="940" w:top="6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000"/>
          </w:cols>
          <w:pgMar w:left="940" w:top="689" w:right="940" w:bottom="0" w:gutter="0" w:footer="0" w:header="0"/>
          <w:type w:val="continuous"/>
        </w:sectPr>
      </w:pPr>
    </w:p>
    <w:bookmarkStart w:id="170" w:name="page171"/>
    <w:bookmarkEnd w:id="170"/>
    <w:p>
      <w:pPr>
        <w:spacing w:after="0" w:line="219" w:lineRule="auto"/>
        <w:rPr>
          <w:sz w:val="20"/>
          <w:szCs w:val="20"/>
          <w:color w:val="auto"/>
        </w:rPr>
      </w:pPr>
      <w:r>
        <w:rPr>
          <w:rFonts w:ascii="Times New Roman" w:cs="Times New Roman" w:eastAsia="Times New Roman" w:hAnsi="Times New Roman"/>
          <w:sz w:val="20"/>
          <w:szCs w:val="20"/>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the Company’s internal controls over revenue recognition. For example, with the assistance of IT professionals, we tested the internal controls over billing of subscriptions, reconciliation of billings to cash receipts, and revenue recognition.</w:t>
      </w:r>
    </w:p>
    <w:p>
      <w:pPr>
        <w:spacing w:after="0" w:line="204"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0"/>
          <w:szCs w:val="20"/>
          <w:color w:val="auto"/>
        </w:rPr>
        <w:t>To test the Company’s accounting for revenue recognition, we performed substantive audit procedures that included, among others, testing the completeness and accuracy of the underlying data within the Company’s billing system, and by performing data analytics to evaluate the recognition of revenue and deferred revenue amounts.</w:t>
      </w:r>
    </w:p>
    <w:p>
      <w:pPr>
        <w:spacing w:after="0" w:line="200" w:lineRule="exact"/>
        <w:rPr>
          <w:sz w:val="20"/>
          <w:szCs w:val="20"/>
          <w:color w:val="auto"/>
        </w:rPr>
      </w:pPr>
    </w:p>
    <w:p>
      <w:pPr>
        <w:sectPr>
          <w:pgSz w:w="11880" w:h="15480" w:orient="portrait"/>
          <w:cols w:equalWidth="0" w:num="2">
            <w:col w:w="1100" w:space="200"/>
            <w:col w:w="8540"/>
          </w:cols>
          <w:pgMar w:left="980" w:top="744" w:right="1060" w:bottom="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20, 2026</w:t>
      </w:r>
    </w:p>
    <w:p>
      <w:pPr>
        <w:sectPr>
          <w:pgSz w:w="11880" w:h="15480" w:orient="portrait"/>
          <w:cols w:equalWidth="0" w:num="1">
            <w:col w:w="9840"/>
          </w:cols>
          <w:pgMar w:left="980" w:top="744"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840"/>
          </w:cols>
          <w:pgMar w:left="980" w:top="744" w:right="1060" w:bottom="0" w:gutter="0" w:footer="0" w:header="0"/>
          <w:type w:val="continuous"/>
        </w:sectPr>
      </w:pPr>
    </w:p>
    <w:bookmarkStart w:id="171" w:name="page172"/>
    <w:bookmarkEnd w:id="171"/>
    <w:p>
      <w:pPr>
        <w:ind w:left="16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Dropbox, Inc.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333333"/>
        </w:rPr>
        <w:t>Opinion on Internal Control Over Financial Reporting</w:t>
      </w:r>
    </w:p>
    <w:p>
      <w:pPr>
        <w:spacing w:after="0" w:line="167" w:lineRule="exact"/>
        <w:rPr>
          <w:sz w:val="20"/>
          <w:szCs w:val="20"/>
          <w:color w:val="auto"/>
        </w:rPr>
      </w:pPr>
    </w:p>
    <w:p>
      <w:pPr>
        <w:jc w:val="both"/>
        <w:ind w:firstLine="526"/>
        <w:spacing w:after="0" w:line="271" w:lineRule="auto"/>
        <w:rPr>
          <w:sz w:val="20"/>
          <w:szCs w:val="20"/>
          <w:color w:val="auto"/>
        </w:rPr>
      </w:pPr>
      <w:r>
        <w:rPr>
          <w:rFonts w:ascii="Times New Roman" w:cs="Times New Roman" w:eastAsia="Times New Roman" w:hAnsi="Times New Roman"/>
          <w:sz w:val="18"/>
          <w:szCs w:val="18"/>
          <w:color w:val="333333"/>
        </w:rPr>
        <w:t>We have audited Dropbox, Inc.’s internal control over financial reporting as of December 31, 2025, based on criteria established in Internal Control—Integrated Framework issued by the Committee of Sponsoring Organizations of the Treadway Commission (2013 framework) (the COSO criteria). In our opinion, Dropbox, Inc. (the Company) maintained, in all material respects, effective internal control over financial reporting as of December 31, 2025, based on the COSO criteria.</w:t>
      </w:r>
    </w:p>
    <w:p>
      <w:pPr>
        <w:spacing w:after="0" w:line="163" w:lineRule="exact"/>
        <w:rPr>
          <w:sz w:val="20"/>
          <w:szCs w:val="20"/>
          <w:color w:val="auto"/>
        </w:rPr>
      </w:pPr>
    </w:p>
    <w:p>
      <w:pPr>
        <w:jc w:val="both"/>
        <w:ind w:firstLine="526"/>
        <w:spacing w:after="0" w:line="235" w:lineRule="auto"/>
        <w:rPr>
          <w:sz w:val="20"/>
          <w:szCs w:val="20"/>
          <w:color w:val="auto"/>
        </w:rPr>
      </w:pPr>
      <w:r>
        <w:rPr>
          <w:rFonts w:ascii="Times New Roman" w:cs="Times New Roman" w:eastAsia="Times New Roman" w:hAnsi="Times New Roman"/>
          <w:sz w:val="20"/>
          <w:szCs w:val="20"/>
          <w:color w:val="333333"/>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stockholders’ deficit and cash flows for each of the three years in the period ended December 31, 2025, and the related notes and our report dated February 20, 2026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333333"/>
        </w:rPr>
        <w:t>Basis for Opinion</w:t>
      </w:r>
    </w:p>
    <w:p>
      <w:pPr>
        <w:spacing w:after="0" w:line="167" w:lineRule="exact"/>
        <w:rPr>
          <w:sz w:val="20"/>
          <w:szCs w:val="20"/>
          <w:color w:val="auto"/>
        </w:rPr>
      </w:pPr>
    </w:p>
    <w:p>
      <w:pPr>
        <w:jc w:val="both"/>
        <w:ind w:firstLine="526"/>
        <w:spacing w:after="0" w:line="234" w:lineRule="auto"/>
        <w:rPr>
          <w:sz w:val="20"/>
          <w:szCs w:val="20"/>
          <w:color w:val="auto"/>
        </w:rPr>
      </w:pPr>
      <w:r>
        <w:rPr>
          <w:rFonts w:ascii="Times New Roman" w:cs="Times New Roman" w:eastAsia="Times New Roman" w:hAnsi="Times New Roman"/>
          <w:sz w:val="20"/>
          <w:szCs w:val="20"/>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firstLine="526"/>
        <w:spacing w:after="0"/>
        <w:rPr>
          <w:sz w:val="20"/>
          <w:szCs w:val="20"/>
          <w:color w:val="auto"/>
        </w:rPr>
      </w:pPr>
      <w:r>
        <w:rPr>
          <w:rFonts w:ascii="Times New Roman" w:cs="Times New Roman" w:eastAsia="Times New Roman" w:hAnsi="Times New Roman"/>
          <w:sz w:val="20"/>
          <w:szCs w:val="20"/>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jc w:val="both"/>
        <w:ind w:firstLine="526"/>
        <w:spacing w:after="0" w:line="237" w:lineRule="auto"/>
        <w:rPr>
          <w:sz w:val="20"/>
          <w:szCs w:val="20"/>
          <w:color w:val="auto"/>
        </w:rPr>
      </w:pPr>
      <w:r>
        <w:rPr>
          <w:rFonts w:ascii="Times New Roman" w:cs="Times New Roman" w:eastAsia="Times New Roman" w:hAnsi="Times New Roman"/>
          <w:sz w:val="20"/>
          <w:szCs w:val="20"/>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333333"/>
        </w:rPr>
        <w:t>Definition and Limitations of Internal Control Over Financial Reporting</w:t>
      </w:r>
    </w:p>
    <w:p>
      <w:pPr>
        <w:spacing w:after="0" w:line="167" w:lineRule="exact"/>
        <w:rPr>
          <w:sz w:val="20"/>
          <w:szCs w:val="20"/>
          <w:color w:val="auto"/>
        </w:rPr>
      </w:pPr>
    </w:p>
    <w:p>
      <w:pPr>
        <w:jc w:val="both"/>
        <w:ind w:firstLine="526"/>
        <w:spacing w:after="0" w:line="232" w:lineRule="auto"/>
        <w:rPr>
          <w:sz w:val="20"/>
          <w:szCs w:val="20"/>
          <w:color w:val="auto"/>
        </w:rPr>
      </w:pPr>
      <w:r>
        <w:rPr>
          <w:rFonts w:ascii="Times New Roman" w:cs="Times New Roman" w:eastAsia="Times New Roman" w:hAnsi="Times New Roman"/>
          <w:sz w:val="20"/>
          <w:szCs w:val="20"/>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ind w:firstLine="526"/>
        <w:spacing w:after="0" w:line="280" w:lineRule="auto"/>
        <w:rPr>
          <w:sz w:val="20"/>
          <w:szCs w:val="20"/>
          <w:color w:val="auto"/>
        </w:rPr>
      </w:pPr>
      <w:r>
        <w:rPr>
          <w:rFonts w:ascii="Times New Roman" w:cs="Times New Roman" w:eastAsia="Times New Roman" w:hAnsi="Times New Roman"/>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San Francisco, California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February 20, 2026</w:t>
      </w:r>
    </w:p>
    <w:p>
      <w:pPr>
        <w:sectPr>
          <w:pgSz w:w="11880" w:h="15480" w:orient="portrait"/>
          <w:cols w:equalWidth="0" w:num="1">
            <w:col w:w="10000"/>
          </w:cols>
          <w:pgMar w:left="940" w:top="6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000"/>
          </w:cols>
          <w:pgMar w:left="940" w:top="689" w:right="940" w:bottom="0" w:gutter="0" w:footer="0" w:header="0"/>
          <w:type w:val="continuous"/>
        </w:sectPr>
      </w:pPr>
    </w:p>
    <w:bookmarkStart w:id="172" w:name="page173"/>
    <w:bookmarkEnd w:id="172"/>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i w:val="1"/>
          <w:iCs w:val="1"/>
          <w:color w:val="auto"/>
        </w:rPr>
        <w:t>(In millions, except for par value)</w:t>
      </w:r>
    </w:p>
    <w:p>
      <w:pPr>
        <w:sectPr>
          <w:pgSz w:w="11880" w:h="15480" w:orient="portrait"/>
          <w:cols w:equalWidth="0" w:num="1">
            <w:col w:w="9960"/>
          </w:cols>
          <w:pgMar w:left="980" w:top="689" w:right="940" w:bottom="0" w:gutter="0" w:footer="0" w:header="0"/>
        </w:sect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Short-term investments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Trade and other receivables, net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7"/>
        </w:trPr>
        <w:tc>
          <w:tcPr>
            <w:tcW w:w="49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Total assets</w:t>
            </w: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deficit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payable</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Accrued and other current liabilities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220"/>
              <w:spacing w:after="0" w:line="210" w:lineRule="exact"/>
              <w:rPr>
                <w:sz w:val="20"/>
                <w:szCs w:val="20"/>
                <w:color w:val="auto"/>
              </w:rPr>
            </w:pPr>
            <w:r>
              <w:rPr>
                <w:rFonts w:ascii="Times New Roman" w:cs="Times New Roman" w:eastAsia="Times New Roman" w:hAnsi="Times New Roman"/>
                <w:sz w:val="20"/>
                <w:szCs w:val="20"/>
                <w:color w:val="auto"/>
              </w:rPr>
              <w:t>Accrued compensation and benefits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Operating lease liability</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Finance lease obligation</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Convertible senior notes, net, current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Term loan, net, current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revenue</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Total current liabilities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liability, non-current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obligation, non-current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Convertible senior notes, net, non-current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Term loan, net, non-current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-4152265</wp:posOffset>
                </wp:positionV>
                <wp:extent cx="6352540" cy="14859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8590"/>
                        </a:xfrm>
                        <a:prstGeom prst="rect">
                          <a:avLst/>
                        </a:prstGeom>
                        <a:solidFill>
                          <a:srgbClr val="E6E6E6"/>
                        </a:solidFill>
                      </wps:spPr>
                      <wps:bodyPr/>
                    </wps:wsp>
                  </a:graphicData>
                </a:graphic>
              </wp:anchor>
            </w:drawing>
          </mc:Choice>
          <mc:Fallback>
            <w:pict>
              <v:rect id="Shape 508" o:spid="_x0000_s1533" style="position:absolute;margin-left:-2.0999pt;margin-top:-326.9499pt;width:500.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-3855085</wp:posOffset>
                </wp:positionV>
                <wp:extent cx="6352540" cy="14859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8590"/>
                        </a:xfrm>
                        <a:prstGeom prst="rect">
                          <a:avLst/>
                        </a:prstGeom>
                        <a:solidFill>
                          <a:srgbClr val="E6E6E6"/>
                        </a:solidFill>
                      </wps:spPr>
                      <wps:bodyPr/>
                    </wps:wsp>
                  </a:graphicData>
                </a:graphic>
              </wp:anchor>
            </w:drawing>
          </mc:Choice>
          <mc:Fallback>
            <w:pict>
              <v:rect id="Shape 509" o:spid="_x0000_s1534" style="position:absolute;margin-left:-2.0999pt;margin-top:-303.5499pt;width:500.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-3260725</wp:posOffset>
                </wp:positionV>
                <wp:extent cx="6352540" cy="14859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8590"/>
                        </a:xfrm>
                        <a:prstGeom prst="rect">
                          <a:avLst/>
                        </a:prstGeom>
                        <a:solidFill>
                          <a:srgbClr val="E6E6E6"/>
                        </a:solidFill>
                      </wps:spPr>
                      <wps:bodyPr/>
                    </wps:wsp>
                  </a:graphicData>
                </a:graphic>
              </wp:anchor>
            </w:drawing>
          </mc:Choice>
          <mc:Fallback>
            <w:pict>
              <v:rect id="Shape 510" o:spid="_x0000_s1535" style="position:absolute;margin-left:-2.0999pt;margin-top:-256.7499pt;width:500.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-2963545</wp:posOffset>
                </wp:positionV>
                <wp:extent cx="6352540" cy="14859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8590"/>
                        </a:xfrm>
                        <a:prstGeom prst="rect">
                          <a:avLst/>
                        </a:prstGeom>
                        <a:solidFill>
                          <a:srgbClr val="E6E6E6"/>
                        </a:solidFill>
                      </wps:spPr>
                      <wps:bodyPr/>
                    </wps:wsp>
                  </a:graphicData>
                </a:graphic>
              </wp:anchor>
            </w:drawing>
          </mc:Choice>
          <mc:Fallback>
            <w:pict>
              <v:rect id="Shape 511" o:spid="_x0000_s1536" style="position:absolute;margin-left:-2.0999pt;margin-top:-233.3499pt;width:500.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-2072005</wp:posOffset>
                </wp:positionV>
                <wp:extent cx="6352540" cy="14859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8590"/>
                        </a:xfrm>
                        <a:prstGeom prst="rect">
                          <a:avLst/>
                        </a:prstGeom>
                        <a:solidFill>
                          <a:srgbClr val="E6E6E6"/>
                        </a:solidFill>
                      </wps:spPr>
                      <wps:bodyPr/>
                    </wps:wsp>
                  </a:graphicData>
                </a:graphic>
              </wp:anchor>
            </w:drawing>
          </mc:Choice>
          <mc:Fallback>
            <w:pict>
              <v:rect id="Shape 512" o:spid="_x0000_s1537" style="position:absolute;margin-left:-2.0999pt;margin-top:-163.1499pt;width:500.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-1774825</wp:posOffset>
                </wp:positionV>
                <wp:extent cx="6352540" cy="14859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8590"/>
                        </a:xfrm>
                        <a:prstGeom prst="rect">
                          <a:avLst/>
                        </a:prstGeom>
                        <a:solidFill>
                          <a:srgbClr val="E6E6E6"/>
                        </a:solidFill>
                      </wps:spPr>
                      <wps:bodyPr/>
                    </wps:wsp>
                  </a:graphicData>
                </a:graphic>
              </wp:anchor>
            </w:drawing>
          </mc:Choice>
          <mc:Fallback>
            <w:pict>
              <v:rect id="Shape 513" o:spid="_x0000_s1538" style="position:absolute;margin-left:-2.0999pt;margin-top:-139.7499pt;width:500.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-1477645</wp:posOffset>
                </wp:positionV>
                <wp:extent cx="6352540" cy="14859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8590"/>
                        </a:xfrm>
                        <a:prstGeom prst="rect">
                          <a:avLst/>
                        </a:prstGeom>
                        <a:solidFill>
                          <a:srgbClr val="E6E6E6"/>
                        </a:solidFill>
                      </wps:spPr>
                      <wps:bodyPr/>
                    </wps:wsp>
                  </a:graphicData>
                </a:graphic>
              </wp:anchor>
            </w:drawing>
          </mc:Choice>
          <mc:Fallback>
            <w:pict>
              <v:rect id="Shape 514" o:spid="_x0000_s1539" style="position:absolute;margin-left:-2.0999pt;margin-top:-116.3499pt;width:500.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-1180465</wp:posOffset>
                </wp:positionV>
                <wp:extent cx="6352540" cy="149225"/>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9225"/>
                        </a:xfrm>
                        <a:prstGeom prst="rect">
                          <a:avLst/>
                        </a:prstGeom>
                        <a:solidFill>
                          <a:srgbClr val="E6E6E6"/>
                        </a:solidFill>
                      </wps:spPr>
                      <wps:bodyPr/>
                    </wps:wsp>
                  </a:graphicData>
                </a:graphic>
              </wp:anchor>
            </w:drawing>
          </mc:Choice>
          <mc:Fallback>
            <w:pict>
              <v:rect id="Shape 515" o:spid="_x0000_s1540" style="position:absolute;margin-left:-2.0999pt;margin-top:-92.9499pt;width:500.2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-585470</wp:posOffset>
                </wp:positionV>
                <wp:extent cx="6352540" cy="14859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8590"/>
                        </a:xfrm>
                        <a:prstGeom prst="rect">
                          <a:avLst/>
                        </a:prstGeom>
                        <a:solidFill>
                          <a:srgbClr val="E6E6E6"/>
                        </a:solidFill>
                      </wps:spPr>
                      <wps:bodyPr/>
                    </wps:wsp>
                  </a:graphicData>
                </a:graphic>
              </wp:anchor>
            </w:drawing>
          </mc:Choice>
          <mc:Fallback>
            <w:pict>
              <v:rect id="Shape 516" o:spid="_x0000_s1541" style="position:absolute;margin-left:-2.0999pt;margin-top:-46.0999pt;width:500.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-288290</wp:posOffset>
                </wp:positionV>
                <wp:extent cx="6352540" cy="14859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8590"/>
                        </a:xfrm>
                        <a:prstGeom prst="rect">
                          <a:avLst/>
                        </a:prstGeom>
                        <a:solidFill>
                          <a:srgbClr val="E6E6E6"/>
                        </a:solidFill>
                      </wps:spPr>
                      <wps:bodyPr/>
                    </wps:wsp>
                  </a:graphicData>
                </a:graphic>
              </wp:anchor>
            </w:drawing>
          </mc:Choice>
          <mc:Fallback>
            <w:pict>
              <v:rect id="Shape 517" o:spid="_x0000_s1542" style="position:absolute;margin-left:-2.0999pt;margin-top:-22.6999pt;width:500.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-26035</wp:posOffset>
            </wp:positionH>
            <wp:positionV relativeFrom="paragraph">
              <wp:posOffset>-4474210</wp:posOffset>
            </wp:positionV>
            <wp:extent cx="6377940" cy="1733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72">
                      <a:extLst>
                        <a:ext uri="{28A0092B-C50C-407E-A947-70E740481C1C}"/>
                      </a:extLst>
                    </a:blip>
                    <a:srcRect/>
                    <a:stretch>
                      <a:fillRect/>
                    </a:stretch>
                  </pic:blipFill>
                  <pic:spPr bwMode="auto">
                    <a:xfrm>
                      <a:off x="0" y="0"/>
                      <a:ext cx="6377940" cy="1733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-3582035</wp:posOffset>
            </wp:positionV>
            <wp:extent cx="6377940" cy="1733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73">
                      <a:extLst>
                        <a:ext uri="{28A0092B-C50C-407E-A947-70E740481C1C}"/>
                      </a:extLst>
                    </a:blip>
                    <a:srcRect/>
                    <a:stretch>
                      <a:fillRect/>
                    </a:stretch>
                  </pic:blipFill>
                  <pic:spPr bwMode="auto">
                    <a:xfrm>
                      <a:off x="0" y="0"/>
                      <a:ext cx="6377940" cy="1733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-2665730</wp:posOffset>
            </wp:positionV>
            <wp:extent cx="6377940" cy="1733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74">
                      <a:extLst>
                        <a:ext uri="{28A0092B-C50C-407E-A947-70E740481C1C}"/>
                      </a:extLst>
                    </a:blip>
                    <a:srcRect/>
                    <a:stretch>
                      <a:fillRect/>
                    </a:stretch>
                  </pic:blipFill>
                  <pic:spPr bwMode="auto">
                    <a:xfrm>
                      <a:off x="0" y="0"/>
                      <a:ext cx="6377940" cy="1733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-2406015</wp:posOffset>
            </wp:positionV>
            <wp:extent cx="6377940" cy="1860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75">
                      <a:extLst>
                        <a:ext uri="{28A0092B-C50C-407E-A947-70E740481C1C}"/>
                      </a:extLst>
                    </a:blip>
                    <a:srcRect/>
                    <a:stretch>
                      <a:fillRect/>
                    </a:stretch>
                  </pic:blipFill>
                  <pic:spPr bwMode="auto">
                    <a:xfrm>
                      <a:off x="0" y="0"/>
                      <a:ext cx="6377940" cy="1860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-907415</wp:posOffset>
            </wp:positionV>
            <wp:extent cx="6377940" cy="1733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76">
                      <a:extLst>
                        <a:ext uri="{28A0092B-C50C-407E-A947-70E740481C1C}"/>
                      </a:extLst>
                    </a:blip>
                    <a:srcRect/>
                    <a:stretch>
                      <a:fillRect/>
                    </a:stretch>
                  </pic:blipFill>
                  <pic:spPr bwMode="auto">
                    <a:xfrm>
                      <a:off x="0" y="0"/>
                      <a:ext cx="6377940" cy="1733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-15875</wp:posOffset>
            </wp:positionV>
            <wp:extent cx="6377940" cy="1981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77">
                      <a:extLst>
                        <a:ext uri="{28A0092B-C50C-407E-A947-70E740481C1C}"/>
                      </a:extLst>
                    </a:blip>
                    <a:srcRect/>
                    <a:stretch>
                      <a:fillRect/>
                    </a:stretch>
                  </pic:blipFill>
                  <pic:spPr bwMode="auto">
                    <a:xfrm>
                      <a:off x="0" y="0"/>
                      <a:ext cx="6377940" cy="1981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Total liabilities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Commitments and contingencies (Note 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Stockholders' deficit: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-139700</wp:posOffset>
                </wp:positionV>
                <wp:extent cx="6352540" cy="147955"/>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7955"/>
                        </a:xfrm>
                        <a:prstGeom prst="rect">
                          <a:avLst/>
                        </a:prstGeom>
                        <a:solidFill>
                          <a:srgbClr val="E6E6E6"/>
                        </a:solidFill>
                      </wps:spPr>
                      <wps:bodyPr/>
                    </wps:wsp>
                  </a:graphicData>
                </a:graphic>
              </wp:anchor>
            </w:drawing>
          </mc:Choice>
          <mc:Fallback>
            <w:pict>
              <v:rect id="Shape 524" o:spid="_x0000_s1549" style="position:absolute;margin-left:-2.0999pt;margin-top:-11pt;width:500.2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360" w:right="620"/>
        <w:spacing w:after="0" w:line="218" w:lineRule="auto"/>
        <w:rPr>
          <w:sz w:val="20"/>
          <w:szCs w:val="20"/>
          <w:color w:val="auto"/>
        </w:rPr>
      </w:pPr>
      <w:r>
        <w:rPr>
          <w:rFonts w:ascii="Times New Roman" w:cs="Times New Roman" w:eastAsia="Times New Roman" w:hAnsi="Times New Roman"/>
          <w:sz w:val="20"/>
          <w:szCs w:val="20"/>
          <w:color w:val="auto"/>
        </w:rPr>
        <w:t>Convertible preferred stock, $0.00001 par value; no shares authorized, issued and outstanding as of December 31, 2025; no shares authorized, issued and outstanding as of December 31, 2024</w:t>
      </w:r>
    </w:p>
    <w:p>
      <w:pPr>
        <w:spacing w:after="0" w:line="2" w:lineRule="exact"/>
        <w:rPr>
          <w:sz w:val="20"/>
          <w:szCs w:val="20"/>
          <w:color w:val="auto"/>
        </w:rPr>
      </w:pPr>
    </w:p>
    <w:p>
      <w:pPr>
        <w:ind w:left="360" w:right="280"/>
        <w:spacing w:after="0" w:line="243" w:lineRule="auto"/>
        <w:rPr>
          <w:sz w:val="20"/>
          <w:szCs w:val="20"/>
          <w:color w:val="auto"/>
        </w:rPr>
      </w:pPr>
      <w:r>
        <w:rPr>
          <w:rFonts w:ascii="Times New Roman" w:cs="Times New Roman" w:eastAsia="Times New Roman" w:hAnsi="Times New Roman"/>
          <w:sz w:val="18"/>
          <w:szCs w:val="18"/>
          <w:color w:val="auto"/>
        </w:rPr>
        <w:t>Preferred stock, $0.00001 par value; 240.0 shares authorized, and no shares issued and outstanding as of December 31, 2025; 240.0 shares authorized and no shares issued and outstanding as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-392430</wp:posOffset>
                </wp:positionV>
                <wp:extent cx="6351905" cy="39878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398780"/>
                        </a:xfrm>
                        <a:prstGeom prst="rect">
                          <a:avLst/>
                        </a:prstGeom>
                        <a:solidFill>
                          <a:srgbClr val="E6E6E6"/>
                        </a:solidFill>
                      </wps:spPr>
                      <wps:bodyPr/>
                    </wps:wsp>
                  </a:graphicData>
                </a:graphic>
              </wp:anchor>
            </w:drawing>
          </mc:Choice>
          <mc:Fallback>
            <w:pict>
              <v:rect id="Shape 525" o:spid="_x0000_s1550" style="position:absolute;margin-left:-2.0499pt;margin-top:-30.8999pt;width:500.15pt;height:3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360" w:right="200"/>
        <w:spacing w:after="0" w:line="228" w:lineRule="auto"/>
        <w:rPr>
          <w:sz w:val="20"/>
          <w:szCs w:val="20"/>
          <w:color w:val="auto"/>
        </w:rPr>
      </w:pPr>
      <w:r>
        <w:rPr>
          <w:rFonts w:ascii="Times New Roman" w:cs="Times New Roman" w:eastAsia="Times New Roman" w:hAnsi="Times New Roman"/>
          <w:sz w:val="18"/>
          <w:szCs w:val="18"/>
          <w:color w:val="auto"/>
        </w:rPr>
        <w:t>Common stock, $0.00001 par value; Class A common stock - 2,400.0 shares authorized and 167.2 shares issued and outstanding as of December 31, 2025; 2,400.0 shares authorized and 218.4 shares issued and outstanding as of December 31, 2024; Class B common stock - 475.0 shares authorized and 75.7 shares issued and outstanding as of December 31, 2025; 475.0 shares authorized and 77.5 shares issued and outstanding as of December 31, 2024; Class C common stock - 800.0 shares authorized and no shares issued and outstanding as of December 31, 2025; 800.0 shares authorized and no shares issued and outstanding as of December 31, 2024</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Additional paid-in-capital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-124460</wp:posOffset>
                </wp:positionV>
                <wp:extent cx="6352540" cy="147955"/>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2540" cy="147955"/>
                        </a:xfrm>
                        <a:prstGeom prst="rect">
                          <a:avLst/>
                        </a:prstGeom>
                        <a:solidFill>
                          <a:srgbClr val="E6E6E6"/>
                        </a:solidFill>
                      </wps:spPr>
                      <wps:bodyPr/>
                    </wps:wsp>
                  </a:graphicData>
                </a:graphic>
              </wp:anchor>
            </w:drawing>
          </mc:Choice>
          <mc:Fallback>
            <w:pict>
              <v:rect id="Shape 526" o:spid="_x0000_s1551" style="position:absolute;margin-left:-2.0999pt;margin-top:-9.7999pt;width:500.2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220"/>
        <w:spacing w:after="0"/>
        <w:rPr>
          <w:sz w:val="20"/>
          <w:szCs w:val="20"/>
          <w:color w:val="auto"/>
        </w:rPr>
      </w:pPr>
      <w:r>
        <w:rPr>
          <w:rFonts w:ascii="Times New Roman" w:cs="Times New Roman" w:eastAsia="Times New Roman" w:hAnsi="Times New Roman"/>
          <w:sz w:val="20"/>
          <w:szCs w:val="20"/>
          <w:color w:val="auto"/>
        </w:rPr>
        <w:t>Accumulated deficit</w:t>
      </w:r>
    </w:p>
    <w:p>
      <w:pPr>
        <w:ind w:left="220"/>
        <w:spacing w:after="0"/>
        <w:rPr>
          <w:sz w:val="20"/>
          <w:szCs w:val="20"/>
          <w:color w:val="auto"/>
        </w:rPr>
      </w:pPr>
      <w:r>
        <w:rPr>
          <w:rFonts w:ascii="Times New Roman" w:cs="Times New Roman" w:eastAsia="Times New Roman" w:hAnsi="Times New Roman"/>
          <w:sz w:val="20"/>
          <w:szCs w:val="20"/>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-123825</wp:posOffset>
            </wp:positionV>
            <wp:extent cx="6377940" cy="1733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78">
                      <a:extLst>
                        <a:ext uri="{28A0092B-C50C-407E-A947-70E740481C1C}"/>
                      </a:extLst>
                    </a:blip>
                    <a:srcRect/>
                    <a:stretch>
                      <a:fillRect/>
                    </a:stretch>
                  </pic:blipFill>
                  <pic:spPr bwMode="auto">
                    <a:xfrm>
                      <a:off x="0" y="0"/>
                      <a:ext cx="6377940" cy="17335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stockholders' deficit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4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 and stockholders' deficit</w:t>
            </w: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-177165</wp:posOffset>
            </wp:positionV>
            <wp:extent cx="6377940" cy="2108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79">
                      <a:extLst>
                        <a:ext uri="{28A0092B-C50C-407E-A947-70E740481C1C}"/>
                      </a:extLst>
                    </a:blip>
                    <a:srcRect/>
                    <a:stretch>
                      <a:fillRect/>
                    </a:stretch>
                  </pic:blipFill>
                  <pic:spPr bwMode="auto">
                    <a:xfrm>
                      <a:off x="0" y="0"/>
                      <a:ext cx="6377940" cy="210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b w:val="1"/>
          <w:bCs w:val="1"/>
          <w:color w:val="auto"/>
        </w:rPr>
        <w:t>As of December 31,</w:t>
      </w:r>
    </w:p>
    <w:p>
      <w:pPr>
        <w:spacing w:after="0" w:line="1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-432435</wp:posOffset>
                </wp:positionH>
                <wp:positionV relativeFrom="paragraph">
                  <wp:posOffset>-131445</wp:posOffset>
                </wp:positionV>
                <wp:extent cx="2275205" cy="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520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499pt,-10.3499pt" to="145.1pt,-10.3499pt" o:allowincell="f" strokecolor="#000000" strokeweight="0.975pt"/>
            </w:pict>
          </mc:Fallback>
        </mc:AlternateContent>
      </w:r>
    </w:p>
    <w:p>
      <w:pPr>
        <w:spacing w:after="0" w:line="200" w:lineRule="exact"/>
        <w:rPr>
          <w:sz w:val="20"/>
          <w:szCs w:val="20"/>
          <w:color w:val="auto"/>
        </w:rPr>
      </w:pPr>
    </w:p>
    <w:p>
      <w:pPr>
        <w:spacing w:after="0" w:line="256"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891.3</w:t>
            </w:r>
          </w:p>
        </w:tc>
        <w:tc>
          <w:tcPr>
            <w:tcW w:w="620" w:type="dxa"/>
            <w:vAlign w:val="bottom"/>
          </w:tcPr>
          <w:p>
            <w:pPr>
              <w:jc w:val="right"/>
              <w:ind w:right="362"/>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1,328.3</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146.9</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79.1</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73.2</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0" w:type="dxa"/>
            <w:vAlign w:val="bottom"/>
          </w:tcPr>
          <w:p>
            <w:pPr>
              <w:spacing w:after="0"/>
              <w:rPr>
                <w:sz w:val="1"/>
                <w:szCs w:val="1"/>
                <w:color w:val="auto"/>
              </w:rPr>
            </w:pPr>
          </w:p>
        </w:tc>
      </w:tr>
      <w:tr>
        <w:trPr>
          <w:trHeight w:val="24"/>
        </w:trPr>
        <w:tc>
          <w:tcPr>
            <w:tcW w:w="74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w w:val="96"/>
              </w:rPr>
              <w:t>1,190.5</w:t>
            </w: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jc w:val="right"/>
              <w:spacing w:after="0" w:line="190" w:lineRule="exact"/>
              <w:rPr>
                <w:sz w:val="20"/>
                <w:szCs w:val="20"/>
                <w:color w:val="auto"/>
              </w:rPr>
            </w:pPr>
            <w:r>
              <w:rPr>
                <w:rFonts w:ascii="Times New Roman" w:cs="Times New Roman" w:eastAsia="Times New Roman" w:hAnsi="Times New Roman"/>
                <w:sz w:val="20"/>
                <w:szCs w:val="20"/>
                <w:color w:val="auto"/>
              </w:rPr>
              <w:t>1,738.4</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378.4</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358.8</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270.7</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158.9</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33.7</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454.9</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442.8</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415.7</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466.7</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101.0</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w:t>
            </w:r>
          </w:p>
        </w:tc>
        <w:tc>
          <w:tcPr>
            <w:tcW w:w="0" w:type="dxa"/>
            <w:vAlign w:val="bottom"/>
          </w:tcPr>
          <w:p>
            <w:pPr>
              <w:spacing w:after="0"/>
              <w:rPr>
                <w:sz w:val="1"/>
                <w:szCs w:val="1"/>
                <w:color w:val="auto"/>
              </w:rPr>
            </w:pPr>
          </w:p>
        </w:tc>
      </w:tr>
      <w:tr>
        <w:trPr>
          <w:trHeight w:val="24"/>
        </w:trPr>
        <w:tc>
          <w:tcPr>
            <w:tcW w:w="74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w w:val="96"/>
              </w:rPr>
              <w:t>2,844.9</w:t>
            </w: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620" w:type="dxa"/>
            <w:vAlign w:val="bottom"/>
            <w:tcBorders>
              <w:bottom w:val="single" w:sz="8" w:color="auto"/>
            </w:tcBorders>
          </w:tcPr>
          <w:p>
            <w:pPr>
              <w:jc w:val="right"/>
              <w:ind w:right="362"/>
              <w:spacing w:after="0" w:line="194"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3,325.2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24.3</w:t>
            </w:r>
          </w:p>
        </w:tc>
        <w:tc>
          <w:tcPr>
            <w:tcW w:w="620" w:type="dxa"/>
            <w:vAlign w:val="bottom"/>
          </w:tcPr>
          <w:p>
            <w:pPr>
              <w:jc w:val="right"/>
              <w:ind w:right="362"/>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121.7</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111.8</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51.3</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144.3</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695.4</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15.0</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729.7</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727.7</w:t>
            </w:r>
          </w:p>
        </w:tc>
        <w:tc>
          <w:tcPr>
            <w:tcW w:w="0" w:type="dxa"/>
            <w:vAlign w:val="bottom"/>
          </w:tcPr>
          <w:p>
            <w:pPr>
              <w:spacing w:after="0"/>
              <w:rPr>
                <w:sz w:val="1"/>
                <w:szCs w:val="1"/>
                <w:color w:val="auto"/>
              </w:rPr>
            </w:pPr>
          </w:p>
        </w:tc>
      </w:tr>
      <w:tr>
        <w:trPr>
          <w:trHeight w:val="24"/>
        </w:trPr>
        <w:tc>
          <w:tcPr>
            <w:tcW w:w="74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w w:val="96"/>
              </w:rPr>
              <w:t>1,893.5</w:t>
            </w: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jc w:val="right"/>
              <w:spacing w:after="0" w:line="190" w:lineRule="exact"/>
              <w:rPr>
                <w:sz w:val="20"/>
                <w:szCs w:val="20"/>
                <w:color w:val="auto"/>
              </w:rPr>
            </w:pPr>
            <w:r>
              <w:rPr>
                <w:rFonts w:ascii="Times New Roman" w:cs="Times New Roman" w:eastAsia="Times New Roman" w:hAnsi="Times New Roman"/>
                <w:sz w:val="20"/>
                <w:szCs w:val="20"/>
                <w:color w:val="auto"/>
              </w:rPr>
              <w:t>1,210.8</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355.9</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250.4</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201.5</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689.9</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1,381.6</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6"/>
              </w:rPr>
              <w:t>1,433.7</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962.9</w:t>
            </w:r>
          </w:p>
        </w:tc>
        <w:tc>
          <w:tcPr>
            <w:tcW w:w="0" w:type="dxa"/>
            <w:vAlign w:val="bottom"/>
          </w:tcPr>
          <w:p>
            <w:pPr>
              <w:spacing w:after="0"/>
              <w:rPr>
                <w:sz w:val="1"/>
                <w:szCs w:val="1"/>
                <w:color w:val="auto"/>
              </w:rPr>
            </w:pPr>
          </w:p>
        </w:tc>
      </w:tr>
      <w:tr>
        <w:trPr>
          <w:trHeight w:val="234"/>
        </w:trPr>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67.6</w:t>
            </w: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0" w:type="dxa"/>
            <w:vAlign w:val="bottom"/>
          </w:tcPr>
          <w:p>
            <w:pPr>
              <w:spacing w:after="0"/>
              <w:rPr>
                <w:sz w:val="1"/>
                <w:szCs w:val="1"/>
                <w:color w:val="auto"/>
              </w:rPr>
            </w:pPr>
          </w:p>
        </w:tc>
      </w:tr>
      <w:tr>
        <w:trPr>
          <w:trHeight w:val="24"/>
        </w:trPr>
        <w:tc>
          <w:tcPr>
            <w:tcW w:w="74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w w:val="96"/>
              </w:rPr>
              <w:t>4,642.1</w:t>
            </w: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40" w:type="dxa"/>
            <w:vAlign w:val="bottom"/>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4,077.6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0"/>
        <w:spacing w:after="0"/>
        <w:tabs>
          <w:tab w:leader="none" w:pos="26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399" w:lineRule="exact"/>
        <w:rPr>
          <w:sz w:val="20"/>
          <w:szCs w:val="20"/>
          <w:color w:val="auto"/>
        </w:rPr>
      </w:pPr>
    </w:p>
    <w:p>
      <w:pPr>
        <w:ind w:left="800"/>
        <w:spacing w:after="0"/>
        <w:tabs>
          <w:tab w:leader="none" w:pos="26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2,012.2</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2,404.2</w:t>
            </w:r>
          </w:p>
        </w:tc>
        <w:tc>
          <w:tcPr>
            <w:tcW w:w="0" w:type="dxa"/>
            <w:vAlign w:val="bottom"/>
          </w:tcPr>
          <w:p>
            <w:pPr>
              <w:spacing w:after="0"/>
              <w:rPr>
                <w:sz w:val="1"/>
                <w:szCs w:val="1"/>
                <w:color w:val="auto"/>
              </w:rPr>
            </w:pPr>
          </w:p>
        </w:tc>
      </w:tr>
      <w:tr>
        <w:trPr>
          <w:trHeight w:val="234"/>
        </w:trPr>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(3,815.1)</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(3,146.5)</w:t>
            </w:r>
          </w:p>
        </w:tc>
        <w:tc>
          <w:tcPr>
            <w:tcW w:w="0" w:type="dxa"/>
            <w:vAlign w:val="bottom"/>
          </w:tcPr>
          <w:p>
            <w:pPr>
              <w:spacing w:after="0"/>
              <w:rPr>
                <w:sz w:val="1"/>
                <w:szCs w:val="1"/>
                <w:color w:val="auto"/>
              </w:rPr>
            </w:pPr>
          </w:p>
        </w:tc>
      </w:tr>
      <w:tr>
        <w:trPr>
          <w:trHeight w:val="234"/>
        </w:trPr>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5.7</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4"/>
        </w:trPr>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(1,797.2)</w:t>
            </w: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jc w:val="right"/>
              <w:spacing w:after="0" w:line="190" w:lineRule="exact"/>
              <w:rPr>
                <w:sz w:val="20"/>
                <w:szCs w:val="20"/>
                <w:color w:val="auto"/>
              </w:rPr>
            </w:pPr>
            <w:r>
              <w:rPr>
                <w:rFonts w:ascii="Times New Roman" w:cs="Times New Roman" w:eastAsia="Times New Roman" w:hAnsi="Times New Roman"/>
                <w:sz w:val="20"/>
                <w:szCs w:val="20"/>
                <w:color w:val="auto"/>
              </w:rPr>
              <w:t>(752.4)</w:t>
            </w:r>
          </w:p>
        </w:tc>
        <w:tc>
          <w:tcPr>
            <w:tcW w:w="0" w:type="dxa"/>
            <w:vAlign w:val="bottom"/>
          </w:tcPr>
          <w:p>
            <w:pPr>
              <w:spacing w:after="0"/>
              <w:rPr>
                <w:sz w:val="1"/>
                <w:szCs w:val="1"/>
                <w:color w:val="auto"/>
              </w:rPr>
            </w:pPr>
          </w:p>
        </w:tc>
      </w:tr>
      <w:tr>
        <w:trPr>
          <w:trHeight w:val="24"/>
        </w:trPr>
        <w:tc>
          <w:tcPr>
            <w:tcW w:w="80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2,844.9</w:t>
            </w: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600" w:type="dxa"/>
            <w:vAlign w:val="bottom"/>
            <w:tcBorders>
              <w:bottom w:val="single" w:sz="8" w:color="auto"/>
            </w:tcBorders>
          </w:tcPr>
          <w:p>
            <w:pPr>
              <w:jc w:val="right"/>
              <w:ind w:right="342"/>
              <w:spacing w:after="0" w:line="194"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3,325.2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880" w:h="15480" w:orient="portrait"/>
          <w:cols w:equalWidth="0" w:num="2">
            <w:col w:w="6520" w:space="540"/>
            <w:col w:w="2900"/>
          </w:cols>
          <w:pgMar w:left="980" w:top="689" w:right="940" w:bottom="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Consolidated Financial Statements.</w:t>
      </w:r>
    </w:p>
    <w:p>
      <w:pPr>
        <w:sectPr>
          <w:pgSz w:w="11880" w:h="15480" w:orient="portrait"/>
          <w:cols w:equalWidth="0" w:num="1">
            <w:col w:w="9960"/>
          </w:cols>
          <w:pgMar w:left="980" w:top="689"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960"/>
          </w:cols>
          <w:pgMar w:left="980" w:top="689" w:right="940" w:bottom="0" w:gutter="0" w:footer="0" w:header="0"/>
          <w:type w:val="continuous"/>
        </w:sectPr>
      </w:pPr>
    </w:p>
    <w:bookmarkStart w:id="173" w:name="page174"/>
    <w:bookmarkEnd w:id="173"/>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i w:val="1"/>
          <w:iCs w:val="1"/>
          <w:color w:val="auto"/>
        </w:rPr>
        <w:t>(In millions, except per share data)</w:t>
      </w:r>
    </w:p>
    <w:p>
      <w:pPr>
        <w:spacing w:after="0" w:line="118" w:lineRule="exact"/>
        <w:rPr>
          <w:sz w:val="20"/>
          <w:szCs w:val="20"/>
          <w:color w:val="auto"/>
        </w:rPr>
      </w:pPr>
    </w:p>
    <w:p>
      <w:pPr>
        <w:ind w:left="7102"/>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022"/>
        <w:spacing w:after="0"/>
        <w:rPr>
          <w:sz w:val="20"/>
          <w:szCs w:val="20"/>
          <w:color w:val="auto"/>
        </w:rPr>
      </w:pPr>
      <w:r>
        <w:rPr>
          <w:rFonts w:ascii="Times New Roman" w:cs="Times New Roman" w:eastAsia="Times New Roman" w:hAnsi="Times New Roman"/>
          <w:sz w:val="20"/>
          <w:szCs w:val="20"/>
          <w:b w:val="1"/>
          <w:bCs w:val="1"/>
          <w:color w:val="auto"/>
        </w:rPr>
        <w:t>December 31,</w:t>
      </w:r>
    </w:p>
    <w:tbl>
      <w:tblPr>
        <w:tblLayout w:type="fixed"/>
        <w:tblInd w:w="2" w:type="dxa"/>
        <w:tblCellMar>
          <w:top w:w="0" w:type="dxa"/>
          <w:left w:w="0" w:type="dxa"/>
          <w:bottom w:w="0" w:type="dxa"/>
          <w:right w:w="0" w:type="dxa"/>
        </w:tblCellMar>
      </w:tblPr>
      <w:tr>
        <w:trPr>
          <w:trHeight w:val="260"/>
        </w:trPr>
        <w:tc>
          <w:tcPr>
            <w:tcW w:w="5200" w:type="dxa"/>
            <w:vAlign w:val="bottom"/>
            <w:tcBorders>
              <w:bottom w:val="single" w:sz="8" w:color="E6E6E6"/>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top w:val="single" w:sz="8" w:color="auto"/>
              <w:bottom w:val="single" w:sz="8" w:color="E6E6E6"/>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center"/>
              <w:ind w:right="82"/>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Borders>
              <w:top w:val="single" w:sz="8" w:color="auto"/>
              <w:bottom w:val="single" w:sz="8" w:color="E6E6E6"/>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8"/>
        </w:trPr>
        <w:tc>
          <w:tcPr>
            <w:tcW w:w="52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360" w:type="dxa"/>
            <w:vAlign w:val="bottom"/>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2,521.0</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2,548.2</w:t>
            </w:r>
          </w:p>
        </w:tc>
        <w:tc>
          <w:tcPr>
            <w:tcW w:w="60" w:type="dxa"/>
            <w:vAlign w:val="bottom"/>
            <w:shd w:val="clear" w:color="auto" w:fill="E6E6E6"/>
          </w:tcPr>
          <w:p>
            <w:pPr>
              <w:spacing w:after="0"/>
              <w:rPr>
                <w:sz w:val="20"/>
                <w:szCs w:val="20"/>
                <w:color w:val="auto"/>
              </w:rPr>
            </w:pPr>
          </w:p>
        </w:tc>
        <w:tc>
          <w:tcPr>
            <w:tcW w:w="360" w:type="dxa"/>
            <w:vAlign w:val="bottom"/>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2,501.6</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E6E6E6"/>
            </w:tcBorders>
          </w:tcPr>
          <w:p>
            <w:pPr>
              <w:ind w:left="320"/>
              <w:spacing w:after="0"/>
              <w:rPr>
                <w:sz w:val="20"/>
                <w:szCs w:val="20"/>
                <w:color w:val="auto"/>
              </w:rPr>
            </w:pPr>
            <w:r>
              <w:rPr>
                <w:rFonts w:ascii="Times New Roman" w:cs="Times New Roman" w:eastAsia="Times New Roman" w:hAnsi="Times New Roman"/>
                <w:sz w:val="20"/>
                <w:szCs w:val="20"/>
                <w:color w:val="auto"/>
              </w:rPr>
              <w:t>Cost of revenue</w:t>
            </w:r>
            <w:r>
              <w:rPr>
                <w:rFonts w:ascii="Times New Roman" w:cs="Times New Roman" w:eastAsia="Times New Roman" w:hAnsi="Times New Roman"/>
                <w:sz w:val="12"/>
                <w:szCs w:val="12"/>
                <w:color w:val="auto"/>
              </w:rPr>
              <w:t>(1)(2)</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500.8</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445.1</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478.5</w:t>
            </w:r>
          </w:p>
        </w:tc>
        <w:tc>
          <w:tcPr>
            <w:tcW w:w="0" w:type="dxa"/>
            <w:vAlign w:val="bottom"/>
          </w:tcPr>
          <w:p>
            <w:pPr>
              <w:spacing w:after="0"/>
              <w:rPr>
                <w:sz w:val="1"/>
                <w:szCs w:val="1"/>
                <w:color w:val="auto"/>
              </w:rPr>
            </w:pPr>
          </w:p>
        </w:tc>
      </w:tr>
      <w:tr>
        <w:trPr>
          <w:trHeight w:val="238"/>
        </w:trPr>
        <w:tc>
          <w:tcPr>
            <w:tcW w:w="52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Gross profit</w:t>
            </w:r>
          </w:p>
        </w:tc>
        <w:tc>
          <w:tcPr>
            <w:tcW w:w="360" w:type="dxa"/>
            <w:vAlign w:val="bottom"/>
            <w:shd w:val="clear" w:color="auto" w:fill="E6E6E6"/>
          </w:tcPr>
          <w:p>
            <w:pPr>
              <w:spacing w:after="0"/>
              <w:rPr>
                <w:sz w:val="20"/>
                <w:szCs w:val="20"/>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2,020.2</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2,103.1</w:t>
            </w:r>
          </w:p>
        </w:tc>
        <w:tc>
          <w:tcPr>
            <w:tcW w:w="6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2,023.1</w:t>
            </w:r>
          </w:p>
        </w:tc>
        <w:tc>
          <w:tcPr>
            <w:tcW w:w="0" w:type="dxa"/>
            <w:vAlign w:val="bottom"/>
          </w:tcPr>
          <w:p>
            <w:pPr>
              <w:spacing w:after="0"/>
              <w:rPr>
                <w:sz w:val="1"/>
                <w:szCs w:val="1"/>
                <w:color w:val="auto"/>
              </w:rPr>
            </w:pPr>
          </w:p>
        </w:tc>
      </w:tr>
      <w:tr>
        <w:trPr>
          <w:trHeight w:val="249"/>
        </w:trPr>
        <w:tc>
          <w:tcPr>
            <w:tcW w:w="5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Research and development</w:t>
            </w:r>
            <w:r>
              <w:rPr>
                <w:rFonts w:ascii="Times New Roman" w:cs="Times New Roman" w:eastAsia="Times New Roman" w:hAnsi="Times New Roman"/>
                <w:sz w:val="12"/>
                <w:szCs w:val="12"/>
                <w:color w:val="auto"/>
              </w:rPr>
              <w:t>(1)(2)</w:t>
            </w:r>
          </w:p>
        </w:tc>
        <w:tc>
          <w:tcPr>
            <w:tcW w:w="36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732.0</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914.9</w:t>
            </w:r>
          </w:p>
        </w:tc>
        <w:tc>
          <w:tcPr>
            <w:tcW w:w="6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936.5</w:t>
            </w:r>
          </w:p>
        </w:tc>
        <w:tc>
          <w:tcPr>
            <w:tcW w:w="0" w:type="dxa"/>
            <w:vAlign w:val="bottom"/>
          </w:tcPr>
          <w:p>
            <w:pPr>
              <w:spacing w:after="0"/>
              <w:rPr>
                <w:sz w:val="1"/>
                <w:szCs w:val="1"/>
                <w:color w:val="auto"/>
              </w:rPr>
            </w:pPr>
          </w:p>
        </w:tc>
      </w:tr>
      <w:tr>
        <w:trPr>
          <w:trHeight w:val="249"/>
        </w:trPr>
        <w:tc>
          <w:tcPr>
            <w:tcW w:w="52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Sales and marketing</w:t>
            </w:r>
            <w:r>
              <w:rPr>
                <w:rFonts w:ascii="Times New Roman" w:cs="Times New Roman" w:eastAsia="Times New Roman" w:hAnsi="Times New Roman"/>
                <w:sz w:val="12"/>
                <w:szCs w:val="12"/>
                <w:color w:val="auto"/>
              </w:rPr>
              <w:t>(1)(2)</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466.0</w:t>
            </w:r>
          </w:p>
        </w:tc>
        <w:tc>
          <w:tcPr>
            <w:tcW w:w="0" w:type="dxa"/>
            <w:vAlign w:val="bottom"/>
          </w:tcPr>
          <w:p>
            <w:pPr>
              <w:spacing w:after="0"/>
              <w:rPr>
                <w:sz w:val="1"/>
                <w:szCs w:val="1"/>
                <w:color w:val="auto"/>
              </w:rPr>
            </w:pPr>
          </w:p>
        </w:tc>
      </w:tr>
      <w:tr>
        <w:trPr>
          <w:trHeight w:val="249"/>
        </w:trPr>
        <w:tc>
          <w:tcPr>
            <w:tcW w:w="520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General and administrative</w:t>
            </w:r>
            <w:r>
              <w:rPr>
                <w:rFonts w:ascii="Times New Roman" w:cs="Times New Roman" w:eastAsia="Times New Roman" w:hAnsi="Times New Roman"/>
                <w:sz w:val="12"/>
                <w:szCs w:val="12"/>
                <w:color w:val="auto"/>
              </w:rPr>
              <w:t>(1)(2)</w:t>
            </w:r>
          </w:p>
        </w:tc>
        <w:tc>
          <w:tcPr>
            <w:tcW w:w="36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230.5</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241.2</w:t>
            </w:r>
          </w:p>
        </w:tc>
        <w:tc>
          <w:tcPr>
            <w:tcW w:w="6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237.1</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E6E6E6"/>
            </w:tcBorders>
          </w:tcPr>
          <w:p>
            <w:pPr>
              <w:ind w:left="260"/>
              <w:spacing w:after="0"/>
              <w:rPr>
                <w:sz w:val="20"/>
                <w:szCs w:val="20"/>
                <w:color w:val="auto"/>
              </w:rPr>
            </w:pPr>
            <w:r>
              <w:rPr>
                <w:rFonts w:ascii="Times New Roman" w:cs="Times New Roman" w:eastAsia="Times New Roman" w:hAnsi="Times New Roman"/>
                <w:sz w:val="20"/>
                <w:szCs w:val="20"/>
                <w:color w:val="auto"/>
              </w:rPr>
              <w:t>Net (gain) loss on real estate assets</w:t>
            </w:r>
            <w:r>
              <w:rPr>
                <w:rFonts w:ascii="Times New Roman" w:cs="Times New Roman" w:eastAsia="Times New Roman" w:hAnsi="Times New Roman"/>
                <w:sz w:val="12"/>
                <w:szCs w:val="12"/>
                <w:color w:val="auto"/>
              </w:rPr>
              <w:t>(3)</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(155.2)</w:t>
            </w:r>
          </w:p>
        </w:tc>
        <w:tc>
          <w:tcPr>
            <w:tcW w:w="0" w:type="dxa"/>
            <w:vAlign w:val="bottom"/>
          </w:tcPr>
          <w:p>
            <w:pPr>
              <w:spacing w:after="0"/>
              <w:rPr>
                <w:sz w:val="1"/>
                <w:szCs w:val="1"/>
                <w:color w:val="auto"/>
              </w:rPr>
            </w:pPr>
          </w:p>
        </w:tc>
      </w:tr>
      <w:tr>
        <w:trPr>
          <w:trHeight w:val="238"/>
        </w:trPr>
        <w:tc>
          <w:tcPr>
            <w:tcW w:w="52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60" w:type="dxa"/>
            <w:vAlign w:val="bottom"/>
            <w:shd w:val="clear" w:color="auto" w:fill="E6E6E6"/>
          </w:tcPr>
          <w:p>
            <w:pPr>
              <w:spacing w:after="0"/>
              <w:rPr>
                <w:sz w:val="20"/>
                <w:szCs w:val="20"/>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1,331.1</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1,616.9</w:t>
            </w:r>
          </w:p>
        </w:tc>
        <w:tc>
          <w:tcPr>
            <w:tcW w:w="6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1,484.4</w:t>
            </w:r>
          </w:p>
        </w:tc>
        <w:tc>
          <w:tcPr>
            <w:tcW w:w="0" w:type="dxa"/>
            <w:vAlign w:val="bottom"/>
          </w:tcPr>
          <w:p>
            <w:pPr>
              <w:spacing w:after="0"/>
              <w:rPr>
                <w:sz w:val="1"/>
                <w:szCs w:val="1"/>
                <w:color w:val="auto"/>
              </w:rPr>
            </w:pPr>
          </w:p>
        </w:tc>
      </w:tr>
      <w:tr>
        <w:trPr>
          <w:trHeight w:val="249"/>
        </w:trPr>
        <w:tc>
          <w:tcPr>
            <w:tcW w:w="5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from operations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538.7</w:t>
            </w:r>
          </w:p>
        </w:tc>
        <w:tc>
          <w:tcPr>
            <w:tcW w:w="0" w:type="dxa"/>
            <w:vAlign w:val="bottom"/>
          </w:tcPr>
          <w:p>
            <w:pPr>
              <w:spacing w:after="0"/>
              <w:rPr>
                <w:sz w:val="1"/>
                <w:szCs w:val="1"/>
                <w:color w:val="auto"/>
              </w:rPr>
            </w:pPr>
          </w:p>
        </w:tc>
      </w:tr>
      <w:tr>
        <w:trPr>
          <w:trHeight w:val="249"/>
        </w:trPr>
        <w:tc>
          <w:tcPr>
            <w:tcW w:w="52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Interest (expense) income, net</w:t>
            </w:r>
          </w:p>
        </w:tc>
        <w:tc>
          <w:tcPr>
            <w:tcW w:w="36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Other income (loss), net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38"/>
        </w:trPr>
        <w:tc>
          <w:tcPr>
            <w:tcW w:w="52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60" w:type="dxa"/>
            <w:vAlign w:val="bottom"/>
            <w:shd w:val="clear" w:color="auto" w:fill="E6E6E6"/>
          </w:tcPr>
          <w:p>
            <w:pPr>
              <w:spacing w:after="0"/>
              <w:rPr>
                <w:sz w:val="20"/>
                <w:szCs w:val="20"/>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617.6</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509.8</w:t>
            </w:r>
          </w:p>
        </w:tc>
        <w:tc>
          <w:tcPr>
            <w:tcW w:w="6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554.4</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E6E6E6"/>
            </w:tcBorders>
            <w:shd w:val="clear" w:color="auto" w:fill="E6E6E6"/>
          </w:tcPr>
          <w:p>
            <w:pPr>
              <w:ind w:left="40"/>
              <w:spacing w:after="0" w:line="209" w:lineRule="exact"/>
              <w:rPr>
                <w:sz w:val="20"/>
                <w:szCs w:val="20"/>
                <w:color w:val="auto"/>
              </w:rPr>
            </w:pPr>
            <w:r>
              <w:rPr>
                <w:rFonts w:ascii="Times New Roman" w:cs="Times New Roman" w:eastAsia="Times New Roman" w:hAnsi="Times New Roman"/>
                <w:sz w:val="20"/>
                <w:szCs w:val="20"/>
                <w:color w:val="auto"/>
              </w:rPr>
              <w:t>Net income</w:t>
            </w:r>
          </w:p>
        </w:tc>
        <w:tc>
          <w:tcPr>
            <w:tcW w:w="360" w:type="dxa"/>
            <w:vAlign w:val="bottom"/>
            <w:tcBorders>
              <w:bottom w:val="single" w:sz="8" w:color="auto"/>
            </w:tcBorders>
            <w:shd w:val="clear" w:color="auto" w:fill="E6E6E6"/>
          </w:tcPr>
          <w:p>
            <w:pPr>
              <w:jc w:val="right"/>
              <w:ind w:right="122"/>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508.4</w:t>
            </w:r>
          </w:p>
        </w:tc>
        <w:tc>
          <w:tcPr>
            <w:tcW w:w="6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452.3</w:t>
            </w:r>
          </w:p>
        </w:tc>
        <w:tc>
          <w:tcPr>
            <w:tcW w:w="6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jc w:val="right"/>
              <w:ind w:right="122"/>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453.6</w:t>
            </w:r>
          </w:p>
        </w:tc>
        <w:tc>
          <w:tcPr>
            <w:tcW w:w="0" w:type="dxa"/>
            <w:vAlign w:val="bottom"/>
          </w:tcPr>
          <w:p>
            <w:pPr>
              <w:spacing w:after="0"/>
              <w:rPr>
                <w:sz w:val="1"/>
                <w:szCs w:val="1"/>
                <w:color w:val="auto"/>
              </w:rPr>
            </w:pPr>
          </w:p>
        </w:tc>
      </w:tr>
      <w:tr>
        <w:trPr>
          <w:trHeight w:val="219"/>
        </w:trPr>
        <w:tc>
          <w:tcPr>
            <w:tcW w:w="5200" w:type="dxa"/>
            <w:vAlign w:val="bottom"/>
          </w:tcPr>
          <w:p>
            <w:pPr>
              <w:ind w:left="40"/>
              <w:spacing w:after="0" w:line="219" w:lineRule="exact"/>
              <w:rPr>
                <w:sz w:val="20"/>
                <w:szCs w:val="20"/>
                <w:color w:val="auto"/>
              </w:rPr>
            </w:pPr>
            <w:r>
              <w:rPr>
                <w:rFonts w:ascii="Times New Roman" w:cs="Times New Roman" w:eastAsia="Times New Roman" w:hAnsi="Times New Roman"/>
                <w:sz w:val="20"/>
                <w:szCs w:val="20"/>
                <w:color w:val="auto"/>
              </w:rPr>
              <w:t>Net income per share-basic and diluted: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200" w:type="dxa"/>
            <w:vAlign w:val="bottom"/>
            <w:shd w:val="clear" w:color="auto" w:fill="E6E6E6"/>
          </w:tcPr>
          <w:p>
            <w:pPr>
              <w:ind w:left="40"/>
              <w:spacing w:after="0" w:line="219" w:lineRule="exact"/>
              <w:rPr>
                <w:sz w:val="20"/>
                <w:szCs w:val="20"/>
                <w:color w:val="auto"/>
              </w:rPr>
            </w:pPr>
            <w:r>
              <w:rPr>
                <w:rFonts w:ascii="Times New Roman" w:cs="Times New Roman" w:eastAsia="Times New Roman" w:hAnsi="Times New Roman"/>
                <w:sz w:val="20"/>
                <w:szCs w:val="20"/>
                <w:color w:val="auto"/>
              </w:rPr>
              <w:t>Basic net income per share</w:t>
            </w:r>
          </w:p>
        </w:tc>
        <w:tc>
          <w:tcPr>
            <w:tcW w:w="360" w:type="dxa"/>
            <w:vAlign w:val="bottom"/>
            <w:shd w:val="clear" w:color="auto" w:fill="E6E6E6"/>
          </w:tcPr>
          <w:p>
            <w:pPr>
              <w:jc w:val="right"/>
              <w:ind w:right="122"/>
              <w:spacing w:after="0" w:line="21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1.89</w:t>
            </w:r>
          </w:p>
        </w:tc>
        <w:tc>
          <w:tcPr>
            <w:tcW w:w="240" w:type="dxa"/>
            <w:vAlign w:val="bottom"/>
            <w:gridSpan w:val="2"/>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1.42</w:t>
            </w:r>
          </w:p>
        </w:tc>
        <w:tc>
          <w:tcPr>
            <w:tcW w:w="420" w:type="dxa"/>
            <w:vAlign w:val="bottom"/>
            <w:gridSpan w:val="2"/>
            <w:shd w:val="clear" w:color="auto" w:fill="E6E6E6"/>
          </w:tcPr>
          <w:p>
            <w:pPr>
              <w:jc w:val="right"/>
              <w:ind w:right="122"/>
              <w:spacing w:after="0" w:line="21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29"/>
        </w:trPr>
        <w:tc>
          <w:tcPr>
            <w:tcW w:w="5200" w:type="dxa"/>
            <w:vAlign w:val="bottom"/>
            <w:tcBorders>
              <w:top w:val="single" w:sz="8" w:color="E6E6E6"/>
              <w:bottom w:val="single" w:sz="8" w:color="E6E6E6"/>
            </w:tcBorders>
          </w:tcPr>
          <w:p>
            <w:pPr>
              <w:ind w:left="40"/>
              <w:spacing w:after="0" w:line="190" w:lineRule="exact"/>
              <w:rPr>
                <w:sz w:val="20"/>
                <w:szCs w:val="20"/>
                <w:color w:val="auto"/>
              </w:rPr>
            </w:pPr>
            <w:r>
              <w:rPr>
                <w:rFonts w:ascii="Times New Roman" w:cs="Times New Roman" w:eastAsia="Times New Roman" w:hAnsi="Times New Roman"/>
                <w:sz w:val="20"/>
                <w:szCs w:val="20"/>
                <w:color w:val="auto"/>
              </w:rPr>
              <w:t>Diluted net income per share</w:t>
            </w:r>
          </w:p>
        </w:tc>
        <w:tc>
          <w:tcPr>
            <w:tcW w:w="360" w:type="dxa"/>
            <w:vAlign w:val="bottom"/>
            <w:tcBorders>
              <w:top w:val="single" w:sz="8" w:color="auto"/>
              <w:bottom w:val="single" w:sz="8" w:color="auto"/>
            </w:tcBorders>
          </w:tcPr>
          <w:p>
            <w:pPr>
              <w:jc w:val="right"/>
              <w:ind w:right="122"/>
              <w:spacing w:after="0" w:line="19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1.86</w:t>
            </w:r>
          </w:p>
        </w:tc>
        <w:tc>
          <w:tcPr>
            <w:tcW w:w="60" w:type="dxa"/>
            <w:vAlign w:val="bottom"/>
            <w:tcBorders>
              <w:top w:val="single" w:sz="8" w:color="E6E6E6"/>
              <w:bottom w:val="single" w:sz="8" w:color="E6E6E6"/>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1.40</w:t>
            </w:r>
          </w:p>
        </w:tc>
        <w:tc>
          <w:tcPr>
            <w:tcW w:w="60" w:type="dxa"/>
            <w:vAlign w:val="bottom"/>
            <w:tcBorders>
              <w:top w:val="single" w:sz="8" w:color="E6E6E6"/>
              <w:bottom w:val="single" w:sz="8" w:color="E6E6E6"/>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22"/>
              <w:spacing w:after="0" w:line="19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136"/>
        </w:trPr>
        <w:tc>
          <w:tcPr>
            <w:tcW w:w="5200" w:type="dxa"/>
            <w:vAlign w:val="bottom"/>
            <w:shd w:val="clear" w:color="auto" w:fill="E6E6E6"/>
          </w:tcPr>
          <w:p>
            <w:pPr>
              <w:ind w:left="40"/>
              <w:spacing w:after="0" w:line="136" w:lineRule="exact"/>
              <w:rPr>
                <w:sz w:val="20"/>
                <w:szCs w:val="20"/>
                <w:color w:val="auto"/>
              </w:rPr>
            </w:pPr>
            <w:r>
              <w:rPr>
                <w:rFonts w:ascii="Times New Roman" w:cs="Times New Roman" w:eastAsia="Times New Roman" w:hAnsi="Times New Roman"/>
                <w:sz w:val="15"/>
                <w:szCs w:val="15"/>
                <w:color w:val="auto"/>
              </w:rPr>
              <w:t>Weighted-average shares used in computing net income per</w:t>
            </w:r>
          </w:p>
        </w:tc>
        <w:tc>
          <w:tcPr>
            <w:tcW w:w="360" w:type="dxa"/>
            <w:vAlign w:val="bottom"/>
            <w:shd w:val="clear" w:color="auto" w:fill="E6E6E6"/>
          </w:tcPr>
          <w:p>
            <w:pPr>
              <w:spacing w:after="0"/>
              <w:rPr>
                <w:sz w:val="11"/>
                <w:szCs w:val="11"/>
                <w:color w:val="auto"/>
              </w:rPr>
            </w:pPr>
          </w:p>
        </w:tc>
        <w:tc>
          <w:tcPr>
            <w:tcW w:w="12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268.3</w:t>
            </w:r>
          </w:p>
        </w:tc>
        <w:tc>
          <w:tcPr>
            <w:tcW w:w="60" w:type="dxa"/>
            <w:vAlign w:val="bottom"/>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13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318.2</w:t>
            </w:r>
          </w:p>
        </w:tc>
        <w:tc>
          <w:tcPr>
            <w:tcW w:w="60" w:type="dxa"/>
            <w:vAlign w:val="bottom"/>
            <w:shd w:val="clear" w:color="auto" w:fill="E6E6E6"/>
          </w:tcPr>
          <w:p>
            <w:pPr>
              <w:spacing w:after="0"/>
              <w:rPr>
                <w:sz w:val="11"/>
                <w:szCs w:val="11"/>
                <w:color w:val="auto"/>
              </w:rPr>
            </w:pPr>
          </w:p>
        </w:tc>
        <w:tc>
          <w:tcPr>
            <w:tcW w:w="360" w:type="dxa"/>
            <w:vAlign w:val="bottom"/>
            <w:shd w:val="clear" w:color="auto" w:fill="E6E6E6"/>
          </w:tcPr>
          <w:p>
            <w:pPr>
              <w:spacing w:after="0"/>
              <w:rPr>
                <w:sz w:val="11"/>
                <w:szCs w:val="11"/>
                <w:color w:val="auto"/>
              </w:rPr>
            </w:pPr>
          </w:p>
        </w:tc>
        <w:tc>
          <w:tcPr>
            <w:tcW w:w="12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341.2</w:t>
            </w:r>
          </w:p>
        </w:tc>
        <w:tc>
          <w:tcPr>
            <w:tcW w:w="0" w:type="dxa"/>
            <w:vAlign w:val="bottom"/>
          </w:tcPr>
          <w:p>
            <w:pPr>
              <w:spacing w:after="0"/>
              <w:rPr>
                <w:sz w:val="1"/>
                <w:szCs w:val="1"/>
                <w:color w:val="auto"/>
              </w:rPr>
            </w:pPr>
          </w:p>
        </w:tc>
      </w:tr>
      <w:tr>
        <w:trPr>
          <w:trHeight w:val="254"/>
        </w:trPr>
        <w:tc>
          <w:tcPr>
            <w:tcW w:w="5200" w:type="dxa"/>
            <w:vAlign w:val="bottom"/>
            <w:tcBorders>
              <w:bottom w:val="single" w:sz="8" w:color="E6E6E6"/>
            </w:tcBorders>
            <w:shd w:val="clear" w:color="auto" w:fill="E6E6E6"/>
          </w:tcPr>
          <w:p>
            <w:pPr>
              <w:ind w:left="220"/>
              <w:spacing w:after="0" w:line="215" w:lineRule="exact"/>
              <w:rPr>
                <w:sz w:val="20"/>
                <w:szCs w:val="20"/>
                <w:color w:val="auto"/>
              </w:rPr>
            </w:pPr>
            <w:r>
              <w:rPr>
                <w:rFonts w:ascii="Times New Roman" w:cs="Times New Roman" w:eastAsia="Times New Roman" w:hAnsi="Times New Roman"/>
                <w:sz w:val="20"/>
                <w:szCs w:val="20"/>
                <w:color w:val="auto"/>
              </w:rPr>
              <w:t>share attributable to common stockholders, basic</w:t>
            </w:r>
          </w:p>
        </w:tc>
        <w:tc>
          <w:tcPr>
            <w:tcW w:w="360" w:type="dxa"/>
            <w:vAlign w:val="bottom"/>
            <w:tcBorders>
              <w:bottom w:val="single" w:sz="8" w:color="auto"/>
            </w:tcBorders>
            <w:shd w:val="clear" w:color="auto" w:fill="E6E6E6"/>
          </w:tcPr>
          <w:p>
            <w:pPr>
              <w:spacing w:after="0"/>
              <w:rPr>
                <w:sz w:val="22"/>
                <w:szCs w:val="22"/>
                <w:color w:val="auto"/>
              </w:rPr>
            </w:pPr>
          </w:p>
        </w:tc>
        <w:tc>
          <w:tcPr>
            <w:tcW w:w="1200" w:type="dxa"/>
            <w:vAlign w:val="bottom"/>
            <w:tcBorders>
              <w:bottom w:val="single" w:sz="8" w:color="auto"/>
            </w:tcBorders>
            <w:vMerge w:val="continue"/>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auto"/>
            </w:tcBorders>
            <w:shd w:val="clear" w:color="auto" w:fill="E6E6E6"/>
          </w:tcPr>
          <w:p>
            <w:pPr>
              <w:spacing w:after="0"/>
              <w:rPr>
                <w:sz w:val="22"/>
                <w:szCs w:val="22"/>
                <w:color w:val="auto"/>
              </w:rPr>
            </w:pPr>
          </w:p>
        </w:tc>
        <w:tc>
          <w:tcPr>
            <w:tcW w:w="1380" w:type="dxa"/>
            <w:vAlign w:val="bottom"/>
            <w:tcBorders>
              <w:bottom w:val="single" w:sz="8" w:color="auto"/>
            </w:tcBorders>
            <w:vMerge w:val="continue"/>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auto"/>
            </w:tcBorders>
            <w:shd w:val="clear" w:color="auto" w:fill="E6E6E6"/>
          </w:tcPr>
          <w:p>
            <w:pPr>
              <w:spacing w:after="0"/>
              <w:rPr>
                <w:sz w:val="22"/>
                <w:szCs w:val="22"/>
                <w:color w:val="auto"/>
              </w:rPr>
            </w:pPr>
          </w:p>
        </w:tc>
        <w:tc>
          <w:tcPr>
            <w:tcW w:w="120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40"/>
              <w:spacing w:after="0" w:line="157" w:lineRule="exact"/>
              <w:rPr>
                <w:sz w:val="20"/>
                <w:szCs w:val="20"/>
                <w:color w:val="auto"/>
              </w:rPr>
            </w:pPr>
            <w:r>
              <w:rPr>
                <w:rFonts w:ascii="Times New Roman" w:cs="Times New Roman" w:eastAsia="Times New Roman" w:hAnsi="Times New Roman"/>
                <w:sz w:val="18"/>
                <w:szCs w:val="18"/>
                <w:color w:val="auto"/>
              </w:rPr>
              <w:t>Weighted-average shares used in computing net income per</w:t>
            </w: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272.8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323.4</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345.6</w:t>
            </w:r>
          </w:p>
        </w:tc>
        <w:tc>
          <w:tcPr>
            <w:tcW w:w="0" w:type="dxa"/>
            <w:vAlign w:val="bottom"/>
          </w:tcPr>
          <w:p>
            <w:pPr>
              <w:spacing w:after="0"/>
              <w:rPr>
                <w:sz w:val="1"/>
                <w:szCs w:val="1"/>
                <w:color w:val="auto"/>
              </w:rPr>
            </w:pPr>
          </w:p>
        </w:tc>
      </w:tr>
      <w:tr>
        <w:trPr>
          <w:trHeight w:val="194"/>
        </w:trPr>
        <w:tc>
          <w:tcPr>
            <w:tcW w:w="5200" w:type="dxa"/>
            <w:vAlign w:val="bottom"/>
          </w:tcPr>
          <w:p>
            <w:pPr>
              <w:ind w:left="220"/>
              <w:spacing w:after="0" w:line="194" w:lineRule="exact"/>
              <w:rPr>
                <w:sz w:val="20"/>
                <w:szCs w:val="20"/>
                <w:color w:val="auto"/>
              </w:rPr>
            </w:pPr>
            <w:r>
              <w:rPr>
                <w:rFonts w:ascii="Times New Roman" w:cs="Times New Roman" w:eastAsia="Times New Roman" w:hAnsi="Times New Roman"/>
                <w:sz w:val="20"/>
                <w:szCs w:val="20"/>
                <w:color w:val="auto"/>
              </w:rPr>
              <w:t>share attributable to common stockholders, diluted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(1) </w:t>
            </w:r>
            <w:r>
              <w:rPr>
                <w:rFonts w:ascii="Times New Roman" w:cs="Times New Roman" w:eastAsia="Times New Roman" w:hAnsi="Times New Roman"/>
                <w:sz w:val="17"/>
                <w:szCs w:val="17"/>
                <w:color w:val="auto"/>
              </w:rPr>
              <w:t>Includes stock-based compensation as follows: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5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b w:val="1"/>
                <w:bCs w:val="1"/>
                <w:color w:val="auto"/>
                <w:w w:val="97"/>
              </w:rPr>
              <w:t>Year Ended</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E6E6E6"/>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2"/>
              <w:spacing w:after="0" w:line="229" w:lineRule="exact"/>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82"/>
              <w:spacing w:after="0" w:line="229" w:lineRule="exact"/>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Borders>
              <w:bottom w:val="single" w:sz="8" w:color="E6E6E6"/>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2"/>
              <w:spacing w:after="0" w:line="229" w:lineRule="exact"/>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8"/>
        </w:trPr>
        <w:tc>
          <w:tcPr>
            <w:tcW w:w="520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Cost of revenue</w:t>
            </w:r>
          </w:p>
        </w:tc>
        <w:tc>
          <w:tcPr>
            <w:tcW w:w="360" w:type="dxa"/>
            <w:vAlign w:val="bottom"/>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60" w:type="dxa"/>
            <w:vAlign w:val="bottom"/>
            <w:shd w:val="clear" w:color="auto" w:fill="E6E6E6"/>
          </w:tcPr>
          <w:p>
            <w:pPr>
              <w:spacing w:after="0"/>
              <w:rPr>
                <w:sz w:val="20"/>
                <w:szCs w:val="20"/>
                <w:color w:val="auto"/>
              </w:rPr>
            </w:pPr>
          </w:p>
        </w:tc>
        <w:tc>
          <w:tcPr>
            <w:tcW w:w="360" w:type="dxa"/>
            <w:vAlign w:val="bottom"/>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0" w:type="dxa"/>
            <w:vAlign w:val="bottom"/>
          </w:tcPr>
          <w:p>
            <w:pPr>
              <w:spacing w:after="0"/>
              <w:rPr>
                <w:sz w:val="1"/>
                <w:szCs w:val="1"/>
                <w:color w:val="auto"/>
              </w:rPr>
            </w:pPr>
          </w:p>
        </w:tc>
      </w:tr>
      <w:tr>
        <w:trPr>
          <w:trHeight w:val="249"/>
        </w:trPr>
        <w:tc>
          <w:tcPr>
            <w:tcW w:w="52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237.6</w:t>
            </w:r>
          </w:p>
        </w:tc>
        <w:tc>
          <w:tcPr>
            <w:tcW w:w="0" w:type="dxa"/>
            <w:vAlign w:val="bottom"/>
          </w:tcPr>
          <w:p>
            <w:pPr>
              <w:spacing w:after="0"/>
              <w:rPr>
                <w:sz w:val="1"/>
                <w:szCs w:val="1"/>
                <w:color w:val="auto"/>
              </w:rPr>
            </w:pPr>
          </w:p>
        </w:tc>
      </w:tr>
      <w:tr>
        <w:trPr>
          <w:trHeight w:val="249"/>
        </w:trPr>
        <w:tc>
          <w:tcPr>
            <w:tcW w:w="520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Sales and marketing</w:t>
            </w:r>
          </w:p>
        </w:tc>
        <w:tc>
          <w:tcPr>
            <w:tcW w:w="36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6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E6E6E6"/>
            </w:tcBorders>
          </w:tcPr>
          <w:p>
            <w:pPr>
              <w:ind w:left="2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E6E6E6"/>
            </w:tcBorders>
            <w:shd w:val="clear" w:color="auto" w:fill="E6E6E6"/>
          </w:tcPr>
          <w:p>
            <w:pPr>
              <w:ind w:left="40"/>
              <w:spacing w:after="0" w:line="209" w:lineRule="exact"/>
              <w:rPr>
                <w:sz w:val="20"/>
                <w:szCs w:val="20"/>
                <w:color w:val="auto"/>
              </w:rPr>
            </w:pPr>
            <w:r>
              <w:rPr>
                <w:rFonts w:ascii="Times New Roman" w:cs="Times New Roman" w:eastAsia="Times New Roman" w:hAnsi="Times New Roman"/>
                <w:sz w:val="20"/>
                <w:szCs w:val="20"/>
                <w:color w:val="auto"/>
              </w:rPr>
              <w:t>Total stock-based compensation</w:t>
            </w:r>
          </w:p>
        </w:tc>
        <w:tc>
          <w:tcPr>
            <w:tcW w:w="360" w:type="dxa"/>
            <w:vAlign w:val="bottom"/>
            <w:tcBorders>
              <w:bottom w:val="single" w:sz="8" w:color="auto"/>
            </w:tcBorders>
            <w:shd w:val="clear" w:color="auto" w:fill="E6E6E6"/>
          </w:tcPr>
          <w:p>
            <w:pPr>
              <w:jc w:val="right"/>
              <w:ind w:right="122"/>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300.8</w:t>
            </w:r>
          </w:p>
        </w:tc>
        <w:tc>
          <w:tcPr>
            <w:tcW w:w="6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346.5</w:t>
            </w:r>
          </w:p>
        </w:tc>
        <w:tc>
          <w:tcPr>
            <w:tcW w:w="6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jc w:val="right"/>
              <w:ind w:right="122"/>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338.0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-5039995</wp:posOffset>
            </wp:positionV>
            <wp:extent cx="3105150" cy="495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80">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-4724400</wp:posOffset>
            </wp:positionV>
            <wp:extent cx="3105150" cy="495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81">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-3776980</wp:posOffset>
            </wp:positionV>
            <wp:extent cx="3105150" cy="495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82">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-3145155</wp:posOffset>
            </wp:positionV>
            <wp:extent cx="3105150" cy="495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83">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-2829560</wp:posOffset>
            </wp:positionV>
            <wp:extent cx="3105150" cy="495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84">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-2684145</wp:posOffset>
            </wp:positionV>
            <wp:extent cx="3105150" cy="742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85">
                      <a:extLst>
                        <a:ext uri="{28A0092B-C50C-407E-A947-70E740481C1C}"/>
                      </a:extLst>
                    </a:blip>
                    <a:srcRect/>
                    <a:stretch>
                      <a:fillRect/>
                    </a:stretch>
                  </pic:blipFill>
                  <pic:spPr bwMode="auto">
                    <a:xfrm>
                      <a:off x="0" y="0"/>
                      <a:ext cx="3105150" cy="74295"/>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-2368550</wp:posOffset>
            </wp:positionV>
            <wp:extent cx="3105150" cy="742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86">
                      <a:extLst>
                        <a:ext uri="{28A0092B-C50C-407E-A947-70E740481C1C}"/>
                      </a:extLst>
                    </a:blip>
                    <a:srcRect/>
                    <a:stretch>
                      <a:fillRect/>
                    </a:stretch>
                  </pic:blipFill>
                  <pic:spPr bwMode="auto">
                    <a:xfrm>
                      <a:off x="0" y="0"/>
                      <a:ext cx="3105150" cy="74295"/>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-2210435</wp:posOffset>
            </wp:positionV>
            <wp:extent cx="3105150" cy="742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87">
                      <a:extLst>
                        <a:ext uri="{28A0092B-C50C-407E-A947-70E740481C1C}"/>
                      </a:extLst>
                    </a:blip>
                    <a:srcRect/>
                    <a:stretch>
                      <a:fillRect/>
                    </a:stretch>
                  </pic:blipFill>
                  <pic:spPr bwMode="auto">
                    <a:xfrm>
                      <a:off x="0" y="0"/>
                      <a:ext cx="3105150" cy="74295"/>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-1950720</wp:posOffset>
            </wp:positionV>
            <wp:extent cx="3105150" cy="742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88">
                      <a:extLst>
                        <a:ext uri="{28A0092B-C50C-407E-A947-70E740481C1C}"/>
                      </a:extLst>
                    </a:blip>
                    <a:srcRect/>
                    <a:stretch>
                      <a:fillRect/>
                    </a:stretch>
                  </pic:blipFill>
                  <pic:spPr bwMode="auto">
                    <a:xfrm>
                      <a:off x="0" y="0"/>
                      <a:ext cx="3105150" cy="7429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-1690370</wp:posOffset>
            </wp:positionV>
            <wp:extent cx="2074545" cy="742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89">
                      <a:extLst>
                        <a:ext uri="{28A0092B-C50C-407E-A947-70E740481C1C}"/>
                      </a:extLst>
                    </a:blip>
                    <a:srcRect/>
                    <a:stretch>
                      <a:fillRect/>
                    </a:stretch>
                  </pic:blipFill>
                  <pic:spPr bwMode="auto">
                    <a:xfrm>
                      <a:off x="0" y="0"/>
                      <a:ext cx="2074545" cy="74295"/>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-832485</wp:posOffset>
            </wp:positionV>
            <wp:extent cx="3105150" cy="495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90">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-200660</wp:posOffset>
            </wp:positionV>
            <wp:extent cx="3105150" cy="495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91">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-55245</wp:posOffset>
            </wp:positionV>
            <wp:extent cx="3105150" cy="742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92">
                      <a:extLst>
                        <a:ext uri="{28A0092B-C50C-407E-A947-70E740481C1C}"/>
                      </a:extLst>
                    </a:blip>
                    <a:srcRect/>
                    <a:stretch>
                      <a:fillRect/>
                    </a:stretch>
                  </pic:blipFill>
                  <pic:spPr bwMode="auto">
                    <a:xfrm>
                      <a:off x="0" y="0"/>
                      <a:ext cx="3105150" cy="74295"/>
                    </a:xfrm>
                    <a:prstGeom prst="rect">
                      <a:avLst/>
                    </a:prstGeom>
                    <a:noFill/>
                  </pic:spPr>
                </pic:pic>
              </a:graphicData>
            </a:graphic>
          </wp:anchor>
        </w:drawing>
      </w:r>
    </w:p>
    <w:p>
      <w:pPr>
        <w:spacing w:after="0" w:line="227" w:lineRule="exact"/>
        <w:rPr>
          <w:sz w:val="20"/>
          <w:szCs w:val="20"/>
          <w:color w:val="auto"/>
        </w:rPr>
      </w:pPr>
    </w:p>
    <w:p>
      <w:pPr>
        <w:ind w:left="2" w:right="380" w:hanging="2"/>
        <w:spacing w:after="0" w:line="256" w:lineRule="auto"/>
        <w:tabs>
          <w:tab w:leader="none" w:pos="163"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expenses related to the Company's reduction in workforce such as severance, benefits and other related items during the years ended December 31, 2025, 2024, and 2023. See Note 1, "Description of the Business and Summary of Significant Accounting Policies - Reduction in Workforce" for additional information.</w:t>
      </w:r>
    </w:p>
    <w:p>
      <w:pPr>
        <w:spacing w:after="0" w:line="86" w:lineRule="exact"/>
        <w:rPr>
          <w:rFonts w:ascii="Times New Roman" w:cs="Times New Roman" w:eastAsia="Times New Roman" w:hAnsi="Times New Roman"/>
          <w:sz w:val="11"/>
          <w:szCs w:val="11"/>
          <w:color w:val="auto"/>
        </w:rPr>
      </w:pPr>
    </w:p>
    <w:p>
      <w:pPr>
        <w:ind w:left="162" w:hanging="162"/>
        <w:spacing w:after="0"/>
        <w:tabs>
          <w:tab w:leader="none" w:pos="162"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See Note 9,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ectPr>
          <w:pgSz w:w="11880" w:h="15480" w:orient="portrait"/>
          <w:cols w:equalWidth="0" w:num="1">
            <w:col w:w="10002"/>
          </w:cols>
          <w:pgMar w:left="938" w:top="64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002"/>
          </w:cols>
          <w:pgMar w:left="938" w:top="645" w:right="940" w:bottom="0"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p>
      <w:pPr>
        <w:spacing w:after="0" w:line="13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020"/>
        <w:spacing w:after="0"/>
        <w:rPr>
          <w:sz w:val="20"/>
          <w:szCs w:val="20"/>
          <w:color w:val="auto"/>
        </w:rPr>
      </w:pPr>
      <w:r>
        <w:rPr>
          <w:rFonts w:ascii="Times New Roman" w:cs="Times New Roman" w:eastAsia="Times New Roman" w:hAnsi="Times New Roman"/>
          <w:sz w:val="20"/>
          <w:szCs w:val="20"/>
          <w:b w:val="1"/>
          <w:bCs w:val="1"/>
          <w:color w:val="auto"/>
        </w:rPr>
        <w:t>December 31,</w:t>
      </w:r>
    </w:p>
    <w:tbl>
      <w:tblPr>
        <w:tblLayout w:type="fixed"/>
        <w:tblInd w:w="0" w:type="dxa"/>
        <w:tblCellMar>
          <w:top w:w="0" w:type="dxa"/>
          <w:left w:w="0" w:type="dxa"/>
          <w:bottom w:w="0" w:type="dxa"/>
          <w:right w:w="0" w:type="dxa"/>
        </w:tblCellMar>
      </w:tblPr>
      <w:tr>
        <w:trPr>
          <w:trHeight w:val="260"/>
        </w:trPr>
        <w:tc>
          <w:tcPr>
            <w:tcW w:w="5200" w:type="dxa"/>
            <w:vAlign w:val="bottom"/>
            <w:tcBorders>
              <w:bottom w:val="single" w:sz="8" w:color="E6E6E6"/>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E6E6E6"/>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top w:val="single" w:sz="8" w:color="auto"/>
              <w:bottom w:val="single" w:sz="8" w:color="E6E6E6"/>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8"/>
        </w:trPr>
        <w:tc>
          <w:tcPr>
            <w:tcW w:w="52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1000" w:type="dxa"/>
            <w:vAlign w:val="bottom"/>
            <w:shd w:val="clear" w:color="auto" w:fill="E6E6E6"/>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508.4</w:t>
            </w:r>
          </w:p>
        </w:tc>
        <w:tc>
          <w:tcPr>
            <w:tcW w:w="420" w:type="dxa"/>
            <w:vAlign w:val="bottom"/>
            <w:gridSpan w:val="2"/>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452.3</w:t>
            </w:r>
          </w:p>
        </w:tc>
        <w:tc>
          <w:tcPr>
            <w:tcW w:w="420" w:type="dxa"/>
            <w:vAlign w:val="bottom"/>
            <w:gridSpan w:val="2"/>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453.6</w:t>
            </w:r>
          </w:p>
        </w:tc>
        <w:tc>
          <w:tcPr>
            <w:tcW w:w="0" w:type="dxa"/>
            <w:vAlign w:val="bottom"/>
          </w:tcPr>
          <w:p>
            <w:pPr>
              <w:spacing w:after="0"/>
              <w:rPr>
                <w:sz w:val="1"/>
                <w:szCs w:val="1"/>
                <w:color w:val="auto"/>
              </w:rPr>
            </w:pPr>
          </w:p>
        </w:tc>
      </w:tr>
      <w:tr>
        <w:trPr>
          <w:trHeight w:val="254"/>
        </w:trPr>
        <w:tc>
          <w:tcPr>
            <w:tcW w:w="5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20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Change in foreign currency translation adjustments</w:t>
            </w:r>
          </w:p>
        </w:tc>
        <w:tc>
          <w:tcPr>
            <w:tcW w:w="100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186"/>
        </w:trPr>
        <w:tc>
          <w:tcPr>
            <w:tcW w:w="5200" w:type="dxa"/>
            <w:vAlign w:val="bottom"/>
          </w:tcPr>
          <w:p>
            <w:pPr>
              <w:ind w:left="260"/>
              <w:spacing w:after="0" w:line="186" w:lineRule="exact"/>
              <w:rPr>
                <w:sz w:val="20"/>
                <w:szCs w:val="20"/>
                <w:color w:val="auto"/>
              </w:rPr>
            </w:pPr>
            <w:r>
              <w:rPr>
                <w:rFonts w:ascii="Times New Roman" w:cs="Times New Roman" w:eastAsia="Times New Roman" w:hAnsi="Times New Roman"/>
                <w:sz w:val="20"/>
                <w:szCs w:val="20"/>
                <w:color w:val="auto"/>
              </w:rPr>
              <w:t>Change in net unrealized gains and losses on short-term</w:t>
            </w:r>
          </w:p>
        </w:tc>
        <w:tc>
          <w:tcPr>
            <w:tcW w:w="10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0" w:type="dxa"/>
            <w:vAlign w:val="bottom"/>
          </w:tcPr>
          <w:p>
            <w:pPr>
              <w:spacing w:after="0"/>
              <w:rPr>
                <w:sz w:val="1"/>
                <w:szCs w:val="1"/>
                <w:color w:val="auto"/>
              </w:rPr>
            </w:pPr>
          </w:p>
        </w:tc>
      </w:tr>
      <w:tr>
        <w:trPr>
          <w:trHeight w:val="257"/>
        </w:trPr>
        <w:tc>
          <w:tcPr>
            <w:tcW w:w="5200" w:type="dxa"/>
            <w:vAlign w:val="bottom"/>
            <w:tcBorders>
              <w:bottom w:val="single" w:sz="8" w:color="E6E6E6"/>
            </w:tcBorders>
          </w:tcPr>
          <w:p>
            <w:pPr>
              <w:ind w:left="260"/>
              <w:spacing w:after="0"/>
              <w:rPr>
                <w:sz w:val="20"/>
                <w:szCs w:val="20"/>
                <w:color w:val="auto"/>
              </w:rPr>
            </w:pPr>
            <w:r>
              <w:rPr>
                <w:rFonts w:ascii="Times New Roman" w:cs="Times New Roman" w:eastAsia="Times New Roman" w:hAnsi="Times New Roman"/>
                <w:sz w:val="20"/>
                <w:szCs w:val="20"/>
                <w:color w:val="auto"/>
              </w:rPr>
              <w:t>investments</w:t>
            </w: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20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other comprehensive income</w:t>
            </w:r>
          </w:p>
        </w:tc>
        <w:tc>
          <w:tcPr>
            <w:tcW w:w="1000" w:type="dxa"/>
            <w:vAlign w:val="bottom"/>
            <w:tcBorders>
              <w:bottom w:val="single" w:sz="8" w:color="auto"/>
            </w:tcBorders>
            <w:shd w:val="clear" w:color="auto" w:fill="E6E6E6"/>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0" w:type="dxa"/>
            <w:vAlign w:val="bottom"/>
          </w:tcPr>
          <w:p>
            <w:pPr>
              <w:spacing w:after="0"/>
              <w:rPr>
                <w:sz w:val="1"/>
                <w:szCs w:val="1"/>
                <w:color w:val="auto"/>
              </w:rPr>
            </w:pPr>
          </w:p>
        </w:tc>
      </w:tr>
      <w:tr>
        <w:trPr>
          <w:trHeight w:val="220"/>
        </w:trPr>
        <w:tc>
          <w:tcPr>
            <w:tcW w:w="520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Comprehensive income</w:t>
            </w:r>
          </w:p>
        </w:tc>
        <w:tc>
          <w:tcPr>
            <w:tcW w:w="1000" w:type="dxa"/>
            <w:vAlign w:val="bottom"/>
          </w:tcPr>
          <w:p>
            <w:pPr>
              <w:jc w:val="right"/>
              <w:ind w:right="762"/>
              <w:spacing w:after="0" w:line="220"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524.2</w:t>
            </w:r>
          </w:p>
        </w:tc>
        <w:tc>
          <w:tcPr>
            <w:tcW w:w="420" w:type="dxa"/>
            <w:vAlign w:val="bottom"/>
            <w:gridSpan w:val="2"/>
          </w:tcPr>
          <w:p>
            <w:pPr>
              <w:jc w:val="right"/>
              <w:ind w:right="122"/>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463.7</w:t>
            </w:r>
          </w:p>
        </w:tc>
        <w:tc>
          <w:tcPr>
            <w:tcW w:w="420" w:type="dxa"/>
            <w:vAlign w:val="bottom"/>
            <w:gridSpan w:val="2"/>
          </w:tcPr>
          <w:p>
            <w:pPr>
              <w:jc w:val="right"/>
              <w:ind w:right="122"/>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481.0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-1212850</wp:posOffset>
            </wp:positionV>
            <wp:extent cx="3105150" cy="495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93">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-395605</wp:posOffset>
            </wp:positionV>
            <wp:extent cx="3105150" cy="495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94">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-219075</wp:posOffset>
            </wp:positionV>
            <wp:extent cx="3105150" cy="495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95">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-55245</wp:posOffset>
            </wp:positionV>
            <wp:extent cx="2074545" cy="742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96">
                      <a:extLst>
                        <a:ext uri="{28A0092B-C50C-407E-A947-70E740481C1C}"/>
                      </a:extLst>
                    </a:blip>
                    <a:srcRect/>
                    <a:stretch>
                      <a:fillRect/>
                    </a:stretch>
                  </pic:blipFill>
                  <pic:spPr bwMode="auto">
                    <a:xfrm>
                      <a:off x="0" y="0"/>
                      <a:ext cx="2074545" cy="7429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ectPr>
          <w:pgSz w:w="11880" w:h="15480" w:orient="portrait"/>
          <w:cols w:equalWidth="0" w:num="1">
            <w:col w:w="10000"/>
          </w:cols>
          <w:pgMar w:left="940" w:top="64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000"/>
          </w:cols>
          <w:pgMar w:left="940" w:top="645" w:right="940" w:bottom="0" w:gutter="0" w:footer="0" w:header="0"/>
          <w:type w:val="continuous"/>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74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512"/>
        </w:trPr>
        <w:tc>
          <w:tcPr>
            <w:tcW w:w="5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shd w:val="clear" w:color="auto" w:fill="E5E5E5"/>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shd w:val="clear" w:color="auto" w:fill="E5E5E5"/>
              </w:rPr>
              <w:t>)</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shd w:val="clear" w:color="auto" w:fill="E5E5E5"/>
              </w:rPr>
              <w:t>)</w:t>
            </w:r>
          </w:p>
        </w:tc>
        <w:tc>
          <w:tcPr>
            <w:tcW w:w="0" w:type="dxa"/>
            <w:vAlign w:val="bottom"/>
          </w:tcPr>
          <w:p>
            <w:pPr>
              <w:spacing w:after="0"/>
              <w:rPr>
                <w:sz w:val="1"/>
                <w:szCs w:val="1"/>
                <w:color w:val="auto"/>
              </w:rPr>
            </w:pPr>
          </w:p>
        </w:tc>
      </w:tr>
      <w:tr>
        <w:trPr>
          <w:trHeight w:val="172"/>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E6E6E6"/>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40" w:type="dxa"/>
            <w:vAlign w:val="bottom"/>
            <w:shd w:val="clear" w:color="auto" w:fill="E6E6E6"/>
          </w:tcPr>
          <w:p>
            <w:pPr>
              <w:spacing w:after="0" w:line="20" w:lineRule="exact"/>
              <w:rPr>
                <w:sz w:val="1"/>
                <w:szCs w:val="1"/>
                <w:color w:val="auto"/>
              </w:rPr>
            </w:pPr>
          </w:p>
        </w:tc>
        <w:tc>
          <w:tcPr>
            <w:tcW w:w="880" w:type="dxa"/>
            <w:vAlign w:val="bottom"/>
            <w:tcBorders>
              <w:top w:val="single" w:sz="8" w:color="auto"/>
              <w:right w:val="single" w:sz="8" w:color="E6E6E6"/>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E6E6E6"/>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jc w:val="center"/>
              <w:ind w:left="399"/>
              <w:spacing w:after="0"/>
              <w:rPr>
                <w:sz w:val="20"/>
                <w:szCs w:val="20"/>
                <w:color w:val="auto"/>
              </w:rPr>
            </w:pPr>
            <w:r>
              <w:rPr>
                <w:rFonts w:ascii="Times New Roman" w:cs="Times New Roman" w:eastAsia="Times New Roman" w:hAnsi="Times New Roman"/>
                <w:sz w:val="2"/>
                <w:szCs w:val="2"/>
                <w:color w:val="auto"/>
                <w:highlight w:val="white"/>
              </w:rPr>
              <w:t>5</w:t>
            </w:r>
          </w:p>
        </w:tc>
        <w:tc>
          <w:tcPr>
            <w:tcW w:w="180" w:type="dxa"/>
            <w:vAlign w:val="bottom"/>
            <w:tcBorders>
              <w:top w:val="single" w:sz="8" w:color="auto"/>
              <w:right w:val="single" w:sz="8" w:color="E6E6E6"/>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E6E6E6"/>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E6E6E6"/>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E6E6E6"/>
            </w:tcBorders>
            <w:gridSpan w:val="2"/>
            <w:shd w:val="clear" w:color="auto" w:fill="000000"/>
          </w:tcPr>
          <w:p>
            <w:pPr>
              <w:jc w:val="right"/>
              <w:ind w:right="4"/>
              <w:spacing w:after="0"/>
              <w:rPr>
                <w:sz w:val="20"/>
                <w:szCs w:val="20"/>
                <w:color w:val="auto"/>
              </w:rPr>
            </w:pPr>
            <w:r>
              <w:rPr>
                <w:rFonts w:ascii="Times New Roman" w:cs="Times New Roman" w:eastAsia="Times New Roman" w:hAnsi="Times New Roman"/>
                <w:sz w:val="2"/>
                <w:szCs w:val="2"/>
                <w:b w:val="1"/>
                <w:bCs w:val="1"/>
                <w:color w:val="auto"/>
              </w:rPr>
              <w:t>(2,772.1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E6E6E6"/>
            </w:tcBorders>
            <w:shd w:val="clear" w:color="auto" w:fill="000000"/>
          </w:tcPr>
          <w:p>
            <w:pPr>
              <w:jc w:val="right"/>
              <w:ind w:right="21"/>
              <w:spacing w:after="0"/>
              <w:rPr>
                <w:sz w:val="20"/>
                <w:szCs w:val="20"/>
                <w:color w:val="auto"/>
              </w:rPr>
            </w:pPr>
            <w:r>
              <w:rPr>
                <w:rFonts w:ascii="Times New Roman" w:cs="Times New Roman" w:eastAsia="Times New Roman" w:hAnsi="Times New Roman"/>
                <w:sz w:val="2"/>
                <w:szCs w:val="2"/>
                <w:b w:val="1"/>
                <w:bCs w:val="1"/>
                <w:color w:val="auto"/>
              </w:rPr>
              <w:t>(48.9</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E6E6E6"/>
            </w:tcBorders>
            <w:gridSpan w:val="2"/>
            <w:shd w:val="clear" w:color="auto" w:fill="000000"/>
          </w:tcPr>
          <w:p>
            <w:pPr>
              <w:jc w:val="right"/>
              <w:spacing w:after="0"/>
              <w:rPr>
                <w:sz w:val="20"/>
                <w:szCs w:val="20"/>
                <w:color w:val="auto"/>
              </w:rPr>
            </w:pPr>
            <w:r>
              <w:rPr>
                <w:rFonts w:ascii="Times New Roman" w:cs="Times New Roman" w:eastAsia="Times New Roman" w:hAnsi="Times New Roman"/>
                <w:sz w:val="2"/>
                <w:szCs w:val="2"/>
                <w:b w:val="1"/>
                <w:bCs w:val="1"/>
                <w:color w:val="auto"/>
              </w:rPr>
              <w:t>(309.4</w:t>
            </w:r>
          </w:p>
        </w:tc>
        <w:tc>
          <w:tcPr>
            <w:tcW w:w="0" w:type="dxa"/>
            <w:vAlign w:val="bottom"/>
          </w:tcPr>
          <w:p>
            <w:pPr>
              <w:spacing w:after="0" w:line="20" w:lineRule="exact"/>
              <w:rPr>
                <w:sz w:val="1"/>
                <w:szCs w:val="1"/>
                <w:color w:val="auto"/>
              </w:rPr>
            </w:pPr>
          </w:p>
        </w:tc>
      </w:tr>
      <w:tr>
        <w:trPr>
          <w:trHeight w:val="109"/>
        </w:trPr>
        <w:tc>
          <w:tcPr>
            <w:tcW w:w="5700" w:type="dxa"/>
            <w:vAlign w:val="bottom"/>
            <w:vMerge w:val="continue"/>
            <w:shd w:val="clear" w:color="auto" w:fill="E6E6E6"/>
          </w:tcPr>
          <w:p>
            <w:pPr>
              <w:spacing w:after="0"/>
              <w:rPr>
                <w:sz w:val="9"/>
                <w:szCs w:val="9"/>
                <w:color w:val="auto"/>
              </w:rPr>
            </w:pPr>
          </w:p>
        </w:tc>
        <w:tc>
          <w:tcPr>
            <w:tcW w:w="740" w:type="dxa"/>
            <w:vAlign w:val="bottom"/>
            <w:shd w:val="clear" w:color="auto" w:fill="E6E6E6"/>
          </w:tcPr>
          <w:p>
            <w:pPr>
              <w:spacing w:after="0"/>
              <w:rPr>
                <w:sz w:val="9"/>
                <w:szCs w:val="9"/>
                <w:color w:val="auto"/>
              </w:rPr>
            </w:pPr>
          </w:p>
        </w:tc>
        <w:tc>
          <w:tcPr>
            <w:tcW w:w="880" w:type="dxa"/>
            <w:vAlign w:val="bottom"/>
            <w:tcBorders>
              <w:right w:val="single" w:sz="8" w:color="E6E6E6"/>
            </w:tcBorders>
            <w:shd w:val="clear" w:color="auto" w:fill="E6E6E6"/>
          </w:tcPr>
          <w:p>
            <w:pPr>
              <w:jc w:val="right"/>
              <w:ind w:right="53"/>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E6E6E6"/>
          </w:tcPr>
          <w:p>
            <w:pPr>
              <w:spacing w:after="0"/>
              <w:rPr>
                <w:sz w:val="9"/>
                <w:szCs w:val="9"/>
                <w:color w:val="auto"/>
              </w:rPr>
            </w:pPr>
          </w:p>
        </w:tc>
        <w:tc>
          <w:tcPr>
            <w:tcW w:w="480" w:type="dxa"/>
            <w:vAlign w:val="bottom"/>
            <w:shd w:val="clear" w:color="auto" w:fill="E6E6E6"/>
          </w:tcPr>
          <w:p>
            <w:pPr>
              <w:jc w:val="center"/>
              <w:ind w:right="352"/>
              <w:spacing w:after="0" w:line="10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20" w:type="dxa"/>
            <w:vAlign w:val="bottom"/>
            <w:tcBorders>
              <w:right w:val="single" w:sz="8" w:color="E6E6E6"/>
            </w:tcBorders>
            <w:shd w:val="clear" w:color="auto" w:fill="E6E6E6"/>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shd w:val="clear" w:color="auto" w:fill="E6E6E6"/>
          </w:tcPr>
          <w:p>
            <w:pPr>
              <w:jc w:val="center"/>
              <w:ind w:left="379"/>
              <w:spacing w:after="0" w:line="109" w:lineRule="exact"/>
              <w:rPr>
                <w:sz w:val="20"/>
                <w:szCs w:val="20"/>
                <w:color w:val="auto"/>
              </w:rPr>
            </w:pPr>
            <w:r>
              <w:rPr>
                <w:rFonts w:ascii="Times New Roman" w:cs="Times New Roman" w:eastAsia="Times New Roman" w:hAnsi="Times New Roman"/>
                <w:sz w:val="12"/>
                <w:szCs w:val="12"/>
                <w:b w:val="1"/>
                <w:bCs w:val="1"/>
                <w:color w:val="auto"/>
              </w:rPr>
              <w:t>349.</w:t>
            </w:r>
          </w:p>
        </w:tc>
        <w:tc>
          <w:tcPr>
            <w:tcW w:w="180" w:type="dxa"/>
            <w:vAlign w:val="bottom"/>
            <w:tcBorders>
              <w:right w:val="single" w:sz="8" w:color="E6E6E6"/>
            </w:tcBorders>
            <w:shd w:val="clear" w:color="auto" w:fill="E6E6E6"/>
          </w:tcPr>
          <w:p>
            <w:pPr>
              <w:jc w:val="right"/>
              <w:ind w:right="63"/>
              <w:spacing w:after="0" w:line="110" w:lineRule="exact"/>
              <w:rPr>
                <w:sz w:val="20"/>
                <w:szCs w:val="20"/>
                <w:color w:val="auto"/>
              </w:rPr>
            </w:pPr>
            <w:r>
              <w:rPr>
                <w:rFonts w:ascii="Times New Roman" w:cs="Times New Roman" w:eastAsia="Times New Roman" w:hAnsi="Times New Roman"/>
                <w:sz w:val="11"/>
                <w:szCs w:val="11"/>
                <w:b w:val="1"/>
                <w:bCs w:val="1"/>
                <w:color w:val="auto"/>
                <w:w w:val="71"/>
              </w:rPr>
              <w:t>4</w:t>
            </w:r>
          </w:p>
        </w:tc>
        <w:tc>
          <w:tcPr>
            <w:tcW w:w="500" w:type="dxa"/>
            <w:vAlign w:val="bottom"/>
            <w:shd w:val="clear" w:color="auto" w:fill="E6E6E6"/>
          </w:tcPr>
          <w:p>
            <w:pPr>
              <w:jc w:val="right"/>
              <w:ind w:right="332"/>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right w:val="single" w:sz="8" w:color="E6E6E6"/>
            </w:tcBorders>
            <w:shd w:val="clear" w:color="auto" w:fill="E6E6E6"/>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E6E6E6"/>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right w:val="single" w:sz="8" w:color="E6E6E6"/>
            </w:tcBorders>
            <w:shd w:val="clear" w:color="auto" w:fill="E6E6E6"/>
          </w:tcPr>
          <w:p>
            <w:pPr>
              <w:jc w:val="right"/>
              <w:ind w:right="34"/>
              <w:spacing w:after="0" w:line="109" w:lineRule="exact"/>
              <w:rPr>
                <w:sz w:val="20"/>
                <w:szCs w:val="20"/>
                <w:color w:val="auto"/>
              </w:rPr>
            </w:pPr>
            <w:r>
              <w:rPr>
                <w:rFonts w:ascii="Times New Roman" w:cs="Times New Roman" w:eastAsia="Times New Roman" w:hAnsi="Times New Roman"/>
                <w:sz w:val="12"/>
                <w:szCs w:val="12"/>
                <w:b w:val="1"/>
                <w:bCs w:val="1"/>
                <w:color w:val="auto"/>
              </w:rPr>
              <w:t>2,511.6</w:t>
            </w:r>
          </w:p>
        </w:tc>
        <w:tc>
          <w:tcPr>
            <w:tcW w:w="200" w:type="dxa"/>
            <w:vAlign w:val="bottom"/>
            <w:shd w:val="clear" w:color="auto" w:fill="E6E6E6"/>
          </w:tcPr>
          <w:p>
            <w:pPr>
              <w:jc w:val="right"/>
              <w:ind w:right="12"/>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right w:val="single" w:sz="8" w:color="E6E6E6"/>
            </w:tcBorders>
            <w:gridSpan w:val="2"/>
            <w:shd w:val="clear" w:color="auto" w:fill="E6E6E6"/>
          </w:tcPr>
          <w:p>
            <w:pPr>
              <w:spacing w:after="0"/>
              <w:rPr>
                <w:sz w:val="9"/>
                <w:szCs w:val="9"/>
                <w:color w:val="auto"/>
              </w:rPr>
            </w:pPr>
          </w:p>
        </w:tc>
        <w:tc>
          <w:tcPr>
            <w:tcW w:w="120" w:type="dxa"/>
            <w:vAlign w:val="bottom"/>
            <w:shd w:val="clear" w:color="auto" w:fill="E6E6E6"/>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shd w:val="clear" w:color="auto" w:fill="E6E6E6"/>
          </w:tcPr>
          <w:p>
            <w:pPr>
              <w:spacing w:after="0"/>
              <w:rPr>
                <w:sz w:val="9"/>
                <w:szCs w:val="9"/>
                <w:color w:val="auto"/>
              </w:rPr>
            </w:pPr>
          </w:p>
        </w:tc>
        <w:tc>
          <w:tcPr>
            <w:tcW w:w="420" w:type="dxa"/>
            <w:vAlign w:val="bottom"/>
            <w:tcBorders>
              <w:right w:val="single" w:sz="8" w:color="E6E6E6"/>
            </w:tcBorders>
            <w:vMerge w:val="restart"/>
            <w:shd w:val="clear" w:color="auto" w:fill="E6E6E6"/>
          </w:tcPr>
          <w:p>
            <w:pPr>
              <w:jc w:val="right"/>
              <w:ind w:right="21"/>
              <w:spacing w:after="0" w:line="137" w:lineRule="exact"/>
              <w:rPr>
                <w:sz w:val="20"/>
                <w:szCs w:val="20"/>
                <w:color w:val="auto"/>
              </w:rPr>
            </w:pPr>
            <w:r>
              <w:rPr>
                <w:rFonts w:ascii="Times New Roman" w:cs="Times New Roman" w:eastAsia="Times New Roman" w:hAnsi="Times New Roman"/>
                <w:sz w:val="14"/>
                <w:szCs w:val="14"/>
                <w:b w:val="1"/>
                <w:bCs w:val="1"/>
                <w:color w:val="auto"/>
                <w:shd w:val="clear" w:color="auto" w:fill="E5E5E5"/>
              </w:rPr>
              <w:t>)</w:t>
            </w:r>
          </w:p>
        </w:tc>
        <w:tc>
          <w:tcPr>
            <w:tcW w:w="200" w:type="dxa"/>
            <w:vAlign w:val="bottom"/>
            <w:shd w:val="clear" w:color="auto" w:fill="E6E6E6"/>
          </w:tcPr>
          <w:p>
            <w:pPr>
              <w:jc w:val="right"/>
              <w:ind w:right="32"/>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right w:val="single" w:sz="8" w:color="E6E6E6"/>
            </w:tcBorders>
            <w:gridSpan w:val="2"/>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5700" w:type="dxa"/>
            <w:vAlign w:val="bottom"/>
            <w:tcBorders>
              <w:bottom w:val="single" w:sz="8" w:color="E6E6E6"/>
            </w:tcBorders>
            <w:shd w:val="clear" w:color="auto" w:fill="E6E6E6"/>
          </w:tcPr>
          <w:p>
            <w:pPr>
              <w:spacing w:after="0"/>
              <w:rPr>
                <w:sz w:val="4"/>
                <w:szCs w:val="4"/>
                <w:color w:val="auto"/>
              </w:rPr>
            </w:pPr>
          </w:p>
        </w:tc>
        <w:tc>
          <w:tcPr>
            <w:tcW w:w="740" w:type="dxa"/>
            <w:vAlign w:val="bottom"/>
            <w:tcBorders>
              <w:bottom w:val="single" w:sz="8" w:color="E6E6E6"/>
            </w:tcBorders>
            <w:shd w:val="clear" w:color="auto" w:fill="E6E6E6"/>
          </w:tcPr>
          <w:p>
            <w:pPr>
              <w:spacing w:after="0"/>
              <w:rPr>
                <w:sz w:val="4"/>
                <w:szCs w:val="4"/>
                <w:color w:val="auto"/>
              </w:rPr>
            </w:pPr>
          </w:p>
        </w:tc>
        <w:tc>
          <w:tcPr>
            <w:tcW w:w="880" w:type="dxa"/>
            <w:vAlign w:val="bottom"/>
            <w:tcBorders>
              <w:bottom w:val="single" w:sz="8" w:color="auto"/>
              <w:right w:val="single" w:sz="8" w:color="E6E6E6"/>
            </w:tcBorders>
            <w:shd w:val="clear" w:color="auto" w:fill="E6E6E6"/>
          </w:tcPr>
          <w:p>
            <w:pPr>
              <w:spacing w:after="0"/>
              <w:rPr>
                <w:sz w:val="4"/>
                <w:szCs w:val="4"/>
                <w:color w:val="auto"/>
              </w:rPr>
            </w:pPr>
          </w:p>
        </w:tc>
        <w:tc>
          <w:tcPr>
            <w:tcW w:w="40" w:type="dxa"/>
            <w:vAlign w:val="bottom"/>
            <w:tcBorders>
              <w:bottom w:val="single" w:sz="8" w:color="auto"/>
            </w:tcBorders>
            <w:shd w:val="clear" w:color="auto" w:fill="E6E6E6"/>
          </w:tcPr>
          <w:p>
            <w:pPr>
              <w:spacing w:after="0"/>
              <w:rPr>
                <w:sz w:val="4"/>
                <w:szCs w:val="4"/>
                <w:color w:val="auto"/>
              </w:rPr>
            </w:pPr>
          </w:p>
        </w:tc>
        <w:tc>
          <w:tcPr>
            <w:tcW w:w="480" w:type="dxa"/>
            <w:vAlign w:val="bottom"/>
            <w:tcBorders>
              <w:bottom w:val="single" w:sz="8" w:color="auto"/>
            </w:tcBorders>
            <w:shd w:val="clear" w:color="auto" w:fill="E6E6E6"/>
          </w:tcPr>
          <w:p>
            <w:pPr>
              <w:spacing w:after="0"/>
              <w:rPr>
                <w:sz w:val="4"/>
                <w:szCs w:val="4"/>
                <w:color w:val="auto"/>
              </w:rPr>
            </w:pPr>
          </w:p>
        </w:tc>
        <w:tc>
          <w:tcPr>
            <w:tcW w:w="320" w:type="dxa"/>
            <w:vAlign w:val="bottom"/>
            <w:tcBorders>
              <w:bottom w:val="single" w:sz="8" w:color="auto"/>
              <w:right w:val="single" w:sz="8" w:color="E6E6E6"/>
            </w:tcBorders>
            <w:shd w:val="clear" w:color="auto" w:fill="E6E6E6"/>
          </w:tcPr>
          <w:p>
            <w:pPr>
              <w:spacing w:after="0"/>
              <w:rPr>
                <w:sz w:val="4"/>
                <w:szCs w:val="4"/>
                <w:color w:val="auto"/>
              </w:rPr>
            </w:pPr>
          </w:p>
        </w:tc>
        <w:tc>
          <w:tcPr>
            <w:tcW w:w="680" w:type="dxa"/>
            <w:vAlign w:val="bottom"/>
            <w:tcBorders>
              <w:bottom w:val="single" w:sz="8" w:color="auto"/>
            </w:tcBorders>
            <w:shd w:val="clear" w:color="auto" w:fill="E6E6E6"/>
          </w:tcPr>
          <w:p>
            <w:pPr>
              <w:spacing w:after="0"/>
              <w:rPr>
                <w:sz w:val="4"/>
                <w:szCs w:val="4"/>
                <w:color w:val="auto"/>
              </w:rPr>
            </w:pPr>
          </w:p>
        </w:tc>
        <w:tc>
          <w:tcPr>
            <w:tcW w:w="180" w:type="dxa"/>
            <w:vAlign w:val="bottom"/>
            <w:tcBorders>
              <w:bottom w:val="single" w:sz="8" w:color="auto"/>
              <w:right w:val="single" w:sz="8" w:color="E6E6E6"/>
            </w:tcBorders>
            <w:shd w:val="clear" w:color="auto" w:fill="E6E6E6"/>
          </w:tcPr>
          <w:p>
            <w:pPr>
              <w:spacing w:after="0"/>
              <w:rPr>
                <w:sz w:val="4"/>
                <w:szCs w:val="4"/>
                <w:color w:val="auto"/>
              </w:rPr>
            </w:pPr>
          </w:p>
        </w:tc>
        <w:tc>
          <w:tcPr>
            <w:tcW w:w="500" w:type="dxa"/>
            <w:vAlign w:val="bottom"/>
            <w:tcBorders>
              <w:bottom w:val="single" w:sz="8" w:color="auto"/>
            </w:tcBorders>
            <w:shd w:val="clear" w:color="auto" w:fill="E6E6E6"/>
          </w:tcPr>
          <w:p>
            <w:pPr>
              <w:spacing w:after="0"/>
              <w:rPr>
                <w:sz w:val="4"/>
                <w:szCs w:val="4"/>
                <w:color w:val="auto"/>
              </w:rPr>
            </w:pPr>
          </w:p>
        </w:tc>
        <w:tc>
          <w:tcPr>
            <w:tcW w:w="320" w:type="dxa"/>
            <w:vAlign w:val="bottom"/>
            <w:tcBorders>
              <w:bottom w:val="single" w:sz="8" w:color="auto"/>
              <w:right w:val="single" w:sz="8" w:color="E6E6E6"/>
            </w:tcBorders>
            <w:shd w:val="clear" w:color="auto" w:fill="E6E6E6"/>
          </w:tcPr>
          <w:p>
            <w:pPr>
              <w:spacing w:after="0"/>
              <w:rPr>
                <w:sz w:val="4"/>
                <w:szCs w:val="4"/>
                <w:color w:val="auto"/>
              </w:rPr>
            </w:pPr>
          </w:p>
        </w:tc>
        <w:tc>
          <w:tcPr>
            <w:tcW w:w="160" w:type="dxa"/>
            <w:vAlign w:val="bottom"/>
            <w:tcBorders>
              <w:bottom w:val="single" w:sz="8" w:color="auto"/>
            </w:tcBorders>
            <w:shd w:val="clear" w:color="auto" w:fill="E6E6E6"/>
          </w:tcPr>
          <w:p>
            <w:pPr>
              <w:spacing w:after="0"/>
              <w:rPr>
                <w:sz w:val="4"/>
                <w:szCs w:val="4"/>
                <w:color w:val="auto"/>
              </w:rPr>
            </w:pPr>
          </w:p>
        </w:tc>
        <w:tc>
          <w:tcPr>
            <w:tcW w:w="760" w:type="dxa"/>
            <w:vAlign w:val="bottom"/>
            <w:tcBorders>
              <w:bottom w:val="single" w:sz="8" w:color="auto"/>
              <w:right w:val="single" w:sz="8" w:color="E6E6E6"/>
            </w:tcBorders>
            <w:shd w:val="clear" w:color="auto" w:fill="E6E6E6"/>
          </w:tcPr>
          <w:p>
            <w:pPr>
              <w:spacing w:after="0"/>
              <w:rPr>
                <w:sz w:val="4"/>
                <w:szCs w:val="4"/>
                <w:color w:val="auto"/>
              </w:rPr>
            </w:pPr>
          </w:p>
        </w:tc>
        <w:tc>
          <w:tcPr>
            <w:tcW w:w="200" w:type="dxa"/>
            <w:vAlign w:val="bottom"/>
            <w:tcBorders>
              <w:bottom w:val="single" w:sz="8" w:color="auto"/>
            </w:tcBorders>
            <w:shd w:val="clear" w:color="auto" w:fill="E6E6E6"/>
          </w:tcPr>
          <w:p>
            <w:pPr>
              <w:spacing w:after="0"/>
              <w:rPr>
                <w:sz w:val="4"/>
                <w:szCs w:val="4"/>
                <w:color w:val="auto"/>
              </w:rPr>
            </w:pPr>
          </w:p>
        </w:tc>
        <w:tc>
          <w:tcPr>
            <w:tcW w:w="560" w:type="dxa"/>
            <w:vAlign w:val="bottom"/>
            <w:tcBorders>
              <w:bottom w:val="single" w:sz="8" w:color="auto"/>
            </w:tcBorders>
            <w:shd w:val="clear" w:color="auto" w:fill="E6E6E6"/>
          </w:tcPr>
          <w:p>
            <w:pPr>
              <w:spacing w:after="0"/>
              <w:rPr>
                <w:sz w:val="4"/>
                <w:szCs w:val="4"/>
                <w:color w:val="auto"/>
              </w:rPr>
            </w:pPr>
          </w:p>
        </w:tc>
        <w:tc>
          <w:tcPr>
            <w:tcW w:w="300" w:type="dxa"/>
            <w:vAlign w:val="bottom"/>
            <w:tcBorders>
              <w:bottom w:val="single" w:sz="8" w:color="auto"/>
              <w:right w:val="single" w:sz="8" w:color="E6E6E6"/>
            </w:tcBorders>
            <w:shd w:val="clear" w:color="auto" w:fill="E6E6E6"/>
          </w:tcPr>
          <w:p>
            <w:pPr>
              <w:jc w:val="right"/>
              <w:ind w:right="4"/>
              <w:spacing w:after="0" w:line="8" w:lineRule="exact"/>
              <w:rPr>
                <w:sz w:val="20"/>
                <w:szCs w:val="20"/>
                <w:color w:val="auto"/>
              </w:rPr>
            </w:pPr>
            <w:r>
              <w:rPr>
                <w:rFonts w:ascii="Times New Roman" w:cs="Times New Roman" w:eastAsia="Times New Roman" w:hAnsi="Times New Roman"/>
                <w:sz w:val="1"/>
                <w:szCs w:val="1"/>
                <w:b w:val="1"/>
                <w:bCs w:val="1"/>
                <w:color w:val="auto"/>
                <w:shd w:val="clear" w:color="auto" w:fill="E5E5E5"/>
              </w:rPr>
              <w:t>)</w:t>
            </w:r>
          </w:p>
        </w:tc>
        <w:tc>
          <w:tcPr>
            <w:tcW w:w="120" w:type="dxa"/>
            <w:vAlign w:val="bottom"/>
            <w:tcBorders>
              <w:bottom w:val="single" w:sz="8" w:color="auto"/>
            </w:tcBorders>
            <w:shd w:val="clear" w:color="auto" w:fill="E6E6E6"/>
          </w:tcPr>
          <w:p>
            <w:pPr>
              <w:spacing w:after="0"/>
              <w:rPr>
                <w:sz w:val="4"/>
                <w:szCs w:val="4"/>
                <w:color w:val="auto"/>
              </w:rPr>
            </w:pPr>
          </w:p>
        </w:tc>
        <w:tc>
          <w:tcPr>
            <w:tcW w:w="620" w:type="dxa"/>
            <w:vAlign w:val="bottom"/>
            <w:tcBorders>
              <w:bottom w:val="single" w:sz="8" w:color="auto"/>
            </w:tcBorders>
            <w:shd w:val="clear" w:color="auto" w:fill="E6E6E6"/>
          </w:tcPr>
          <w:p>
            <w:pPr>
              <w:spacing w:after="0"/>
              <w:rPr>
                <w:sz w:val="4"/>
                <w:szCs w:val="4"/>
                <w:color w:val="auto"/>
              </w:rPr>
            </w:pPr>
          </w:p>
        </w:tc>
        <w:tc>
          <w:tcPr>
            <w:tcW w:w="420" w:type="dxa"/>
            <w:vAlign w:val="bottom"/>
            <w:tcBorders>
              <w:bottom w:val="single" w:sz="8" w:color="auto"/>
              <w:right w:val="single" w:sz="8" w:color="E6E6E6"/>
            </w:tcBorders>
            <w:vMerge w:val="continue"/>
            <w:shd w:val="clear" w:color="auto" w:fill="E6E6E6"/>
          </w:tcPr>
          <w:p>
            <w:pPr>
              <w:spacing w:after="0"/>
              <w:rPr>
                <w:sz w:val="4"/>
                <w:szCs w:val="4"/>
                <w:color w:val="auto"/>
              </w:rPr>
            </w:pPr>
          </w:p>
        </w:tc>
        <w:tc>
          <w:tcPr>
            <w:tcW w:w="200" w:type="dxa"/>
            <w:vAlign w:val="bottom"/>
            <w:tcBorders>
              <w:bottom w:val="single" w:sz="8" w:color="auto"/>
            </w:tcBorders>
            <w:shd w:val="clear" w:color="auto" w:fill="E6E6E6"/>
          </w:tcPr>
          <w:p>
            <w:pPr>
              <w:spacing w:after="0"/>
              <w:rPr>
                <w:sz w:val="4"/>
                <w:szCs w:val="4"/>
                <w:color w:val="auto"/>
              </w:rPr>
            </w:pPr>
          </w:p>
        </w:tc>
        <w:tc>
          <w:tcPr>
            <w:tcW w:w="500" w:type="dxa"/>
            <w:vAlign w:val="bottom"/>
            <w:tcBorders>
              <w:bottom w:val="single" w:sz="8" w:color="auto"/>
            </w:tcBorders>
            <w:shd w:val="clear" w:color="auto" w:fill="E6E6E6"/>
          </w:tcPr>
          <w:p>
            <w:pPr>
              <w:spacing w:after="0"/>
              <w:rPr>
                <w:sz w:val="4"/>
                <w:szCs w:val="4"/>
                <w:color w:val="auto"/>
              </w:rPr>
            </w:pPr>
          </w:p>
        </w:tc>
        <w:tc>
          <w:tcPr>
            <w:tcW w:w="300" w:type="dxa"/>
            <w:vAlign w:val="bottom"/>
            <w:tcBorders>
              <w:bottom w:val="single" w:sz="8" w:color="auto"/>
              <w:right w:val="single" w:sz="8" w:color="E6E6E6"/>
            </w:tcBorders>
            <w:shd w:val="clear" w:color="auto" w:fill="E6E6E6"/>
          </w:tcPr>
          <w:p>
            <w:pPr>
              <w:jc w:val="right"/>
              <w:spacing w:after="0" w:line="8" w:lineRule="exact"/>
              <w:rPr>
                <w:sz w:val="20"/>
                <w:szCs w:val="20"/>
                <w:color w:val="auto"/>
              </w:rPr>
            </w:pPr>
            <w:r>
              <w:rPr>
                <w:rFonts w:ascii="Times New Roman" w:cs="Times New Roman" w:eastAsia="Times New Roman" w:hAnsi="Times New Roman"/>
                <w:sz w:val="1"/>
                <w:szCs w:val="1"/>
                <w:b w:val="1"/>
                <w:bCs w:val="1"/>
                <w:color w:val="auto"/>
                <w:shd w:val="clear" w:color="auto" w:fill="E5E5E5"/>
              </w:rPr>
              <w:t>)</w:t>
            </w: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880" w:type="dxa"/>
            <w:vAlign w:val="bottom"/>
            <w:tcBorders>
              <w:right w:val="single" w:sz="8" w:color="E6E6E6"/>
            </w:tcBorders>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80" w:type="dxa"/>
            <w:vAlign w:val="bottom"/>
            <w:tcBorders>
              <w:right w:val="single" w:sz="8" w:color="E6E6E6"/>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42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880" w:type="dxa"/>
            <w:vAlign w:val="bottom"/>
            <w:tcBorders>
              <w:right w:val="single" w:sz="8" w:color="E6E6E6"/>
            </w:tcBorders>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80" w:type="dxa"/>
            <w:vAlign w:val="bottom"/>
            <w:tcBorders>
              <w:right w:val="single" w:sz="8" w:color="E6E6E6"/>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42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880" w:type="dxa"/>
            <w:vAlign w:val="bottom"/>
            <w:tcBorders>
              <w:right w:val="single" w:sz="8" w:color="E6E6E6"/>
            </w:tcBorders>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80" w:type="dxa"/>
            <w:vAlign w:val="bottom"/>
            <w:tcBorders>
              <w:right w:val="single" w:sz="8" w:color="E6E6E6"/>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42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
        </w:trPr>
        <w:tc>
          <w:tcPr>
            <w:tcW w:w="5700" w:type="dxa"/>
            <w:vAlign w:val="bottom"/>
            <w:vMerge w:val="restart"/>
            <w:shd w:val="clear" w:color="auto" w:fill="E6E6E6"/>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740" w:type="dxa"/>
            <w:vAlign w:val="bottom"/>
            <w:shd w:val="clear" w:color="auto" w:fill="E6E6E6"/>
          </w:tcPr>
          <w:p>
            <w:pPr>
              <w:spacing w:after="0" w:line="20" w:lineRule="exact"/>
              <w:rPr>
                <w:sz w:val="1"/>
                <w:szCs w:val="1"/>
                <w:color w:val="auto"/>
              </w:rPr>
            </w:pPr>
          </w:p>
        </w:tc>
        <w:tc>
          <w:tcPr>
            <w:tcW w:w="880" w:type="dxa"/>
            <w:vAlign w:val="bottom"/>
            <w:tcBorders>
              <w:right w:val="single" w:sz="8" w:color="E6E6E6"/>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E6E6E6"/>
            </w:tcBorders>
            <w:shd w:val="clear" w:color="auto" w:fill="000000"/>
          </w:tcPr>
          <w:p>
            <w:pPr>
              <w:spacing w:after="0" w:line="20" w:lineRule="exact"/>
              <w:rPr>
                <w:sz w:val="1"/>
                <w:szCs w:val="1"/>
                <w:color w:val="auto"/>
              </w:rPr>
            </w:pPr>
          </w:p>
        </w:tc>
        <w:tc>
          <w:tcPr>
            <w:tcW w:w="680" w:type="dxa"/>
            <w:vAlign w:val="bottom"/>
            <w:shd w:val="clear" w:color="auto" w:fill="000000"/>
          </w:tcPr>
          <w:p>
            <w:pPr>
              <w:jc w:val="center"/>
              <w:ind w:left="399"/>
              <w:spacing w:after="0" w:line="5" w:lineRule="exact"/>
              <w:rPr>
                <w:sz w:val="20"/>
                <w:szCs w:val="20"/>
                <w:color w:val="auto"/>
              </w:rPr>
            </w:pPr>
            <w:r>
              <w:rPr>
                <w:rFonts w:ascii="Times New Roman" w:cs="Times New Roman" w:eastAsia="Times New Roman" w:hAnsi="Times New Roman"/>
                <w:sz w:val="1"/>
                <w:szCs w:val="1"/>
                <w:color w:val="auto"/>
                <w:highlight w:val="white"/>
              </w:rPr>
              <w:t>4</w:t>
            </w:r>
          </w:p>
        </w:tc>
        <w:tc>
          <w:tcPr>
            <w:tcW w:w="180" w:type="dxa"/>
            <w:vAlign w:val="bottom"/>
            <w:tcBorders>
              <w:right w:val="single" w:sz="8" w:color="E6E6E6"/>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E6E6E6"/>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E6E6E6"/>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E6E6E6"/>
            </w:tcBorders>
            <w:gridSpan w:val="2"/>
            <w:shd w:val="clear" w:color="auto" w:fill="000000"/>
          </w:tcPr>
          <w:p>
            <w:pPr>
              <w:jc w:val="right"/>
              <w:ind w:right="4"/>
              <w:spacing w:after="0" w:line="5" w:lineRule="exact"/>
              <w:rPr>
                <w:sz w:val="20"/>
                <w:szCs w:val="20"/>
                <w:color w:val="auto"/>
              </w:rPr>
            </w:pPr>
            <w:r>
              <w:rPr>
                <w:rFonts w:ascii="Times New Roman" w:cs="Times New Roman" w:eastAsia="Times New Roman" w:hAnsi="Times New Roman"/>
                <w:sz w:val="1"/>
                <w:szCs w:val="1"/>
                <w:b w:val="1"/>
                <w:bCs w:val="1"/>
                <w:color w:val="auto"/>
              </w:rPr>
              <w:t>(2,742.3</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Borders>
              <w:right w:val="single" w:sz="8" w:color="E6E6E6"/>
            </w:tcBorders>
            <w:shd w:val="clear" w:color="auto" w:fill="000000"/>
          </w:tcPr>
          <w:p>
            <w:pPr>
              <w:jc w:val="right"/>
              <w:ind w:right="21"/>
              <w:spacing w:after="0" w:line="5" w:lineRule="exact"/>
              <w:rPr>
                <w:sz w:val="20"/>
                <w:szCs w:val="20"/>
                <w:color w:val="auto"/>
              </w:rPr>
            </w:pPr>
            <w:r>
              <w:rPr>
                <w:rFonts w:ascii="Times New Roman" w:cs="Times New Roman" w:eastAsia="Times New Roman" w:hAnsi="Times New Roman"/>
                <w:sz w:val="1"/>
                <w:szCs w:val="1"/>
                <w:b w:val="1"/>
                <w:bCs w:val="1"/>
                <w:color w:val="auto"/>
              </w:rPr>
              <w:t>(21.5</w:t>
            </w: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E6E6E6"/>
            </w:tcBorders>
            <w:gridSpan w:val="2"/>
            <w:shd w:val="clear" w:color="auto" w:fill="000000"/>
          </w:tcPr>
          <w:p>
            <w:pPr>
              <w:jc w:val="right"/>
              <w:spacing w:after="0" w:line="5" w:lineRule="exact"/>
              <w:rPr>
                <w:sz w:val="20"/>
                <w:szCs w:val="20"/>
                <w:color w:val="auto"/>
              </w:rPr>
            </w:pPr>
            <w:r>
              <w:rPr>
                <w:rFonts w:ascii="Times New Roman" w:cs="Times New Roman" w:eastAsia="Times New Roman" w:hAnsi="Times New Roman"/>
                <w:sz w:val="1"/>
                <w:szCs w:val="1"/>
                <w:b w:val="1"/>
                <w:bCs w:val="1"/>
                <w:color w:val="auto"/>
              </w:rPr>
              <w:t>(165.8</w:t>
            </w:r>
          </w:p>
        </w:tc>
        <w:tc>
          <w:tcPr>
            <w:tcW w:w="0" w:type="dxa"/>
            <w:vAlign w:val="bottom"/>
          </w:tcPr>
          <w:p>
            <w:pPr>
              <w:spacing w:after="0" w:line="20" w:lineRule="exact"/>
              <w:rPr>
                <w:sz w:val="1"/>
                <w:szCs w:val="1"/>
                <w:color w:val="auto"/>
              </w:rPr>
            </w:pPr>
          </w:p>
        </w:tc>
      </w:tr>
      <w:tr>
        <w:trPr>
          <w:trHeight w:val="134"/>
        </w:trPr>
        <w:tc>
          <w:tcPr>
            <w:tcW w:w="5700" w:type="dxa"/>
            <w:vAlign w:val="bottom"/>
            <w:vMerge w:val="continue"/>
            <w:shd w:val="clear" w:color="auto" w:fill="E6E6E6"/>
          </w:tcPr>
          <w:p>
            <w:pPr>
              <w:spacing w:after="0"/>
              <w:rPr>
                <w:sz w:val="11"/>
                <w:szCs w:val="11"/>
                <w:color w:val="auto"/>
              </w:rPr>
            </w:pPr>
          </w:p>
        </w:tc>
        <w:tc>
          <w:tcPr>
            <w:tcW w:w="740" w:type="dxa"/>
            <w:vAlign w:val="bottom"/>
            <w:shd w:val="clear" w:color="auto" w:fill="E6E6E6"/>
          </w:tcPr>
          <w:p>
            <w:pPr>
              <w:spacing w:after="0"/>
              <w:rPr>
                <w:sz w:val="11"/>
                <w:szCs w:val="11"/>
                <w:color w:val="auto"/>
              </w:rPr>
            </w:pPr>
          </w:p>
        </w:tc>
        <w:tc>
          <w:tcPr>
            <w:tcW w:w="880" w:type="dxa"/>
            <w:vAlign w:val="bottom"/>
            <w:tcBorders>
              <w:right w:val="single" w:sz="8" w:color="E6E6E6"/>
            </w:tcBorders>
            <w:shd w:val="clear" w:color="auto" w:fill="E6E6E6"/>
          </w:tcPr>
          <w:p>
            <w:pPr>
              <w:jc w:val="right"/>
              <w:ind w:right="53"/>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E6E6E6"/>
          </w:tcPr>
          <w:p>
            <w:pPr>
              <w:spacing w:after="0"/>
              <w:rPr>
                <w:sz w:val="11"/>
                <w:szCs w:val="11"/>
                <w:color w:val="auto"/>
              </w:rPr>
            </w:pPr>
          </w:p>
        </w:tc>
        <w:tc>
          <w:tcPr>
            <w:tcW w:w="480" w:type="dxa"/>
            <w:vAlign w:val="bottom"/>
            <w:shd w:val="clear" w:color="auto" w:fill="E6E6E6"/>
          </w:tcPr>
          <w:p>
            <w:pPr>
              <w:jc w:val="center"/>
              <w:ind w:right="352"/>
              <w:spacing w:after="0" w:line="134"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right w:val="single" w:sz="8" w:color="E6E6E6"/>
            </w:tcBorders>
            <w:shd w:val="clear" w:color="auto" w:fill="E6E6E6"/>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E6E6E6"/>
          </w:tcPr>
          <w:p>
            <w:pPr>
              <w:jc w:val="center"/>
              <w:ind w:left="379"/>
              <w:spacing w:after="0" w:line="134" w:lineRule="exact"/>
              <w:rPr>
                <w:sz w:val="20"/>
                <w:szCs w:val="20"/>
                <w:color w:val="auto"/>
              </w:rPr>
            </w:pPr>
            <w:r>
              <w:rPr>
                <w:rFonts w:ascii="Times New Roman" w:cs="Times New Roman" w:eastAsia="Times New Roman" w:hAnsi="Times New Roman"/>
                <w:sz w:val="14"/>
                <w:szCs w:val="14"/>
                <w:b w:val="1"/>
                <w:bCs w:val="1"/>
                <w:color w:val="auto"/>
                <w:w w:val="97"/>
              </w:rPr>
              <w:t>336.</w:t>
            </w:r>
          </w:p>
        </w:tc>
        <w:tc>
          <w:tcPr>
            <w:tcW w:w="180" w:type="dxa"/>
            <w:vAlign w:val="bottom"/>
            <w:tcBorders>
              <w:right w:val="single" w:sz="8" w:color="E6E6E6"/>
            </w:tcBorders>
            <w:shd w:val="clear" w:color="auto" w:fill="E6E6E6"/>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7</w:t>
            </w:r>
          </w:p>
        </w:tc>
        <w:tc>
          <w:tcPr>
            <w:tcW w:w="500" w:type="dxa"/>
            <w:vAlign w:val="bottom"/>
            <w:shd w:val="clear" w:color="auto" w:fill="E6E6E6"/>
          </w:tcPr>
          <w:p>
            <w:pPr>
              <w:jc w:val="right"/>
              <w:ind w:right="332"/>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E6E6E6"/>
            </w:tcBorders>
            <w:shd w:val="clear" w:color="auto" w:fill="E6E6E6"/>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E6E6E6"/>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right w:val="single" w:sz="8" w:color="E6E6E6"/>
            </w:tcBorders>
            <w:shd w:val="clear" w:color="auto" w:fill="E6E6E6"/>
          </w:tcPr>
          <w:p>
            <w:pPr>
              <w:jc w:val="right"/>
              <w:ind w:right="34"/>
              <w:spacing w:after="0" w:line="134" w:lineRule="exact"/>
              <w:rPr>
                <w:sz w:val="20"/>
                <w:szCs w:val="20"/>
                <w:color w:val="auto"/>
              </w:rPr>
            </w:pPr>
            <w:r>
              <w:rPr>
                <w:rFonts w:ascii="Times New Roman" w:cs="Times New Roman" w:eastAsia="Times New Roman" w:hAnsi="Times New Roman"/>
                <w:sz w:val="14"/>
                <w:szCs w:val="14"/>
                <w:b w:val="1"/>
                <w:bCs w:val="1"/>
                <w:color w:val="auto"/>
              </w:rPr>
              <w:t>2,598.0</w:t>
            </w:r>
          </w:p>
        </w:tc>
        <w:tc>
          <w:tcPr>
            <w:tcW w:w="200" w:type="dxa"/>
            <w:vAlign w:val="bottom"/>
            <w:shd w:val="clear" w:color="auto" w:fill="E6E6E6"/>
          </w:tcPr>
          <w:p>
            <w:pPr>
              <w:jc w:val="right"/>
              <w:ind w:right="12"/>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right w:val="single" w:sz="8" w:color="E6E6E6"/>
            </w:tcBorders>
            <w:gridSpan w:val="2"/>
            <w:shd w:val="clear" w:color="auto" w:fill="E6E6E6"/>
          </w:tcPr>
          <w:p>
            <w:pPr>
              <w:spacing w:after="0"/>
              <w:rPr>
                <w:sz w:val="11"/>
                <w:szCs w:val="11"/>
                <w:color w:val="auto"/>
              </w:rPr>
            </w:pPr>
          </w:p>
        </w:tc>
        <w:tc>
          <w:tcPr>
            <w:tcW w:w="120" w:type="dxa"/>
            <w:vAlign w:val="bottom"/>
            <w:shd w:val="clear" w:color="auto" w:fill="E6E6E6"/>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E6E6E6"/>
          </w:tcPr>
          <w:p>
            <w:pPr>
              <w:spacing w:after="0"/>
              <w:rPr>
                <w:sz w:val="11"/>
                <w:szCs w:val="11"/>
                <w:color w:val="auto"/>
              </w:rPr>
            </w:pPr>
          </w:p>
        </w:tc>
        <w:tc>
          <w:tcPr>
            <w:tcW w:w="420" w:type="dxa"/>
            <w:vAlign w:val="bottom"/>
            <w:tcBorders>
              <w:right w:val="single" w:sz="8" w:color="E6E6E6"/>
            </w:tcBorders>
            <w:vMerge w:val="restart"/>
            <w:shd w:val="clear" w:color="auto" w:fill="E6E6E6"/>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shd w:val="clear" w:color="auto" w:fill="E5E5E5"/>
              </w:rPr>
              <w:t>)</w:t>
            </w:r>
          </w:p>
        </w:tc>
        <w:tc>
          <w:tcPr>
            <w:tcW w:w="200" w:type="dxa"/>
            <w:vAlign w:val="bottom"/>
            <w:shd w:val="clear" w:color="auto" w:fill="E6E6E6"/>
          </w:tcPr>
          <w:p>
            <w:pPr>
              <w:jc w:val="right"/>
              <w:ind w:right="32"/>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right w:val="single" w:sz="8" w:color="E6E6E6"/>
            </w:tcBorders>
            <w:gridSpan w:val="2"/>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5700" w:type="dxa"/>
            <w:vAlign w:val="bottom"/>
            <w:tcBorders>
              <w:bottom w:val="single" w:sz="8" w:color="E6E6E6"/>
            </w:tcBorders>
            <w:shd w:val="clear" w:color="auto" w:fill="E6E6E6"/>
          </w:tcPr>
          <w:p>
            <w:pPr>
              <w:spacing w:after="0"/>
              <w:rPr>
                <w:sz w:val="4"/>
                <w:szCs w:val="4"/>
                <w:color w:val="auto"/>
              </w:rPr>
            </w:pPr>
          </w:p>
        </w:tc>
        <w:tc>
          <w:tcPr>
            <w:tcW w:w="740" w:type="dxa"/>
            <w:vAlign w:val="bottom"/>
            <w:tcBorders>
              <w:bottom w:val="single" w:sz="8" w:color="E6E6E6"/>
            </w:tcBorders>
            <w:shd w:val="clear" w:color="auto" w:fill="E6E6E6"/>
          </w:tcPr>
          <w:p>
            <w:pPr>
              <w:spacing w:after="0"/>
              <w:rPr>
                <w:sz w:val="4"/>
                <w:szCs w:val="4"/>
                <w:color w:val="auto"/>
              </w:rPr>
            </w:pPr>
          </w:p>
        </w:tc>
        <w:tc>
          <w:tcPr>
            <w:tcW w:w="880" w:type="dxa"/>
            <w:vAlign w:val="bottom"/>
            <w:tcBorders>
              <w:bottom w:val="single" w:sz="8" w:color="auto"/>
              <w:right w:val="single" w:sz="8" w:color="E6E6E6"/>
            </w:tcBorders>
            <w:shd w:val="clear" w:color="auto" w:fill="E6E6E6"/>
          </w:tcPr>
          <w:p>
            <w:pPr>
              <w:spacing w:after="0"/>
              <w:rPr>
                <w:sz w:val="4"/>
                <w:szCs w:val="4"/>
                <w:color w:val="auto"/>
              </w:rPr>
            </w:pPr>
          </w:p>
        </w:tc>
        <w:tc>
          <w:tcPr>
            <w:tcW w:w="40" w:type="dxa"/>
            <w:vAlign w:val="bottom"/>
            <w:tcBorders>
              <w:bottom w:val="single" w:sz="8" w:color="auto"/>
            </w:tcBorders>
            <w:shd w:val="clear" w:color="auto" w:fill="E6E6E6"/>
          </w:tcPr>
          <w:p>
            <w:pPr>
              <w:spacing w:after="0"/>
              <w:rPr>
                <w:sz w:val="4"/>
                <w:szCs w:val="4"/>
                <w:color w:val="auto"/>
              </w:rPr>
            </w:pPr>
          </w:p>
        </w:tc>
        <w:tc>
          <w:tcPr>
            <w:tcW w:w="480" w:type="dxa"/>
            <w:vAlign w:val="bottom"/>
            <w:tcBorders>
              <w:bottom w:val="single" w:sz="8" w:color="auto"/>
            </w:tcBorders>
            <w:shd w:val="clear" w:color="auto" w:fill="E6E6E6"/>
          </w:tcPr>
          <w:p>
            <w:pPr>
              <w:spacing w:after="0"/>
              <w:rPr>
                <w:sz w:val="4"/>
                <w:szCs w:val="4"/>
                <w:color w:val="auto"/>
              </w:rPr>
            </w:pPr>
          </w:p>
        </w:tc>
        <w:tc>
          <w:tcPr>
            <w:tcW w:w="320" w:type="dxa"/>
            <w:vAlign w:val="bottom"/>
            <w:tcBorders>
              <w:bottom w:val="single" w:sz="8" w:color="auto"/>
              <w:right w:val="single" w:sz="8" w:color="E6E6E6"/>
            </w:tcBorders>
            <w:shd w:val="clear" w:color="auto" w:fill="E6E6E6"/>
          </w:tcPr>
          <w:p>
            <w:pPr>
              <w:spacing w:after="0"/>
              <w:rPr>
                <w:sz w:val="4"/>
                <w:szCs w:val="4"/>
                <w:color w:val="auto"/>
              </w:rPr>
            </w:pPr>
          </w:p>
        </w:tc>
        <w:tc>
          <w:tcPr>
            <w:tcW w:w="680" w:type="dxa"/>
            <w:vAlign w:val="bottom"/>
            <w:tcBorders>
              <w:bottom w:val="single" w:sz="8" w:color="auto"/>
            </w:tcBorders>
            <w:shd w:val="clear" w:color="auto" w:fill="E6E6E6"/>
          </w:tcPr>
          <w:p>
            <w:pPr>
              <w:spacing w:after="0"/>
              <w:rPr>
                <w:sz w:val="4"/>
                <w:szCs w:val="4"/>
                <w:color w:val="auto"/>
              </w:rPr>
            </w:pPr>
          </w:p>
        </w:tc>
        <w:tc>
          <w:tcPr>
            <w:tcW w:w="180" w:type="dxa"/>
            <w:vAlign w:val="bottom"/>
            <w:tcBorders>
              <w:bottom w:val="single" w:sz="8" w:color="auto"/>
              <w:right w:val="single" w:sz="8" w:color="E6E6E6"/>
            </w:tcBorders>
            <w:shd w:val="clear" w:color="auto" w:fill="E6E6E6"/>
          </w:tcPr>
          <w:p>
            <w:pPr>
              <w:spacing w:after="0"/>
              <w:rPr>
                <w:sz w:val="4"/>
                <w:szCs w:val="4"/>
                <w:color w:val="auto"/>
              </w:rPr>
            </w:pPr>
          </w:p>
        </w:tc>
        <w:tc>
          <w:tcPr>
            <w:tcW w:w="500" w:type="dxa"/>
            <w:vAlign w:val="bottom"/>
            <w:tcBorders>
              <w:bottom w:val="single" w:sz="8" w:color="auto"/>
            </w:tcBorders>
            <w:shd w:val="clear" w:color="auto" w:fill="E6E6E6"/>
          </w:tcPr>
          <w:p>
            <w:pPr>
              <w:spacing w:after="0"/>
              <w:rPr>
                <w:sz w:val="4"/>
                <w:szCs w:val="4"/>
                <w:color w:val="auto"/>
              </w:rPr>
            </w:pPr>
          </w:p>
        </w:tc>
        <w:tc>
          <w:tcPr>
            <w:tcW w:w="320" w:type="dxa"/>
            <w:vAlign w:val="bottom"/>
            <w:tcBorders>
              <w:bottom w:val="single" w:sz="8" w:color="auto"/>
              <w:right w:val="single" w:sz="8" w:color="E6E6E6"/>
            </w:tcBorders>
            <w:shd w:val="clear" w:color="auto" w:fill="E6E6E6"/>
          </w:tcPr>
          <w:p>
            <w:pPr>
              <w:spacing w:after="0"/>
              <w:rPr>
                <w:sz w:val="4"/>
                <w:szCs w:val="4"/>
                <w:color w:val="auto"/>
              </w:rPr>
            </w:pPr>
          </w:p>
        </w:tc>
        <w:tc>
          <w:tcPr>
            <w:tcW w:w="160" w:type="dxa"/>
            <w:vAlign w:val="bottom"/>
            <w:tcBorders>
              <w:bottom w:val="single" w:sz="8" w:color="auto"/>
            </w:tcBorders>
            <w:shd w:val="clear" w:color="auto" w:fill="E6E6E6"/>
          </w:tcPr>
          <w:p>
            <w:pPr>
              <w:spacing w:after="0"/>
              <w:rPr>
                <w:sz w:val="4"/>
                <w:szCs w:val="4"/>
                <w:color w:val="auto"/>
              </w:rPr>
            </w:pPr>
          </w:p>
        </w:tc>
        <w:tc>
          <w:tcPr>
            <w:tcW w:w="760" w:type="dxa"/>
            <w:vAlign w:val="bottom"/>
            <w:tcBorders>
              <w:bottom w:val="single" w:sz="8" w:color="auto"/>
              <w:right w:val="single" w:sz="8" w:color="E6E6E6"/>
            </w:tcBorders>
            <w:shd w:val="clear" w:color="auto" w:fill="E6E6E6"/>
          </w:tcPr>
          <w:p>
            <w:pPr>
              <w:spacing w:after="0"/>
              <w:rPr>
                <w:sz w:val="4"/>
                <w:szCs w:val="4"/>
                <w:color w:val="auto"/>
              </w:rPr>
            </w:pPr>
          </w:p>
        </w:tc>
        <w:tc>
          <w:tcPr>
            <w:tcW w:w="200" w:type="dxa"/>
            <w:vAlign w:val="bottom"/>
            <w:tcBorders>
              <w:bottom w:val="single" w:sz="8" w:color="auto"/>
            </w:tcBorders>
            <w:shd w:val="clear" w:color="auto" w:fill="E6E6E6"/>
          </w:tcPr>
          <w:p>
            <w:pPr>
              <w:spacing w:after="0"/>
              <w:rPr>
                <w:sz w:val="4"/>
                <w:szCs w:val="4"/>
                <w:color w:val="auto"/>
              </w:rPr>
            </w:pPr>
          </w:p>
        </w:tc>
        <w:tc>
          <w:tcPr>
            <w:tcW w:w="560" w:type="dxa"/>
            <w:vAlign w:val="bottom"/>
            <w:tcBorders>
              <w:bottom w:val="single" w:sz="8" w:color="auto"/>
            </w:tcBorders>
            <w:shd w:val="clear" w:color="auto" w:fill="E6E6E6"/>
          </w:tcPr>
          <w:p>
            <w:pPr>
              <w:spacing w:after="0"/>
              <w:rPr>
                <w:sz w:val="4"/>
                <w:szCs w:val="4"/>
                <w:color w:val="auto"/>
              </w:rPr>
            </w:pPr>
          </w:p>
        </w:tc>
        <w:tc>
          <w:tcPr>
            <w:tcW w:w="300" w:type="dxa"/>
            <w:vAlign w:val="bottom"/>
            <w:tcBorders>
              <w:bottom w:val="single" w:sz="8" w:color="auto"/>
              <w:right w:val="single" w:sz="8" w:color="E6E6E6"/>
            </w:tcBorders>
            <w:shd w:val="clear" w:color="auto" w:fill="E6E6E6"/>
          </w:tcPr>
          <w:p>
            <w:pPr>
              <w:jc w:val="right"/>
              <w:ind w:right="4"/>
              <w:spacing w:after="0" w:line="8" w:lineRule="exact"/>
              <w:rPr>
                <w:sz w:val="20"/>
                <w:szCs w:val="20"/>
                <w:color w:val="auto"/>
              </w:rPr>
            </w:pPr>
            <w:r>
              <w:rPr>
                <w:rFonts w:ascii="Times New Roman" w:cs="Times New Roman" w:eastAsia="Times New Roman" w:hAnsi="Times New Roman"/>
                <w:sz w:val="1"/>
                <w:szCs w:val="1"/>
                <w:b w:val="1"/>
                <w:bCs w:val="1"/>
                <w:color w:val="auto"/>
                <w:shd w:val="clear" w:color="auto" w:fill="E5E5E5"/>
              </w:rPr>
              <w:t>)</w:t>
            </w:r>
          </w:p>
        </w:tc>
        <w:tc>
          <w:tcPr>
            <w:tcW w:w="120" w:type="dxa"/>
            <w:vAlign w:val="bottom"/>
            <w:tcBorders>
              <w:bottom w:val="single" w:sz="8" w:color="auto"/>
            </w:tcBorders>
            <w:shd w:val="clear" w:color="auto" w:fill="E6E6E6"/>
          </w:tcPr>
          <w:p>
            <w:pPr>
              <w:spacing w:after="0"/>
              <w:rPr>
                <w:sz w:val="4"/>
                <w:szCs w:val="4"/>
                <w:color w:val="auto"/>
              </w:rPr>
            </w:pPr>
          </w:p>
        </w:tc>
        <w:tc>
          <w:tcPr>
            <w:tcW w:w="620" w:type="dxa"/>
            <w:vAlign w:val="bottom"/>
            <w:tcBorders>
              <w:bottom w:val="single" w:sz="8" w:color="auto"/>
            </w:tcBorders>
            <w:shd w:val="clear" w:color="auto" w:fill="E6E6E6"/>
          </w:tcPr>
          <w:p>
            <w:pPr>
              <w:spacing w:after="0"/>
              <w:rPr>
                <w:sz w:val="4"/>
                <w:szCs w:val="4"/>
                <w:color w:val="auto"/>
              </w:rPr>
            </w:pPr>
          </w:p>
        </w:tc>
        <w:tc>
          <w:tcPr>
            <w:tcW w:w="420" w:type="dxa"/>
            <w:vAlign w:val="bottom"/>
            <w:tcBorders>
              <w:bottom w:val="single" w:sz="8" w:color="auto"/>
              <w:right w:val="single" w:sz="8" w:color="E6E6E6"/>
            </w:tcBorders>
            <w:vMerge w:val="continue"/>
            <w:shd w:val="clear" w:color="auto" w:fill="E6E6E6"/>
          </w:tcPr>
          <w:p>
            <w:pPr>
              <w:spacing w:after="0"/>
              <w:rPr>
                <w:sz w:val="4"/>
                <w:szCs w:val="4"/>
                <w:color w:val="auto"/>
              </w:rPr>
            </w:pPr>
          </w:p>
        </w:tc>
        <w:tc>
          <w:tcPr>
            <w:tcW w:w="200" w:type="dxa"/>
            <w:vAlign w:val="bottom"/>
            <w:tcBorders>
              <w:bottom w:val="single" w:sz="8" w:color="auto"/>
            </w:tcBorders>
            <w:shd w:val="clear" w:color="auto" w:fill="E6E6E6"/>
          </w:tcPr>
          <w:p>
            <w:pPr>
              <w:spacing w:after="0"/>
              <w:rPr>
                <w:sz w:val="4"/>
                <w:szCs w:val="4"/>
                <w:color w:val="auto"/>
              </w:rPr>
            </w:pPr>
          </w:p>
        </w:tc>
        <w:tc>
          <w:tcPr>
            <w:tcW w:w="500" w:type="dxa"/>
            <w:vAlign w:val="bottom"/>
            <w:tcBorders>
              <w:bottom w:val="single" w:sz="8" w:color="auto"/>
            </w:tcBorders>
            <w:shd w:val="clear" w:color="auto" w:fill="E6E6E6"/>
          </w:tcPr>
          <w:p>
            <w:pPr>
              <w:spacing w:after="0"/>
              <w:rPr>
                <w:sz w:val="4"/>
                <w:szCs w:val="4"/>
                <w:color w:val="auto"/>
              </w:rPr>
            </w:pPr>
          </w:p>
        </w:tc>
        <w:tc>
          <w:tcPr>
            <w:tcW w:w="300" w:type="dxa"/>
            <w:vAlign w:val="bottom"/>
            <w:tcBorders>
              <w:bottom w:val="single" w:sz="8" w:color="auto"/>
              <w:right w:val="single" w:sz="8" w:color="E6E6E6"/>
            </w:tcBorders>
            <w:shd w:val="clear" w:color="auto" w:fill="E6E6E6"/>
          </w:tcPr>
          <w:p>
            <w:pPr>
              <w:jc w:val="right"/>
              <w:spacing w:after="0" w:line="8" w:lineRule="exact"/>
              <w:rPr>
                <w:sz w:val="20"/>
                <w:szCs w:val="20"/>
                <w:color w:val="auto"/>
              </w:rPr>
            </w:pPr>
            <w:r>
              <w:rPr>
                <w:rFonts w:ascii="Times New Roman" w:cs="Times New Roman" w:eastAsia="Times New Roman" w:hAnsi="Times New Roman"/>
                <w:sz w:val="1"/>
                <w:szCs w:val="1"/>
                <w:b w:val="1"/>
                <w:bCs w:val="1"/>
                <w:color w:val="auto"/>
                <w:shd w:val="clear" w:color="auto" w:fill="E5E5E5"/>
              </w:rPr>
              <w:t>)</w:t>
            </w: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880" w:type="dxa"/>
            <w:vAlign w:val="bottom"/>
            <w:tcBorders>
              <w:right w:val="single" w:sz="8" w:color="E6E6E6"/>
            </w:tcBorders>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80" w:type="dxa"/>
            <w:vAlign w:val="bottom"/>
            <w:tcBorders>
              <w:right w:val="single" w:sz="8" w:color="E6E6E6"/>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42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880" w:type="dxa"/>
            <w:vAlign w:val="bottom"/>
            <w:tcBorders>
              <w:right w:val="single" w:sz="8" w:color="E6E6E6"/>
            </w:tcBorders>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80" w:type="dxa"/>
            <w:vAlign w:val="bottom"/>
            <w:tcBorders>
              <w:right w:val="single" w:sz="8" w:color="E6E6E6"/>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42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880" w:type="dxa"/>
            <w:vAlign w:val="bottom"/>
            <w:tcBorders>
              <w:right w:val="single" w:sz="8" w:color="E6E6E6"/>
            </w:tcBorders>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80" w:type="dxa"/>
            <w:vAlign w:val="bottom"/>
            <w:tcBorders>
              <w:right w:val="single" w:sz="8" w:color="E6E6E6"/>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42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
        </w:trPr>
        <w:tc>
          <w:tcPr>
            <w:tcW w:w="5700" w:type="dxa"/>
            <w:vAlign w:val="bottom"/>
            <w:vMerge w:val="restart"/>
            <w:shd w:val="clear" w:color="auto" w:fill="E6E6E6"/>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740" w:type="dxa"/>
            <w:vAlign w:val="bottom"/>
            <w:shd w:val="clear" w:color="auto" w:fill="E6E6E6"/>
          </w:tcPr>
          <w:p>
            <w:pPr>
              <w:spacing w:after="0" w:line="20" w:lineRule="exact"/>
              <w:rPr>
                <w:sz w:val="1"/>
                <w:szCs w:val="1"/>
                <w:color w:val="auto"/>
              </w:rPr>
            </w:pPr>
          </w:p>
        </w:tc>
        <w:tc>
          <w:tcPr>
            <w:tcW w:w="880" w:type="dxa"/>
            <w:vAlign w:val="bottom"/>
            <w:tcBorders>
              <w:right w:val="single" w:sz="8" w:color="E6E6E6"/>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E6E6E6"/>
            </w:tcBorders>
            <w:shd w:val="clear" w:color="auto" w:fill="000000"/>
          </w:tcPr>
          <w:p>
            <w:pPr>
              <w:spacing w:after="0" w:line="20" w:lineRule="exact"/>
              <w:rPr>
                <w:sz w:val="1"/>
                <w:szCs w:val="1"/>
                <w:color w:val="auto"/>
              </w:rPr>
            </w:pPr>
          </w:p>
        </w:tc>
        <w:tc>
          <w:tcPr>
            <w:tcW w:w="680" w:type="dxa"/>
            <w:vAlign w:val="bottom"/>
            <w:shd w:val="clear" w:color="auto" w:fill="000000"/>
          </w:tcPr>
          <w:p>
            <w:pPr>
              <w:jc w:val="center"/>
              <w:ind w:left="399"/>
              <w:spacing w:after="0" w:line="5" w:lineRule="exact"/>
              <w:rPr>
                <w:sz w:val="20"/>
                <w:szCs w:val="20"/>
                <w:color w:val="auto"/>
              </w:rPr>
            </w:pPr>
            <w:r>
              <w:rPr>
                <w:rFonts w:ascii="Times New Roman" w:cs="Times New Roman" w:eastAsia="Times New Roman" w:hAnsi="Times New Roman"/>
                <w:sz w:val="1"/>
                <w:szCs w:val="1"/>
                <w:color w:val="auto"/>
                <w:highlight w:val="white"/>
              </w:rPr>
              <w:t>2</w:t>
            </w:r>
          </w:p>
        </w:tc>
        <w:tc>
          <w:tcPr>
            <w:tcW w:w="180" w:type="dxa"/>
            <w:vAlign w:val="bottom"/>
            <w:tcBorders>
              <w:right w:val="single" w:sz="8" w:color="E6E6E6"/>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E6E6E6"/>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E6E6E6"/>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E6E6E6"/>
            </w:tcBorders>
            <w:gridSpan w:val="2"/>
            <w:shd w:val="clear" w:color="auto" w:fill="000000"/>
          </w:tcPr>
          <w:p>
            <w:pPr>
              <w:jc w:val="right"/>
              <w:ind w:right="4"/>
              <w:spacing w:after="0" w:line="5" w:lineRule="exact"/>
              <w:rPr>
                <w:sz w:val="20"/>
                <w:szCs w:val="20"/>
                <w:color w:val="auto"/>
              </w:rPr>
            </w:pPr>
            <w:r>
              <w:rPr>
                <w:rFonts w:ascii="Times New Roman" w:cs="Times New Roman" w:eastAsia="Times New Roman" w:hAnsi="Times New Roman"/>
                <w:sz w:val="1"/>
                <w:szCs w:val="1"/>
                <w:b w:val="1"/>
                <w:bCs w:val="1"/>
                <w:color w:val="auto"/>
              </w:rPr>
              <w:t>(3,146.5</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Borders>
              <w:right w:val="single" w:sz="8" w:color="E6E6E6"/>
            </w:tcBorders>
            <w:shd w:val="clear" w:color="auto" w:fill="000000"/>
          </w:tcPr>
          <w:p>
            <w:pPr>
              <w:jc w:val="right"/>
              <w:ind w:right="21"/>
              <w:spacing w:after="0" w:line="5" w:lineRule="exact"/>
              <w:rPr>
                <w:sz w:val="20"/>
                <w:szCs w:val="20"/>
                <w:color w:val="auto"/>
              </w:rPr>
            </w:pPr>
            <w:r>
              <w:rPr>
                <w:rFonts w:ascii="Times New Roman" w:cs="Times New Roman" w:eastAsia="Times New Roman" w:hAnsi="Times New Roman"/>
                <w:sz w:val="1"/>
                <w:szCs w:val="1"/>
                <w:b w:val="1"/>
                <w:bCs w:val="1"/>
                <w:color w:val="auto"/>
              </w:rPr>
              <w:t>(10.1</w:t>
            </w: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E6E6E6"/>
            </w:tcBorders>
            <w:gridSpan w:val="2"/>
            <w:shd w:val="clear" w:color="auto" w:fill="000000"/>
          </w:tcPr>
          <w:p>
            <w:pPr>
              <w:jc w:val="right"/>
              <w:spacing w:after="0" w:line="5" w:lineRule="exact"/>
              <w:rPr>
                <w:sz w:val="20"/>
                <w:szCs w:val="20"/>
                <w:color w:val="auto"/>
              </w:rPr>
            </w:pPr>
            <w:r>
              <w:rPr>
                <w:rFonts w:ascii="Times New Roman" w:cs="Times New Roman" w:eastAsia="Times New Roman" w:hAnsi="Times New Roman"/>
                <w:sz w:val="1"/>
                <w:szCs w:val="1"/>
                <w:b w:val="1"/>
                <w:bCs w:val="1"/>
                <w:color w:val="auto"/>
              </w:rPr>
              <w:t>(752.4</w:t>
            </w:r>
          </w:p>
        </w:tc>
        <w:tc>
          <w:tcPr>
            <w:tcW w:w="0" w:type="dxa"/>
            <w:vAlign w:val="bottom"/>
          </w:tcPr>
          <w:p>
            <w:pPr>
              <w:spacing w:after="0" w:line="20" w:lineRule="exact"/>
              <w:rPr>
                <w:sz w:val="1"/>
                <w:szCs w:val="1"/>
                <w:color w:val="auto"/>
              </w:rPr>
            </w:pPr>
          </w:p>
        </w:tc>
      </w:tr>
      <w:tr>
        <w:trPr>
          <w:trHeight w:val="134"/>
        </w:trPr>
        <w:tc>
          <w:tcPr>
            <w:tcW w:w="5700" w:type="dxa"/>
            <w:vAlign w:val="bottom"/>
            <w:vMerge w:val="continue"/>
            <w:shd w:val="clear" w:color="auto" w:fill="E6E6E6"/>
          </w:tcPr>
          <w:p>
            <w:pPr>
              <w:spacing w:after="0"/>
              <w:rPr>
                <w:sz w:val="11"/>
                <w:szCs w:val="11"/>
                <w:color w:val="auto"/>
              </w:rPr>
            </w:pPr>
          </w:p>
        </w:tc>
        <w:tc>
          <w:tcPr>
            <w:tcW w:w="740" w:type="dxa"/>
            <w:vAlign w:val="bottom"/>
            <w:shd w:val="clear" w:color="auto" w:fill="E6E6E6"/>
          </w:tcPr>
          <w:p>
            <w:pPr>
              <w:spacing w:after="0"/>
              <w:rPr>
                <w:sz w:val="11"/>
                <w:szCs w:val="11"/>
                <w:color w:val="auto"/>
              </w:rPr>
            </w:pPr>
          </w:p>
        </w:tc>
        <w:tc>
          <w:tcPr>
            <w:tcW w:w="880" w:type="dxa"/>
            <w:vAlign w:val="bottom"/>
            <w:tcBorders>
              <w:right w:val="single" w:sz="8" w:color="E6E6E6"/>
            </w:tcBorders>
            <w:shd w:val="clear" w:color="auto" w:fill="E6E6E6"/>
          </w:tcPr>
          <w:p>
            <w:pPr>
              <w:jc w:val="right"/>
              <w:ind w:right="53"/>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E6E6E6"/>
          </w:tcPr>
          <w:p>
            <w:pPr>
              <w:spacing w:after="0"/>
              <w:rPr>
                <w:sz w:val="11"/>
                <w:szCs w:val="11"/>
                <w:color w:val="auto"/>
              </w:rPr>
            </w:pPr>
          </w:p>
        </w:tc>
        <w:tc>
          <w:tcPr>
            <w:tcW w:w="480" w:type="dxa"/>
            <w:vAlign w:val="bottom"/>
            <w:shd w:val="clear" w:color="auto" w:fill="E6E6E6"/>
          </w:tcPr>
          <w:p>
            <w:pPr>
              <w:jc w:val="center"/>
              <w:ind w:right="352"/>
              <w:spacing w:after="0" w:line="134"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right w:val="single" w:sz="8" w:color="E6E6E6"/>
            </w:tcBorders>
            <w:shd w:val="clear" w:color="auto" w:fill="E6E6E6"/>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E6E6E6"/>
          </w:tcPr>
          <w:p>
            <w:pPr>
              <w:jc w:val="center"/>
              <w:ind w:left="379"/>
              <w:spacing w:after="0" w:line="134" w:lineRule="exact"/>
              <w:rPr>
                <w:sz w:val="20"/>
                <w:szCs w:val="20"/>
                <w:color w:val="auto"/>
              </w:rPr>
            </w:pPr>
            <w:r>
              <w:rPr>
                <w:rFonts w:ascii="Times New Roman" w:cs="Times New Roman" w:eastAsia="Times New Roman" w:hAnsi="Times New Roman"/>
                <w:sz w:val="14"/>
                <w:szCs w:val="14"/>
                <w:b w:val="1"/>
                <w:bCs w:val="1"/>
                <w:color w:val="auto"/>
                <w:w w:val="97"/>
              </w:rPr>
              <w:t>295.</w:t>
            </w:r>
          </w:p>
        </w:tc>
        <w:tc>
          <w:tcPr>
            <w:tcW w:w="180" w:type="dxa"/>
            <w:vAlign w:val="bottom"/>
            <w:tcBorders>
              <w:right w:val="single" w:sz="8" w:color="E6E6E6"/>
            </w:tcBorders>
            <w:shd w:val="clear" w:color="auto" w:fill="E6E6E6"/>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9</w:t>
            </w:r>
          </w:p>
        </w:tc>
        <w:tc>
          <w:tcPr>
            <w:tcW w:w="500" w:type="dxa"/>
            <w:vAlign w:val="bottom"/>
            <w:shd w:val="clear" w:color="auto" w:fill="E6E6E6"/>
          </w:tcPr>
          <w:p>
            <w:pPr>
              <w:jc w:val="right"/>
              <w:ind w:right="332"/>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E6E6E6"/>
            </w:tcBorders>
            <w:shd w:val="clear" w:color="auto" w:fill="E6E6E6"/>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E6E6E6"/>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right w:val="single" w:sz="8" w:color="E6E6E6"/>
            </w:tcBorders>
            <w:shd w:val="clear" w:color="auto" w:fill="E6E6E6"/>
          </w:tcPr>
          <w:p>
            <w:pPr>
              <w:jc w:val="right"/>
              <w:ind w:right="34"/>
              <w:spacing w:after="0" w:line="134" w:lineRule="exact"/>
              <w:rPr>
                <w:sz w:val="20"/>
                <w:szCs w:val="20"/>
                <w:color w:val="auto"/>
              </w:rPr>
            </w:pPr>
            <w:r>
              <w:rPr>
                <w:rFonts w:ascii="Times New Roman" w:cs="Times New Roman" w:eastAsia="Times New Roman" w:hAnsi="Times New Roman"/>
                <w:sz w:val="14"/>
                <w:szCs w:val="14"/>
                <w:b w:val="1"/>
                <w:bCs w:val="1"/>
                <w:color w:val="auto"/>
              </w:rPr>
              <w:t>2,404.2</w:t>
            </w:r>
          </w:p>
        </w:tc>
        <w:tc>
          <w:tcPr>
            <w:tcW w:w="200" w:type="dxa"/>
            <w:vAlign w:val="bottom"/>
            <w:shd w:val="clear" w:color="auto" w:fill="E6E6E6"/>
          </w:tcPr>
          <w:p>
            <w:pPr>
              <w:jc w:val="right"/>
              <w:ind w:right="12"/>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right w:val="single" w:sz="8" w:color="E6E6E6"/>
            </w:tcBorders>
            <w:gridSpan w:val="2"/>
            <w:shd w:val="clear" w:color="auto" w:fill="E6E6E6"/>
          </w:tcPr>
          <w:p>
            <w:pPr>
              <w:spacing w:after="0"/>
              <w:rPr>
                <w:sz w:val="11"/>
                <w:szCs w:val="11"/>
                <w:color w:val="auto"/>
              </w:rPr>
            </w:pPr>
          </w:p>
        </w:tc>
        <w:tc>
          <w:tcPr>
            <w:tcW w:w="120" w:type="dxa"/>
            <w:vAlign w:val="bottom"/>
            <w:shd w:val="clear" w:color="auto" w:fill="E6E6E6"/>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E6E6E6"/>
          </w:tcPr>
          <w:p>
            <w:pPr>
              <w:spacing w:after="0"/>
              <w:rPr>
                <w:sz w:val="11"/>
                <w:szCs w:val="11"/>
                <w:color w:val="auto"/>
              </w:rPr>
            </w:pPr>
          </w:p>
        </w:tc>
        <w:tc>
          <w:tcPr>
            <w:tcW w:w="420" w:type="dxa"/>
            <w:vAlign w:val="bottom"/>
            <w:tcBorders>
              <w:right w:val="single" w:sz="8" w:color="E6E6E6"/>
            </w:tcBorders>
            <w:shd w:val="clear" w:color="auto" w:fill="E6E6E6"/>
          </w:tcPr>
          <w:p>
            <w:pPr>
              <w:spacing w:after="0"/>
              <w:rPr>
                <w:sz w:val="11"/>
                <w:szCs w:val="11"/>
                <w:color w:val="auto"/>
              </w:rPr>
            </w:pPr>
          </w:p>
        </w:tc>
        <w:tc>
          <w:tcPr>
            <w:tcW w:w="200" w:type="dxa"/>
            <w:vAlign w:val="bottom"/>
            <w:shd w:val="clear" w:color="auto" w:fill="E6E6E6"/>
          </w:tcPr>
          <w:p>
            <w:pPr>
              <w:jc w:val="right"/>
              <w:ind w:right="32"/>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right w:val="single" w:sz="8" w:color="E6E6E6"/>
            </w:tcBorders>
            <w:gridSpan w:val="2"/>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5700" w:type="dxa"/>
            <w:vAlign w:val="bottom"/>
            <w:tcBorders>
              <w:bottom w:val="single" w:sz="8" w:color="E6E6E6"/>
            </w:tcBorders>
            <w:shd w:val="clear" w:color="auto" w:fill="E6E6E6"/>
          </w:tcPr>
          <w:p>
            <w:pPr>
              <w:spacing w:after="0"/>
              <w:rPr>
                <w:sz w:val="4"/>
                <w:szCs w:val="4"/>
                <w:color w:val="auto"/>
              </w:rPr>
            </w:pPr>
          </w:p>
        </w:tc>
        <w:tc>
          <w:tcPr>
            <w:tcW w:w="740" w:type="dxa"/>
            <w:vAlign w:val="bottom"/>
            <w:tcBorders>
              <w:bottom w:val="single" w:sz="8" w:color="E6E6E6"/>
            </w:tcBorders>
            <w:shd w:val="clear" w:color="auto" w:fill="E6E6E6"/>
          </w:tcPr>
          <w:p>
            <w:pPr>
              <w:spacing w:after="0"/>
              <w:rPr>
                <w:sz w:val="4"/>
                <w:szCs w:val="4"/>
                <w:color w:val="auto"/>
              </w:rPr>
            </w:pPr>
          </w:p>
        </w:tc>
        <w:tc>
          <w:tcPr>
            <w:tcW w:w="880" w:type="dxa"/>
            <w:vAlign w:val="bottom"/>
            <w:tcBorders>
              <w:bottom w:val="single" w:sz="8" w:color="auto"/>
              <w:right w:val="single" w:sz="8" w:color="E6E6E6"/>
            </w:tcBorders>
            <w:shd w:val="clear" w:color="auto" w:fill="E6E6E6"/>
          </w:tcPr>
          <w:p>
            <w:pPr>
              <w:spacing w:after="0"/>
              <w:rPr>
                <w:sz w:val="4"/>
                <w:szCs w:val="4"/>
                <w:color w:val="auto"/>
              </w:rPr>
            </w:pPr>
          </w:p>
        </w:tc>
        <w:tc>
          <w:tcPr>
            <w:tcW w:w="40" w:type="dxa"/>
            <w:vAlign w:val="bottom"/>
            <w:tcBorders>
              <w:bottom w:val="single" w:sz="8" w:color="auto"/>
            </w:tcBorders>
            <w:shd w:val="clear" w:color="auto" w:fill="E6E6E6"/>
          </w:tcPr>
          <w:p>
            <w:pPr>
              <w:spacing w:after="0"/>
              <w:rPr>
                <w:sz w:val="4"/>
                <w:szCs w:val="4"/>
                <w:color w:val="auto"/>
              </w:rPr>
            </w:pPr>
          </w:p>
        </w:tc>
        <w:tc>
          <w:tcPr>
            <w:tcW w:w="480" w:type="dxa"/>
            <w:vAlign w:val="bottom"/>
            <w:tcBorders>
              <w:bottom w:val="single" w:sz="8" w:color="auto"/>
            </w:tcBorders>
            <w:shd w:val="clear" w:color="auto" w:fill="E6E6E6"/>
          </w:tcPr>
          <w:p>
            <w:pPr>
              <w:spacing w:after="0"/>
              <w:rPr>
                <w:sz w:val="4"/>
                <w:szCs w:val="4"/>
                <w:color w:val="auto"/>
              </w:rPr>
            </w:pPr>
          </w:p>
        </w:tc>
        <w:tc>
          <w:tcPr>
            <w:tcW w:w="320" w:type="dxa"/>
            <w:vAlign w:val="bottom"/>
            <w:tcBorders>
              <w:bottom w:val="single" w:sz="8" w:color="auto"/>
              <w:right w:val="single" w:sz="8" w:color="E6E6E6"/>
            </w:tcBorders>
            <w:shd w:val="clear" w:color="auto" w:fill="E6E6E6"/>
          </w:tcPr>
          <w:p>
            <w:pPr>
              <w:spacing w:after="0"/>
              <w:rPr>
                <w:sz w:val="4"/>
                <w:szCs w:val="4"/>
                <w:color w:val="auto"/>
              </w:rPr>
            </w:pPr>
          </w:p>
        </w:tc>
        <w:tc>
          <w:tcPr>
            <w:tcW w:w="680" w:type="dxa"/>
            <w:vAlign w:val="bottom"/>
            <w:tcBorders>
              <w:bottom w:val="single" w:sz="8" w:color="auto"/>
            </w:tcBorders>
            <w:shd w:val="clear" w:color="auto" w:fill="E6E6E6"/>
          </w:tcPr>
          <w:p>
            <w:pPr>
              <w:spacing w:after="0"/>
              <w:rPr>
                <w:sz w:val="4"/>
                <w:szCs w:val="4"/>
                <w:color w:val="auto"/>
              </w:rPr>
            </w:pPr>
          </w:p>
        </w:tc>
        <w:tc>
          <w:tcPr>
            <w:tcW w:w="180" w:type="dxa"/>
            <w:vAlign w:val="bottom"/>
            <w:tcBorders>
              <w:bottom w:val="single" w:sz="8" w:color="auto"/>
              <w:right w:val="single" w:sz="8" w:color="E6E6E6"/>
            </w:tcBorders>
            <w:shd w:val="clear" w:color="auto" w:fill="E6E6E6"/>
          </w:tcPr>
          <w:p>
            <w:pPr>
              <w:spacing w:after="0"/>
              <w:rPr>
                <w:sz w:val="4"/>
                <w:szCs w:val="4"/>
                <w:color w:val="auto"/>
              </w:rPr>
            </w:pPr>
          </w:p>
        </w:tc>
        <w:tc>
          <w:tcPr>
            <w:tcW w:w="500" w:type="dxa"/>
            <w:vAlign w:val="bottom"/>
            <w:tcBorders>
              <w:bottom w:val="single" w:sz="8" w:color="auto"/>
            </w:tcBorders>
            <w:shd w:val="clear" w:color="auto" w:fill="E6E6E6"/>
          </w:tcPr>
          <w:p>
            <w:pPr>
              <w:spacing w:after="0"/>
              <w:rPr>
                <w:sz w:val="4"/>
                <w:szCs w:val="4"/>
                <w:color w:val="auto"/>
              </w:rPr>
            </w:pPr>
          </w:p>
        </w:tc>
        <w:tc>
          <w:tcPr>
            <w:tcW w:w="320" w:type="dxa"/>
            <w:vAlign w:val="bottom"/>
            <w:tcBorders>
              <w:bottom w:val="single" w:sz="8" w:color="auto"/>
              <w:right w:val="single" w:sz="8" w:color="E6E6E6"/>
            </w:tcBorders>
            <w:shd w:val="clear" w:color="auto" w:fill="E6E6E6"/>
          </w:tcPr>
          <w:p>
            <w:pPr>
              <w:spacing w:after="0"/>
              <w:rPr>
                <w:sz w:val="4"/>
                <w:szCs w:val="4"/>
                <w:color w:val="auto"/>
              </w:rPr>
            </w:pPr>
          </w:p>
        </w:tc>
        <w:tc>
          <w:tcPr>
            <w:tcW w:w="160" w:type="dxa"/>
            <w:vAlign w:val="bottom"/>
            <w:tcBorders>
              <w:bottom w:val="single" w:sz="8" w:color="auto"/>
            </w:tcBorders>
            <w:shd w:val="clear" w:color="auto" w:fill="E6E6E6"/>
          </w:tcPr>
          <w:p>
            <w:pPr>
              <w:spacing w:after="0"/>
              <w:rPr>
                <w:sz w:val="4"/>
                <w:szCs w:val="4"/>
                <w:color w:val="auto"/>
              </w:rPr>
            </w:pPr>
          </w:p>
        </w:tc>
        <w:tc>
          <w:tcPr>
            <w:tcW w:w="760" w:type="dxa"/>
            <w:vAlign w:val="bottom"/>
            <w:tcBorders>
              <w:bottom w:val="single" w:sz="8" w:color="auto"/>
              <w:right w:val="single" w:sz="8" w:color="E6E6E6"/>
            </w:tcBorders>
            <w:shd w:val="clear" w:color="auto" w:fill="E6E6E6"/>
          </w:tcPr>
          <w:p>
            <w:pPr>
              <w:spacing w:after="0"/>
              <w:rPr>
                <w:sz w:val="4"/>
                <w:szCs w:val="4"/>
                <w:color w:val="auto"/>
              </w:rPr>
            </w:pPr>
          </w:p>
        </w:tc>
        <w:tc>
          <w:tcPr>
            <w:tcW w:w="200" w:type="dxa"/>
            <w:vAlign w:val="bottom"/>
            <w:tcBorders>
              <w:bottom w:val="single" w:sz="8" w:color="auto"/>
            </w:tcBorders>
            <w:shd w:val="clear" w:color="auto" w:fill="E6E6E6"/>
          </w:tcPr>
          <w:p>
            <w:pPr>
              <w:spacing w:after="0"/>
              <w:rPr>
                <w:sz w:val="4"/>
                <w:szCs w:val="4"/>
                <w:color w:val="auto"/>
              </w:rPr>
            </w:pPr>
          </w:p>
        </w:tc>
        <w:tc>
          <w:tcPr>
            <w:tcW w:w="560" w:type="dxa"/>
            <w:vAlign w:val="bottom"/>
            <w:tcBorders>
              <w:bottom w:val="single" w:sz="8" w:color="auto"/>
            </w:tcBorders>
            <w:shd w:val="clear" w:color="auto" w:fill="E6E6E6"/>
          </w:tcPr>
          <w:p>
            <w:pPr>
              <w:spacing w:after="0"/>
              <w:rPr>
                <w:sz w:val="4"/>
                <w:szCs w:val="4"/>
                <w:color w:val="auto"/>
              </w:rPr>
            </w:pPr>
          </w:p>
        </w:tc>
        <w:tc>
          <w:tcPr>
            <w:tcW w:w="300" w:type="dxa"/>
            <w:vAlign w:val="bottom"/>
            <w:tcBorders>
              <w:bottom w:val="single" w:sz="8" w:color="auto"/>
              <w:right w:val="single" w:sz="8" w:color="E6E6E6"/>
            </w:tcBorders>
            <w:shd w:val="clear" w:color="auto" w:fill="E6E6E6"/>
          </w:tcPr>
          <w:p>
            <w:pPr>
              <w:jc w:val="right"/>
              <w:ind w:right="4"/>
              <w:spacing w:after="0" w:line="8" w:lineRule="exact"/>
              <w:rPr>
                <w:sz w:val="20"/>
                <w:szCs w:val="20"/>
                <w:color w:val="auto"/>
              </w:rPr>
            </w:pPr>
            <w:r>
              <w:rPr>
                <w:rFonts w:ascii="Times New Roman" w:cs="Times New Roman" w:eastAsia="Times New Roman" w:hAnsi="Times New Roman"/>
                <w:sz w:val="1"/>
                <w:szCs w:val="1"/>
                <w:b w:val="1"/>
                <w:bCs w:val="1"/>
                <w:color w:val="auto"/>
                <w:shd w:val="clear" w:color="auto" w:fill="E5E5E5"/>
              </w:rPr>
              <w:t>)</w:t>
            </w:r>
          </w:p>
        </w:tc>
        <w:tc>
          <w:tcPr>
            <w:tcW w:w="120" w:type="dxa"/>
            <w:vAlign w:val="bottom"/>
            <w:tcBorders>
              <w:bottom w:val="single" w:sz="8" w:color="auto"/>
            </w:tcBorders>
            <w:shd w:val="clear" w:color="auto" w:fill="E6E6E6"/>
          </w:tcPr>
          <w:p>
            <w:pPr>
              <w:spacing w:after="0"/>
              <w:rPr>
                <w:sz w:val="4"/>
                <w:szCs w:val="4"/>
                <w:color w:val="auto"/>
              </w:rPr>
            </w:pPr>
          </w:p>
        </w:tc>
        <w:tc>
          <w:tcPr>
            <w:tcW w:w="620" w:type="dxa"/>
            <w:vAlign w:val="bottom"/>
            <w:tcBorders>
              <w:bottom w:val="single" w:sz="8" w:color="auto"/>
            </w:tcBorders>
            <w:shd w:val="clear" w:color="auto" w:fill="E6E6E6"/>
          </w:tcPr>
          <w:p>
            <w:pPr>
              <w:spacing w:after="0"/>
              <w:rPr>
                <w:sz w:val="4"/>
                <w:szCs w:val="4"/>
                <w:color w:val="auto"/>
              </w:rPr>
            </w:pPr>
          </w:p>
        </w:tc>
        <w:tc>
          <w:tcPr>
            <w:tcW w:w="420" w:type="dxa"/>
            <w:vAlign w:val="bottom"/>
            <w:tcBorders>
              <w:bottom w:val="single" w:sz="8" w:color="auto"/>
              <w:right w:val="single" w:sz="8" w:color="E6E6E6"/>
            </w:tcBorders>
            <w:shd w:val="clear" w:color="auto" w:fill="E6E6E6"/>
          </w:tcPr>
          <w:p>
            <w:pPr>
              <w:spacing w:after="0"/>
              <w:rPr>
                <w:sz w:val="4"/>
                <w:szCs w:val="4"/>
                <w:color w:val="auto"/>
              </w:rPr>
            </w:pPr>
          </w:p>
        </w:tc>
        <w:tc>
          <w:tcPr>
            <w:tcW w:w="200" w:type="dxa"/>
            <w:vAlign w:val="bottom"/>
            <w:tcBorders>
              <w:bottom w:val="single" w:sz="8" w:color="auto"/>
            </w:tcBorders>
            <w:shd w:val="clear" w:color="auto" w:fill="E6E6E6"/>
          </w:tcPr>
          <w:p>
            <w:pPr>
              <w:spacing w:after="0"/>
              <w:rPr>
                <w:sz w:val="4"/>
                <w:szCs w:val="4"/>
                <w:color w:val="auto"/>
              </w:rPr>
            </w:pPr>
          </w:p>
        </w:tc>
        <w:tc>
          <w:tcPr>
            <w:tcW w:w="500" w:type="dxa"/>
            <w:vAlign w:val="bottom"/>
            <w:tcBorders>
              <w:bottom w:val="single" w:sz="8" w:color="auto"/>
            </w:tcBorders>
            <w:shd w:val="clear" w:color="auto" w:fill="E6E6E6"/>
          </w:tcPr>
          <w:p>
            <w:pPr>
              <w:spacing w:after="0"/>
              <w:rPr>
                <w:sz w:val="4"/>
                <w:szCs w:val="4"/>
                <w:color w:val="auto"/>
              </w:rPr>
            </w:pPr>
          </w:p>
        </w:tc>
        <w:tc>
          <w:tcPr>
            <w:tcW w:w="300" w:type="dxa"/>
            <w:vAlign w:val="bottom"/>
            <w:tcBorders>
              <w:bottom w:val="single" w:sz="8" w:color="auto"/>
              <w:right w:val="single" w:sz="8" w:color="E6E6E6"/>
            </w:tcBorders>
            <w:shd w:val="clear" w:color="auto" w:fill="E6E6E6"/>
          </w:tcPr>
          <w:p>
            <w:pPr>
              <w:jc w:val="right"/>
              <w:spacing w:after="0" w:line="8" w:lineRule="exact"/>
              <w:rPr>
                <w:sz w:val="20"/>
                <w:szCs w:val="20"/>
                <w:color w:val="auto"/>
              </w:rPr>
            </w:pPr>
            <w:r>
              <w:rPr>
                <w:rFonts w:ascii="Times New Roman" w:cs="Times New Roman" w:eastAsia="Times New Roman" w:hAnsi="Times New Roman"/>
                <w:sz w:val="1"/>
                <w:szCs w:val="1"/>
                <w:b w:val="1"/>
                <w:bCs w:val="1"/>
                <w:color w:val="auto"/>
                <w:shd w:val="clear" w:color="auto" w:fill="E5E5E5"/>
              </w:rPr>
              <w:t>)</w:t>
            </w: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880" w:type="dxa"/>
            <w:vAlign w:val="bottom"/>
            <w:tcBorders>
              <w:right w:val="single" w:sz="8" w:color="E6E6E6"/>
            </w:tcBorders>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80" w:type="dxa"/>
            <w:vAlign w:val="bottom"/>
            <w:tcBorders>
              <w:right w:val="single" w:sz="8" w:color="E6E6E6"/>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42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880" w:type="dxa"/>
            <w:vAlign w:val="bottom"/>
            <w:tcBorders>
              <w:right w:val="single" w:sz="8" w:color="E6E6E6"/>
            </w:tcBorders>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80" w:type="dxa"/>
            <w:vAlign w:val="bottom"/>
            <w:tcBorders>
              <w:right w:val="single" w:sz="8" w:color="E6E6E6"/>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42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880" w:type="dxa"/>
            <w:vAlign w:val="bottom"/>
            <w:tcBorders>
              <w:right w:val="single" w:sz="8" w:color="E6E6E6"/>
            </w:tcBorders>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80" w:type="dxa"/>
            <w:vAlign w:val="bottom"/>
            <w:tcBorders>
              <w:right w:val="single" w:sz="8" w:color="E6E6E6"/>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20" w:type="dxa"/>
            <w:vAlign w:val="bottom"/>
            <w:tcBorders>
              <w:right w:val="single" w:sz="8" w:color="E6E6E6"/>
            </w:tcBorders>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420" w:type="dxa"/>
            <w:vAlign w:val="bottom"/>
            <w:tcBorders>
              <w:right w:val="single" w:sz="8" w:color="E6E6E6"/>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300" w:type="dxa"/>
            <w:vAlign w:val="bottom"/>
            <w:tcBorders>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b w:val="1"/>
                <w:bCs w:val="1"/>
                <w:color w:val="auto"/>
              </w:rPr>
              <w:t>Balance at December 31, 2025</w:t>
            </w:r>
          </w:p>
        </w:tc>
        <w:tc>
          <w:tcPr>
            <w:tcW w:w="740" w:type="dxa"/>
            <w:vAlign w:val="bottom"/>
            <w:shd w:val="clear" w:color="auto" w:fill="E6E6E6"/>
          </w:tcPr>
          <w:p>
            <w:pPr>
              <w:spacing w:after="0" w:line="20" w:lineRule="exact"/>
              <w:rPr>
                <w:sz w:val="1"/>
                <w:szCs w:val="1"/>
                <w:color w:val="auto"/>
              </w:rPr>
            </w:pPr>
          </w:p>
        </w:tc>
        <w:tc>
          <w:tcPr>
            <w:tcW w:w="880" w:type="dxa"/>
            <w:vAlign w:val="bottom"/>
            <w:tcBorders>
              <w:right w:val="single" w:sz="8" w:color="E6E6E6"/>
            </w:tcBorders>
            <w:shd w:val="clear" w:color="auto" w:fill="E6E6E6"/>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E6E6E6"/>
          </w:tcPr>
          <w:p>
            <w:pPr>
              <w:spacing w:after="0" w:line="20" w:lineRule="exact"/>
              <w:rPr>
                <w:sz w:val="1"/>
                <w:szCs w:val="1"/>
                <w:color w:val="auto"/>
              </w:rPr>
            </w:pPr>
          </w:p>
        </w:tc>
        <w:tc>
          <w:tcPr>
            <w:tcW w:w="480" w:type="dxa"/>
            <w:vAlign w:val="bottom"/>
            <w:shd w:val="clear" w:color="auto" w:fill="E6E6E6"/>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242.9</w:t>
            </w:r>
          </w:p>
        </w:tc>
        <w:tc>
          <w:tcPr>
            <w:tcW w:w="500" w:type="dxa"/>
            <w:vAlign w:val="bottom"/>
            <w:shd w:val="clear" w:color="auto" w:fill="E6E6E6"/>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2,012.2</w:t>
            </w:r>
          </w:p>
        </w:tc>
        <w:tc>
          <w:tcPr>
            <w:tcW w:w="200" w:type="dxa"/>
            <w:vAlign w:val="bottom"/>
            <w:shd w:val="clear" w:color="auto" w:fill="E6E6E6"/>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right w:val="single" w:sz="8" w:color="E6E6E6"/>
            </w:tcBorders>
            <w:gridSpan w:val="2"/>
            <w:shd w:val="clear" w:color="auto" w:fill="E6E6E6"/>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(3,815.1</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5.7</w:t>
            </w:r>
          </w:p>
        </w:tc>
        <w:tc>
          <w:tcPr>
            <w:tcW w:w="200" w:type="dxa"/>
            <w:vAlign w:val="bottom"/>
            <w:shd w:val="clear" w:color="auto" w:fill="E6E6E6"/>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rPr>
              <w:t>(1,797.2</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spacing w:after="0" w:line="20" w:lineRule="exact"/>
              <w:rPr>
                <w:sz w:val="1"/>
                <w:szCs w:val="1"/>
                <w:color w:val="auto"/>
              </w:rPr>
            </w:pPr>
          </w:p>
        </w:tc>
        <w:tc>
          <w:tcPr>
            <w:tcW w:w="740" w:type="dxa"/>
            <w:vAlign w:val="bottom"/>
            <w:shd w:val="clear" w:color="auto" w:fill="E6E6E6"/>
          </w:tcPr>
          <w:p>
            <w:pPr>
              <w:spacing w:after="0" w:line="20" w:lineRule="exact"/>
              <w:rPr>
                <w:sz w:val="1"/>
                <w:szCs w:val="1"/>
                <w:color w:val="auto"/>
              </w:rPr>
            </w:pPr>
          </w:p>
        </w:tc>
        <w:tc>
          <w:tcPr>
            <w:tcW w:w="880" w:type="dxa"/>
            <w:vAlign w:val="bottom"/>
            <w:tcBorders>
              <w:right w:val="single" w:sz="8" w:color="E6E6E6"/>
            </w:tcBorders>
            <w:shd w:val="clear" w:color="auto" w:fill="E6E6E6"/>
          </w:tcPr>
          <w:p>
            <w:pPr>
              <w:jc w:val="right"/>
              <w:ind w:right="53"/>
              <w:spacing w:after="0"/>
              <w:rPr>
                <w:sz w:val="20"/>
                <w:szCs w:val="20"/>
                <w:color w:val="auto"/>
              </w:rPr>
            </w:pPr>
            <w:r>
              <w:rPr>
                <w:rFonts w:ascii="Times New Roman" w:cs="Times New Roman" w:eastAsia="Times New Roman" w:hAnsi="Times New Roman"/>
                <w:sz w:val="15"/>
                <w:szCs w:val="15"/>
                <w:b w:val="1"/>
                <w:bCs w:val="1"/>
                <w:color w:val="auto"/>
                <w:w w:val="93"/>
              </w:rPr>
              <w:t>DROPBOX,</w:t>
            </w:r>
          </w:p>
        </w:tc>
        <w:tc>
          <w:tcPr>
            <w:tcW w:w="520" w:type="dxa"/>
            <w:vAlign w:val="bottom"/>
            <w:gridSpan w:val="2"/>
            <w:shd w:val="clear" w:color="auto" w:fill="E6E6E6"/>
          </w:tcPr>
          <w:p>
            <w:pPr>
              <w:jc w:val="center"/>
              <w:ind w:right="212"/>
              <w:spacing w:after="0"/>
              <w:rPr>
                <w:sz w:val="20"/>
                <w:szCs w:val="20"/>
                <w:color w:val="auto"/>
              </w:rPr>
            </w:pPr>
            <w:r>
              <w:rPr>
                <w:rFonts w:ascii="Times New Roman" w:cs="Times New Roman" w:eastAsia="Times New Roman" w:hAnsi="Times New Roman"/>
                <w:sz w:val="15"/>
                <w:szCs w:val="15"/>
                <w:b w:val="1"/>
                <w:bCs w:val="1"/>
                <w:color w:val="auto"/>
                <w:w w:val="76"/>
              </w:rPr>
              <w:t>INC.</w:t>
            </w:r>
          </w:p>
        </w:tc>
        <w:tc>
          <w:tcPr>
            <w:tcW w:w="320" w:type="dxa"/>
            <w:vAlign w:val="bottom"/>
            <w:tcBorders>
              <w:right w:val="single" w:sz="8" w:color="E6E6E6"/>
            </w:tcBorders>
            <w:shd w:val="clear" w:color="auto" w:fill="E6E6E6"/>
          </w:tcPr>
          <w:p>
            <w:pPr>
              <w:spacing w:after="0" w:line="20" w:lineRule="exact"/>
              <w:rPr>
                <w:sz w:val="1"/>
                <w:szCs w:val="1"/>
                <w:color w:val="auto"/>
              </w:rPr>
            </w:pPr>
          </w:p>
        </w:tc>
        <w:tc>
          <w:tcPr>
            <w:tcW w:w="680" w:type="dxa"/>
            <w:vAlign w:val="bottom"/>
            <w:shd w:val="clear" w:color="auto" w:fill="E6E6E6"/>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spacing w:after="0" w:line="20" w:lineRule="exact"/>
              <w:rPr>
                <w:sz w:val="1"/>
                <w:szCs w:val="1"/>
                <w:color w:val="auto"/>
              </w:rPr>
            </w:pP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spacing w:after="0" w:line="20" w:lineRule="exact"/>
              <w:rPr>
                <w:sz w:val="1"/>
                <w:szCs w:val="1"/>
                <w:color w:val="auto"/>
              </w:rPr>
            </w:pP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spacing w:after="0" w:line="20" w:lineRule="exact"/>
              <w:rPr>
                <w:sz w:val="1"/>
                <w:szCs w:val="1"/>
                <w:color w:val="auto"/>
              </w:rPr>
            </w:pP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320" w:type="dxa"/>
            <w:vAlign w:val="bottom"/>
            <w:tcBorders>
              <w:right w:val="single" w:sz="8" w:color="E6E6E6"/>
            </w:tcBorders>
            <w:gridSpan w:val="3"/>
            <w:shd w:val="clear" w:color="auto" w:fill="E6E6E6"/>
          </w:tcPr>
          <w:p>
            <w:pPr>
              <w:jc w:val="right"/>
              <w:ind w:right="13"/>
              <w:spacing w:after="0"/>
              <w:rPr>
                <w:sz w:val="20"/>
                <w:szCs w:val="20"/>
                <w:color w:val="auto"/>
              </w:rPr>
            </w:pPr>
            <w:r>
              <w:rPr>
                <w:rFonts w:ascii="Times New Roman" w:cs="Times New Roman" w:eastAsia="Times New Roman" w:hAnsi="Times New Roman"/>
                <w:sz w:val="15"/>
                <w:szCs w:val="15"/>
                <w:b w:val="1"/>
                <w:bCs w:val="1"/>
                <w:color w:val="auto"/>
              </w:rPr>
              <w:t>CONSOLIDATED STATEMENTS OF</w:t>
            </w:r>
          </w:p>
        </w:tc>
        <w:tc>
          <w:tcPr>
            <w:tcW w:w="2200" w:type="dxa"/>
            <w:vAlign w:val="bottom"/>
            <w:gridSpan w:val="6"/>
            <w:shd w:val="clear" w:color="auto" w:fill="E6E6E6"/>
          </w:tcPr>
          <w:p>
            <w:pPr>
              <w:jc w:val="right"/>
              <w:ind w:right="192"/>
              <w:spacing w:after="0"/>
              <w:rPr>
                <w:sz w:val="20"/>
                <w:szCs w:val="20"/>
                <w:color w:val="auto"/>
              </w:rPr>
            </w:pPr>
            <w:r>
              <w:rPr>
                <w:rFonts w:ascii="Times New Roman" w:cs="Times New Roman" w:eastAsia="Times New Roman" w:hAnsi="Times New Roman"/>
                <w:sz w:val="15"/>
                <w:szCs w:val="15"/>
                <w:b w:val="1"/>
                <w:bCs w:val="1"/>
                <w:color w:val="auto"/>
                <w:w w:val="97"/>
              </w:rPr>
              <w:t>STOCKHOLDERS' DEFICIT</w:t>
            </w:r>
          </w:p>
        </w:tc>
        <w:tc>
          <w:tcPr>
            <w:tcW w:w="320" w:type="dxa"/>
            <w:vAlign w:val="bottom"/>
            <w:tcBorders>
              <w:right w:val="single" w:sz="8" w:color="E6E6E6"/>
            </w:tcBorders>
            <w:shd w:val="clear" w:color="auto" w:fill="E6E6E6"/>
          </w:tcPr>
          <w:p>
            <w:pPr>
              <w:spacing w:after="0" w:line="20" w:lineRule="exact"/>
              <w:rPr>
                <w:sz w:val="1"/>
                <w:szCs w:val="1"/>
                <w:color w:val="auto"/>
              </w:rPr>
            </w:pP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spacing w:after="0" w:line="20" w:lineRule="exact"/>
              <w:rPr>
                <w:sz w:val="1"/>
                <w:szCs w:val="1"/>
                <w:color w:val="auto"/>
              </w:rPr>
            </w:pP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spacing w:after="0" w:line="20" w:lineRule="exact"/>
              <w:rPr>
                <w:sz w:val="1"/>
                <w:szCs w:val="1"/>
                <w:color w:val="auto"/>
              </w:rPr>
            </w:pP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spacing w:after="0" w:line="20" w:lineRule="exact"/>
              <w:rPr>
                <w:sz w:val="1"/>
                <w:szCs w:val="1"/>
                <w:color w:val="auto"/>
              </w:rPr>
            </w:pPr>
          </w:p>
        </w:tc>
        <w:tc>
          <w:tcPr>
            <w:tcW w:w="740" w:type="dxa"/>
            <w:vAlign w:val="bottom"/>
            <w:shd w:val="clear" w:color="auto" w:fill="E6E6E6"/>
          </w:tcPr>
          <w:p>
            <w:pPr>
              <w:spacing w:after="0" w:line="20" w:lineRule="exact"/>
              <w:rPr>
                <w:sz w:val="1"/>
                <w:szCs w:val="1"/>
                <w:color w:val="auto"/>
              </w:rPr>
            </w:pPr>
          </w:p>
        </w:tc>
        <w:tc>
          <w:tcPr>
            <w:tcW w:w="88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(In millions)</w:t>
            </w:r>
          </w:p>
        </w:tc>
        <w:tc>
          <w:tcPr>
            <w:tcW w:w="40" w:type="dxa"/>
            <w:vAlign w:val="bottom"/>
            <w:shd w:val="clear" w:color="auto" w:fill="E6E6E6"/>
          </w:tcPr>
          <w:p>
            <w:pPr>
              <w:spacing w:after="0" w:line="20" w:lineRule="exact"/>
              <w:rPr>
                <w:sz w:val="1"/>
                <w:szCs w:val="1"/>
                <w:color w:val="auto"/>
              </w:rPr>
            </w:pP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spacing w:after="0" w:line="20" w:lineRule="exact"/>
              <w:rPr>
                <w:sz w:val="1"/>
                <w:szCs w:val="1"/>
                <w:color w:val="auto"/>
              </w:rPr>
            </w:pPr>
          </w:p>
        </w:tc>
        <w:tc>
          <w:tcPr>
            <w:tcW w:w="680" w:type="dxa"/>
            <w:vAlign w:val="bottom"/>
            <w:shd w:val="clear" w:color="auto" w:fill="E6E6E6"/>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spacing w:after="0" w:line="20" w:lineRule="exact"/>
              <w:rPr>
                <w:sz w:val="1"/>
                <w:szCs w:val="1"/>
                <w:color w:val="auto"/>
              </w:rPr>
            </w:pP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spacing w:after="0" w:line="20" w:lineRule="exact"/>
              <w:rPr>
                <w:sz w:val="1"/>
                <w:szCs w:val="1"/>
                <w:color w:val="auto"/>
              </w:rPr>
            </w:pP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spacing w:after="0" w:line="20" w:lineRule="exact"/>
              <w:rPr>
                <w:sz w:val="1"/>
                <w:szCs w:val="1"/>
                <w:color w:val="auto"/>
              </w:rPr>
            </w:pP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spacing w:after="0" w:line="20" w:lineRule="exact"/>
              <w:rPr>
                <w:sz w:val="1"/>
                <w:szCs w:val="1"/>
                <w:color w:val="auto"/>
              </w:rPr>
            </w:pPr>
          </w:p>
        </w:tc>
        <w:tc>
          <w:tcPr>
            <w:tcW w:w="740" w:type="dxa"/>
            <w:vAlign w:val="bottom"/>
            <w:shd w:val="clear" w:color="auto" w:fill="E6E6E6"/>
          </w:tcPr>
          <w:p>
            <w:pPr>
              <w:spacing w:after="0" w:line="20" w:lineRule="exact"/>
              <w:rPr>
                <w:sz w:val="1"/>
                <w:szCs w:val="1"/>
                <w:color w:val="auto"/>
              </w:rPr>
            </w:pPr>
          </w:p>
        </w:tc>
        <w:tc>
          <w:tcPr>
            <w:tcW w:w="1400" w:type="dxa"/>
            <w:vAlign w:val="bottom"/>
            <w:gridSpan w:val="3"/>
            <w:shd w:val="clear" w:color="auto" w:fill="E6E6E6"/>
          </w:tcPr>
          <w:p>
            <w:pPr>
              <w:jc w:val="center"/>
              <w:ind w:left="213"/>
              <w:spacing w:after="0"/>
              <w:rPr>
                <w:sz w:val="20"/>
                <w:szCs w:val="20"/>
                <w:color w:val="auto"/>
              </w:rPr>
            </w:pPr>
            <w:r>
              <w:rPr>
                <w:rFonts w:ascii="Times New Roman" w:cs="Times New Roman" w:eastAsia="Times New Roman" w:hAnsi="Times New Roman"/>
                <w:sz w:val="15"/>
                <w:szCs w:val="15"/>
                <w:b w:val="1"/>
                <w:bCs w:val="1"/>
                <w:color w:val="auto"/>
              </w:rPr>
              <w:t>Convertible</w:t>
            </w:r>
          </w:p>
        </w:tc>
        <w:tc>
          <w:tcPr>
            <w:tcW w:w="320" w:type="dxa"/>
            <w:vAlign w:val="bottom"/>
            <w:tcBorders>
              <w:right w:val="single" w:sz="8" w:color="E6E6E6"/>
            </w:tcBorders>
            <w:shd w:val="clear" w:color="auto" w:fill="E6E6E6"/>
          </w:tcPr>
          <w:p>
            <w:pPr>
              <w:spacing w:after="0" w:line="20" w:lineRule="exact"/>
              <w:rPr>
                <w:sz w:val="1"/>
                <w:szCs w:val="1"/>
                <w:color w:val="auto"/>
              </w:rPr>
            </w:pPr>
          </w:p>
        </w:tc>
        <w:tc>
          <w:tcPr>
            <w:tcW w:w="1680" w:type="dxa"/>
            <w:vAlign w:val="bottom"/>
            <w:tcBorders>
              <w:right w:val="single" w:sz="8" w:color="E6E6E6"/>
            </w:tcBorders>
            <w:gridSpan w:val="4"/>
            <w:shd w:val="clear" w:color="auto" w:fill="E6E6E6"/>
          </w:tcPr>
          <w:p>
            <w:pPr>
              <w:ind w:left="160"/>
              <w:spacing w:after="0"/>
              <w:rPr>
                <w:sz w:val="20"/>
                <w:szCs w:val="20"/>
                <w:color w:val="auto"/>
              </w:rPr>
            </w:pPr>
            <w:r>
              <w:rPr>
                <w:rFonts w:ascii="Times New Roman" w:cs="Times New Roman" w:eastAsia="Times New Roman" w:hAnsi="Times New Roman"/>
                <w:sz w:val="15"/>
                <w:szCs w:val="15"/>
                <w:b w:val="1"/>
                <w:bCs w:val="1"/>
                <w:color w:val="auto"/>
              </w:rPr>
              <w:t>Class A and Class B</w:t>
            </w:r>
          </w:p>
        </w:tc>
        <w:tc>
          <w:tcPr>
            <w:tcW w:w="920" w:type="dxa"/>
            <w:vAlign w:val="bottom"/>
            <w:tcBorders>
              <w:right w:val="single" w:sz="8" w:color="E6E6E6"/>
            </w:tcBorders>
            <w:gridSpan w:val="2"/>
            <w:shd w:val="clear" w:color="auto" w:fill="E6E6E6"/>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120" w:type="dxa"/>
            <w:vAlign w:val="bottom"/>
            <w:shd w:val="clear" w:color="auto" w:fill="E6E6E6"/>
          </w:tcPr>
          <w:p>
            <w:pPr>
              <w:spacing w:after="0" w:line="20" w:lineRule="exact"/>
              <w:rPr>
                <w:sz w:val="1"/>
                <w:szCs w:val="1"/>
                <w:color w:val="auto"/>
              </w:rPr>
            </w:pPr>
          </w:p>
        </w:tc>
        <w:tc>
          <w:tcPr>
            <w:tcW w:w="1040" w:type="dxa"/>
            <w:vAlign w:val="bottom"/>
            <w:tcBorders>
              <w:right w:val="single" w:sz="8" w:color="E6E6E6"/>
            </w:tcBorders>
            <w:gridSpan w:val="2"/>
            <w:shd w:val="clear" w:color="auto" w:fill="E6E6E6"/>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jc w:val="center"/>
              <w:ind w:left="25"/>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spacing w:after="0" w:line="20" w:lineRule="exact"/>
              <w:rPr>
                <w:sz w:val="1"/>
                <w:szCs w:val="1"/>
                <w:color w:val="auto"/>
              </w:rPr>
            </w:pPr>
          </w:p>
        </w:tc>
        <w:tc>
          <w:tcPr>
            <w:tcW w:w="740" w:type="dxa"/>
            <w:vAlign w:val="bottom"/>
            <w:shd w:val="clear" w:color="auto" w:fill="E6E6E6"/>
          </w:tcPr>
          <w:p>
            <w:pPr>
              <w:spacing w:after="0" w:line="20" w:lineRule="exact"/>
              <w:rPr>
                <w:sz w:val="1"/>
                <w:szCs w:val="1"/>
                <w:color w:val="auto"/>
              </w:rPr>
            </w:pPr>
          </w:p>
        </w:tc>
        <w:tc>
          <w:tcPr>
            <w:tcW w:w="1400" w:type="dxa"/>
            <w:vAlign w:val="bottom"/>
            <w:gridSpan w:val="3"/>
            <w:shd w:val="clear" w:color="auto" w:fill="E6E6E6"/>
          </w:tcPr>
          <w:p>
            <w:pPr>
              <w:jc w:val="center"/>
              <w:ind w:left="193"/>
              <w:spacing w:after="0"/>
              <w:rPr>
                <w:sz w:val="20"/>
                <w:szCs w:val="20"/>
                <w:color w:val="auto"/>
              </w:rPr>
            </w:pPr>
            <w:r>
              <w:rPr>
                <w:rFonts w:ascii="Times New Roman" w:cs="Times New Roman" w:eastAsia="Times New Roman" w:hAnsi="Times New Roman"/>
                <w:sz w:val="15"/>
                <w:szCs w:val="15"/>
                <w:b w:val="1"/>
                <w:bCs w:val="1"/>
                <w:color w:val="auto"/>
                <w:w w:val="99"/>
              </w:rPr>
              <w:t>preferred stock</w:t>
            </w:r>
          </w:p>
        </w:tc>
        <w:tc>
          <w:tcPr>
            <w:tcW w:w="320" w:type="dxa"/>
            <w:vAlign w:val="bottom"/>
            <w:tcBorders>
              <w:right w:val="single" w:sz="8" w:color="E6E6E6"/>
            </w:tcBorders>
            <w:shd w:val="clear" w:color="auto" w:fill="E6E6E6"/>
          </w:tcPr>
          <w:p>
            <w:pPr>
              <w:spacing w:after="0" w:line="20" w:lineRule="exact"/>
              <w:rPr>
                <w:sz w:val="1"/>
                <w:szCs w:val="1"/>
                <w:color w:val="auto"/>
              </w:rPr>
            </w:pPr>
          </w:p>
        </w:tc>
        <w:tc>
          <w:tcPr>
            <w:tcW w:w="1360" w:type="dxa"/>
            <w:vAlign w:val="bottom"/>
            <w:gridSpan w:val="3"/>
            <w:shd w:val="clear" w:color="auto" w:fill="E6E6E6"/>
          </w:tcPr>
          <w:p>
            <w:pPr>
              <w:jc w:val="right"/>
              <w:ind w:right="12"/>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20" w:type="dxa"/>
            <w:vAlign w:val="bottom"/>
            <w:tcBorders>
              <w:right w:val="single" w:sz="8" w:color="E6E6E6"/>
            </w:tcBorders>
            <w:shd w:val="clear" w:color="auto" w:fill="E6E6E6"/>
          </w:tcPr>
          <w:p>
            <w:pPr>
              <w:spacing w:after="0" w:line="20" w:lineRule="exact"/>
              <w:rPr>
                <w:sz w:val="1"/>
                <w:szCs w:val="1"/>
                <w:color w:val="auto"/>
              </w:rPr>
            </w:pP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center"/>
              <w:ind w:right="154"/>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60" w:type="dxa"/>
            <w:vAlign w:val="bottom"/>
            <w:tcBorders>
              <w:right w:val="single" w:sz="8" w:color="E6E6E6"/>
            </w:tcBorders>
            <w:gridSpan w:val="3"/>
            <w:shd w:val="clear" w:color="auto" w:fill="E6E6E6"/>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160" w:type="dxa"/>
            <w:vAlign w:val="bottom"/>
            <w:tcBorders>
              <w:right w:val="single" w:sz="8" w:color="E6E6E6"/>
            </w:tcBorders>
            <w:gridSpan w:val="3"/>
            <w:shd w:val="clear" w:color="auto" w:fill="E6E6E6"/>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000" w:type="dxa"/>
            <w:vAlign w:val="bottom"/>
            <w:tcBorders>
              <w:right w:val="single" w:sz="8" w:color="E6E6E6"/>
            </w:tcBorders>
            <w:gridSpan w:val="3"/>
            <w:shd w:val="clear" w:color="auto" w:fill="E6E6E6"/>
          </w:tcPr>
          <w:p>
            <w:pPr>
              <w:jc w:val="cente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spacing w:after="0" w:line="20" w:lineRule="exact"/>
              <w:rPr>
                <w:sz w:val="1"/>
                <w:szCs w:val="1"/>
                <w:color w:val="auto"/>
              </w:rPr>
            </w:pP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0" w:type="dxa"/>
            <w:vAlign w:val="bottom"/>
            <w:tcBorders>
              <w:right w:val="single" w:sz="8" w:color="E6E6E6"/>
            </w:tcBorders>
            <w:gridSpan w:val="2"/>
            <w:shd w:val="clear" w:color="auto" w:fill="E6E6E6"/>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820" w:type="dxa"/>
            <w:vAlign w:val="bottom"/>
            <w:tcBorders>
              <w:right w:val="single" w:sz="8" w:color="E6E6E6"/>
            </w:tcBorders>
            <w:gridSpan w:val="2"/>
            <w:shd w:val="clear" w:color="auto" w:fill="E6E6E6"/>
          </w:tcPr>
          <w:p>
            <w:pPr>
              <w:ind w:left="1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center"/>
              <w:ind w:right="13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jc w:val="center"/>
              <w:ind w:left="145"/>
              <w:spacing w:after="0"/>
              <w:rPr>
                <w:sz w:val="20"/>
                <w:szCs w:val="20"/>
                <w:color w:val="auto"/>
              </w:rPr>
            </w:pPr>
            <w:r>
              <w:rPr>
                <w:rFonts w:ascii="Times New Roman" w:cs="Times New Roman" w:eastAsia="Times New Roman" w:hAnsi="Times New Roman"/>
                <w:sz w:val="15"/>
                <w:szCs w:val="15"/>
                <w:b w:val="1"/>
                <w:bCs w:val="1"/>
                <w:color w:val="auto"/>
              </w:rPr>
              <w:t>loss</w:t>
            </w:r>
          </w:p>
        </w:tc>
        <w:tc>
          <w:tcPr>
            <w:tcW w:w="420" w:type="dxa"/>
            <w:vAlign w:val="bottom"/>
            <w:tcBorders>
              <w:right w:val="single" w:sz="8" w:color="E6E6E6"/>
            </w:tcBorders>
            <w:shd w:val="clear" w:color="auto" w:fill="E6E6E6"/>
          </w:tcPr>
          <w:p>
            <w:pPr>
              <w:spacing w:after="0" w:line="20" w:lineRule="exact"/>
              <w:rPr>
                <w:sz w:val="1"/>
                <w:szCs w:val="1"/>
                <w:color w:val="auto"/>
              </w:rPr>
            </w:pP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jc w:val="center"/>
              <w:ind w:left="5"/>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300" w:type="dxa"/>
            <w:vAlign w:val="bottom"/>
            <w:tcBorders>
              <w:right w:val="single" w:sz="8" w:color="E6E6E6"/>
            </w:tcBorders>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Release of restricted stock units and awards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1.1</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Shares withheld related to net share settlement of restricted stock units and awards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23"/>
              <w:spacing w:after="0"/>
              <w:rPr>
                <w:sz w:val="20"/>
                <w:szCs w:val="20"/>
                <w:color w:val="auto"/>
              </w:rPr>
            </w:pPr>
            <w:r>
              <w:rPr>
                <w:rFonts w:ascii="Times New Roman" w:cs="Times New Roman" w:eastAsia="Times New Roman" w:hAnsi="Times New Roman"/>
                <w:sz w:val="14"/>
                <w:szCs w:val="14"/>
                <w:color w:val="auto"/>
              </w:rPr>
              <w:t>(5.3)</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200" w:type="dxa"/>
            <w:vAlign w:val="bottom"/>
            <w:shd w:val="clear" w:color="auto" w:fill="E6E6E6"/>
          </w:tcPr>
          <w:p>
            <w:pPr>
              <w:spacing w:after="0" w:line="20" w:lineRule="exact"/>
              <w:rPr>
                <w:sz w:val="1"/>
                <w:szCs w:val="1"/>
                <w:color w:val="auto"/>
              </w:rPr>
            </w:pPr>
          </w:p>
        </w:tc>
        <w:tc>
          <w:tcPr>
            <w:tcW w:w="860" w:type="dxa"/>
            <w:vAlign w:val="bottom"/>
            <w:tcBorders>
              <w:right w:val="single" w:sz="8" w:color="E6E6E6"/>
            </w:tcBorders>
            <w:gridSpan w:val="2"/>
            <w:shd w:val="clear" w:color="auto" w:fill="E6E6E6"/>
          </w:tcPr>
          <w:p>
            <w:pPr>
              <w:jc w:val="right"/>
              <w:ind w:right="4"/>
              <w:spacing w:after="0"/>
              <w:rPr>
                <w:sz w:val="20"/>
                <w:szCs w:val="20"/>
                <w:color w:val="auto"/>
              </w:rPr>
            </w:pPr>
            <w:r>
              <w:rPr>
                <w:rFonts w:ascii="Times New Roman" w:cs="Times New Roman" w:eastAsia="Times New Roman" w:hAnsi="Times New Roman"/>
                <w:sz w:val="14"/>
                <w:szCs w:val="14"/>
                <w:color w:val="auto"/>
              </w:rPr>
              <w:t>(86.6)</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23"/>
              <w:spacing w:after="0"/>
              <w:rPr>
                <w:sz w:val="20"/>
                <w:szCs w:val="20"/>
                <w:color w:val="auto"/>
              </w:rPr>
            </w:pPr>
            <w:r>
              <w:rPr>
                <w:rFonts w:ascii="Times New Roman" w:cs="Times New Roman" w:eastAsia="Times New Roman" w:hAnsi="Times New Roman"/>
                <w:sz w:val="14"/>
                <w:szCs w:val="14"/>
                <w:color w:val="auto"/>
              </w:rPr>
              <w:t>(22.7)</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200" w:type="dxa"/>
            <w:vAlign w:val="bottom"/>
            <w:shd w:val="clear" w:color="auto" w:fill="E6E6E6"/>
          </w:tcPr>
          <w:p>
            <w:pPr>
              <w:spacing w:after="0" w:line="20" w:lineRule="exact"/>
              <w:rPr>
                <w:sz w:val="1"/>
                <w:szCs w:val="1"/>
                <w:color w:val="auto"/>
              </w:rPr>
            </w:pPr>
          </w:p>
        </w:tc>
        <w:tc>
          <w:tcPr>
            <w:tcW w:w="860" w:type="dxa"/>
            <w:vAlign w:val="bottom"/>
            <w:tcBorders>
              <w:right w:val="single" w:sz="8" w:color="E6E6E6"/>
            </w:tcBorders>
            <w:gridSpan w:val="2"/>
            <w:shd w:val="clear" w:color="auto" w:fill="E6E6E6"/>
          </w:tcPr>
          <w:p>
            <w:pPr>
              <w:jc w:val="right"/>
              <w:ind w:right="4"/>
              <w:spacing w:after="0"/>
              <w:rPr>
                <w:sz w:val="20"/>
                <w:szCs w:val="20"/>
                <w:color w:val="auto"/>
              </w:rPr>
            </w:pPr>
            <w:r>
              <w:rPr>
                <w:rFonts w:ascii="Times New Roman" w:cs="Times New Roman" w:eastAsia="Times New Roman" w:hAnsi="Times New Roman"/>
                <w:sz w:val="14"/>
                <w:szCs w:val="14"/>
                <w:color w:val="auto"/>
              </w:rPr>
              <w:t>(337.2)</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(542.8)</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Exercise of stock options and awards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Stock-based compensation</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338.0</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338.0</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Other comprehensive loss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w w:val="81"/>
              </w:rPr>
              <w:t>27.4</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Net income</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60" w:type="dxa"/>
            <w:vAlign w:val="bottom"/>
            <w:tcBorders>
              <w:right w:val="single" w:sz="8" w:color="E6E6E6"/>
            </w:tcBorders>
            <w:gridSpan w:val="2"/>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453.6</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453.6</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Release of restricted stock units and awards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1.4</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Shares withheld related to net share settlement of restricted stock units and awards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23"/>
              <w:spacing w:after="0"/>
              <w:rPr>
                <w:sz w:val="20"/>
                <w:szCs w:val="20"/>
                <w:color w:val="auto"/>
              </w:rPr>
            </w:pPr>
            <w:r>
              <w:rPr>
                <w:rFonts w:ascii="Times New Roman" w:cs="Times New Roman" w:eastAsia="Times New Roman" w:hAnsi="Times New Roman"/>
                <w:sz w:val="14"/>
                <w:szCs w:val="14"/>
                <w:color w:val="auto"/>
              </w:rPr>
              <w:t>(5.7)</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200" w:type="dxa"/>
            <w:vAlign w:val="bottom"/>
            <w:shd w:val="clear" w:color="auto" w:fill="E6E6E6"/>
          </w:tcPr>
          <w:p>
            <w:pPr>
              <w:spacing w:after="0" w:line="20" w:lineRule="exact"/>
              <w:rPr>
                <w:sz w:val="1"/>
                <w:szCs w:val="1"/>
                <w:color w:val="auto"/>
              </w:rPr>
            </w:pPr>
          </w:p>
        </w:tc>
        <w:tc>
          <w:tcPr>
            <w:tcW w:w="860" w:type="dxa"/>
            <w:vAlign w:val="bottom"/>
            <w:tcBorders>
              <w:right w:val="single" w:sz="8" w:color="E6E6E6"/>
            </w:tcBorders>
            <w:gridSpan w:val="2"/>
            <w:shd w:val="clear" w:color="auto" w:fill="E6E6E6"/>
          </w:tcPr>
          <w:p>
            <w:pPr>
              <w:jc w:val="right"/>
              <w:ind w:right="4"/>
              <w:spacing w:after="0"/>
              <w:rPr>
                <w:sz w:val="20"/>
                <w:szCs w:val="20"/>
                <w:color w:val="auto"/>
              </w:rPr>
            </w:pPr>
            <w:r>
              <w:rPr>
                <w:rFonts w:ascii="Times New Roman" w:cs="Times New Roman" w:eastAsia="Times New Roman" w:hAnsi="Times New Roman"/>
                <w:sz w:val="14"/>
                <w:szCs w:val="14"/>
                <w:color w:val="auto"/>
              </w:rPr>
              <w:t>(93.5)</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23"/>
              <w:spacing w:after="0"/>
              <w:rPr>
                <w:sz w:val="20"/>
                <w:szCs w:val="20"/>
                <w:color w:val="auto"/>
              </w:rPr>
            </w:pPr>
            <w:r>
              <w:rPr>
                <w:rFonts w:ascii="Times New Roman" w:cs="Times New Roman" w:eastAsia="Times New Roman" w:hAnsi="Times New Roman"/>
                <w:sz w:val="14"/>
                <w:szCs w:val="14"/>
                <w:color w:val="auto"/>
              </w:rPr>
              <w:t>(49.5)</w:t>
            </w:r>
          </w:p>
        </w:tc>
        <w:tc>
          <w:tcPr>
            <w:tcW w:w="500" w:type="dxa"/>
            <w:vAlign w:val="bottom"/>
            <w:shd w:val="clear" w:color="auto" w:fill="E6E6E6"/>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(485.9)</w:t>
            </w:r>
          </w:p>
        </w:tc>
        <w:tc>
          <w:tcPr>
            <w:tcW w:w="200" w:type="dxa"/>
            <w:vAlign w:val="bottom"/>
            <w:shd w:val="clear" w:color="auto" w:fill="E6E6E6"/>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4"/>
              <w:spacing w:after="0"/>
              <w:rPr>
                <w:sz w:val="20"/>
                <w:szCs w:val="20"/>
                <w:color w:val="auto"/>
              </w:rPr>
            </w:pPr>
            <w:r>
              <w:rPr>
                <w:rFonts w:ascii="Times New Roman" w:cs="Times New Roman" w:eastAsia="Times New Roman" w:hAnsi="Times New Roman"/>
                <w:sz w:val="14"/>
                <w:szCs w:val="14"/>
                <w:color w:val="auto"/>
              </w:rPr>
              <w:t>(763.0)</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(1,248.9)</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Exercise of stock options and awards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Stock-based compensation</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346.5</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346.5</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w w:val="81"/>
              </w:rPr>
              <w:t>11.4</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Net income</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60" w:type="dxa"/>
            <w:vAlign w:val="bottom"/>
            <w:tcBorders>
              <w:right w:val="single" w:sz="8" w:color="E6E6E6"/>
            </w:tcBorders>
            <w:gridSpan w:val="2"/>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452.3</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452.3</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Release of restricted stock units and awards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1.4</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Shares withheld related to net share settlement of restricted stock units and awards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23"/>
              <w:spacing w:after="0"/>
              <w:rPr>
                <w:sz w:val="20"/>
                <w:szCs w:val="20"/>
                <w:color w:val="auto"/>
              </w:rPr>
            </w:pPr>
            <w:r>
              <w:rPr>
                <w:rFonts w:ascii="Times New Roman" w:cs="Times New Roman" w:eastAsia="Times New Roman" w:hAnsi="Times New Roman"/>
                <w:sz w:val="14"/>
                <w:szCs w:val="14"/>
                <w:color w:val="auto"/>
              </w:rPr>
              <w:t>(5.0)</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00" w:type="dxa"/>
            <w:vAlign w:val="bottom"/>
            <w:shd w:val="clear" w:color="auto" w:fill="E6E6E6"/>
          </w:tcPr>
          <w:p>
            <w:pPr>
              <w:spacing w:after="0" w:line="20" w:lineRule="exact"/>
              <w:rPr>
                <w:sz w:val="1"/>
                <w:szCs w:val="1"/>
                <w:color w:val="auto"/>
              </w:rPr>
            </w:pPr>
          </w:p>
        </w:tc>
        <w:tc>
          <w:tcPr>
            <w:tcW w:w="860" w:type="dxa"/>
            <w:vAlign w:val="bottom"/>
            <w:tcBorders>
              <w:right w:val="single" w:sz="8" w:color="E6E6E6"/>
            </w:tcBorders>
            <w:gridSpan w:val="2"/>
            <w:shd w:val="clear" w:color="auto" w:fill="E6E6E6"/>
          </w:tcPr>
          <w:p>
            <w:pPr>
              <w:jc w:val="right"/>
              <w:ind w:right="4"/>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23"/>
              <w:spacing w:after="0"/>
              <w:rPr>
                <w:sz w:val="20"/>
                <w:szCs w:val="20"/>
                <w:color w:val="auto"/>
              </w:rPr>
            </w:pPr>
            <w:r>
              <w:rPr>
                <w:rFonts w:ascii="Times New Roman" w:cs="Times New Roman" w:eastAsia="Times New Roman" w:hAnsi="Times New Roman"/>
                <w:sz w:val="14"/>
                <w:szCs w:val="14"/>
                <w:color w:val="auto"/>
              </w:rPr>
              <w:t>(60.4)</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200" w:type="dxa"/>
            <w:vAlign w:val="bottom"/>
            <w:shd w:val="clear" w:color="auto" w:fill="E6E6E6"/>
          </w:tcPr>
          <w:p>
            <w:pPr>
              <w:spacing w:after="0" w:line="20" w:lineRule="exact"/>
              <w:rPr>
                <w:sz w:val="1"/>
                <w:szCs w:val="1"/>
                <w:color w:val="auto"/>
              </w:rPr>
            </w:pPr>
          </w:p>
        </w:tc>
        <w:tc>
          <w:tcPr>
            <w:tcW w:w="860" w:type="dxa"/>
            <w:vAlign w:val="bottom"/>
            <w:tcBorders>
              <w:right w:val="single" w:sz="8" w:color="E6E6E6"/>
            </w:tcBorders>
            <w:gridSpan w:val="2"/>
            <w:shd w:val="clear" w:color="auto" w:fill="E6E6E6"/>
          </w:tcPr>
          <w:p>
            <w:pPr>
              <w:jc w:val="right"/>
              <w:ind w:right="4"/>
              <w:spacing w:after="0"/>
              <w:rPr>
                <w:sz w:val="20"/>
                <w:szCs w:val="20"/>
                <w:color w:val="auto"/>
              </w:rPr>
            </w:pPr>
            <w:r>
              <w:rPr>
                <w:rFonts w:ascii="Times New Roman" w:cs="Times New Roman" w:eastAsia="Times New Roman" w:hAnsi="Times New Roman"/>
                <w:sz w:val="14"/>
                <w:szCs w:val="14"/>
                <w:color w:val="auto"/>
              </w:rPr>
              <w:t>(1,079.2)</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(1,718.9)</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Exercise of stock options and awards</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Stock-based compensation</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300.8</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rPr>
              <w:t>300.8</w:t>
            </w:r>
          </w:p>
        </w:tc>
        <w:tc>
          <w:tcPr>
            <w:tcW w:w="0" w:type="dxa"/>
            <w:vAlign w:val="bottom"/>
          </w:tcPr>
          <w:p>
            <w:pPr>
              <w:spacing w:after="0" w:line="20" w:lineRule="exact"/>
              <w:rPr>
                <w:sz w:val="1"/>
                <w:szCs w:val="1"/>
                <w:color w:val="auto"/>
              </w:rPr>
            </w:pPr>
          </w:p>
        </w:tc>
      </w:tr>
      <w:tr>
        <w:trPr>
          <w:trHeight w:val="0"/>
        </w:trPr>
        <w:tc>
          <w:tcPr>
            <w:tcW w:w="5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E6E6E6"/>
            </w:tcBorders>
            <w:gridSpan w:val="2"/>
            <w:shd w:val="clear" w:color="auto" w:fill="E6E6E6"/>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6E6"/>
          </w:tcPr>
          <w:p>
            <w:pPr>
              <w:spacing w:after="0" w:line="20" w:lineRule="exact"/>
              <w:rPr>
                <w:sz w:val="1"/>
                <w:szCs w:val="1"/>
                <w:color w:val="auto"/>
              </w:rPr>
            </w:pPr>
          </w:p>
        </w:tc>
        <w:tc>
          <w:tcPr>
            <w:tcW w:w="56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rPr>
                <w:sz w:val="20"/>
                <w:szCs w:val="20"/>
                <w:color w:val="auto"/>
              </w:rPr>
            </w:pPr>
            <w:r>
              <w:rPr>
                <w:rFonts w:ascii="Times New Roman" w:cs="Times New Roman" w:eastAsia="Times New Roman" w:hAnsi="Times New Roman"/>
                <w:sz w:val="14"/>
                <w:szCs w:val="14"/>
                <w:color w:val="auto"/>
              </w:rPr>
              <w:t>15.8</w:t>
            </w:r>
          </w:p>
        </w:tc>
        <w:tc>
          <w:tcPr>
            <w:tcW w:w="200" w:type="dxa"/>
            <w:vAlign w:val="bottom"/>
            <w:shd w:val="clear" w:color="auto" w:fill="E6E6E6"/>
          </w:tcPr>
          <w:p>
            <w:pPr>
              <w:spacing w:after="0" w:line="20" w:lineRule="exact"/>
              <w:rPr>
                <w:sz w:val="1"/>
                <w:szCs w:val="1"/>
                <w:color w:val="auto"/>
              </w:rPr>
            </w:pPr>
          </w:p>
        </w:tc>
        <w:tc>
          <w:tcPr>
            <w:tcW w:w="500" w:type="dxa"/>
            <w:vAlign w:val="bottom"/>
            <w:shd w:val="clear" w:color="auto" w:fill="E6E6E6"/>
          </w:tcPr>
          <w:p>
            <w:pPr>
              <w:spacing w:after="0" w:line="20" w:lineRule="exact"/>
              <w:rPr>
                <w:sz w:val="1"/>
                <w:szCs w:val="1"/>
                <w:color w:val="auto"/>
              </w:rPr>
            </w:pPr>
          </w:p>
        </w:tc>
        <w:tc>
          <w:tcPr>
            <w:tcW w:w="300" w:type="dxa"/>
            <w:vAlign w:val="bottom"/>
            <w:tcBorders>
              <w:right w:val="single" w:sz="8" w:color="E6E6E6"/>
            </w:tcBorders>
            <w:shd w:val="clear" w:color="auto" w:fill="E6E6E6"/>
          </w:tcPr>
          <w:p>
            <w:pPr>
              <w:jc w:val="right"/>
              <w:ind w:right="27"/>
              <w:spacing w:after="0"/>
              <w:rPr>
                <w:sz w:val="20"/>
                <w:szCs w:val="20"/>
                <w:color w:val="auto"/>
              </w:rPr>
            </w:pPr>
            <w:r>
              <w:rPr>
                <w:rFonts w:ascii="Times New Roman" w:cs="Times New Roman" w:eastAsia="Times New Roman" w:hAnsi="Times New Roman"/>
                <w:sz w:val="14"/>
                <w:szCs w:val="14"/>
                <w:color w:val="auto"/>
                <w:w w:val="81"/>
              </w:rPr>
              <w:t>15.8</w:t>
            </w:r>
          </w:p>
        </w:tc>
        <w:tc>
          <w:tcPr>
            <w:tcW w:w="0" w:type="dxa"/>
            <w:vAlign w:val="bottom"/>
          </w:tcPr>
          <w:p>
            <w:pPr>
              <w:spacing w:after="0" w:line="20" w:lineRule="exact"/>
              <w:rPr>
                <w:sz w:val="1"/>
                <w:szCs w:val="1"/>
                <w:color w:val="auto"/>
              </w:rPr>
            </w:pPr>
          </w:p>
        </w:tc>
      </w:tr>
      <w:tr>
        <w:trPr>
          <w:trHeight w:val="8"/>
        </w:trPr>
        <w:tc>
          <w:tcPr>
            <w:tcW w:w="5700" w:type="dxa"/>
            <w:vAlign w:val="bottom"/>
            <w:shd w:val="clear" w:color="auto" w:fill="E6E6E6"/>
          </w:tcPr>
          <w:p>
            <w:pPr>
              <w:ind w:left="40"/>
              <w:spacing w:after="0" w:line="8" w:lineRule="exact"/>
              <w:rPr>
                <w:sz w:val="20"/>
                <w:szCs w:val="20"/>
                <w:color w:val="auto"/>
              </w:rPr>
            </w:pPr>
            <w:r>
              <w:rPr>
                <w:rFonts w:ascii="Times New Roman" w:cs="Times New Roman" w:eastAsia="Times New Roman" w:hAnsi="Times New Roman"/>
                <w:sz w:val="1"/>
                <w:szCs w:val="1"/>
                <w:color w:val="auto"/>
              </w:rPr>
              <w:t>Net income</w:t>
            </w:r>
          </w:p>
        </w:tc>
        <w:tc>
          <w:tcPr>
            <w:tcW w:w="740" w:type="dxa"/>
            <w:vAlign w:val="bottom"/>
            <w:shd w:val="clear" w:color="auto" w:fill="E6E6E6"/>
          </w:tcPr>
          <w:p>
            <w:pPr>
              <w:spacing w:after="0" w:line="20" w:lineRule="exact"/>
              <w:rPr>
                <w:sz w:val="1"/>
                <w:szCs w:val="1"/>
                <w:color w:val="auto"/>
              </w:rPr>
            </w:pPr>
          </w:p>
        </w:tc>
        <w:tc>
          <w:tcPr>
            <w:tcW w:w="920" w:type="dxa"/>
            <w:vAlign w:val="bottom"/>
            <w:gridSpan w:val="2"/>
            <w:shd w:val="clear" w:color="auto" w:fill="E6E6E6"/>
          </w:tcPr>
          <w:p>
            <w:pPr>
              <w:jc w:val="right"/>
              <w:ind w:right="85"/>
              <w:spacing w:after="0" w:line="8"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60"/>
              <w:spacing w:after="0" w:line="8" w:lineRule="exact"/>
              <w:rPr>
                <w:sz w:val="20"/>
                <w:szCs w:val="20"/>
                <w:color w:val="auto"/>
              </w:rPr>
            </w:pPr>
            <w:r>
              <w:rPr>
                <w:rFonts w:ascii="Times New Roman" w:cs="Times New Roman" w:eastAsia="Times New Roman" w:hAnsi="Times New Roman"/>
                <w:sz w:val="1"/>
                <w:szCs w:val="1"/>
                <w:color w:val="auto"/>
              </w:rPr>
              <w:t>—</w:t>
            </w:r>
          </w:p>
        </w:tc>
        <w:tc>
          <w:tcPr>
            <w:tcW w:w="860" w:type="dxa"/>
            <w:vAlign w:val="bottom"/>
            <w:tcBorders>
              <w:right w:val="single" w:sz="8" w:color="E6E6E6"/>
            </w:tcBorders>
            <w:gridSpan w:val="2"/>
            <w:shd w:val="clear" w:color="auto" w:fill="E6E6E6"/>
          </w:tcPr>
          <w:p>
            <w:pPr>
              <w:jc w:val="right"/>
              <w:ind w:right="63"/>
              <w:spacing w:after="0" w:line="8" w:lineRule="exact"/>
              <w:rPr>
                <w:sz w:val="20"/>
                <w:szCs w:val="20"/>
                <w:color w:val="auto"/>
              </w:rPr>
            </w:pPr>
            <w:r>
              <w:rPr>
                <w:rFonts w:ascii="Times New Roman" w:cs="Times New Roman" w:eastAsia="Times New Roman" w:hAnsi="Times New Roman"/>
                <w:sz w:val="1"/>
                <w:szCs w:val="1"/>
                <w:color w:val="auto"/>
              </w:rPr>
              <w:t>—</w:t>
            </w:r>
          </w:p>
        </w:tc>
        <w:tc>
          <w:tcPr>
            <w:tcW w:w="500" w:type="dxa"/>
            <w:vAlign w:val="bottom"/>
            <w:shd w:val="clear" w:color="auto" w:fill="E6E6E6"/>
          </w:tcPr>
          <w:p>
            <w:pPr>
              <w:spacing w:after="0" w:line="20" w:lineRule="exact"/>
              <w:rPr>
                <w:sz w:val="1"/>
                <w:szCs w:val="1"/>
                <w:color w:val="auto"/>
              </w:rPr>
            </w:pPr>
          </w:p>
        </w:tc>
        <w:tc>
          <w:tcPr>
            <w:tcW w:w="320" w:type="dxa"/>
            <w:vAlign w:val="bottom"/>
            <w:tcBorders>
              <w:right w:val="single" w:sz="8" w:color="E6E6E6"/>
            </w:tcBorders>
            <w:shd w:val="clear" w:color="auto" w:fill="E6E6E6"/>
          </w:tcPr>
          <w:p>
            <w:pPr>
              <w:ind w:left="80"/>
              <w:spacing w:after="0" w:line="8"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jc w:val="right"/>
              <w:ind w:right="34"/>
              <w:spacing w:after="0" w:line="8"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shd w:val="clear" w:color="auto" w:fill="E6E6E6"/>
          </w:tcPr>
          <w:p>
            <w:pPr>
              <w:spacing w:after="0" w:line="20" w:lineRule="exact"/>
              <w:rPr>
                <w:sz w:val="1"/>
                <w:szCs w:val="1"/>
                <w:color w:val="auto"/>
              </w:rPr>
            </w:pPr>
          </w:p>
        </w:tc>
        <w:tc>
          <w:tcPr>
            <w:tcW w:w="860" w:type="dxa"/>
            <w:vAlign w:val="bottom"/>
            <w:tcBorders>
              <w:right w:val="single" w:sz="8" w:color="E6E6E6"/>
            </w:tcBorders>
            <w:gridSpan w:val="2"/>
            <w:shd w:val="clear" w:color="auto" w:fill="E6E6E6"/>
          </w:tcPr>
          <w:p>
            <w:pPr>
              <w:jc w:val="right"/>
              <w:ind w:right="64"/>
              <w:spacing w:after="0" w:line="8" w:lineRule="exact"/>
              <w:rPr>
                <w:sz w:val="20"/>
                <w:szCs w:val="20"/>
                <w:color w:val="auto"/>
              </w:rPr>
            </w:pPr>
            <w:r>
              <w:rPr>
                <w:rFonts w:ascii="Times New Roman" w:cs="Times New Roman" w:eastAsia="Times New Roman" w:hAnsi="Times New Roman"/>
                <w:sz w:val="1"/>
                <w:szCs w:val="1"/>
                <w:color w:val="auto"/>
              </w:rPr>
              <w:t>508.4</w:t>
            </w:r>
          </w:p>
        </w:tc>
        <w:tc>
          <w:tcPr>
            <w:tcW w:w="120" w:type="dxa"/>
            <w:vAlign w:val="bottom"/>
            <w:shd w:val="clear" w:color="auto" w:fill="E6E6E6"/>
          </w:tcPr>
          <w:p>
            <w:pPr>
              <w:spacing w:after="0" w:line="20" w:lineRule="exact"/>
              <w:rPr>
                <w:sz w:val="1"/>
                <w:szCs w:val="1"/>
                <w:color w:val="auto"/>
              </w:rPr>
            </w:pPr>
          </w:p>
        </w:tc>
        <w:tc>
          <w:tcPr>
            <w:tcW w:w="62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jc w:val="right"/>
              <w:ind w:right="61"/>
              <w:spacing w:after="0" w:line="8"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shd w:val="clear" w:color="auto" w:fill="E6E6E6"/>
          </w:tcPr>
          <w:p>
            <w:pPr>
              <w:spacing w:after="0" w:line="20" w:lineRule="exact"/>
              <w:rPr>
                <w:sz w:val="1"/>
                <w:szCs w:val="1"/>
                <w:color w:val="auto"/>
              </w:rPr>
            </w:pPr>
          </w:p>
        </w:tc>
        <w:tc>
          <w:tcPr>
            <w:tcW w:w="800" w:type="dxa"/>
            <w:vAlign w:val="bottom"/>
            <w:tcBorders>
              <w:right w:val="single" w:sz="8" w:color="E6E6E6"/>
            </w:tcBorders>
            <w:gridSpan w:val="2"/>
            <w:shd w:val="clear" w:color="auto" w:fill="E6E6E6"/>
          </w:tcPr>
          <w:p>
            <w:pPr>
              <w:jc w:val="right"/>
              <w:ind w:right="27"/>
              <w:spacing w:after="0" w:line="8" w:lineRule="exact"/>
              <w:rPr>
                <w:sz w:val="20"/>
                <w:szCs w:val="20"/>
                <w:color w:val="auto"/>
              </w:rPr>
            </w:pPr>
            <w:r>
              <w:rPr>
                <w:rFonts w:ascii="Times New Roman" w:cs="Times New Roman" w:eastAsia="Times New Roman" w:hAnsi="Times New Roman"/>
                <w:sz w:val="1"/>
                <w:szCs w:val="1"/>
                <w:color w:val="auto"/>
              </w:rPr>
              <w:t>508.4</w:t>
            </w:r>
          </w:p>
        </w:tc>
        <w:tc>
          <w:tcPr>
            <w:tcW w:w="0" w:type="dxa"/>
            <w:vAlign w:val="bottom"/>
          </w:tcPr>
          <w:p>
            <w:pPr>
              <w:spacing w:after="0" w:line="20" w:lineRule="exact"/>
              <w:rPr>
                <w:sz w:val="1"/>
                <w:szCs w:val="1"/>
                <w:color w:val="auto"/>
              </w:rPr>
            </w:pPr>
          </w:p>
        </w:tc>
      </w:tr>
      <w:tr>
        <w:trPr>
          <w:trHeight w:val="187"/>
        </w:trPr>
        <w:tc>
          <w:tcPr>
            <w:tcW w:w="5700" w:type="dxa"/>
            <w:vAlign w:val="bottom"/>
            <w:tcBorders>
              <w:bottom w:val="single" w:sz="8" w:color="E6E6E6"/>
            </w:tcBorders>
            <w:shd w:val="clear" w:color="auto" w:fill="E6E6E6"/>
          </w:tcPr>
          <w:p>
            <w:pPr>
              <w:spacing w:after="0"/>
              <w:rPr>
                <w:sz w:val="16"/>
                <w:szCs w:val="16"/>
                <w:color w:val="auto"/>
              </w:rPr>
            </w:pPr>
          </w:p>
        </w:tc>
        <w:tc>
          <w:tcPr>
            <w:tcW w:w="740" w:type="dxa"/>
            <w:vAlign w:val="bottom"/>
            <w:tcBorders>
              <w:bottom w:val="single" w:sz="8" w:color="E6E6E6"/>
            </w:tcBorders>
            <w:shd w:val="clear" w:color="auto" w:fill="E6E6E6"/>
          </w:tcPr>
          <w:p>
            <w:pPr>
              <w:spacing w:after="0"/>
              <w:rPr>
                <w:sz w:val="16"/>
                <w:szCs w:val="16"/>
                <w:color w:val="auto"/>
              </w:rPr>
            </w:pPr>
          </w:p>
        </w:tc>
        <w:tc>
          <w:tcPr>
            <w:tcW w:w="880" w:type="dxa"/>
            <w:vAlign w:val="bottom"/>
            <w:tcBorders>
              <w:bottom w:val="single" w:sz="8" w:color="auto"/>
              <w:right w:val="single" w:sz="8" w:color="E6E6E6"/>
            </w:tcBorders>
            <w:shd w:val="clear" w:color="auto" w:fill="E6E6E6"/>
          </w:tcPr>
          <w:p>
            <w:pPr>
              <w:spacing w:after="0"/>
              <w:rPr>
                <w:sz w:val="16"/>
                <w:szCs w:val="16"/>
                <w:color w:val="auto"/>
              </w:rPr>
            </w:pPr>
          </w:p>
        </w:tc>
        <w:tc>
          <w:tcPr>
            <w:tcW w:w="40" w:type="dxa"/>
            <w:vAlign w:val="bottom"/>
            <w:tcBorders>
              <w:bottom w:val="single" w:sz="8" w:color="auto"/>
            </w:tcBorders>
            <w:shd w:val="clear" w:color="auto" w:fill="E6E6E6"/>
          </w:tcPr>
          <w:p>
            <w:pPr>
              <w:spacing w:after="0"/>
              <w:rPr>
                <w:sz w:val="16"/>
                <w:szCs w:val="16"/>
                <w:color w:val="auto"/>
              </w:rPr>
            </w:pPr>
          </w:p>
        </w:tc>
        <w:tc>
          <w:tcPr>
            <w:tcW w:w="480" w:type="dxa"/>
            <w:vAlign w:val="bottom"/>
            <w:tcBorders>
              <w:bottom w:val="single" w:sz="8" w:color="auto"/>
            </w:tcBorders>
            <w:shd w:val="clear" w:color="auto" w:fill="E6E6E6"/>
          </w:tcPr>
          <w:p>
            <w:pPr>
              <w:spacing w:after="0"/>
              <w:rPr>
                <w:sz w:val="16"/>
                <w:szCs w:val="16"/>
                <w:color w:val="auto"/>
              </w:rPr>
            </w:pPr>
          </w:p>
        </w:tc>
        <w:tc>
          <w:tcPr>
            <w:tcW w:w="320" w:type="dxa"/>
            <w:vAlign w:val="bottom"/>
            <w:tcBorders>
              <w:bottom w:val="single" w:sz="8" w:color="auto"/>
              <w:right w:val="single" w:sz="8" w:color="E6E6E6"/>
            </w:tcBorders>
            <w:shd w:val="clear" w:color="auto" w:fill="E6E6E6"/>
          </w:tcPr>
          <w:p>
            <w:pPr>
              <w:spacing w:after="0"/>
              <w:rPr>
                <w:sz w:val="16"/>
                <w:szCs w:val="16"/>
                <w:color w:val="auto"/>
              </w:rPr>
            </w:pPr>
          </w:p>
        </w:tc>
        <w:tc>
          <w:tcPr>
            <w:tcW w:w="680" w:type="dxa"/>
            <w:vAlign w:val="bottom"/>
            <w:tcBorders>
              <w:bottom w:val="single" w:sz="8" w:color="auto"/>
            </w:tcBorders>
            <w:shd w:val="clear" w:color="auto" w:fill="E6E6E6"/>
          </w:tcPr>
          <w:p>
            <w:pPr>
              <w:spacing w:after="0"/>
              <w:rPr>
                <w:sz w:val="16"/>
                <w:szCs w:val="16"/>
                <w:color w:val="auto"/>
              </w:rPr>
            </w:pPr>
          </w:p>
        </w:tc>
        <w:tc>
          <w:tcPr>
            <w:tcW w:w="180" w:type="dxa"/>
            <w:vAlign w:val="bottom"/>
            <w:tcBorders>
              <w:bottom w:val="single" w:sz="8" w:color="auto"/>
              <w:right w:val="single" w:sz="8" w:color="E6E6E6"/>
            </w:tcBorders>
            <w:shd w:val="clear" w:color="auto" w:fill="E6E6E6"/>
          </w:tcPr>
          <w:p>
            <w:pPr>
              <w:spacing w:after="0"/>
              <w:rPr>
                <w:sz w:val="16"/>
                <w:szCs w:val="16"/>
                <w:color w:val="auto"/>
              </w:rPr>
            </w:pPr>
          </w:p>
        </w:tc>
        <w:tc>
          <w:tcPr>
            <w:tcW w:w="500" w:type="dxa"/>
            <w:vAlign w:val="bottom"/>
            <w:tcBorders>
              <w:bottom w:val="single" w:sz="8" w:color="auto"/>
            </w:tcBorders>
            <w:shd w:val="clear" w:color="auto" w:fill="E6E6E6"/>
          </w:tcPr>
          <w:p>
            <w:pPr>
              <w:spacing w:after="0"/>
              <w:rPr>
                <w:sz w:val="16"/>
                <w:szCs w:val="16"/>
                <w:color w:val="auto"/>
              </w:rPr>
            </w:pPr>
          </w:p>
        </w:tc>
        <w:tc>
          <w:tcPr>
            <w:tcW w:w="320" w:type="dxa"/>
            <w:vAlign w:val="bottom"/>
            <w:tcBorders>
              <w:bottom w:val="single" w:sz="8" w:color="auto"/>
              <w:right w:val="single" w:sz="8" w:color="E6E6E6"/>
            </w:tcBorders>
            <w:shd w:val="clear" w:color="auto" w:fill="E6E6E6"/>
          </w:tcPr>
          <w:p>
            <w:pPr>
              <w:spacing w:after="0"/>
              <w:rPr>
                <w:sz w:val="16"/>
                <w:szCs w:val="16"/>
                <w:color w:val="auto"/>
              </w:rPr>
            </w:pPr>
          </w:p>
        </w:tc>
        <w:tc>
          <w:tcPr>
            <w:tcW w:w="16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right w:val="single" w:sz="8" w:color="E6E6E6"/>
            </w:tcBorders>
            <w:shd w:val="clear" w:color="auto" w:fill="E6E6E6"/>
          </w:tcPr>
          <w:p>
            <w:pPr>
              <w:spacing w:after="0"/>
              <w:rPr>
                <w:sz w:val="16"/>
                <w:szCs w:val="16"/>
                <w:color w:val="auto"/>
              </w:rPr>
            </w:pPr>
          </w:p>
        </w:tc>
        <w:tc>
          <w:tcPr>
            <w:tcW w:w="200" w:type="dxa"/>
            <w:vAlign w:val="bottom"/>
            <w:tcBorders>
              <w:bottom w:val="single" w:sz="8" w:color="auto"/>
            </w:tcBorders>
            <w:shd w:val="clear" w:color="auto" w:fill="E6E6E6"/>
          </w:tcPr>
          <w:p>
            <w:pPr>
              <w:spacing w:after="0"/>
              <w:rPr>
                <w:sz w:val="16"/>
                <w:szCs w:val="16"/>
                <w:color w:val="auto"/>
              </w:rPr>
            </w:pPr>
          </w:p>
        </w:tc>
        <w:tc>
          <w:tcPr>
            <w:tcW w:w="560" w:type="dxa"/>
            <w:vAlign w:val="bottom"/>
            <w:tcBorders>
              <w:bottom w:val="single" w:sz="8" w:color="auto"/>
            </w:tcBorders>
            <w:shd w:val="clear" w:color="auto" w:fill="E6E6E6"/>
          </w:tcPr>
          <w:p>
            <w:pPr>
              <w:spacing w:after="0"/>
              <w:rPr>
                <w:sz w:val="16"/>
                <w:szCs w:val="16"/>
                <w:color w:val="auto"/>
              </w:rPr>
            </w:pPr>
          </w:p>
        </w:tc>
        <w:tc>
          <w:tcPr>
            <w:tcW w:w="300" w:type="dxa"/>
            <w:vAlign w:val="bottom"/>
            <w:tcBorders>
              <w:bottom w:val="single" w:sz="8" w:color="auto"/>
              <w:right w:val="single" w:sz="8" w:color="E6E6E6"/>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620" w:type="dxa"/>
            <w:vAlign w:val="bottom"/>
            <w:tcBorders>
              <w:bottom w:val="single" w:sz="8" w:color="auto"/>
            </w:tcBorders>
            <w:shd w:val="clear" w:color="auto" w:fill="E6E6E6"/>
          </w:tcPr>
          <w:p>
            <w:pPr>
              <w:spacing w:after="0"/>
              <w:rPr>
                <w:sz w:val="16"/>
                <w:szCs w:val="16"/>
                <w:color w:val="auto"/>
              </w:rPr>
            </w:pPr>
          </w:p>
        </w:tc>
        <w:tc>
          <w:tcPr>
            <w:tcW w:w="420" w:type="dxa"/>
            <w:vAlign w:val="bottom"/>
            <w:tcBorders>
              <w:bottom w:val="single" w:sz="8" w:color="auto"/>
              <w:right w:val="single" w:sz="8" w:color="E6E6E6"/>
            </w:tcBorders>
            <w:shd w:val="clear" w:color="auto" w:fill="E6E6E6"/>
          </w:tcPr>
          <w:p>
            <w:pPr>
              <w:spacing w:after="0"/>
              <w:rPr>
                <w:sz w:val="16"/>
                <w:szCs w:val="16"/>
                <w:color w:val="auto"/>
              </w:rPr>
            </w:pPr>
          </w:p>
        </w:tc>
        <w:tc>
          <w:tcPr>
            <w:tcW w:w="200" w:type="dxa"/>
            <w:vAlign w:val="bottom"/>
            <w:tcBorders>
              <w:bottom w:val="single" w:sz="8" w:color="auto"/>
            </w:tcBorders>
            <w:shd w:val="clear" w:color="auto" w:fill="E6E6E6"/>
          </w:tcPr>
          <w:p>
            <w:pPr>
              <w:spacing w:after="0"/>
              <w:rPr>
                <w:sz w:val="16"/>
                <w:szCs w:val="16"/>
                <w:color w:val="auto"/>
              </w:rPr>
            </w:pPr>
          </w:p>
        </w:tc>
        <w:tc>
          <w:tcPr>
            <w:tcW w:w="500" w:type="dxa"/>
            <w:vAlign w:val="bottom"/>
            <w:tcBorders>
              <w:bottom w:val="single" w:sz="8" w:color="auto"/>
            </w:tcBorders>
            <w:shd w:val="clear" w:color="auto" w:fill="E6E6E6"/>
          </w:tcPr>
          <w:p>
            <w:pPr>
              <w:spacing w:after="0"/>
              <w:rPr>
                <w:sz w:val="16"/>
                <w:szCs w:val="16"/>
                <w:color w:val="auto"/>
              </w:rPr>
            </w:pPr>
          </w:p>
        </w:tc>
        <w:tc>
          <w:tcPr>
            <w:tcW w:w="300" w:type="dxa"/>
            <w:vAlign w:val="bottom"/>
            <w:tcBorders>
              <w:bottom w:val="single" w:sz="8" w:color="auto"/>
              <w:right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-3083560</wp:posOffset>
            </wp:positionV>
            <wp:extent cx="2744470"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97">
                      <a:extLst>
                        <a:ext uri="{28A0092B-C50C-407E-A947-70E740481C1C}"/>
                      </a:extLst>
                    </a:blip>
                    <a:srcRect/>
                    <a:stretch>
                      <a:fillRect/>
                    </a:stretch>
                  </pic:blipFill>
                  <pic:spPr bwMode="auto">
                    <a:xfrm>
                      <a:off x="0" y="0"/>
                      <a:ext cx="2744470" cy="3810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-2971165</wp:posOffset>
            </wp:positionV>
            <wp:extent cx="4812030" cy="571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98">
                      <a:extLst>
                        <a:ext uri="{28A0092B-C50C-407E-A947-70E740481C1C}"/>
                      </a:extLst>
                    </a:blip>
                    <a:srcRect/>
                    <a:stretch>
                      <a:fillRect/>
                    </a:stretch>
                  </pic:blipFill>
                  <pic:spPr bwMode="auto">
                    <a:xfrm>
                      <a:off x="0" y="0"/>
                      <a:ext cx="4812030" cy="5715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-2107565</wp:posOffset>
            </wp:positionV>
            <wp:extent cx="2744470"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99">
                      <a:extLst>
                        <a:ext uri="{28A0092B-C50C-407E-A947-70E740481C1C}"/>
                      </a:extLst>
                    </a:blip>
                    <a:srcRect/>
                    <a:stretch>
                      <a:fillRect/>
                    </a:stretch>
                  </pic:blipFill>
                  <pic:spPr bwMode="auto">
                    <a:xfrm>
                      <a:off x="0" y="0"/>
                      <a:ext cx="2744470" cy="3810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-1995170</wp:posOffset>
            </wp:positionV>
            <wp:extent cx="4812030" cy="571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00">
                      <a:extLst>
                        <a:ext uri="{28A0092B-C50C-407E-A947-70E740481C1C}"/>
                      </a:extLst>
                    </a:blip>
                    <a:srcRect/>
                    <a:stretch>
                      <a:fillRect/>
                    </a:stretch>
                  </pic:blipFill>
                  <pic:spPr bwMode="auto">
                    <a:xfrm>
                      <a:off x="0" y="0"/>
                      <a:ext cx="4812030" cy="5715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-1130935</wp:posOffset>
            </wp:positionV>
            <wp:extent cx="2744470"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01">
                      <a:extLst>
                        <a:ext uri="{28A0092B-C50C-407E-A947-70E740481C1C}"/>
                      </a:extLst>
                    </a:blip>
                    <a:srcRect/>
                    <a:stretch>
                      <a:fillRect/>
                    </a:stretch>
                  </pic:blipFill>
                  <pic:spPr bwMode="auto">
                    <a:xfrm>
                      <a:off x="0" y="0"/>
                      <a:ext cx="2744470" cy="3810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-1018540</wp:posOffset>
            </wp:positionV>
            <wp:extent cx="4812030" cy="571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02">
                      <a:extLst>
                        <a:ext uri="{28A0092B-C50C-407E-A947-70E740481C1C}"/>
                      </a:extLst>
                    </a:blip>
                    <a:srcRect/>
                    <a:stretch>
                      <a:fillRect/>
                    </a:stretch>
                  </pic:blipFill>
                  <pic:spPr bwMode="auto">
                    <a:xfrm>
                      <a:off x="0" y="0"/>
                      <a:ext cx="4812030" cy="5715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-154940</wp:posOffset>
            </wp:positionV>
            <wp:extent cx="4792980"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03">
                      <a:extLst>
                        <a:ext uri="{28A0092B-C50C-407E-A947-70E740481C1C}"/>
                      </a:extLst>
                    </a:blip>
                    <a:srcRect/>
                    <a:stretch>
                      <a:fillRect/>
                    </a:stretch>
                  </pic:blipFill>
                  <pic:spPr bwMode="auto">
                    <a:xfrm>
                      <a:off x="0" y="0"/>
                      <a:ext cx="4792980" cy="3810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-42545</wp:posOffset>
            </wp:positionV>
            <wp:extent cx="4812030" cy="571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04">
                      <a:extLst>
                        <a:ext uri="{28A0092B-C50C-407E-A947-70E740481C1C}"/>
                      </a:extLst>
                    </a:blip>
                    <a:srcRect/>
                    <a:stretch>
                      <a:fillRect/>
                    </a:stretch>
                  </pic:blipFill>
                  <pic:spPr bwMode="auto">
                    <a:xfrm>
                      <a:off x="0" y="0"/>
                      <a:ext cx="4812030" cy="57150"/>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See accompanying Notes to Consolidated Financial Statement</w:t>
      </w:r>
    </w:p>
    <w:p>
      <w:pPr>
        <w:sectPr>
          <w:pgSz w:w="15480" w:h="11880" w:orient="landscape"/>
          <w:cols w:equalWidth="0" w:num="2">
            <w:col w:w="230" w:space="448"/>
            <w:col w:w="13960"/>
          </w:cols>
          <w:pgMar w:left="382" w:top="0" w:right="460"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76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00" w:type="dxa"/>
            <w:vAlign w:val="bottom"/>
            <w:tcBorders>
              <w:bottom w:val="single" w:sz="8" w:color="E6E6E6"/>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E6E6E6"/>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E6E6E6"/>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4"/>
        </w:trPr>
        <w:tc>
          <w:tcPr>
            <w:tcW w:w="5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r>
      <w:tr>
        <w:trPr>
          <w:trHeight w:val="219"/>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4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219"/>
        </w:trPr>
        <w:tc>
          <w:tcPr>
            <w:tcW w:w="5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8"/>
                <w:szCs w:val="18"/>
                <w:color w:val="auto"/>
                <w:w w:val="99"/>
              </w:rPr>
              <w:t>Adjustments to reconcile net income to net cash provided by operating activities: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(gain) loss on real estate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(gain) loss on equity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9"/>
        </w:trPr>
        <w:tc>
          <w:tcPr>
            <w:tcW w:w="5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Tenant improvement allowance reimbursement</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5900" w:type="dxa"/>
            <w:vAlign w:val="bottom"/>
            <w:tcBorders>
              <w:bottom w:val="single" w:sz="8" w:color="E6E6E6"/>
            </w:tcBorders>
          </w:tcPr>
          <w:p>
            <w:pPr>
              <w:ind w:left="280"/>
              <w:spacing w:after="0"/>
              <w:rPr>
                <w:sz w:val="20"/>
                <w:szCs w:val="20"/>
                <w:color w:val="auto"/>
              </w:rPr>
            </w:pPr>
            <w:r>
              <w:rPr>
                <w:rFonts w:ascii="Times New Roman" w:cs="Times New Roman" w:eastAsia="Times New Roman" w:hAnsi="Times New Roman"/>
                <w:sz w:val="18"/>
                <w:szCs w:val="18"/>
                <w:color w:val="auto"/>
              </w:rPr>
              <w:t>Cash paid for lease termination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4"/>
        </w:trPr>
        <w:tc>
          <w:tcPr>
            <w:tcW w:w="590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shd w:val="clear" w:color="auto" w:fill="E6E6E6"/>
          </w:tcPr>
          <w:p>
            <w:pPr>
              <w:spacing w:after="0"/>
              <w:rPr>
                <w:sz w:val="20"/>
                <w:szCs w:val="20"/>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80" w:type="dxa"/>
            <w:vAlign w:val="bottom"/>
            <w:tcBorders>
              <w:bottom w:val="single" w:sz="8" w:color="E6E6E6"/>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spacing w:after="0"/>
              <w:rPr>
                <w:sz w:val="20"/>
                <w:szCs w:val="20"/>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60" w:type="dxa"/>
            <w:vAlign w:val="bottom"/>
            <w:tcBorders>
              <w:bottom w:val="single" w:sz="8" w:color="E6E6E6"/>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spacing w:after="0"/>
              <w:rPr>
                <w:sz w:val="20"/>
                <w:szCs w:val="20"/>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783.7</w:t>
            </w:r>
          </w:p>
        </w:tc>
      </w:tr>
      <w:tr>
        <w:trPr>
          <w:trHeight w:val="203"/>
        </w:trPr>
        <w:tc>
          <w:tcPr>
            <w:tcW w:w="590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Proceeds from sales of short-term investments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352.4</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Proceeds from sales of equity investments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receipts from equipment rebates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5900" w:type="dxa"/>
            <w:vAlign w:val="bottom"/>
            <w:tcBorders>
              <w:bottom w:val="single" w:sz="8" w:color="E6E6E6"/>
            </w:tcBorders>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auto"/>
            </w:tcBorders>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auto"/>
            </w:tcBorders>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8"/>
        </w:trPr>
        <w:tc>
          <w:tcPr>
            <w:tcW w:w="590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6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39"/>
        </w:trPr>
        <w:tc>
          <w:tcPr>
            <w:tcW w:w="5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40" w:type="dxa"/>
            <w:vAlign w:val="bottom"/>
            <w:shd w:val="clear" w:color="auto" w:fill="E6E6E6"/>
          </w:tcPr>
          <w:p>
            <w:pPr>
              <w:spacing w:after="0"/>
              <w:rPr>
                <w:sz w:val="20"/>
                <w:szCs w:val="20"/>
                <w:color w:val="auto"/>
              </w:rPr>
            </w:pPr>
          </w:p>
        </w:tc>
        <w:tc>
          <w:tcPr>
            <w:tcW w:w="110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1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100" w:type="dxa"/>
            <w:vAlign w:val="bottom"/>
            <w:shd w:val="clear" w:color="auto" w:fill="E6E6E6"/>
          </w:tcPr>
          <w:p>
            <w:pPr>
              <w:spacing w:after="0"/>
              <w:rPr>
                <w:sz w:val="20"/>
                <w:szCs w:val="20"/>
                <w:color w:val="auto"/>
              </w:rPr>
            </w:pP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term loan facility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Payments of debt issuance costs and loan commitment fees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1"/>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payments against term loan facility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1"/>
        </w:trPr>
        <w:tc>
          <w:tcPr>
            <w:tcW w:w="5900" w:type="dxa"/>
            <w:vAlign w:val="bottom"/>
            <w:shd w:val="clear" w:color="auto" w:fill="E6E6E6"/>
          </w:tcPr>
          <w:p>
            <w:pPr>
              <w:ind w:left="280"/>
              <w:spacing w:after="0" w:line="181" w:lineRule="exact"/>
              <w:rPr>
                <w:sz w:val="20"/>
                <w:szCs w:val="20"/>
                <w:color w:val="auto"/>
              </w:rPr>
            </w:pPr>
            <w:r>
              <w:rPr>
                <w:rFonts w:ascii="Times New Roman" w:cs="Times New Roman" w:eastAsia="Times New Roman" w:hAnsi="Times New Roman"/>
                <w:sz w:val="18"/>
                <w:szCs w:val="18"/>
                <w:color w:val="auto"/>
              </w:rPr>
              <w:t>Payments for taxes related to net share settlement of restricted stock units and</w:t>
            </w:r>
          </w:p>
        </w:tc>
        <w:tc>
          <w:tcPr>
            <w:tcW w:w="340" w:type="dxa"/>
            <w:vAlign w:val="bottom"/>
            <w:shd w:val="clear" w:color="auto" w:fill="E6E6E6"/>
          </w:tcPr>
          <w:p>
            <w:pPr>
              <w:spacing w:after="0"/>
              <w:rPr>
                <w:sz w:val="15"/>
                <w:szCs w:val="15"/>
                <w:color w:val="auto"/>
              </w:rPr>
            </w:pPr>
          </w:p>
        </w:tc>
        <w:tc>
          <w:tcPr>
            <w:tcW w:w="1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1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100" w:type="dxa"/>
            <w:vAlign w:val="bottom"/>
            <w:shd w:val="clear" w:color="auto" w:fill="E6E6E6"/>
          </w:tcPr>
          <w:p>
            <w:pPr>
              <w:spacing w:after="0"/>
              <w:rPr>
                <w:sz w:val="15"/>
                <w:szCs w:val="15"/>
                <w:color w:val="auto"/>
              </w:rPr>
            </w:pPr>
          </w:p>
        </w:tc>
      </w:tr>
      <w:tr>
        <w:trPr>
          <w:trHeight w:val="251"/>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awards</w:t>
            </w:r>
          </w:p>
        </w:tc>
        <w:tc>
          <w:tcPr>
            <w:tcW w:w="34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 net of taxes withheld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9"/>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19"/>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30"/>
        </w:trPr>
        <w:tc>
          <w:tcPr>
            <w:tcW w:w="5900" w:type="dxa"/>
            <w:vAlign w:val="bottom"/>
            <w:tcBorders>
              <w:bottom w:val="single" w:sz="8" w:color="E6E6E6"/>
            </w:tcBorders>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Payment of acquisition-related indemnification holdback</w:t>
            </w: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auto"/>
            </w:tcBorders>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Borders>
              <w:bottom w:val="single" w:sz="8" w:color="auto"/>
            </w:tcBorders>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590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8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6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w:t>
            </w:r>
          </w:p>
        </w:tc>
      </w:tr>
      <w:tr>
        <w:trPr>
          <w:trHeight w:val="209"/>
        </w:trPr>
        <w:tc>
          <w:tcPr>
            <w:tcW w:w="59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9"/>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r>
      <w:tr>
        <w:trPr>
          <w:trHeight w:val="230"/>
        </w:trPr>
        <w:tc>
          <w:tcPr>
            <w:tcW w:w="590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80" w:type="dxa"/>
            <w:vAlign w:val="bottom"/>
            <w:tcBorders>
              <w:bottom w:val="single" w:sz="8" w:color="E6E6E6"/>
            </w:tcBorders>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60" w:type="dxa"/>
            <w:vAlign w:val="bottom"/>
            <w:tcBorders>
              <w:bottom w:val="single" w:sz="8" w:color="E6E6E6"/>
            </w:tcBorders>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175"/>
        </w:trPr>
        <w:tc>
          <w:tcPr>
            <w:tcW w:w="5900" w:type="dxa"/>
            <w:vAlign w:val="bottom"/>
          </w:tcPr>
          <w:p>
            <w:pPr>
              <w:ind w:left="60"/>
              <w:spacing w:after="0" w:line="175"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 end of period</w:t>
            </w:r>
          </w:p>
        </w:tc>
        <w:tc>
          <w:tcPr>
            <w:tcW w:w="340" w:type="dxa"/>
            <w:vAlign w:val="bottom"/>
            <w:tcBorders>
              <w:bottom w:val="single" w:sz="8" w:color="auto"/>
            </w:tcBorders>
          </w:tcPr>
          <w:p>
            <w:pPr>
              <w:jc w:val="right"/>
              <w:ind w:right="112"/>
              <w:spacing w:after="0" w:line="17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905.9</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12"/>
              <w:spacing w:after="0" w:line="17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1,360.5</w:t>
            </w:r>
          </w:p>
        </w:tc>
        <w:tc>
          <w:tcPr>
            <w:tcW w:w="60" w:type="dxa"/>
            <w:vAlign w:val="bottom"/>
          </w:tcPr>
          <w:p>
            <w:pPr>
              <w:spacing w:after="0"/>
              <w:rPr>
                <w:sz w:val="15"/>
                <w:szCs w:val="15"/>
                <w:color w:val="auto"/>
              </w:rPr>
            </w:pPr>
          </w:p>
        </w:tc>
        <w:tc>
          <w:tcPr>
            <w:tcW w:w="340" w:type="dxa"/>
            <w:vAlign w:val="bottom"/>
            <w:tcBorders>
              <w:bottom w:val="single" w:sz="8" w:color="auto"/>
            </w:tcBorders>
          </w:tcPr>
          <w:p>
            <w:pPr>
              <w:jc w:val="right"/>
              <w:ind w:right="112"/>
              <w:spacing w:after="0" w:line="17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614.9</w:t>
            </w:r>
          </w:p>
        </w:tc>
      </w:tr>
      <w:tr>
        <w:trPr>
          <w:trHeight w:val="20"/>
        </w:trPr>
        <w:tc>
          <w:tcPr>
            <w:tcW w:w="5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-7259320</wp:posOffset>
            </wp:positionV>
            <wp:extent cx="2882265" cy="4953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05">
                      <a:extLst>
                        <a:ext uri="{28A0092B-C50C-407E-A947-70E740481C1C}"/>
                      </a:extLst>
                    </a:blip>
                    <a:srcRect/>
                    <a:stretch>
                      <a:fillRect/>
                    </a:stretch>
                  </pic:blipFill>
                  <pic:spPr bwMode="auto">
                    <a:xfrm>
                      <a:off x="0" y="0"/>
                      <a:ext cx="2882265" cy="49530"/>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-3896995</wp:posOffset>
            </wp:positionV>
            <wp:extent cx="2882265" cy="495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06">
                      <a:extLst>
                        <a:ext uri="{28A0092B-C50C-407E-A947-70E740481C1C}"/>
                      </a:extLst>
                    </a:blip>
                    <a:srcRect/>
                    <a:stretch>
                      <a:fillRect/>
                    </a:stretch>
                  </pic:blipFill>
                  <pic:spPr bwMode="auto">
                    <a:xfrm>
                      <a:off x="0" y="0"/>
                      <a:ext cx="2882265" cy="49530"/>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-3748405</wp:posOffset>
            </wp:positionV>
            <wp:extent cx="2882265" cy="495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07">
                      <a:extLst>
                        <a:ext uri="{28A0092B-C50C-407E-A947-70E740481C1C}"/>
                      </a:extLst>
                    </a:blip>
                    <a:srcRect/>
                    <a:stretch>
                      <a:fillRect/>
                    </a:stretch>
                  </pic:blipFill>
                  <pic:spPr bwMode="auto">
                    <a:xfrm>
                      <a:off x="0" y="0"/>
                      <a:ext cx="2882265" cy="49530"/>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-2346325</wp:posOffset>
            </wp:positionV>
            <wp:extent cx="2882265" cy="495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108">
                      <a:extLst>
                        <a:ext uri="{28A0092B-C50C-407E-A947-70E740481C1C}"/>
                      </a:extLst>
                    </a:blip>
                    <a:srcRect/>
                    <a:stretch>
                      <a:fillRect/>
                    </a:stretch>
                  </pic:blipFill>
                  <pic:spPr bwMode="auto">
                    <a:xfrm>
                      <a:off x="0" y="0"/>
                      <a:ext cx="2882265" cy="49530"/>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-2188210</wp:posOffset>
            </wp:positionV>
            <wp:extent cx="2882265" cy="495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109">
                      <a:extLst>
                        <a:ext uri="{28A0092B-C50C-407E-A947-70E740481C1C}"/>
                      </a:extLst>
                    </a:blip>
                    <a:srcRect/>
                    <a:stretch>
                      <a:fillRect/>
                    </a:stretch>
                  </pic:blipFill>
                  <pic:spPr bwMode="auto">
                    <a:xfrm>
                      <a:off x="0" y="0"/>
                      <a:ext cx="2882265" cy="49530"/>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-767080</wp:posOffset>
            </wp:positionV>
            <wp:extent cx="2882265" cy="495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110">
                      <a:extLst>
                        <a:ext uri="{28A0092B-C50C-407E-A947-70E740481C1C}"/>
                      </a:extLst>
                    </a:blip>
                    <a:srcRect/>
                    <a:stretch>
                      <a:fillRect/>
                    </a:stretch>
                  </pic:blipFill>
                  <pic:spPr bwMode="auto">
                    <a:xfrm>
                      <a:off x="0" y="0"/>
                      <a:ext cx="2882265" cy="49530"/>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-608965</wp:posOffset>
            </wp:positionV>
            <wp:extent cx="2882265" cy="495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111">
                      <a:extLst>
                        <a:ext uri="{28A0092B-C50C-407E-A947-70E740481C1C}"/>
                      </a:extLst>
                    </a:blip>
                    <a:srcRect/>
                    <a:stretch>
                      <a:fillRect/>
                    </a:stretch>
                  </pic:blipFill>
                  <pic:spPr bwMode="auto">
                    <a:xfrm>
                      <a:off x="0" y="0"/>
                      <a:ext cx="2882265" cy="49530"/>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-191135</wp:posOffset>
            </wp:positionV>
            <wp:extent cx="2882265" cy="495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112">
                      <a:extLst>
                        <a:ext uri="{28A0092B-C50C-407E-A947-70E740481C1C}"/>
                      </a:extLst>
                    </a:blip>
                    <a:srcRect/>
                    <a:stretch>
                      <a:fillRect/>
                    </a:stretch>
                  </pic:blipFill>
                  <pic:spPr bwMode="auto">
                    <a:xfrm>
                      <a:off x="0" y="0"/>
                      <a:ext cx="2882265" cy="4953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-55245</wp:posOffset>
            </wp:positionV>
            <wp:extent cx="1916430" cy="7429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113">
                      <a:extLst>
                        <a:ext uri="{28A0092B-C50C-407E-A947-70E740481C1C}"/>
                      </a:extLst>
                    </a:blip>
                    <a:srcRect/>
                    <a:stretch>
                      <a:fillRect/>
                    </a:stretch>
                  </pic:blipFill>
                  <pic:spPr bwMode="auto">
                    <a:xfrm>
                      <a:off x="0" y="0"/>
                      <a:ext cx="1916430" cy="74295"/>
                    </a:xfrm>
                    <a:prstGeom prst="rect">
                      <a:avLst/>
                    </a:prstGeom>
                    <a:noFill/>
                  </pic:spPr>
                </pic:pic>
              </a:graphicData>
            </a:graphic>
          </wp:anchor>
        </w:drawing>
      </w:r>
    </w:p>
    <w:p>
      <w:pPr>
        <w:sectPr>
          <w:pgSz w:w="11880" w:h="15480" w:orient="portrait"/>
          <w:cols w:equalWidth="0" w:num="1">
            <w:col w:w="10360"/>
          </w:cols>
          <w:pgMar w:left="760" w:top="645"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360"/>
          </w:cols>
          <w:pgMar w:left="760" w:top="645" w:right="760" w:bottom="0" w:gutter="0" w:footer="0" w:header="0"/>
          <w:type w:val="continuous"/>
        </w:sectPr>
      </w:pPr>
    </w:p>
    <w:bookmarkStart w:id="177" w:name="page178"/>
    <w:bookmarkEnd w:id="177"/>
    <w:p>
      <w:pPr>
        <w:ind w:left="768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76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900" w:type="dxa"/>
            <w:vAlign w:val="bottom"/>
            <w:tcBorders>
              <w:bottom w:val="single" w:sz="8" w:color="E6E6E6"/>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E6E6E6"/>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E6E6E6"/>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02"/>
        </w:trPr>
        <w:tc>
          <w:tcPr>
            <w:tcW w:w="5900" w:type="dxa"/>
            <w:vAlign w:val="bottom"/>
            <w:shd w:val="clear" w:color="auto" w:fill="E6E6E6"/>
          </w:tcPr>
          <w:p>
            <w:pPr>
              <w:spacing w:after="0"/>
              <w:rPr>
                <w:sz w:val="8"/>
                <w:szCs w:val="8"/>
                <w:color w:val="auto"/>
              </w:rPr>
            </w:pPr>
          </w:p>
        </w:tc>
        <w:tc>
          <w:tcPr>
            <w:tcW w:w="940" w:type="dxa"/>
            <w:vAlign w:val="bottom"/>
            <w:shd w:val="clear" w:color="auto" w:fill="E6E6E6"/>
          </w:tcPr>
          <w:p>
            <w:pPr>
              <w:spacing w:after="0"/>
              <w:rPr>
                <w:sz w:val="8"/>
                <w:szCs w:val="8"/>
                <w:color w:val="auto"/>
              </w:rPr>
            </w:pPr>
          </w:p>
        </w:tc>
        <w:tc>
          <w:tcPr>
            <w:tcW w:w="50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0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00" w:type="dxa"/>
            <w:vAlign w:val="bottom"/>
            <w:shd w:val="clear" w:color="auto" w:fill="E6E6E6"/>
          </w:tcPr>
          <w:p>
            <w:pPr>
              <w:spacing w:after="0"/>
              <w:rPr>
                <w:sz w:val="8"/>
                <w:szCs w:val="8"/>
                <w:color w:val="auto"/>
              </w:rPr>
            </w:pPr>
          </w:p>
        </w:tc>
      </w:tr>
      <w:tr>
        <w:trPr>
          <w:trHeight w:val="170"/>
        </w:trPr>
        <w:tc>
          <w:tcPr>
            <w:tcW w:w="5900" w:type="dxa"/>
            <w:vAlign w:val="bottom"/>
          </w:tcPr>
          <w:p>
            <w:pPr>
              <w:ind w:left="60"/>
              <w:spacing w:after="0" w:line="170"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amounts on</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2"/>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end of period</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
        </w:trPr>
        <w:tc>
          <w:tcPr>
            <w:tcW w:w="5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590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E6E6E6"/>
          </w:tcPr>
          <w:p>
            <w:pPr>
              <w:spacing w:after="0"/>
              <w:rPr>
                <w:sz w:val="20"/>
                <w:szCs w:val="20"/>
                <w:color w:val="auto"/>
              </w:rPr>
            </w:pP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8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614.9</w:t>
            </w:r>
          </w:p>
        </w:tc>
      </w:tr>
      <w:tr>
        <w:trPr>
          <w:trHeight w:val="231"/>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Restricted cash, current, included in prepaid expenses and other current assets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900" w:type="dxa"/>
            <w:vAlign w:val="bottom"/>
            <w:tcBorders>
              <w:bottom w:val="single" w:sz="8" w:color="E6E6E6"/>
            </w:tcBorders>
            <w:shd w:val="clear" w:color="auto" w:fill="E6E6E6"/>
          </w:tcPr>
          <w:p>
            <w:pPr>
              <w:ind w:left="280"/>
              <w:spacing w:after="0"/>
              <w:rPr>
                <w:sz w:val="20"/>
                <w:szCs w:val="20"/>
                <w:color w:val="auto"/>
              </w:rPr>
            </w:pPr>
            <w:r>
              <w:rPr>
                <w:rFonts w:ascii="Times New Roman" w:cs="Times New Roman" w:eastAsia="Times New Roman" w:hAnsi="Times New Roman"/>
                <w:sz w:val="18"/>
                <w:szCs w:val="18"/>
                <w:color w:val="auto"/>
              </w:rPr>
              <w:t>Restricted cash, non-current, included in other assets</w:t>
            </w:r>
          </w:p>
        </w:tc>
        <w:tc>
          <w:tcPr>
            <w:tcW w:w="940" w:type="dxa"/>
            <w:vAlign w:val="bottom"/>
            <w:tcBorders>
              <w:bottom w:val="single" w:sz="8" w:color="auto"/>
            </w:tcBorders>
            <w:shd w:val="clear" w:color="auto" w:fill="E6E6E6"/>
          </w:tcPr>
          <w:p>
            <w:pPr>
              <w:spacing w:after="0"/>
              <w:rPr>
                <w:sz w:val="21"/>
                <w:szCs w:val="21"/>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auto"/>
            </w:tcBorders>
            <w:shd w:val="clear" w:color="auto" w:fill="E6E6E6"/>
          </w:tcPr>
          <w:p>
            <w:pPr>
              <w:spacing w:after="0"/>
              <w:rPr>
                <w:sz w:val="21"/>
                <w:szCs w:val="21"/>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auto"/>
            </w:tcBorders>
            <w:shd w:val="clear" w:color="auto" w:fill="E6E6E6"/>
          </w:tcPr>
          <w:p>
            <w:pPr>
              <w:spacing w:after="0"/>
              <w:rPr>
                <w:sz w:val="21"/>
                <w:szCs w:val="21"/>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900" w:type="dxa"/>
            <w:vAlign w:val="bottom"/>
            <w:tcBorders>
              <w:bottom w:val="single" w:sz="8" w:color="E6E6E6"/>
            </w:tcBorders>
          </w:tcPr>
          <w:p>
            <w:pPr>
              <w:ind w:left="60"/>
              <w:spacing w:after="0" w:line="175" w:lineRule="exact"/>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40" w:type="dxa"/>
            <w:vAlign w:val="bottom"/>
            <w:tcBorders>
              <w:bottom w:val="single" w:sz="8" w:color="auto"/>
            </w:tcBorders>
          </w:tcPr>
          <w:p>
            <w:pPr>
              <w:jc w:val="right"/>
              <w:ind w:right="712"/>
              <w:spacing w:after="0" w:line="17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905.9</w:t>
            </w:r>
          </w:p>
        </w:tc>
        <w:tc>
          <w:tcPr>
            <w:tcW w:w="8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jc w:val="right"/>
              <w:ind w:right="112"/>
              <w:spacing w:after="0" w:line="17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1,360.5</w:t>
            </w:r>
          </w:p>
        </w:tc>
        <w:tc>
          <w:tcPr>
            <w:tcW w:w="6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jc w:val="right"/>
              <w:ind w:right="112"/>
              <w:spacing w:after="0" w:line="17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614.9</w:t>
            </w:r>
          </w:p>
        </w:tc>
      </w:tr>
      <w:tr>
        <w:trPr>
          <w:trHeight w:val="205"/>
        </w:trPr>
        <w:tc>
          <w:tcPr>
            <w:tcW w:w="5900" w:type="dxa"/>
            <w:vAlign w:val="bottom"/>
            <w:shd w:val="clear" w:color="auto" w:fill="E6E6E6"/>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94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r>
      <w:tr>
        <w:trPr>
          <w:trHeight w:val="219"/>
        </w:trPr>
        <w:tc>
          <w:tcPr>
            <w:tcW w:w="5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5900" w:type="dxa"/>
            <w:vAlign w:val="bottom"/>
            <w:shd w:val="clear" w:color="auto" w:fill="E6E6E6"/>
          </w:tcPr>
          <w:p>
            <w:pPr>
              <w:ind w:left="76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shd w:val="clear" w:color="auto" w:fill="E6E6E6"/>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420" w:type="dxa"/>
            <w:vAlign w:val="bottom"/>
            <w:gridSpan w:val="2"/>
            <w:shd w:val="clear" w:color="auto" w:fill="E6E6E6"/>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0" w:type="dxa"/>
            <w:vAlign w:val="bottom"/>
            <w:gridSpan w:val="2"/>
            <w:shd w:val="clear" w:color="auto" w:fill="E6E6E6"/>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9"/>
        </w:trPr>
        <w:tc>
          <w:tcPr>
            <w:tcW w:w="5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19"/>
        </w:trPr>
        <w:tc>
          <w:tcPr>
            <w:tcW w:w="59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4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r>
      <w:tr>
        <w:trPr>
          <w:trHeight w:val="229"/>
        </w:trPr>
        <w:tc>
          <w:tcPr>
            <w:tcW w:w="5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and equipment acquired under finance leases</w:t>
            </w:r>
          </w:p>
        </w:tc>
        <w:tc>
          <w:tcPr>
            <w:tcW w:w="94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4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-1835150</wp:posOffset>
            </wp:positionV>
            <wp:extent cx="2882265" cy="742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114">
                      <a:extLst>
                        <a:ext uri="{28A0092B-C50C-407E-A947-70E740481C1C}"/>
                      </a:extLst>
                    </a:blip>
                    <a:srcRect/>
                    <a:stretch>
                      <a:fillRect/>
                    </a:stretch>
                  </pic:blipFill>
                  <pic:spPr bwMode="auto">
                    <a:xfrm>
                      <a:off x="0" y="0"/>
                      <a:ext cx="2882265" cy="74295"/>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-1023620</wp:posOffset>
            </wp:positionV>
            <wp:extent cx="2882265" cy="4953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115">
                      <a:extLst>
                        <a:ext uri="{28A0092B-C50C-407E-A947-70E740481C1C}"/>
                      </a:extLst>
                    </a:blip>
                    <a:srcRect/>
                    <a:stretch>
                      <a:fillRect/>
                    </a:stretch>
                  </pic:blipFill>
                  <pic:spPr bwMode="auto">
                    <a:xfrm>
                      <a:off x="0" y="0"/>
                      <a:ext cx="2882265" cy="49530"/>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-887730</wp:posOffset>
            </wp:positionV>
            <wp:extent cx="2882265" cy="742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116">
                      <a:extLst>
                        <a:ext uri="{28A0092B-C50C-407E-A947-70E740481C1C}"/>
                      </a:extLst>
                    </a:blip>
                    <a:srcRect/>
                    <a:stretch>
                      <a:fillRect/>
                    </a:stretch>
                  </pic:blipFill>
                  <pic:spPr bwMode="auto">
                    <a:xfrm>
                      <a:off x="0" y="0"/>
                      <a:ext cx="2882265" cy="7429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ectPr>
          <w:pgSz w:w="11880" w:h="15480" w:orient="portrait"/>
          <w:cols w:equalWidth="0" w:num="1">
            <w:col w:w="10360"/>
          </w:cols>
          <w:pgMar w:left="760" w:top="65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360"/>
          </w:cols>
          <w:pgMar w:left="760" w:top="654" w:right="760" w:bottom="0"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Description of the Business and Summary of Significant Accounting Policies</w:t>
      </w:r>
    </w:p>
    <w:p>
      <w:pPr>
        <w:spacing w:after="0" w:line="3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Business</w:t>
      </w:r>
    </w:p>
    <w:p>
      <w:pPr>
        <w:spacing w:after="0" w:line="129" w:lineRule="exact"/>
        <w:rPr>
          <w:sz w:val="20"/>
          <w:szCs w:val="20"/>
          <w:color w:val="auto"/>
        </w:rPr>
      </w:pPr>
    </w:p>
    <w:p>
      <w:pPr>
        <w:ind w:right="160" w:firstLine="483"/>
        <w:spacing w:after="0" w:line="237" w:lineRule="auto"/>
        <w:rPr>
          <w:sz w:val="20"/>
          <w:szCs w:val="20"/>
          <w:color w:val="auto"/>
        </w:rPr>
      </w:pPr>
      <w:r>
        <w:rPr>
          <w:rFonts w:ascii="Times New Roman" w:cs="Times New Roman" w:eastAsia="Times New Roman" w:hAnsi="Times New Roman"/>
          <w:sz w:val="20"/>
          <w:szCs w:val="20"/>
          <w:color w:val="auto"/>
        </w:rPr>
        <w:t>Dropbox, Inc. (the “Company” or “Dropbox”) helps keep life organized and work moving. The Company was incorporated in May 2007 as Evenflow, Inc., a Delaware corporation, and changed its name to Dropbox, Inc. in October 2009. In March 2025, the Company reincorporated in the state of Nevada. The Company is headquartered in San Francisco, California.</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consolidation</w:t>
      </w:r>
    </w:p>
    <w:p>
      <w:pPr>
        <w:spacing w:after="0" w:line="129" w:lineRule="exact"/>
        <w:rPr>
          <w:sz w:val="20"/>
          <w:szCs w:val="20"/>
          <w:color w:val="auto"/>
        </w:rPr>
      </w:pPr>
    </w:p>
    <w:p>
      <w:pPr>
        <w:ind w:firstLine="483"/>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9" w:lineRule="exact"/>
        <w:rPr>
          <w:sz w:val="20"/>
          <w:szCs w:val="20"/>
          <w:color w:val="auto"/>
        </w:rPr>
      </w:pPr>
    </w:p>
    <w:p>
      <w:pPr>
        <w:ind w:right="60" w:firstLine="483"/>
        <w:spacing w:after="0" w:line="25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Management evaluates these estimates and assumptions on a regular basis. Actual results may differ materially from these estimates.</w:t>
      </w:r>
    </w:p>
    <w:p>
      <w:pPr>
        <w:spacing w:after="0" w:line="206" w:lineRule="exact"/>
        <w:rPr>
          <w:sz w:val="20"/>
          <w:szCs w:val="20"/>
          <w:color w:val="auto"/>
        </w:rPr>
      </w:pPr>
    </w:p>
    <w:p>
      <w:pPr>
        <w:ind w:left="480" w:right="1400" w:hanging="43"/>
        <w:spacing w:after="0" w:line="427" w:lineRule="auto"/>
        <w:rPr>
          <w:sz w:val="20"/>
          <w:szCs w:val="20"/>
          <w:color w:val="auto"/>
        </w:rPr>
      </w:pPr>
      <w:r>
        <w:rPr>
          <w:rFonts w:ascii="Times New Roman" w:cs="Times New Roman" w:eastAsia="Times New Roman" w:hAnsi="Times New Roman"/>
          <w:sz w:val="20"/>
          <w:szCs w:val="20"/>
          <w:color w:val="auto"/>
        </w:rPr>
        <w:t xml:space="preserve">The Company’s most significant estimates and judgments are related to the accounting for income taxes. </w:t>
      </w:r>
      <w:r>
        <w:rPr>
          <w:rFonts w:ascii="Times New Roman" w:cs="Times New Roman" w:eastAsia="Times New Roman" w:hAnsi="Times New Roman"/>
          <w:sz w:val="20"/>
          <w:szCs w:val="20"/>
          <w:b w:val="1"/>
          <w:bCs w:val="1"/>
          <w:i w:val="1"/>
          <w:iCs w:val="1"/>
          <w:color w:val="auto"/>
        </w:rPr>
        <w:t>Financial information about segments and geographic areas</w:t>
      </w:r>
    </w:p>
    <w:p>
      <w:pPr>
        <w:spacing w:after="0" w:line="1" w:lineRule="exact"/>
        <w:rPr>
          <w:sz w:val="20"/>
          <w:szCs w:val="20"/>
          <w:color w:val="auto"/>
        </w:rPr>
      </w:pPr>
    </w:p>
    <w:p>
      <w:pPr>
        <w:ind w:right="60" w:firstLine="483"/>
        <w:spacing w:after="0" w:line="256" w:lineRule="auto"/>
        <w:rPr>
          <w:sz w:val="20"/>
          <w:szCs w:val="20"/>
          <w:color w:val="auto"/>
        </w:rPr>
      </w:pPr>
      <w:r>
        <w:rPr>
          <w:rFonts w:ascii="Times New Roman" w:cs="Times New Roman" w:eastAsia="Times New Roman" w:hAnsi="Times New Roman"/>
          <w:sz w:val="20"/>
          <w:szCs w:val="20"/>
          <w:color w:val="auto"/>
        </w:rPr>
        <w:t>The Company manages its operations and allocates resources as a single operating segment. Further, the Company manages, monitors, and reports its financial information as a single reportable segment. See Note 15 "Segment Information and Geographic Areas" for additional information.</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transactions</w:t>
      </w:r>
    </w:p>
    <w:p>
      <w:pPr>
        <w:spacing w:after="0" w:line="129" w:lineRule="exact"/>
        <w:rPr>
          <w:sz w:val="20"/>
          <w:szCs w:val="20"/>
          <w:color w:val="auto"/>
        </w:rPr>
      </w:pPr>
    </w:p>
    <w:p>
      <w:pPr>
        <w:ind w:right="180" w:firstLine="439"/>
        <w:spacing w:after="0" w:line="252" w:lineRule="auto"/>
        <w:rPr>
          <w:sz w:val="20"/>
          <w:szCs w:val="20"/>
          <w:color w:val="auto"/>
        </w:rPr>
      </w:pPr>
      <w:r>
        <w:rPr>
          <w:rFonts w:ascii="Times New Roman" w:cs="Times New Roman" w:eastAsia="Times New Roman" w:hAnsi="Times New Roman"/>
          <w:sz w:val="20"/>
          <w:szCs w:val="20"/>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spacing w:after="0" w:line="204" w:lineRule="exact"/>
        <w:rPr>
          <w:sz w:val="20"/>
          <w:szCs w:val="20"/>
          <w:color w:val="auto"/>
        </w:rPr>
      </w:pPr>
    </w:p>
    <w:p>
      <w:pPr>
        <w:ind w:right="120" w:firstLine="439"/>
        <w:spacing w:after="0" w:line="250" w:lineRule="auto"/>
        <w:rPr>
          <w:sz w:val="20"/>
          <w:szCs w:val="20"/>
          <w:color w:val="auto"/>
        </w:rPr>
      </w:pPr>
      <w:r>
        <w:rPr>
          <w:rFonts w:ascii="Times New Roman" w:cs="Times New Roman" w:eastAsia="Times New Roman" w:hAnsi="Times New Roman"/>
          <w:sz w:val="20"/>
          <w:szCs w:val="20"/>
          <w:color w:val="auto"/>
        </w:rPr>
        <w:t>Gains and losses realized from foreign currency transactions (those transactions denominated in currencies other than the foreign subsidiaries’ functional currency) are included in other income (loss), net. Monetary assets and liabilities are remeasured using foreign currency exchange rates at the end of the period, and non-monetary assets are remeasured based on historical exchange rates. Foreign currency transaction gains or losses were immaterial during the years ended December 31, 2025 and 2024.</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29" w:lineRule="exact"/>
        <w:rPr>
          <w:sz w:val="20"/>
          <w:szCs w:val="20"/>
          <w:color w:val="auto"/>
        </w:rPr>
      </w:pPr>
    </w:p>
    <w:p>
      <w:pPr>
        <w:ind w:right="260" w:firstLine="483"/>
        <w:spacing w:after="0" w:line="256" w:lineRule="auto"/>
        <w:rPr>
          <w:sz w:val="20"/>
          <w:szCs w:val="20"/>
          <w:color w:val="auto"/>
        </w:rPr>
      </w:pPr>
      <w:r>
        <w:rPr>
          <w:rFonts w:ascii="Times New Roman" w:cs="Times New Roman" w:eastAsia="Times New Roman" w:hAnsi="Times New Roman"/>
          <w:sz w:val="20"/>
          <w:szCs w:val="20"/>
          <w:color w:val="auto"/>
        </w:rPr>
        <w:t>The Company derives its revenue from the sale of subscriptions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83" w:lineRule="exact"/>
        <w:rPr>
          <w:sz w:val="20"/>
          <w:szCs w:val="20"/>
          <w:color w:val="auto"/>
        </w:rPr>
      </w:pPr>
    </w:p>
    <w:p>
      <w:pPr>
        <w:ind w:left="1060" w:hanging="360"/>
        <w:spacing w:after="0"/>
        <w:tabs>
          <w:tab w:leader="none" w:pos="10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w:t>
      </w:r>
    </w:p>
    <w:p>
      <w:pPr>
        <w:spacing w:after="0" w:line="121" w:lineRule="exact"/>
        <w:rPr>
          <w:rFonts w:ascii="Times New Roman" w:cs="Times New Roman" w:eastAsia="Times New Roman" w:hAnsi="Times New Roman"/>
          <w:sz w:val="20"/>
          <w:szCs w:val="20"/>
          <w:color w:val="auto"/>
        </w:rPr>
      </w:pPr>
    </w:p>
    <w:p>
      <w:pPr>
        <w:ind w:left="1060" w:hanging="360"/>
        <w:spacing w:after="0"/>
        <w:tabs>
          <w:tab w:leader="none" w:pos="10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121" w:lineRule="exact"/>
        <w:rPr>
          <w:rFonts w:ascii="Times New Roman" w:cs="Times New Roman" w:eastAsia="Times New Roman" w:hAnsi="Times New Roman"/>
          <w:sz w:val="20"/>
          <w:szCs w:val="20"/>
          <w:color w:val="auto"/>
        </w:rPr>
      </w:pPr>
    </w:p>
    <w:p>
      <w:pPr>
        <w:ind w:left="1060" w:hanging="360"/>
        <w:spacing w:after="0"/>
        <w:tabs>
          <w:tab w:leader="none" w:pos="10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pacing w:after="0" w:line="121" w:lineRule="exact"/>
        <w:rPr>
          <w:rFonts w:ascii="Times New Roman" w:cs="Times New Roman" w:eastAsia="Times New Roman" w:hAnsi="Times New Roman"/>
          <w:sz w:val="20"/>
          <w:szCs w:val="20"/>
          <w:color w:val="auto"/>
        </w:rPr>
      </w:pPr>
    </w:p>
    <w:p>
      <w:pPr>
        <w:ind w:left="1060" w:hanging="360"/>
        <w:spacing w:after="0"/>
        <w:tabs>
          <w:tab w:leader="none" w:pos="10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w:t>
      </w:r>
    </w:p>
    <w:p>
      <w:pPr>
        <w:spacing w:after="0" w:line="121" w:lineRule="exact"/>
        <w:rPr>
          <w:rFonts w:ascii="Times New Roman" w:cs="Times New Roman" w:eastAsia="Times New Roman" w:hAnsi="Times New Roman"/>
          <w:sz w:val="20"/>
          <w:szCs w:val="20"/>
          <w:color w:val="auto"/>
        </w:rPr>
      </w:pPr>
    </w:p>
    <w:p>
      <w:pPr>
        <w:ind w:left="1060" w:hanging="360"/>
        <w:spacing w:after="0"/>
        <w:tabs>
          <w:tab w:leader="none" w:pos="10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000"/>
          </w:cols>
          <w:pgMar w:left="940" w:top="352" w:right="940" w:bottom="0" w:gutter="0" w:footer="0" w:header="0"/>
          <w:type w:val="continuous"/>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00" w:lineRule="exact"/>
        <w:rPr>
          <w:sz w:val="20"/>
          <w:szCs w:val="20"/>
          <w:color w:val="auto"/>
        </w:rPr>
      </w:pPr>
    </w:p>
    <w:p>
      <w:pPr>
        <w:spacing w:after="0" w:line="217" w:lineRule="exact"/>
        <w:rPr>
          <w:sz w:val="20"/>
          <w:szCs w:val="20"/>
          <w:color w:val="auto"/>
        </w:rPr>
      </w:pPr>
    </w:p>
    <w:p>
      <w:pPr>
        <w:ind w:firstLine="483"/>
        <w:spacing w:after="0" w:line="248" w:lineRule="auto"/>
        <w:rPr>
          <w:sz w:val="20"/>
          <w:szCs w:val="20"/>
          <w:color w:val="auto"/>
        </w:rPr>
      </w:pPr>
      <w:r>
        <w:rPr>
          <w:rFonts w:ascii="Times New Roman" w:cs="Times New Roman" w:eastAsia="Times New Roman" w:hAnsi="Times New Roman"/>
          <w:sz w:val="20"/>
          <w:szCs w:val="20"/>
          <w:color w:val="auto"/>
        </w:rPr>
        <w:t>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w:t>
      </w:r>
    </w:p>
    <w:p>
      <w:pPr>
        <w:spacing w:after="0" w:line="209" w:lineRule="exact"/>
        <w:rPr>
          <w:sz w:val="20"/>
          <w:szCs w:val="20"/>
          <w:color w:val="auto"/>
        </w:rPr>
      </w:pPr>
    </w:p>
    <w:p>
      <w:pPr>
        <w:ind w:right="220" w:firstLine="483"/>
        <w:spacing w:after="0" w:line="252" w:lineRule="auto"/>
        <w:rPr>
          <w:sz w:val="20"/>
          <w:szCs w:val="20"/>
          <w:color w:val="auto"/>
        </w:rPr>
      </w:pPr>
      <w:r>
        <w:rPr>
          <w:rFonts w:ascii="Times New Roman" w:cs="Times New Roman" w:eastAsia="Times New Roman" w:hAnsi="Times New Roman"/>
          <w:sz w:val="20"/>
          <w:szCs w:val="20"/>
          <w:color w:val="auto"/>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spacing w:after="0" w:line="204" w:lineRule="exact"/>
        <w:rPr>
          <w:sz w:val="20"/>
          <w:szCs w:val="20"/>
          <w:color w:val="auto"/>
        </w:rPr>
      </w:pPr>
    </w:p>
    <w:p>
      <w:pPr>
        <w:ind w:right="100" w:firstLine="483"/>
        <w:spacing w:after="0" w:line="269" w:lineRule="auto"/>
        <w:rPr>
          <w:sz w:val="20"/>
          <w:szCs w:val="20"/>
          <w:color w:val="auto"/>
        </w:rPr>
      </w:pPr>
      <w:r>
        <w:rPr>
          <w:rFonts w:ascii="Times New Roman" w:cs="Times New Roman" w:eastAsia="Times New Roman" w:hAnsi="Times New Roman"/>
          <w:sz w:val="20"/>
          <w:szCs w:val="20"/>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7" w:lineRule="exact"/>
        <w:rPr>
          <w:sz w:val="20"/>
          <w:szCs w:val="20"/>
          <w:color w:val="auto"/>
        </w:rPr>
      </w:pPr>
    </w:p>
    <w:p>
      <w:pPr>
        <w:ind w:right="20" w:firstLine="483"/>
        <w:spacing w:after="0" w:line="256" w:lineRule="auto"/>
        <w:rPr>
          <w:sz w:val="20"/>
          <w:szCs w:val="20"/>
          <w:color w:val="auto"/>
        </w:rPr>
      </w:pPr>
      <w:r>
        <w:rPr>
          <w:rFonts w:ascii="Times New Roman" w:cs="Times New Roman" w:eastAsia="Times New Roman" w:hAnsi="Times New Roman"/>
          <w:sz w:val="20"/>
          <w:szCs w:val="20"/>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200" w:lineRule="exact"/>
        <w:rPr>
          <w:sz w:val="20"/>
          <w:szCs w:val="20"/>
          <w:color w:val="auto"/>
        </w:rPr>
      </w:pPr>
    </w:p>
    <w:p>
      <w:pPr>
        <w:ind w:right="200" w:firstLine="483"/>
        <w:spacing w:after="0" w:line="256" w:lineRule="auto"/>
        <w:rPr>
          <w:sz w:val="20"/>
          <w:szCs w:val="20"/>
          <w:color w:val="auto"/>
        </w:rPr>
      </w:pPr>
      <w:r>
        <w:rPr>
          <w:rFonts w:ascii="Times New Roman" w:cs="Times New Roman" w:eastAsia="Times New Roman" w:hAnsi="Times New Roman"/>
          <w:sz w:val="20"/>
          <w:szCs w:val="20"/>
          <w:color w:val="auto"/>
        </w:rPr>
        <w:t>The Company recognized $725.5 million, $724.0 million and $701.6 million of revenue during the years ended December 31, 2025, 2024 and 2023, respectively, that was included in the deferred revenue balances at the beginning of their respective periods.</w:t>
      </w:r>
    </w:p>
    <w:p>
      <w:pPr>
        <w:spacing w:after="0" w:line="200" w:lineRule="exact"/>
        <w:rPr>
          <w:sz w:val="20"/>
          <w:szCs w:val="20"/>
          <w:color w:val="auto"/>
        </w:rPr>
      </w:pPr>
    </w:p>
    <w:p>
      <w:pPr>
        <w:ind w:right="180" w:firstLine="483"/>
        <w:spacing w:after="0" w:line="256" w:lineRule="auto"/>
        <w:rPr>
          <w:sz w:val="20"/>
          <w:szCs w:val="20"/>
          <w:color w:val="auto"/>
        </w:rPr>
      </w:pPr>
      <w:r>
        <w:rPr>
          <w:rFonts w:ascii="Times New Roman" w:cs="Times New Roman" w:eastAsia="Times New Roman" w:hAnsi="Times New Roman"/>
          <w:sz w:val="20"/>
          <w:szCs w:val="20"/>
          <w:color w:val="auto"/>
        </w:rPr>
        <w:t>As of December 31, 2025, future estimated revenue related to performance obligations that were unsatisfied or partially unsatisfied was $800.9 million. The substantial majority of the unsatisfied performance obligations will be satisfied over the next twelve months.</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9" w:lineRule="exact"/>
        <w:rPr>
          <w:sz w:val="20"/>
          <w:szCs w:val="20"/>
          <w:color w:val="auto"/>
        </w:rPr>
      </w:pPr>
    </w:p>
    <w:p>
      <w:pPr>
        <w:ind w:right="20" w:firstLine="439"/>
        <w:spacing w:after="0" w:line="248" w:lineRule="auto"/>
        <w:rPr>
          <w:sz w:val="20"/>
          <w:szCs w:val="20"/>
          <w:color w:val="auto"/>
        </w:rPr>
      </w:pPr>
      <w:r>
        <w:rPr>
          <w:rFonts w:ascii="Times New Roman" w:cs="Times New Roman" w:eastAsia="Times New Roman" w:hAnsi="Times New Roman"/>
          <w:sz w:val="20"/>
          <w:szCs w:val="20"/>
          <w:color w:val="auto"/>
        </w:rPr>
        <w:t>The Company grants RSUs to its employees and members of the Board of Directors under the 2008 Equity Incentive Plan (“2008 Plan”), the 2017 Equity Incentive Plan (“2017 Plan”), and the 2018 Equity Incentive Plan (“2018 Plan” and together with the 2008 Plan and 2017 Plan, the "Dropbox Equity Incentive Plans”). RSUs are subject to a service-based vesting condition over a four-year period, with vesting occurring quarterly, and have been the Company’s primary form of stock-based compensation for employees, with the exception of certain awards granted to the Company’s co-founder and certain executives. Compensation expense related to RSUs is recognized on a straight-line basis over the requisite service period, with forfeitures accounted for in the period in which they occur.</w:t>
      </w:r>
    </w:p>
    <w:p>
      <w:pPr>
        <w:spacing w:after="0" w:line="92" w:lineRule="exact"/>
        <w:rPr>
          <w:sz w:val="20"/>
          <w:szCs w:val="20"/>
          <w:color w:val="auto"/>
        </w:rPr>
      </w:pPr>
    </w:p>
    <w:p>
      <w:pPr>
        <w:ind w:right="40" w:firstLine="487"/>
        <w:spacing w:after="0" w:line="269" w:lineRule="auto"/>
        <w:rPr>
          <w:sz w:val="20"/>
          <w:szCs w:val="20"/>
          <w:color w:val="auto"/>
        </w:rPr>
      </w:pPr>
      <w:r>
        <w:rPr>
          <w:rFonts w:ascii="Times New Roman" w:cs="Times New Roman" w:eastAsia="Times New Roman" w:hAnsi="Times New Roman"/>
          <w:sz w:val="20"/>
          <w:szCs w:val="20"/>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187" w:lineRule="exact"/>
        <w:rPr>
          <w:sz w:val="20"/>
          <w:szCs w:val="20"/>
          <w:color w:val="auto"/>
        </w:rPr>
      </w:pPr>
    </w:p>
    <w:p>
      <w:pPr>
        <w:ind w:firstLine="439"/>
        <w:spacing w:after="0" w:line="279" w:lineRule="auto"/>
        <w:rPr>
          <w:sz w:val="20"/>
          <w:szCs w:val="20"/>
          <w:color w:val="auto"/>
        </w:rPr>
      </w:pPr>
      <w:r>
        <w:rPr>
          <w:rFonts w:ascii="Times New Roman" w:cs="Times New Roman" w:eastAsia="Times New Roman" w:hAnsi="Times New Roman"/>
          <w:sz w:val="18"/>
          <w:szCs w:val="18"/>
          <w:color w:val="auto"/>
        </w:rPr>
        <w:t>In December 2017, the Board of Directors approved the Co-Founder Grant of 10.3 million shares of Class A common stock in the form of RSAs to Drew Houston, the Company's co-founder and Chief Executive Officer. The grant is subject to service-based, market-based, and performance-based vesting conditions and is excluded from issued and outstanding Class A common stock until vesting. The Company estimated the grant date fair value using a Monte Carlo simulation model that incorporated the probability of not meeting stock price targets. The first tranche vested in the fourth quarter of 2021. Stock-based compensation expense for the Co-Founder Grant was recognized using the accelerated attribution method over the derived service period and will not be reversed if market conditions are unmet. As of December 31, 2024, the Company had fully recognized all related stock-based compensation expense. See Note 11, "Stockholders' Deficit," for additional information.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129" w:lineRule="exact"/>
        <w:rPr>
          <w:sz w:val="20"/>
          <w:szCs w:val="20"/>
          <w:color w:val="auto"/>
        </w:rPr>
      </w:pPr>
    </w:p>
    <w:p>
      <w:pPr>
        <w:ind w:right="100" w:firstLine="439"/>
        <w:spacing w:after="0" w:line="285"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w:t>
      </w:r>
    </w:p>
    <w:p>
      <w:pPr>
        <w:sectPr>
          <w:pgSz w:w="11880" w:h="15480" w:orient="portrait"/>
          <w:cols w:equalWidth="0" w:num="1">
            <w:col w:w="9980"/>
          </w:cols>
          <w:pgMar w:left="940" w:top="352" w:right="960" w:bottom="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980"/>
          </w:cols>
          <w:pgMar w:left="940" w:top="352" w:right="960" w:bottom="0" w:gutter="0" w:footer="0" w:header="0"/>
          <w:type w:val="continuous"/>
        </w:sectPr>
      </w:pPr>
    </w:p>
    <w:bookmarkStart w:id="180" w:name="page181"/>
    <w:bookmarkEnd w:id="180"/>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left="2" w:right="80"/>
        <w:spacing w:after="0" w:line="249" w:lineRule="auto"/>
        <w:rPr>
          <w:sz w:val="20"/>
          <w:szCs w:val="20"/>
          <w:color w:val="auto"/>
        </w:rPr>
      </w:pPr>
      <w:r>
        <w:rPr>
          <w:rFonts w:ascii="Times New Roman" w:cs="Times New Roman" w:eastAsia="Times New Roman" w:hAnsi="Times New Roman"/>
          <w:sz w:val="20"/>
          <w:szCs w:val="20"/>
          <w:color w:val="auto"/>
        </w:rPr>
        <w:t>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spacing w:after="0" w:line="199"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b w:val="1"/>
          <w:bCs w:val="1"/>
          <w:i w:val="1"/>
          <w:iCs w:val="1"/>
          <w:color w:val="auto"/>
        </w:rPr>
        <w:t>Reductions in Workforce</w:t>
      </w:r>
    </w:p>
    <w:p>
      <w:pPr>
        <w:spacing w:after="0" w:line="18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20"/>
          <w:szCs w:val="20"/>
          <w:b w:val="1"/>
          <w:bCs w:val="1"/>
          <w:i w:val="1"/>
          <w:iCs w:val="1"/>
          <w:color w:val="auto"/>
        </w:rPr>
        <w:t>2024 Reduction in Workforce</w:t>
      </w:r>
    </w:p>
    <w:p>
      <w:pPr>
        <w:spacing w:after="0" w:line="129" w:lineRule="exact"/>
        <w:rPr>
          <w:sz w:val="20"/>
          <w:szCs w:val="20"/>
          <w:color w:val="auto"/>
        </w:rPr>
      </w:pPr>
    </w:p>
    <w:p>
      <w:pPr>
        <w:ind w:left="2" w:right="280" w:firstLine="439"/>
        <w:spacing w:after="0" w:line="250" w:lineRule="auto"/>
        <w:rPr>
          <w:sz w:val="20"/>
          <w:szCs w:val="20"/>
          <w:color w:val="auto"/>
        </w:rPr>
      </w:pPr>
      <w:r>
        <w:rPr>
          <w:rFonts w:ascii="Times New Roman" w:cs="Times New Roman" w:eastAsia="Times New Roman" w:hAnsi="Times New Roman"/>
          <w:sz w:val="20"/>
          <w:szCs w:val="20"/>
          <w:color w:val="auto"/>
        </w:rPr>
        <w:t>In October 2024, the Company announced a global workforce reduction of approximately 20% to streamline its team structure and better align with long-term growth and profitability objectives. As of December 31, 2025, total related cash expenditures were $65.2 million, which included the pro rata fiscal year 2024 annual employee bonus through October 30, 2024. The Company recognized $50.9 million of related expenses, primarily consisting of severance, employee benefits, and related costs.</w:t>
      </w:r>
    </w:p>
    <w:p>
      <w:pPr>
        <w:spacing w:after="0" w:line="89" w:lineRule="exact"/>
        <w:rPr>
          <w:sz w:val="20"/>
          <w:szCs w:val="20"/>
          <w:color w:val="auto"/>
        </w:rPr>
      </w:pPr>
    </w:p>
    <w:p>
      <w:pPr>
        <w:ind w:left="2" w:right="380" w:firstLine="483"/>
        <w:spacing w:after="0" w:line="269" w:lineRule="auto"/>
        <w:rPr>
          <w:sz w:val="20"/>
          <w:szCs w:val="20"/>
          <w:color w:val="auto"/>
        </w:rPr>
      </w:pPr>
      <w:r>
        <w:rPr>
          <w:rFonts w:ascii="Times New Roman" w:cs="Times New Roman" w:eastAsia="Times New Roman" w:hAnsi="Times New Roman"/>
          <w:sz w:val="20"/>
          <w:szCs w:val="20"/>
          <w:color w:val="auto"/>
        </w:rPr>
        <w:t>These severance and related charges are included within the Company's consolidated statements of operations for the years ended December 31, 2025 and 2024 as follows:</w:t>
      </w:r>
    </w:p>
    <w:p>
      <w:pPr>
        <w:spacing w:after="0" w:line="200" w:lineRule="exact"/>
        <w:rPr>
          <w:sz w:val="20"/>
          <w:szCs w:val="20"/>
          <w:color w:val="auto"/>
        </w:rPr>
      </w:pPr>
    </w:p>
    <w:p>
      <w:pPr>
        <w:ind w:left="7582"/>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502"/>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3881755</wp:posOffset>
                </wp:positionH>
                <wp:positionV relativeFrom="paragraph">
                  <wp:posOffset>26035</wp:posOffset>
                </wp:positionV>
                <wp:extent cx="2470785" cy="0"/>
                <wp:wrapNone/>
                <wp:docPr id="567" name="Shape 5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078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567" o:spid="_x0000_s1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65pt,2.05pt" to="500.2pt,2.05pt" o:allowincell="f" strokecolor="#000000" strokeweight="0.975pt"/>
            </w:pict>
          </mc:Fallback>
        </mc:AlternateContent>
      </w:r>
    </w:p>
    <w:p>
      <w:pPr>
        <w:spacing w:after="0" w:line="57" w:lineRule="exact"/>
        <w:rPr>
          <w:sz w:val="20"/>
          <w:szCs w:val="20"/>
          <w:color w:val="auto"/>
        </w:rPr>
      </w:pPr>
    </w:p>
    <w:tbl>
      <w:tblPr>
        <w:tblLayout w:type="fixed"/>
        <w:tblInd w:w="2" w:type="dxa"/>
        <w:tblCellMar>
          <w:top w:w="0" w:type="dxa"/>
          <w:left w:w="0" w:type="dxa"/>
          <w:bottom w:w="0" w:type="dxa"/>
          <w:right w:w="0" w:type="dxa"/>
        </w:tblCellMar>
      </w:tblPr>
      <w:tr>
        <w:trPr>
          <w:trHeight w:val="261"/>
        </w:trPr>
        <w:tc>
          <w:tcPr>
            <w:tcW w:w="6120" w:type="dxa"/>
            <w:vAlign w:val="bottom"/>
            <w:tcBorders>
              <w:bottom w:val="single" w:sz="8" w:color="E6E6E6"/>
            </w:tcBorders>
          </w:tcPr>
          <w:p>
            <w:pPr>
              <w:spacing w:after="0"/>
              <w:rPr>
                <w:sz w:val="22"/>
                <w:szCs w:val="22"/>
                <w:color w:val="auto"/>
              </w:rPr>
            </w:pPr>
          </w:p>
        </w:tc>
        <w:tc>
          <w:tcPr>
            <w:tcW w:w="13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20"/>
                <w:szCs w:val="20"/>
                <w:b w:val="1"/>
                <w:bCs w:val="1"/>
                <w:color w:val="auto"/>
              </w:rPr>
              <w:t>2025</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97"/>
        </w:trPr>
        <w:tc>
          <w:tcPr>
            <w:tcW w:w="612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Cost of revenue</w:t>
            </w:r>
          </w:p>
        </w:tc>
        <w:tc>
          <w:tcPr>
            <w:tcW w:w="1360" w:type="dxa"/>
            <w:vAlign w:val="bottom"/>
            <w:shd w:val="clear" w:color="auto" w:fill="E6E6E6"/>
          </w:tcPr>
          <w:p>
            <w:pPr>
              <w:jc w:val="right"/>
              <w:ind w:right="1122"/>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520" w:type="dxa"/>
            <w:vAlign w:val="bottom"/>
            <w:gridSpan w:val="2"/>
            <w:shd w:val="clear" w:color="auto" w:fill="E6E6E6"/>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01"/>
        </w:trPr>
        <w:tc>
          <w:tcPr>
            <w:tcW w:w="6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r>
      <w:tr>
        <w:trPr>
          <w:trHeight w:val="314"/>
        </w:trPr>
        <w:tc>
          <w:tcPr>
            <w:tcW w:w="612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Sales and marketing</w:t>
            </w:r>
          </w:p>
        </w:tc>
        <w:tc>
          <w:tcPr>
            <w:tcW w:w="136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97"/>
        </w:trPr>
        <w:tc>
          <w:tcPr>
            <w:tcW w:w="6120" w:type="dxa"/>
            <w:vAlign w:val="bottom"/>
            <w:tcBorders>
              <w:bottom w:val="single" w:sz="8" w:color="E6E6E6"/>
            </w:tcBorders>
          </w:tcPr>
          <w:p>
            <w:pPr>
              <w:ind w:left="2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07"/>
        </w:trPr>
        <w:tc>
          <w:tcPr>
            <w:tcW w:w="612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Charges</w:t>
            </w:r>
          </w:p>
        </w:tc>
        <w:tc>
          <w:tcPr>
            <w:tcW w:w="1360" w:type="dxa"/>
            <w:vAlign w:val="bottom"/>
            <w:tcBorders>
              <w:bottom w:val="single" w:sz="8" w:color="auto"/>
            </w:tcBorders>
            <w:shd w:val="clear" w:color="auto" w:fill="E6E6E6"/>
          </w:tcPr>
          <w:p>
            <w:pPr>
              <w:jc w:val="right"/>
              <w:ind w:right="1122"/>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-1017905</wp:posOffset>
            </wp:positionV>
            <wp:extent cx="2520315" cy="495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117">
                      <a:extLst>
                        <a:ext uri="{28A0092B-C50C-407E-A947-70E740481C1C}"/>
                      </a:extLst>
                    </a:blip>
                    <a:srcRect/>
                    <a:stretch>
                      <a:fillRect/>
                    </a:stretch>
                  </pic:blipFill>
                  <pic:spPr bwMode="auto">
                    <a:xfrm>
                      <a:off x="0" y="0"/>
                      <a:ext cx="2520315" cy="49530"/>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-237490</wp:posOffset>
            </wp:positionV>
            <wp:extent cx="2520315" cy="495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118">
                      <a:extLst>
                        <a:ext uri="{28A0092B-C50C-407E-A947-70E740481C1C}"/>
                      </a:extLst>
                    </a:blip>
                    <a:srcRect/>
                    <a:stretch>
                      <a:fillRect/>
                    </a:stretch>
                  </pic:blipFill>
                  <pic:spPr bwMode="auto">
                    <a:xfrm>
                      <a:off x="0" y="0"/>
                      <a:ext cx="2520315" cy="49530"/>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-55245</wp:posOffset>
            </wp:positionV>
            <wp:extent cx="2520315" cy="742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119">
                      <a:extLst>
                        <a:ext uri="{28A0092B-C50C-407E-A947-70E740481C1C}"/>
                      </a:extLst>
                    </a:blip>
                    <a:srcRect/>
                    <a:stretch>
                      <a:fillRect/>
                    </a:stretch>
                  </pic:blipFill>
                  <pic:spPr bwMode="auto">
                    <a:xfrm>
                      <a:off x="0" y="0"/>
                      <a:ext cx="2520315" cy="74295"/>
                    </a:xfrm>
                    <a:prstGeom prst="rect">
                      <a:avLst/>
                    </a:prstGeom>
                    <a:noFill/>
                  </pic:spPr>
                </pic:pic>
              </a:graphicData>
            </a:graphic>
          </wp:anchor>
        </w:drawing>
      </w:r>
    </w:p>
    <w:p>
      <w:pPr>
        <w:spacing w:after="0" w:line="221" w:lineRule="exact"/>
        <w:rPr>
          <w:sz w:val="20"/>
          <w:szCs w:val="20"/>
          <w:color w:val="auto"/>
        </w:rPr>
      </w:pPr>
    </w:p>
    <w:p>
      <w:pPr>
        <w:ind w:left="2" w:right="100" w:firstLine="483"/>
        <w:spacing w:after="0" w:line="269" w:lineRule="auto"/>
        <w:rPr>
          <w:sz w:val="20"/>
          <w:szCs w:val="20"/>
          <w:color w:val="auto"/>
        </w:rPr>
      </w:pPr>
      <w:r>
        <w:rPr>
          <w:rFonts w:ascii="Times New Roman" w:cs="Times New Roman" w:eastAsia="Times New Roman" w:hAnsi="Times New Roman"/>
          <w:sz w:val="20"/>
          <w:szCs w:val="20"/>
          <w:color w:val="auto"/>
        </w:rPr>
        <w:t>For the year ended December 31, 2025, changes in liabilities resulting from the severance charges and related costs were as follows:</w:t>
      </w:r>
    </w:p>
    <w:tbl>
      <w:tblPr>
        <w:tblLayout w:type="fixed"/>
        <w:tblInd w:w="2" w:type="dxa"/>
        <w:tblCellMar>
          <w:top w:w="0" w:type="dxa"/>
          <w:left w:w="0" w:type="dxa"/>
          <w:bottom w:w="0" w:type="dxa"/>
          <w:right w:w="0" w:type="dxa"/>
        </w:tblCellMar>
      </w:tblPr>
      <w:tr>
        <w:trPr>
          <w:trHeight w:val="201"/>
        </w:trPr>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ind w:right="262"/>
              <w:spacing w:after="0" w:line="201" w:lineRule="exact"/>
              <w:rPr>
                <w:sz w:val="20"/>
                <w:szCs w:val="20"/>
                <w:color w:val="auto"/>
              </w:rPr>
            </w:pPr>
            <w:r>
              <w:rPr>
                <w:rFonts w:ascii="Times New Roman" w:cs="Times New Roman" w:eastAsia="Times New Roman" w:hAnsi="Times New Roman"/>
                <w:sz w:val="20"/>
                <w:szCs w:val="20"/>
                <w:b w:val="1"/>
                <w:bCs w:val="1"/>
                <w:color w:val="auto"/>
              </w:rPr>
              <w:t>Severance and</w:t>
            </w:r>
          </w:p>
        </w:tc>
      </w:tr>
      <w:tr>
        <w:trPr>
          <w:trHeight w:val="256"/>
        </w:trPr>
        <w:tc>
          <w:tcPr>
            <w:tcW w:w="808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b w:val="1"/>
                <w:bCs w:val="1"/>
                <w:color w:val="auto"/>
              </w:rPr>
              <w:t>Related Costs</w:t>
            </w:r>
          </w:p>
        </w:tc>
      </w:tr>
      <w:tr>
        <w:trPr>
          <w:trHeight w:val="297"/>
        </w:trPr>
        <w:tc>
          <w:tcPr>
            <w:tcW w:w="80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260" w:type="dxa"/>
            <w:vAlign w:val="bottom"/>
            <w:shd w:val="clear" w:color="auto" w:fill="E6E6E6"/>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01"/>
        </w:trPr>
        <w:tc>
          <w:tcPr>
            <w:tcW w:w="80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Charges</w:t>
            </w: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03"/>
        </w:trPr>
        <w:tc>
          <w:tcPr>
            <w:tcW w:w="8080" w:type="dxa"/>
            <w:vAlign w:val="bottom"/>
            <w:tcBorders>
              <w:bottom w:val="single" w:sz="8" w:color="E6E6E6"/>
            </w:tcBorders>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Cash payments</w:t>
            </w:r>
            <w:r>
              <w:rPr>
                <w:rFonts w:ascii="Times New Roman" w:cs="Times New Roman" w:eastAsia="Times New Roman" w:hAnsi="Times New Roman"/>
                <w:sz w:val="12"/>
                <w:szCs w:val="12"/>
                <w:color w:val="auto"/>
              </w:rPr>
              <w:t>(1)</w:t>
            </w:r>
          </w:p>
        </w:tc>
        <w:tc>
          <w:tcPr>
            <w:tcW w:w="260" w:type="dxa"/>
            <w:vAlign w:val="bottom"/>
            <w:tcBorders>
              <w:bottom w:val="single" w:sz="8" w:color="auto"/>
            </w:tcBorders>
            <w:shd w:val="clear" w:color="auto" w:fill="E6E6E6"/>
          </w:tcPr>
          <w:p>
            <w:pPr>
              <w:spacing w:after="0"/>
              <w:rPr>
                <w:sz w:val="24"/>
                <w:szCs w:val="24"/>
                <w:color w:val="auto"/>
              </w:rPr>
            </w:pPr>
          </w:p>
        </w:tc>
        <w:tc>
          <w:tcPr>
            <w:tcW w:w="1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68"/>
        </w:trPr>
        <w:tc>
          <w:tcPr>
            <w:tcW w:w="8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December 31, 2025</w:t>
            </w:r>
          </w:p>
        </w:tc>
        <w:tc>
          <w:tcPr>
            <w:tcW w:w="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5111115</wp:posOffset>
            </wp:positionH>
            <wp:positionV relativeFrom="paragraph">
              <wp:posOffset>-822960</wp:posOffset>
            </wp:positionV>
            <wp:extent cx="1266190" cy="495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120">
                      <a:extLst>
                        <a:ext uri="{28A0092B-C50C-407E-A947-70E740481C1C}"/>
                      </a:extLst>
                    </a:blip>
                    <a:srcRect/>
                    <a:stretch>
                      <a:fillRect/>
                    </a:stretch>
                  </pic:blipFill>
                  <pic:spPr bwMode="auto">
                    <a:xfrm>
                      <a:off x="0" y="0"/>
                      <a:ext cx="1266190" cy="49530"/>
                    </a:xfrm>
                    <a:prstGeom prst="rect">
                      <a:avLst/>
                    </a:prstGeom>
                    <a:noFill/>
                  </pic:spPr>
                </pic:pic>
              </a:graphicData>
            </a:graphic>
          </wp:anchor>
        </w:drawing>
        <w:drawing>
          <wp:anchor simplePos="0" relativeHeight="251657728" behindDoc="1" locked="0" layoutInCell="0" allowOverlap="1">
            <wp:simplePos x="0" y="0"/>
            <wp:positionH relativeFrom="column">
              <wp:posOffset>5111115</wp:posOffset>
            </wp:positionH>
            <wp:positionV relativeFrom="paragraph">
              <wp:posOffset>-237490</wp:posOffset>
            </wp:positionV>
            <wp:extent cx="1266190" cy="4953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121">
                      <a:extLst>
                        <a:ext uri="{28A0092B-C50C-407E-A947-70E740481C1C}"/>
                      </a:extLst>
                    </a:blip>
                    <a:srcRect/>
                    <a:stretch>
                      <a:fillRect/>
                    </a:stretch>
                  </pic:blipFill>
                  <pic:spPr bwMode="auto">
                    <a:xfrm>
                      <a:off x="0" y="0"/>
                      <a:ext cx="1266190" cy="49530"/>
                    </a:xfrm>
                    <a:prstGeom prst="rect">
                      <a:avLst/>
                    </a:prstGeom>
                    <a:noFill/>
                  </pic:spPr>
                </pic:pic>
              </a:graphicData>
            </a:graphic>
          </wp:anchor>
        </w:drawing>
      </w:r>
    </w:p>
    <w:p>
      <w:pPr>
        <w:ind w:left="2" w:right="100" w:hanging="2"/>
        <w:spacing w:after="0" w:line="253" w:lineRule="auto"/>
        <w:tabs>
          <w:tab w:leader="none" w:pos="163" w:val="left"/>
        </w:tabs>
        <w:numPr>
          <w:ilvl w:val="0"/>
          <w:numId w:val="15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For the year ended December 31, 2025, total cash payments were $13.2 million when including the pro rata amount of the fiscal year 2024 annual employee bonus.</w:t>
      </w:r>
    </w:p>
    <w:p>
      <w:pPr>
        <w:spacing w:after="0" w:line="17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20"/>
          <w:szCs w:val="20"/>
          <w:b w:val="1"/>
          <w:bCs w:val="1"/>
          <w:i w:val="1"/>
          <w:iCs w:val="1"/>
          <w:color w:val="auto"/>
        </w:rPr>
        <w:t>2023 Reduction in Workforce</w:t>
      </w:r>
    </w:p>
    <w:p>
      <w:pPr>
        <w:spacing w:after="0" w:line="188" w:lineRule="exact"/>
        <w:rPr>
          <w:sz w:val="20"/>
          <w:szCs w:val="20"/>
          <w:color w:val="auto"/>
        </w:rPr>
      </w:pPr>
    </w:p>
    <w:p>
      <w:pPr>
        <w:ind w:left="2" w:right="240" w:firstLine="439"/>
        <w:spacing w:after="0" w:line="252" w:lineRule="auto"/>
        <w:rPr>
          <w:sz w:val="20"/>
          <w:szCs w:val="20"/>
          <w:color w:val="auto"/>
        </w:rPr>
      </w:pPr>
      <w:r>
        <w:rPr>
          <w:rFonts w:ascii="Times New Roman" w:cs="Times New Roman" w:eastAsia="Times New Roman" w:hAnsi="Times New Roman"/>
          <w:sz w:val="20"/>
          <w:szCs w:val="20"/>
          <w:color w:val="auto"/>
        </w:rPr>
        <w:t>On April 27, 2023, the Company announced a reduction of its global workforce by approximately 16% to streamline its team structure in support of its long-term growth and profitability objectives. During the year ended December 31, 2023, the Company incurred $39.3 million in charges in connection with the reduction in workforce, primarily consisting of cash expenditures for severance payments, employee benefits and related costs.</w:t>
      </w:r>
    </w:p>
    <w:p>
      <w:pPr>
        <w:spacing w:after="0" w:line="32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20"/>
          <w:szCs w:val="20"/>
          <w:color w:val="auto"/>
        </w:rPr>
        <w:t>These severance charges are included within the Company's consolidated statements of operations for the year ended</w:t>
      </w:r>
    </w:p>
    <w:p>
      <w:pPr>
        <w:spacing w:after="0" w:line="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December 31, 2023 as follows:</w:t>
      </w:r>
    </w:p>
    <w:p>
      <w:pPr>
        <w:sectPr>
          <w:pgSz w:w="11880" w:h="15480" w:orient="portrait"/>
          <w:cols w:equalWidth="0" w:num="1">
            <w:col w:w="10002"/>
          </w:cols>
          <w:pgMar w:left="938"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002"/>
          </w:cols>
          <w:pgMar w:left="938" w:top="352" w:right="940" w:bottom="0" w:gutter="0" w:footer="0" w:header="0"/>
          <w:type w:val="continuous"/>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5121910</wp:posOffset>
            </wp:positionH>
            <wp:positionV relativeFrom="paragraph">
              <wp:posOffset>429895</wp:posOffset>
            </wp:positionV>
            <wp:extent cx="1242060"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122">
                      <a:extLst>
                        <a:ext uri="{28A0092B-C50C-407E-A947-70E740481C1C}"/>
                      </a:extLst>
                    </a:blip>
                    <a:srcRect/>
                    <a:stretch>
                      <a:fillRect/>
                    </a:stretch>
                  </pic:blipFill>
                  <pic:spPr bwMode="auto">
                    <a:xfrm>
                      <a:off x="0" y="0"/>
                      <a:ext cx="12420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8080" w:type="dxa"/>
            <w:vAlign w:val="bottom"/>
            <w:tcBorders>
              <w:top w:val="single" w:sz="8" w:color="E6E6E6"/>
            </w:tcBorders>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Cost of revenue</w:t>
            </w:r>
          </w:p>
        </w:tc>
        <w:tc>
          <w:tcPr>
            <w:tcW w:w="820" w:type="dxa"/>
            <w:vAlign w:val="bottom"/>
            <w:tcBorders>
              <w:top w:val="single" w:sz="8" w:color="auto"/>
            </w:tcBorders>
            <w:shd w:val="clear" w:color="auto" w:fill="E6E6E6"/>
          </w:tcPr>
          <w:p>
            <w:pPr>
              <w:jc w:val="right"/>
              <w:ind w:right="56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01"/>
        </w:trPr>
        <w:tc>
          <w:tcPr>
            <w:tcW w:w="80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r>
      <w:tr>
        <w:trPr>
          <w:trHeight w:val="314"/>
        </w:trPr>
        <w:tc>
          <w:tcPr>
            <w:tcW w:w="808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Sales and marketing</w:t>
            </w:r>
          </w:p>
        </w:tc>
        <w:tc>
          <w:tcPr>
            <w:tcW w:w="8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97"/>
        </w:trPr>
        <w:tc>
          <w:tcPr>
            <w:tcW w:w="8080" w:type="dxa"/>
            <w:vAlign w:val="bottom"/>
            <w:tcBorders>
              <w:bottom w:val="single" w:sz="8" w:color="E6E6E6"/>
            </w:tcBorders>
          </w:tcPr>
          <w:p>
            <w:pPr>
              <w:ind w:left="2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07"/>
        </w:trPr>
        <w:tc>
          <w:tcPr>
            <w:tcW w:w="80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Charges</w:t>
            </w:r>
          </w:p>
        </w:tc>
        <w:tc>
          <w:tcPr>
            <w:tcW w:w="820" w:type="dxa"/>
            <w:vAlign w:val="bottom"/>
            <w:tcBorders>
              <w:bottom w:val="single" w:sz="8" w:color="auto"/>
            </w:tcBorders>
            <w:shd w:val="clear" w:color="auto" w:fill="E6E6E6"/>
          </w:tcPr>
          <w:p>
            <w:pPr>
              <w:jc w:val="right"/>
              <w:ind w:right="56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-237490</wp:posOffset>
            </wp:positionV>
            <wp:extent cx="1266190" cy="495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23">
                      <a:extLst>
                        <a:ext uri="{28A0092B-C50C-407E-A947-70E740481C1C}"/>
                      </a:extLst>
                    </a:blip>
                    <a:srcRect/>
                    <a:stretch>
                      <a:fillRect/>
                    </a:stretch>
                  </pic:blipFill>
                  <pic:spPr bwMode="auto">
                    <a:xfrm>
                      <a:off x="0" y="0"/>
                      <a:ext cx="1266190" cy="4953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-55245</wp:posOffset>
            </wp:positionV>
            <wp:extent cx="1266190" cy="742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24">
                      <a:extLst>
                        <a:ext uri="{28A0092B-C50C-407E-A947-70E740481C1C}"/>
                      </a:extLst>
                    </a:blip>
                    <a:srcRect/>
                    <a:stretch>
                      <a:fillRect/>
                    </a:stretch>
                  </pic:blipFill>
                  <pic:spPr bwMode="auto">
                    <a:xfrm>
                      <a:off x="0" y="0"/>
                      <a:ext cx="1266190" cy="74295"/>
                    </a:xfrm>
                    <a:prstGeom prst="rect">
                      <a:avLst/>
                    </a:prstGeom>
                    <a:noFill/>
                  </pic:spPr>
                </pic:pic>
              </a:graphicData>
            </a:graphic>
          </wp:anchor>
        </w:drawing>
      </w:r>
    </w:p>
    <w:p>
      <w:pPr>
        <w:spacing w:after="0" w:line="221" w:lineRule="exact"/>
        <w:rPr>
          <w:sz w:val="20"/>
          <w:szCs w:val="20"/>
          <w:color w:val="auto"/>
        </w:rPr>
      </w:pPr>
    </w:p>
    <w:p>
      <w:pPr>
        <w:ind w:right="440" w:firstLine="483"/>
        <w:spacing w:after="0" w:line="269" w:lineRule="auto"/>
        <w:rPr>
          <w:sz w:val="20"/>
          <w:szCs w:val="20"/>
          <w:color w:val="auto"/>
        </w:rPr>
      </w:pPr>
      <w:r>
        <w:rPr>
          <w:rFonts w:ascii="Times New Roman" w:cs="Times New Roman" w:eastAsia="Times New Roman" w:hAnsi="Times New Roman"/>
          <w:sz w:val="20"/>
          <w:szCs w:val="20"/>
          <w:color w:val="auto"/>
        </w:rPr>
        <w:t>For the year ended December 31, 2023, there were no outstanding liabilities related to severance charges and related accruals.</w:t>
      </w: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Advertising and promotional expense</w:t>
      </w:r>
    </w:p>
    <w:p>
      <w:pPr>
        <w:spacing w:after="0" w:line="129" w:lineRule="exact"/>
        <w:rPr>
          <w:sz w:val="20"/>
          <w:szCs w:val="20"/>
          <w:color w:val="auto"/>
        </w:rPr>
      </w:pPr>
    </w:p>
    <w:p>
      <w:pPr>
        <w:jc w:val="both"/>
        <w:ind w:right="280" w:firstLine="483"/>
        <w:spacing w:after="0" w:line="298" w:lineRule="auto"/>
        <w:rPr>
          <w:sz w:val="20"/>
          <w:szCs w:val="20"/>
          <w:color w:val="auto"/>
        </w:rPr>
      </w:pPr>
      <w:r>
        <w:rPr>
          <w:rFonts w:ascii="Times New Roman" w:cs="Times New Roman" w:eastAsia="Times New Roman" w:hAnsi="Times New Roman"/>
          <w:sz w:val="18"/>
          <w:szCs w:val="18"/>
          <w:color w:val="auto"/>
        </w:rPr>
        <w:t>Advertising and promotional expenses are primarily included in sales and marketing expenses within the consolidated statements of operations and are expensed when incurred. Advertising and promotional expenses were $81.8 million, $142.6 million, and $131.7 million during the years ended December 31, 2025, 2024, and 2023, respectively.</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129" w:lineRule="exact"/>
        <w:rPr>
          <w:sz w:val="20"/>
          <w:szCs w:val="20"/>
          <w:color w:val="auto"/>
        </w:rPr>
      </w:pPr>
    </w:p>
    <w:p>
      <w:pPr>
        <w:jc w:val="both"/>
        <w:ind w:right="60" w:firstLine="483"/>
        <w:spacing w:after="0"/>
        <w:rPr>
          <w:sz w:val="20"/>
          <w:szCs w:val="20"/>
          <w:color w:val="auto"/>
        </w:rPr>
      </w:pPr>
      <w:r>
        <w:rPr>
          <w:rFonts w:ascii="Times New Roman" w:cs="Times New Roman" w:eastAsia="Times New Roman" w:hAnsi="Times New Roman"/>
          <w:sz w:val="20"/>
          <w:szCs w:val="20"/>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4" w:lineRule="exact"/>
        <w:rPr>
          <w:sz w:val="20"/>
          <w:szCs w:val="20"/>
          <w:color w:val="auto"/>
        </w:rPr>
      </w:pPr>
    </w:p>
    <w:p>
      <w:pPr>
        <w:ind w:right="280" w:firstLine="483"/>
        <w:spacing w:after="0"/>
        <w:rPr>
          <w:sz w:val="20"/>
          <w:szCs w:val="20"/>
          <w:color w:val="auto"/>
        </w:rPr>
      </w:pPr>
      <w:r>
        <w:rPr>
          <w:rFonts w:ascii="Times New Roman" w:cs="Times New Roman" w:eastAsia="Times New Roman" w:hAnsi="Times New Roman"/>
          <w:sz w:val="20"/>
          <w:szCs w:val="20"/>
          <w:color w:val="auto"/>
        </w:rPr>
        <w:t>Restricted cash relates to cash collateral used to secure outstanding letters of credit primarily for the Company’s office lease agreements. The Company had restricted cash of $14.6 million and $32.2 million as of December 31, 2025 and December 31, 2024, respectively.</w:t>
      </w:r>
    </w:p>
    <w:p>
      <w:pPr>
        <w:spacing w:after="0" w:line="199" w:lineRule="exact"/>
        <w:rPr>
          <w:sz w:val="20"/>
          <w:szCs w:val="20"/>
          <w:color w:val="auto"/>
        </w:rPr>
      </w:pPr>
    </w:p>
    <w:p>
      <w:pPr>
        <w:ind w:right="780" w:firstLine="483"/>
        <w:spacing w:after="0" w:line="269" w:lineRule="auto"/>
        <w:rPr>
          <w:sz w:val="20"/>
          <w:szCs w:val="20"/>
          <w:color w:val="auto"/>
        </w:rPr>
      </w:pPr>
      <w:r>
        <w:rPr>
          <w:rFonts w:ascii="Times New Roman" w:cs="Times New Roman" w:eastAsia="Times New Roman" w:hAnsi="Times New Roman"/>
          <w:sz w:val="20"/>
          <w:szCs w:val="20"/>
          <w:color w:val="auto"/>
        </w:rPr>
        <w:t>The Company monitors its credit risk by considering factors such as historical experience, credit ratings, current economic conditions, and reasonable and supportable forecasts.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Short-term investments</w:t>
      </w:r>
    </w:p>
    <w:p>
      <w:pPr>
        <w:spacing w:after="0" w:line="129" w:lineRule="exact"/>
        <w:rPr>
          <w:sz w:val="20"/>
          <w:szCs w:val="20"/>
          <w:color w:val="auto"/>
        </w:rPr>
      </w:pPr>
    </w:p>
    <w:p>
      <w:pPr>
        <w:ind w:right="60" w:firstLine="483"/>
        <w:spacing w:after="0" w:line="248" w:lineRule="auto"/>
        <w:rPr>
          <w:sz w:val="20"/>
          <w:szCs w:val="20"/>
          <w:color w:val="auto"/>
        </w:rPr>
      </w:pPr>
      <w:r>
        <w:rPr>
          <w:rFonts w:ascii="Times New Roman" w:cs="Times New Roman" w:eastAsia="Times New Roman" w:hAnsi="Times New Roman"/>
          <w:sz w:val="20"/>
          <w:szCs w:val="20"/>
          <w:color w:val="auto"/>
        </w:rPr>
        <w:t>The Company’s short-term investments are primarily comprised of corporate notes and obligations, U.S. Treasury securities, asset-backed securities, U.S. agency obligations,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w:t>
      </w:r>
    </w:p>
    <w:p>
      <w:pPr>
        <w:spacing w:after="0" w:line="209" w:lineRule="exact"/>
        <w:rPr>
          <w:sz w:val="20"/>
          <w:szCs w:val="20"/>
          <w:color w:val="auto"/>
        </w:rPr>
      </w:pPr>
    </w:p>
    <w:p>
      <w:pPr>
        <w:ind w:right="20" w:firstLine="483"/>
        <w:spacing w:after="0" w:line="247" w:lineRule="auto"/>
        <w:rPr>
          <w:sz w:val="20"/>
          <w:szCs w:val="20"/>
          <w:color w:val="auto"/>
        </w:rPr>
      </w:pPr>
      <w:r>
        <w:rPr>
          <w:rFonts w:ascii="Times New Roman" w:cs="Times New Roman" w:eastAsia="Times New Roman" w:hAnsi="Times New Roman"/>
          <w:sz w:val="20"/>
          <w:szCs w:val="20"/>
          <w:color w:val="auto"/>
        </w:rPr>
        <w:t>The Company's short-term investments are recorded at fair value each reporting period. Unrealized gains and losses on these short-term investments are reported as a separate component of accumulated other comprehensive income (loss) in the consolidated balance sheets until realized. Unrealized gains and losses for any short-term investments that management intends to sell or it is more likely than not that management will be required to sell prior to their anticipated recovery are recorded in other income (loss),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year ended December 31, 2025. As of December 31, 2025 and 2024, no allowance for credit losses in short-term investments was recorded.</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risk</w:t>
      </w:r>
    </w:p>
    <w:p>
      <w:pPr>
        <w:spacing w:after="0" w:line="129" w:lineRule="exact"/>
        <w:rPr>
          <w:sz w:val="20"/>
          <w:szCs w:val="20"/>
          <w:color w:val="auto"/>
        </w:rPr>
      </w:pPr>
    </w:p>
    <w:p>
      <w:pPr>
        <w:ind w:right="60" w:firstLine="439"/>
        <w:spacing w:after="0" w:line="29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w:t>
      </w:r>
    </w:p>
    <w:p>
      <w:pPr>
        <w:sectPr>
          <w:pgSz w:w="11880" w:h="15480" w:orient="portrait"/>
          <w:cols w:equalWidth="0" w:num="1">
            <w:col w:w="10000"/>
          </w:cols>
          <w:pgMar w:left="940" w:top="352" w:right="940" w:bottom="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000"/>
          </w:cols>
          <w:pgMar w:left="940" w:top="352" w:right="940" w:bottom="0" w:gutter="0" w:footer="0" w:header="0"/>
          <w:type w:val="continuous"/>
        </w:sectPr>
      </w:pPr>
    </w:p>
    <w:bookmarkStart w:id="182" w:name="page183"/>
    <w:bookmarkEnd w:id="18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Company has not experienced any losses on its deposits of cash and cash equivalents and management believes that the institutions where the Company has deposits are financially stable and, accordingly, minimal credit risk exists.</w:t>
      </w:r>
    </w:p>
    <w:p>
      <w:pPr>
        <w:spacing w:after="0" w:line="187" w:lineRule="exact"/>
        <w:rPr>
          <w:sz w:val="20"/>
          <w:szCs w:val="20"/>
          <w:color w:val="auto"/>
        </w:rPr>
      </w:pPr>
    </w:p>
    <w:p>
      <w:pPr>
        <w:ind w:right="180" w:firstLine="483"/>
        <w:spacing w:after="0" w:line="252" w:lineRule="auto"/>
        <w:rPr>
          <w:sz w:val="20"/>
          <w:szCs w:val="20"/>
          <w:color w:val="auto"/>
        </w:rPr>
      </w:pPr>
      <w:r>
        <w:rPr>
          <w:rFonts w:ascii="Times New Roman" w:cs="Times New Roman" w:eastAsia="Times New Roman" w:hAnsi="Times New Roman"/>
          <w:sz w:val="20"/>
          <w:szCs w:val="20"/>
          <w:color w:val="auto"/>
        </w:rPr>
        <w:t>Trade accounts receivable are typically unsecured and are derived from revenue earned from customers located around the world. One distribution partner accounted for 47% of total trade and other receivables, net as of December 31, 2025. Two distribution partners accounted for 11% and 48% of total trade and other receivables, net as of December 31, 2024. No customer accounted for more than 10% of the Company’s revenue in the periods presented.</w:t>
      </w:r>
    </w:p>
    <w:p>
      <w:pPr>
        <w:spacing w:after="0" w:line="204" w:lineRule="exact"/>
        <w:rPr>
          <w:sz w:val="20"/>
          <w:szCs w:val="20"/>
          <w:color w:val="auto"/>
        </w:rPr>
      </w:pPr>
    </w:p>
    <w:p>
      <w:pPr>
        <w:ind w:right="40" w:firstLine="483"/>
        <w:spacing w:after="0" w:line="250" w:lineRule="auto"/>
        <w:rPr>
          <w:sz w:val="20"/>
          <w:szCs w:val="20"/>
          <w:color w:val="auto"/>
        </w:rPr>
      </w:pPr>
      <w:r>
        <w:rPr>
          <w:rFonts w:ascii="Times New Roman" w:cs="Times New Roman" w:eastAsia="Times New Roman" w:hAnsi="Times New Roman"/>
          <w:sz w:val="20"/>
          <w:szCs w:val="20"/>
          <w:color w:val="auto"/>
        </w:rPr>
        <w:t>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Trade and other receivables, net</w:t>
      </w:r>
    </w:p>
    <w:p>
      <w:pPr>
        <w:spacing w:after="0" w:line="129" w:lineRule="exact"/>
        <w:rPr>
          <w:sz w:val="20"/>
          <w:szCs w:val="20"/>
          <w:color w:val="auto"/>
        </w:rPr>
      </w:pPr>
    </w:p>
    <w:p>
      <w:pPr>
        <w:ind w:right="100" w:firstLine="483"/>
        <w:spacing w:after="0" w:line="269" w:lineRule="auto"/>
        <w:rPr>
          <w:sz w:val="20"/>
          <w:szCs w:val="20"/>
          <w:color w:val="auto"/>
        </w:rPr>
      </w:pPr>
      <w:r>
        <w:rPr>
          <w:rFonts w:ascii="Times New Roman" w:cs="Times New Roman" w:eastAsia="Times New Roman" w:hAnsi="Times New Roman"/>
          <w:sz w:val="20"/>
          <w:szCs w:val="20"/>
          <w:color w:val="auto"/>
        </w:rPr>
        <w:t>Trade and other receivables, net consists primarily of trade receivables that are recorded at the invoice amount, net of an allowance for expected credit losses.</w:t>
      </w:r>
    </w:p>
    <w:p>
      <w:pPr>
        <w:spacing w:after="0" w:line="187" w:lineRule="exact"/>
        <w:rPr>
          <w:sz w:val="20"/>
          <w:szCs w:val="20"/>
          <w:color w:val="auto"/>
        </w:rPr>
      </w:pPr>
    </w:p>
    <w:p>
      <w:pPr>
        <w:ind w:right="180" w:firstLine="483"/>
        <w:spacing w:after="0" w:line="248" w:lineRule="auto"/>
        <w:rPr>
          <w:sz w:val="20"/>
          <w:szCs w:val="20"/>
          <w:color w:val="auto"/>
        </w:rPr>
      </w:pPr>
      <w:r>
        <w:rPr>
          <w:rFonts w:ascii="Times New Roman" w:cs="Times New Roman" w:eastAsia="Times New Roman" w:hAnsi="Times New Roman"/>
          <w:sz w:val="20"/>
          <w:szCs w:val="20"/>
          <w:color w:val="auto"/>
        </w:rPr>
        <w:t>The allowance for expected credit losses is based on the Company’s assessment of the collectability of accounts receivable. The Company assesses collectability by reviewing accounts receivable on a collective basis where similar characteristics exist and on an individual basis when the Company identifies specific customers with known disputes or collectability issues. The Company regularly reviews the adequacy of the allowance for expected credit losses by considering the age of each outstanding invoice, the collection history of each customer, and other relevant factors, including contractual term and current and future economic conditions. The Company's allowance for expected credit losses was immaterial as of December 31, 2025 and 2024, respectively.</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Non-trade receivables</w:t>
      </w:r>
    </w:p>
    <w:p>
      <w:pPr>
        <w:spacing w:after="0" w:line="129" w:lineRule="exact"/>
        <w:rPr>
          <w:sz w:val="20"/>
          <w:szCs w:val="20"/>
          <w:color w:val="auto"/>
        </w:rPr>
      </w:pPr>
    </w:p>
    <w:p>
      <w:pPr>
        <w:ind w:right="140" w:firstLine="483"/>
        <w:spacing w:after="0" w:line="252" w:lineRule="auto"/>
        <w:rPr>
          <w:sz w:val="20"/>
          <w:szCs w:val="20"/>
          <w:color w:val="auto"/>
        </w:rPr>
      </w:pPr>
      <w:r>
        <w:rPr>
          <w:rFonts w:ascii="Times New Roman" w:cs="Times New Roman" w:eastAsia="Times New Roman" w:hAnsi="Times New Roman"/>
          <w:sz w:val="20"/>
          <w:szCs w:val="20"/>
          <w:color w:val="auto"/>
        </w:rPr>
        <w:t>The Company records non-trade receivables to reflect amounts due for activities outside of its subscription agreements, such as indemnification assets and receivables from tenants. Non-trade receivables totaled $2.2 million and $5.0 million, as of December 31, 2025 and 2024, respectively, and are classified within prepaid expenses and other current assets in the accompanying consolidated balance sheets. See Note 9 "Leases" for additional information.</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Deferred commissions, net</w:t>
      </w:r>
    </w:p>
    <w:p>
      <w:pPr>
        <w:spacing w:after="0" w:line="129" w:lineRule="exact"/>
        <w:rPr>
          <w:sz w:val="20"/>
          <w:szCs w:val="20"/>
          <w:color w:val="auto"/>
        </w:rPr>
      </w:pPr>
    </w:p>
    <w:p>
      <w:pPr>
        <w:ind w:firstLine="483"/>
        <w:spacing w:after="0" w:line="249" w:lineRule="auto"/>
        <w:rPr>
          <w:sz w:val="20"/>
          <w:szCs w:val="20"/>
          <w:color w:val="auto"/>
        </w:rPr>
      </w:pPr>
      <w:r>
        <w:rPr>
          <w:rFonts w:ascii="Times New Roman" w:cs="Times New Roman" w:eastAsia="Times New Roman" w:hAnsi="Times New Roman"/>
          <w:sz w:val="20"/>
          <w:szCs w:val="20"/>
          <w:color w:val="auto"/>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consolidated balance sheets. The Company deferred incremental costs of obtaining a contract of $18.2 million and $28.1 million during the years ended December 31, 2025 and 2024, respectively.</w:t>
      </w:r>
    </w:p>
    <w:p>
      <w:pPr>
        <w:spacing w:after="0" w:line="207" w:lineRule="exact"/>
        <w:rPr>
          <w:sz w:val="20"/>
          <w:szCs w:val="20"/>
          <w:color w:val="auto"/>
        </w:rPr>
      </w:pPr>
    </w:p>
    <w:p>
      <w:pPr>
        <w:ind w:right="220" w:firstLine="483"/>
        <w:spacing w:after="0" w:line="256" w:lineRule="auto"/>
        <w:rPr>
          <w:sz w:val="20"/>
          <w:szCs w:val="20"/>
          <w:color w:val="auto"/>
        </w:rPr>
      </w:pPr>
      <w:r>
        <w:rPr>
          <w:rFonts w:ascii="Times New Roman" w:cs="Times New Roman" w:eastAsia="Times New Roman" w:hAnsi="Times New Roman"/>
          <w:sz w:val="20"/>
          <w:szCs w:val="20"/>
          <w:color w:val="auto"/>
        </w:rPr>
        <w:t>Deferred commissions, net included in prepaid and other current assets were $17.1 million and $21.3 million as of December 31, 2025 and 2024, respectively. Deferred commissions, net included in other assets were $18.4 million and $21.9 million as of December 31, 2025 and 2024, respectively.</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Commissions related to new contracts are typically deferred and amortized over a period of benefit of five years.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 of benefit was estimated by considering factors such as historical customer attrition rates, the useful life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technology, and the impact of competition in its industry. Commissions that are commensurate with renewal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contracts are typically amortized over one year. Amortization of deferred commissions was $25.9 million, $30.3 million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$38.6 million for the years ended December 31, 2025, 2024 and 2023 respectively. Amortization of deferred commissions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included in sales and marketing expense in the accompanying consolidated statements of operations. There was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impairment loss in relation to the deferred costs for any period presented.</w:t>
      </w:r>
    </w:p>
    <w:p>
      <w:pPr>
        <w:sectPr>
          <w:pgSz w:w="11880" w:h="15480" w:orient="portrait"/>
          <w:cols w:equalWidth="0" w:num="1">
            <w:col w:w="9960"/>
          </w:cols>
          <w:pgMar w:left="940" w:top="35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960"/>
          </w:cols>
          <w:pgMar w:left="940" w:top="352" w:right="980" w:bottom="0" w:gutter="0" w:footer="0" w:header="0"/>
          <w:type w:val="continuous"/>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29" w:lineRule="exact"/>
        <w:rPr>
          <w:sz w:val="20"/>
          <w:szCs w:val="20"/>
          <w:color w:val="auto"/>
        </w:rPr>
      </w:pPr>
    </w:p>
    <w:p>
      <w:pPr>
        <w:jc w:val="both"/>
        <w:ind w:right="80" w:firstLine="483"/>
        <w:spacing w:after="0" w:line="256" w:lineRule="auto"/>
        <w:rPr>
          <w:sz w:val="20"/>
          <w:szCs w:val="20"/>
          <w:color w:val="auto"/>
        </w:rPr>
      </w:pPr>
      <w:r>
        <w:rPr>
          <w:rFonts w:ascii="Times New Roman" w:cs="Times New Roman" w:eastAsia="Times New Roman" w:hAnsi="Times New Roman"/>
          <w:sz w:val="20"/>
          <w:szCs w:val="20"/>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presents the estimated useful lives of property and equipment: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Property and equipment</w:t>
            </w:r>
          </w:p>
        </w:tc>
        <w:tc>
          <w:tcPr>
            <w:tcW w:w="80" w:type="dxa"/>
            <w:vAlign w:val="bottom"/>
          </w:tcPr>
          <w:p>
            <w:pPr>
              <w:spacing w:after="0"/>
              <w:rPr>
                <w:sz w:val="22"/>
                <w:szCs w:val="22"/>
                <w:color w:val="auto"/>
              </w:rPr>
            </w:pPr>
          </w:p>
        </w:tc>
        <w:tc>
          <w:tcPr>
            <w:tcW w:w="502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Useful life</w:t>
            </w:r>
          </w:p>
        </w:tc>
      </w:tr>
      <w:tr>
        <w:trPr>
          <w:trHeight w:val="239"/>
        </w:trPr>
        <w:tc>
          <w:tcPr>
            <w:tcW w:w="4900" w:type="dxa"/>
            <w:vAlign w:val="bottom"/>
            <w:tcBorders>
              <w:top w:val="single" w:sz="8" w:color="auto"/>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Datacenter and other computer equipment</w:t>
            </w:r>
          </w:p>
        </w:tc>
        <w:tc>
          <w:tcPr>
            <w:tcW w:w="80" w:type="dxa"/>
            <w:vAlign w:val="bottom"/>
            <w:tcBorders>
              <w:top w:val="single" w:sz="8" w:color="E6E6E6"/>
            </w:tcBorders>
            <w:shd w:val="clear" w:color="auto" w:fill="E6E6E6"/>
          </w:tcPr>
          <w:p>
            <w:pPr>
              <w:spacing w:after="0"/>
              <w:rPr>
                <w:sz w:val="20"/>
                <w:szCs w:val="20"/>
                <w:color w:val="auto"/>
              </w:rPr>
            </w:pPr>
          </w:p>
        </w:tc>
        <w:tc>
          <w:tcPr>
            <w:tcW w:w="5000" w:type="dxa"/>
            <w:vAlign w:val="bottom"/>
            <w:tcBorders>
              <w:top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3 to 5 years</w:t>
            </w:r>
          </w:p>
        </w:tc>
        <w:tc>
          <w:tcPr>
            <w:tcW w:w="20" w:type="dxa"/>
            <w:vAlign w:val="bottom"/>
            <w:tcBorders>
              <w:top w:val="single" w:sz="8" w:color="E6E6E6"/>
            </w:tcBorders>
            <w:shd w:val="clear" w:color="auto" w:fill="E6E6E6"/>
          </w:tcPr>
          <w:p>
            <w:pPr>
              <w:spacing w:after="0"/>
              <w:rPr>
                <w:sz w:val="20"/>
                <w:szCs w:val="20"/>
                <w:color w:val="auto"/>
              </w:rPr>
            </w:pPr>
          </w:p>
        </w:tc>
      </w:tr>
      <w:tr>
        <w:trPr>
          <w:trHeight w:val="249"/>
        </w:trPr>
        <w:tc>
          <w:tcPr>
            <w:tcW w:w="4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Furniture and Fixtures</w:t>
            </w:r>
          </w:p>
        </w:tc>
        <w:tc>
          <w:tcPr>
            <w:tcW w:w="80" w:type="dxa"/>
            <w:vAlign w:val="bottom"/>
          </w:tcPr>
          <w:p>
            <w:pPr>
              <w:spacing w:after="0"/>
              <w:rPr>
                <w:sz w:val="21"/>
                <w:szCs w:val="21"/>
                <w:color w:val="auto"/>
              </w:rPr>
            </w:pPr>
          </w:p>
        </w:tc>
        <w:tc>
          <w:tcPr>
            <w:tcW w:w="502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7"/>
              </w:rPr>
              <w:t>7 years</w:t>
            </w:r>
          </w:p>
        </w:tc>
      </w:tr>
      <w:tr>
        <w:trPr>
          <w:trHeight w:val="249"/>
        </w:trPr>
        <w:tc>
          <w:tcPr>
            <w:tcW w:w="49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Leasehold improvements</w:t>
            </w:r>
          </w:p>
        </w:tc>
        <w:tc>
          <w:tcPr>
            <w:tcW w:w="80" w:type="dxa"/>
            <w:vAlign w:val="bottom"/>
            <w:shd w:val="clear" w:color="auto" w:fill="E6E6E6"/>
          </w:tcPr>
          <w:p>
            <w:pPr>
              <w:spacing w:after="0"/>
              <w:rPr>
                <w:sz w:val="21"/>
                <w:szCs w:val="21"/>
                <w:color w:val="auto"/>
              </w:rPr>
            </w:pPr>
          </w:p>
        </w:tc>
        <w:tc>
          <w:tcPr>
            <w:tcW w:w="5020" w:type="dxa"/>
            <w:vAlign w:val="bottom"/>
            <w:gridSpan w:val="2"/>
            <w:shd w:val="clear" w:color="auto" w:fill="E6E6E6"/>
          </w:tcPr>
          <w:p>
            <w:pPr>
              <w:jc w:val="center"/>
              <w:ind w:right="20"/>
              <w:spacing w:after="0"/>
              <w:rPr>
                <w:sz w:val="20"/>
                <w:szCs w:val="20"/>
                <w:color w:val="auto"/>
              </w:rPr>
            </w:pPr>
            <w:r>
              <w:rPr>
                <w:rFonts w:ascii="Times New Roman" w:cs="Times New Roman" w:eastAsia="Times New Roman" w:hAnsi="Times New Roman"/>
                <w:sz w:val="20"/>
                <w:szCs w:val="20"/>
                <w:color w:val="auto"/>
                <w:w w:val="97"/>
              </w:rPr>
              <w:t>Lesser of estimated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-497840</wp:posOffset>
            </wp:positionV>
            <wp:extent cx="6381115" cy="4953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125">
                      <a:extLst>
                        <a:ext uri="{28A0092B-C50C-407E-A947-70E740481C1C}"/>
                      </a:extLst>
                    </a:blip>
                    <a:srcRect/>
                    <a:stretch>
                      <a:fillRect/>
                    </a:stretch>
                  </pic:blipFill>
                  <pic:spPr bwMode="auto">
                    <a:xfrm>
                      <a:off x="0" y="0"/>
                      <a:ext cx="6381115" cy="49530"/>
                    </a:xfrm>
                    <a:prstGeom prst="rect">
                      <a:avLst/>
                    </a:prstGeom>
                    <a:noFill/>
                  </pic:spPr>
                </pic:pic>
              </a:graphicData>
            </a:graphic>
          </wp:anchor>
        </w:drawing>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Lease obligations</w:t>
      </w:r>
    </w:p>
    <w:p>
      <w:pPr>
        <w:spacing w:after="0" w:line="129" w:lineRule="exact"/>
        <w:rPr>
          <w:sz w:val="20"/>
          <w:szCs w:val="20"/>
          <w:color w:val="auto"/>
        </w:rPr>
      </w:pPr>
    </w:p>
    <w:p>
      <w:pPr>
        <w:ind w:right="300" w:firstLine="483"/>
        <w:spacing w:after="0" w:line="269" w:lineRule="auto"/>
        <w:rPr>
          <w:sz w:val="20"/>
          <w:szCs w:val="20"/>
          <w:color w:val="auto"/>
        </w:rPr>
      </w:pPr>
      <w:r>
        <w:rPr>
          <w:rFonts w:ascii="Times New Roman" w:cs="Times New Roman" w:eastAsia="Times New Roman" w:hAnsi="Times New Roman"/>
          <w:sz w:val="20"/>
          <w:szCs w:val="20"/>
          <w:color w:val="auto"/>
        </w:rPr>
        <w:t>The Company leases office space, datacenters, and equipment under non-cancelable finance and operating leases with various expiration dates through 2036. The Company determines if an arrangement contains a lease at inception.</w:t>
      </w:r>
    </w:p>
    <w:p>
      <w:pPr>
        <w:spacing w:after="0" w:line="187" w:lineRule="exact"/>
        <w:rPr>
          <w:sz w:val="20"/>
          <w:szCs w:val="20"/>
          <w:color w:val="auto"/>
        </w:rPr>
      </w:pPr>
    </w:p>
    <w:p>
      <w:pPr>
        <w:ind w:right="80" w:firstLine="483"/>
        <w:spacing w:after="0" w:line="250" w:lineRule="auto"/>
        <w:rPr>
          <w:sz w:val="20"/>
          <w:szCs w:val="20"/>
          <w:color w:val="auto"/>
        </w:rPr>
      </w:pPr>
      <w:r>
        <w:rPr>
          <w:rFonts w:ascii="Times New Roman" w:cs="Times New Roman" w:eastAsia="Times New Roman" w:hAnsi="Times New Roman"/>
          <w:sz w:val="20"/>
          <w:szCs w:val="20"/>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206" w:lineRule="exact"/>
        <w:rPr>
          <w:sz w:val="20"/>
          <w:szCs w:val="20"/>
          <w:color w:val="auto"/>
        </w:rPr>
      </w:pPr>
    </w:p>
    <w:p>
      <w:pPr>
        <w:ind w:firstLine="483"/>
        <w:spacing w:after="0" w:line="249" w:lineRule="auto"/>
        <w:rPr>
          <w:sz w:val="20"/>
          <w:szCs w:val="20"/>
          <w:color w:val="auto"/>
        </w:rPr>
      </w:pPr>
      <w:r>
        <w:rPr>
          <w:rFonts w:ascii="Times New Roman" w:cs="Times New Roman" w:eastAsia="Times New Roman" w:hAnsi="Times New Roman"/>
          <w:sz w:val="20"/>
          <w:szCs w:val="20"/>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7" w:lineRule="exact"/>
        <w:rPr>
          <w:sz w:val="20"/>
          <w:szCs w:val="20"/>
          <w:color w:val="auto"/>
        </w:rPr>
      </w:pPr>
    </w:p>
    <w:p>
      <w:pPr>
        <w:ind w:right="360" w:firstLine="483"/>
        <w:spacing w:after="0" w:line="256" w:lineRule="auto"/>
        <w:rPr>
          <w:sz w:val="20"/>
          <w:szCs w:val="20"/>
          <w:color w:val="auto"/>
        </w:rPr>
      </w:pPr>
      <w:r>
        <w:rPr>
          <w:rFonts w:ascii="Times New Roman" w:cs="Times New Roman" w:eastAsia="Times New Roman" w:hAnsi="Times New Roman"/>
          <w:sz w:val="20"/>
          <w:szCs w:val="20"/>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200" w:lineRule="exact"/>
        <w:rPr>
          <w:sz w:val="20"/>
          <w:szCs w:val="20"/>
          <w:color w:val="auto"/>
        </w:rPr>
      </w:pPr>
    </w:p>
    <w:p>
      <w:pPr>
        <w:ind w:right="20" w:firstLine="483"/>
        <w:spacing w:after="0" w:line="280" w:lineRule="auto"/>
        <w:rPr>
          <w:sz w:val="20"/>
          <w:szCs w:val="20"/>
          <w:color w:val="auto"/>
        </w:rPr>
      </w:pPr>
      <w:r>
        <w:rPr>
          <w:rFonts w:ascii="Times New Roman" w:cs="Times New Roman" w:eastAsia="Times New Roman" w:hAnsi="Times New Roman"/>
          <w:sz w:val="18"/>
          <w:szCs w:val="18"/>
          <w:color w:val="auto"/>
        </w:rPr>
        <w:t>As part of the Company's Virtual First work model, Dropbox has retained a portion of its office space for in-person collaboration while the remainder will be subleased. The Company recorded a gain of $1.3 million during the year ended December 31, 2025, primarily resulting from a reduction of the liability for unrecoverable common area maintenance costs related to its San Francisco, California corporate headquarters due to recent sublease activity. See Note 16 "Subsequent Events" for additional information. The Company recorded total impairment charges of $0.1 million and $3.6 million during the years ended December 31, 2024 and 2023, respectively, related to real estate assets as a result of changes in the corporate real estate market which impacted the Company's subleasing strategy in conjunction with the Virtual First work model.</w:t>
      </w:r>
    </w:p>
    <w:p>
      <w:pPr>
        <w:spacing w:after="0" w:line="299" w:lineRule="exact"/>
        <w:rPr>
          <w:sz w:val="20"/>
          <w:szCs w:val="20"/>
          <w:color w:val="auto"/>
        </w:rPr>
      </w:pPr>
    </w:p>
    <w:p>
      <w:pPr>
        <w:ind w:right="80" w:firstLine="483"/>
        <w:spacing w:after="0" w:line="250" w:lineRule="auto"/>
        <w:rPr>
          <w:sz w:val="20"/>
          <w:szCs w:val="20"/>
          <w:color w:val="auto"/>
        </w:rPr>
      </w:pPr>
      <w:r>
        <w:rPr>
          <w:rFonts w:ascii="Times New Roman" w:cs="Times New Roman" w:eastAsia="Times New Roman" w:hAnsi="Times New Roman"/>
          <w:sz w:val="20"/>
          <w:szCs w:val="20"/>
          <w:color w:val="auto"/>
        </w:rPr>
        <w:t>In the fourth quarter of 2023, the Company executed an amendment to partially terminate the lease ("the lease amendment") for its San Francisco, California corporate headquarters. 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w:t>
      </w:r>
    </w:p>
    <w:p>
      <w:pPr>
        <w:spacing w:after="0" w:line="206" w:lineRule="exact"/>
        <w:rPr>
          <w:sz w:val="20"/>
          <w:szCs w:val="20"/>
          <w:color w:val="auto"/>
        </w:rPr>
      </w:pPr>
    </w:p>
    <w:p>
      <w:pPr>
        <w:ind w:right="60" w:firstLine="483"/>
        <w:spacing w:after="0" w:line="249" w:lineRule="auto"/>
        <w:rPr>
          <w:sz w:val="20"/>
          <w:szCs w:val="20"/>
          <w:color w:val="auto"/>
        </w:rPr>
      </w:pPr>
      <w:r>
        <w:rPr>
          <w:rFonts w:ascii="Times New Roman" w:cs="Times New Roman" w:eastAsia="Times New Roman" w:hAnsi="Times New Roman"/>
          <w:sz w:val="20"/>
          <w:szCs w:val="20"/>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ectPr>
          <w:pgSz w:w="11880" w:h="15480" w:orient="portrait"/>
          <w:cols w:equalWidth="0" w:num="1">
            <w:col w:w="9980"/>
          </w:cols>
          <w:pgMar w:left="940" w:top="352" w:right="96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980"/>
          </w:cols>
          <w:pgMar w:left="940" w:top="352" w:right="960" w:bottom="0" w:gutter="0" w:footer="0" w:header="0"/>
          <w:type w:val="continuous"/>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00" w:lineRule="exact"/>
        <w:rPr>
          <w:sz w:val="20"/>
          <w:szCs w:val="20"/>
          <w:color w:val="auto"/>
        </w:rPr>
      </w:pPr>
    </w:p>
    <w:p>
      <w:pPr>
        <w:spacing w:after="0" w:line="217" w:lineRule="exact"/>
        <w:rPr>
          <w:sz w:val="20"/>
          <w:szCs w:val="20"/>
          <w:color w:val="auto"/>
        </w:rPr>
      </w:pPr>
    </w:p>
    <w:p>
      <w:pPr>
        <w:ind w:right="40" w:firstLine="483"/>
        <w:spacing w:after="0" w:line="256" w:lineRule="auto"/>
        <w:rPr>
          <w:sz w:val="20"/>
          <w:szCs w:val="20"/>
          <w:color w:val="auto"/>
        </w:rPr>
      </w:pPr>
      <w:r>
        <w:rPr>
          <w:rFonts w:ascii="Times New Roman" w:cs="Times New Roman" w:eastAsia="Times New Roman" w:hAnsi="Times New Roman"/>
          <w:sz w:val="20"/>
          <w:szCs w:val="20"/>
          <w:color w:val="auto"/>
        </w:rPr>
        <w:t>The Company finance lease agreements may contain lease and non-lease components. The non-lease components include payments for support related to infrastructure equipment obtained via finance leases, which are combined with the lease components and accounted for together as a single lease component.</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Internal use software</w:t>
      </w:r>
    </w:p>
    <w:p>
      <w:pPr>
        <w:spacing w:after="0" w:line="129" w:lineRule="exact"/>
        <w:rPr>
          <w:sz w:val="20"/>
          <w:szCs w:val="20"/>
          <w:color w:val="auto"/>
        </w:rPr>
      </w:pPr>
    </w:p>
    <w:p>
      <w:pPr>
        <w:ind w:right="40" w:firstLine="483"/>
        <w:spacing w:after="0" w:line="282" w:lineRule="auto"/>
        <w:rPr>
          <w:sz w:val="20"/>
          <w:szCs w:val="20"/>
          <w:color w:val="auto"/>
        </w:rPr>
      </w:pPr>
      <w:r>
        <w:rPr>
          <w:rFonts w:ascii="Times New Roman" w:cs="Times New Roman" w:eastAsia="Times New Roman" w:hAnsi="Times New Roman"/>
          <w:sz w:val="18"/>
          <w:szCs w:val="18"/>
          <w:color w:val="auto"/>
        </w:rPr>
        <w:t>The Company capitalizes certain costs related to developed or modified software solely for its internal use and cloud-based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2025, 2024 and 2023.</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29" w:lineRule="exact"/>
        <w:rPr>
          <w:sz w:val="20"/>
          <w:szCs w:val="20"/>
          <w:color w:val="auto"/>
        </w:rPr>
      </w:pPr>
    </w:p>
    <w:p>
      <w:pPr>
        <w:ind w:right="60" w:firstLine="483"/>
        <w:spacing w:after="0" w:line="280" w:lineRule="auto"/>
        <w:rPr>
          <w:sz w:val="20"/>
          <w:szCs w:val="20"/>
          <w:color w:val="auto"/>
        </w:rPr>
      </w:pPr>
      <w:r>
        <w:rPr>
          <w:rFonts w:ascii="Times New Roman" w:cs="Times New Roman" w:eastAsia="Times New Roman" w:hAnsi="Times New Roman"/>
          <w:sz w:val="18"/>
          <w:szCs w:val="18"/>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 including goodwill and other acquired intangible assets, net</w:t>
      </w:r>
    </w:p>
    <w:p>
      <w:pPr>
        <w:spacing w:after="0" w:line="129" w:lineRule="exact"/>
        <w:rPr>
          <w:sz w:val="20"/>
          <w:szCs w:val="20"/>
          <w:color w:val="auto"/>
        </w:rPr>
      </w:pPr>
    </w:p>
    <w:p>
      <w:pPr>
        <w:ind w:right="160" w:firstLine="483"/>
        <w:spacing w:after="0" w:line="282" w:lineRule="auto"/>
        <w:rPr>
          <w:sz w:val="20"/>
          <w:szCs w:val="20"/>
          <w:color w:val="auto"/>
        </w:rPr>
      </w:pPr>
      <w:r>
        <w:rPr>
          <w:rFonts w:ascii="Times New Roman" w:cs="Times New Roman" w:eastAsia="Times New Roman" w:hAnsi="Times New Roman"/>
          <w:sz w:val="18"/>
          <w:szCs w:val="18"/>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79" w:lineRule="exact"/>
        <w:rPr>
          <w:sz w:val="20"/>
          <w:szCs w:val="20"/>
          <w:color w:val="auto"/>
        </w:rPr>
      </w:pPr>
    </w:p>
    <w:p>
      <w:pPr>
        <w:ind w:right="180" w:firstLine="483"/>
        <w:spacing w:after="0" w:line="252" w:lineRule="auto"/>
        <w:rPr>
          <w:sz w:val="20"/>
          <w:szCs w:val="20"/>
          <w:color w:val="auto"/>
        </w:rPr>
      </w:pPr>
      <w:r>
        <w:rPr>
          <w:rFonts w:ascii="Times New Roman" w:cs="Times New Roman" w:eastAsia="Times New Roman" w:hAnsi="Times New Roman"/>
          <w:sz w:val="20"/>
          <w:szCs w:val="20"/>
          <w:color w:val="auto"/>
        </w:rPr>
        <w:t>The Company reviews goodwill for impairment at least annually in the fourth quarter, or more frequently if events or changes in circumstances would more likely than not reduce the fair value of its single reporting unit below its carrying value. At December 31, 2025, the single reporting unit had a negative carrying value of net assets. Goodwill allocated to the single reporting unit was $454.9 million at December 31, 2025.</w:t>
      </w:r>
    </w:p>
    <w:p>
      <w:pPr>
        <w:spacing w:after="0" w:line="204" w:lineRule="exact"/>
        <w:rPr>
          <w:sz w:val="20"/>
          <w:szCs w:val="20"/>
          <w:color w:val="auto"/>
        </w:rPr>
      </w:pPr>
    </w:p>
    <w:p>
      <w:pPr>
        <w:ind w:right="460" w:firstLine="439"/>
        <w:spacing w:after="0" w:line="269" w:lineRule="auto"/>
        <w:rPr>
          <w:sz w:val="20"/>
          <w:szCs w:val="20"/>
          <w:color w:val="auto"/>
        </w:rPr>
      </w:pPr>
      <w:r>
        <w:rPr>
          <w:rFonts w:ascii="Times New Roman" w:cs="Times New Roman" w:eastAsia="Times New Roman" w:hAnsi="Times New Roman"/>
          <w:sz w:val="20"/>
          <w:szCs w:val="20"/>
          <w:color w:val="auto"/>
        </w:rPr>
        <w:t>The Company did not record any material impairment charges related to goodwill or intangible assets for the periods presented in these consolidated financial statements.</w:t>
      </w:r>
    </w:p>
    <w:p>
      <w:pPr>
        <w:spacing w:after="0" w:line="187" w:lineRule="exact"/>
        <w:rPr>
          <w:sz w:val="20"/>
          <w:szCs w:val="20"/>
          <w:color w:val="auto"/>
        </w:rPr>
      </w:pPr>
    </w:p>
    <w:p>
      <w:pPr>
        <w:jc w:val="both"/>
        <w:ind w:right="60" w:firstLine="483"/>
        <w:spacing w:after="0" w:line="289" w:lineRule="auto"/>
        <w:rPr>
          <w:sz w:val="20"/>
          <w:szCs w:val="20"/>
          <w:color w:val="auto"/>
        </w:rPr>
      </w:pPr>
      <w:r>
        <w:rPr>
          <w:rFonts w:ascii="Times New Roman" w:cs="Times New Roman" w:eastAsia="Times New Roman" w:hAnsi="Times New Roman"/>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9" w:lineRule="exact"/>
        <w:rPr>
          <w:sz w:val="20"/>
          <w:szCs w:val="20"/>
          <w:color w:val="auto"/>
        </w:rPr>
      </w:pPr>
    </w:p>
    <w:p>
      <w:pPr>
        <w:ind w:right="40" w:firstLine="483"/>
        <w:spacing w:after="0" w:line="256" w:lineRule="auto"/>
        <w:rPr>
          <w:sz w:val="20"/>
          <w:szCs w:val="20"/>
          <w:color w:val="auto"/>
        </w:rPr>
      </w:pPr>
      <w:r>
        <w:rPr>
          <w:rFonts w:ascii="Times New Roman" w:cs="Times New Roman" w:eastAsia="Times New Roman" w:hAnsi="Times New Roman"/>
          <w:sz w:val="20"/>
          <w:szCs w:val="20"/>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200" w:lineRule="exact"/>
        <w:rPr>
          <w:sz w:val="20"/>
          <w:szCs w:val="20"/>
          <w:color w:val="auto"/>
        </w:rPr>
      </w:pPr>
    </w:p>
    <w:p>
      <w:pPr>
        <w:ind w:firstLine="483"/>
        <w:spacing w:after="0" w:line="252" w:lineRule="auto"/>
        <w:rPr>
          <w:sz w:val="20"/>
          <w:szCs w:val="20"/>
          <w:color w:val="auto"/>
        </w:rPr>
      </w:pPr>
      <w:r>
        <w:rPr>
          <w:rFonts w:ascii="Times New Roman" w:cs="Times New Roman" w:eastAsia="Times New Roman" w:hAnsi="Times New Roman"/>
          <w:sz w:val="20"/>
          <w:szCs w:val="20"/>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000"/>
          </w:cols>
          <w:pgMar w:left="940" w:top="352" w:right="940" w:bottom="0" w:gutter="0" w:footer="0" w:header="0"/>
          <w:type w:val="continuous"/>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right="80" w:firstLine="483"/>
        <w:spacing w:after="0" w:line="250" w:lineRule="auto"/>
        <w:rPr>
          <w:sz w:val="20"/>
          <w:szCs w:val="20"/>
          <w:color w:val="auto"/>
        </w:rPr>
      </w:pPr>
      <w:r>
        <w:rPr>
          <w:rFonts w:ascii="Times New Roman" w:cs="Times New Roman" w:eastAsia="Times New Roman" w:hAnsi="Times New Roman"/>
          <w:sz w:val="20"/>
          <w:szCs w:val="20"/>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206" w:lineRule="exact"/>
        <w:rPr>
          <w:sz w:val="20"/>
          <w:szCs w:val="20"/>
          <w:color w:val="auto"/>
        </w:rPr>
      </w:pPr>
    </w:p>
    <w:p>
      <w:pPr>
        <w:jc w:val="both"/>
        <w:ind w:right="220" w:firstLine="483"/>
        <w:spacing w:after="0" w:line="256" w:lineRule="auto"/>
        <w:rPr>
          <w:sz w:val="20"/>
          <w:szCs w:val="20"/>
          <w:color w:val="auto"/>
        </w:rPr>
      </w:pPr>
      <w:r>
        <w:rPr>
          <w:rFonts w:ascii="Times New Roman" w:cs="Times New Roman" w:eastAsia="Times New Roman" w:hAnsi="Times New Roman"/>
          <w:sz w:val="20"/>
          <w:szCs w:val="20"/>
          <w:color w:val="auto"/>
        </w:rPr>
        <w:t>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200" w:lineRule="exact"/>
        <w:rPr>
          <w:sz w:val="20"/>
          <w:szCs w:val="20"/>
          <w:color w:val="auto"/>
        </w:rPr>
      </w:pPr>
    </w:p>
    <w:p>
      <w:pPr>
        <w:ind w:right="240" w:firstLine="483"/>
        <w:spacing w:after="0" w:line="269" w:lineRule="auto"/>
        <w:rPr>
          <w:sz w:val="20"/>
          <w:szCs w:val="20"/>
          <w:color w:val="auto"/>
        </w:rPr>
      </w:pPr>
      <w:r>
        <w:rPr>
          <w:rFonts w:ascii="Times New Roman" w:cs="Times New Roman" w:eastAsia="Times New Roman" w:hAnsi="Times New Roman"/>
          <w:sz w:val="20"/>
          <w:szCs w:val="20"/>
          <w:color w:val="auto"/>
        </w:rPr>
        <w:t>The Tax Cuts and Jobs Act of 2017 ("TCJA") subjects a U.S. shareholder to current tax on global intangible low-taxed income ("GILTI") earned by foreign subsidiaries. The Company accounts for GILTI as a period cost as incurred.</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129" w:lineRule="exact"/>
        <w:rPr>
          <w:sz w:val="20"/>
          <w:szCs w:val="20"/>
          <w:color w:val="auto"/>
        </w:rPr>
      </w:pPr>
    </w:p>
    <w:p>
      <w:pPr>
        <w:ind w:right="40" w:firstLine="439"/>
        <w:spacing w:after="0" w:line="247" w:lineRule="auto"/>
        <w:rPr>
          <w:sz w:val="20"/>
          <w:szCs w:val="20"/>
          <w:color w:val="auto"/>
        </w:rPr>
      </w:pPr>
      <w:r>
        <w:rPr>
          <w:rFonts w:ascii="Times New Roman" w:cs="Times New Roman" w:eastAsia="Times New Roman" w:hAnsi="Times New Roman"/>
          <w:sz w:val="20"/>
          <w:szCs w:val="20"/>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Level 1</w:t>
      </w:r>
      <w:r>
        <w:rPr>
          <w:rFonts w:ascii="Times New Roman" w:cs="Times New Roman" w:eastAsia="Times New Roman" w:hAnsi="Times New Roman"/>
          <w:sz w:val="20"/>
          <w:szCs w:val="20"/>
          <w:color w:val="auto"/>
        </w:rPr>
        <w:t>—Quoted prices in active markets for identical assets or liabilities.</w:t>
      </w:r>
    </w:p>
    <w:p>
      <w:pPr>
        <w:spacing w:after="0" w:line="121"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Level 2</w:t>
      </w:r>
      <w:r>
        <w:rPr>
          <w:rFonts w:ascii="Times New Roman" w:cs="Times New Roman" w:eastAsia="Times New Roman" w:hAnsi="Times New Roman"/>
          <w:sz w:val="20"/>
          <w:szCs w:val="20"/>
          <w:color w:val="auto"/>
        </w:rPr>
        <w:t>—Observable inputs other than quoted prices in active markets for identical assets and liabilities, quoted prices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identical or similar assets or liabilities in inactive markets, or other inputs that are observable or can be corroborated by observable market data for substantially the full term of the assets or liabilities.</w:t>
      </w:r>
    </w:p>
    <w:p>
      <w:pPr>
        <w:spacing w:after="0" w:line="77" w:lineRule="exact"/>
        <w:rPr>
          <w:sz w:val="20"/>
          <w:szCs w:val="20"/>
          <w:color w:val="auto"/>
        </w:rPr>
      </w:pPr>
    </w:p>
    <w:p>
      <w:pPr>
        <w:ind w:left="520" w:right="80"/>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Level 3</w:t>
      </w:r>
      <w:r>
        <w:rPr>
          <w:rFonts w:ascii="Times New Roman" w:cs="Times New Roman" w:eastAsia="Times New Roman" w:hAnsi="Times New Roman"/>
          <w:sz w:val="20"/>
          <w:szCs w:val="20"/>
          <w:color w:val="auto"/>
        </w:rPr>
        <w:t>—Inputs that are generally unobservable and typically reflect management’s estimate of assumptions that 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would use in pricing the asset or liability.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88" w:lineRule="exact"/>
        <w:rPr>
          <w:sz w:val="20"/>
          <w:szCs w:val="20"/>
          <w:color w:val="auto"/>
        </w:rPr>
      </w:pPr>
    </w:p>
    <w:p>
      <w:pPr>
        <w:ind w:right="140" w:firstLine="483"/>
        <w:spacing w:after="0" w:line="279"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b w:val="1"/>
          <w:bCs w:val="1"/>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Disaggregation of Income Statement Expenses</w:t>
      </w:r>
      <w:r>
        <w:rPr>
          <w:rFonts w:ascii="Times New Roman" w:cs="Times New Roman" w:eastAsia="Times New Roman" w:hAnsi="Times New Roman"/>
          <w:sz w:val="18"/>
          <w:szCs w:val="18"/>
          <w:color w:val="auto"/>
        </w:rPr>
        <w:t>, which requires disclosure of disaggregated information about the types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(including employee compensation, depreciation, and amortization) in commonly presented expense captions in the statement of operations, as well as the total amount of selling expenses and, in annual periods, an entity’s definition of selling expenses. The amendments in ASU 2024-03 are effective for annual periods beginning after December 15, 2026, and interim periods within annual periods beginning after December 15, 2027, with early adoption permitted. The Company is currently evaluating the impact of this standard on the Company's consolidated financial statement disclosures.</w:t>
      </w:r>
    </w:p>
    <w:p>
      <w:pPr>
        <w:spacing w:after="0" w:line="178" w:lineRule="exact"/>
        <w:rPr>
          <w:sz w:val="20"/>
          <w:szCs w:val="20"/>
          <w:color w:val="auto"/>
        </w:rPr>
      </w:pPr>
    </w:p>
    <w:p>
      <w:pPr>
        <w:ind w:right="100" w:firstLine="483"/>
        <w:spacing w:after="0" w:line="272"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b w:val="1"/>
          <w:bCs w:val="1"/>
          <w:i w:val="1"/>
          <w:iCs w:val="1"/>
          <w:color w:val="auto"/>
        </w:rPr>
        <w:t>Debt - 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Induced Conversions of Convertible Debt Instruments</w:t>
      </w:r>
      <w:r>
        <w:rPr>
          <w:rFonts w:ascii="Times New Roman" w:cs="Times New Roman" w:eastAsia="Times New Roman" w:hAnsi="Times New Roman"/>
          <w:sz w:val="18"/>
          <w:szCs w:val="18"/>
          <w:color w:val="auto"/>
        </w:rPr>
        <w:t>, which clarifies the requirements for determining whether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settlements of convertible debt instruments should be accounted for as an induced conversion. The amendments in ASU</w:t>
      </w:r>
    </w:p>
    <w:p>
      <w:pPr>
        <w:spacing w:after="0" w:line="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2024-04 are effective for annual periods beginning after December 15, 2025, and interim periods within those annual reporting periods. Early adoption is permitted for all entities that have adopted the amendments in ASU 2020-06. The Company is currently evaluating the impact of this standard on the Company's consolidated financial statements.</w:t>
      </w:r>
    </w:p>
    <w:p>
      <w:pPr>
        <w:spacing w:after="0" w:line="197" w:lineRule="exact"/>
        <w:rPr>
          <w:sz w:val="20"/>
          <w:szCs w:val="20"/>
          <w:color w:val="auto"/>
        </w:rPr>
      </w:pPr>
    </w:p>
    <w:p>
      <w:pPr>
        <w:ind w:firstLine="483"/>
        <w:spacing w:after="0" w:line="28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b w:val="1"/>
          <w:bCs w:val="1"/>
          <w:i w:val="1"/>
          <w:iCs w:val="1"/>
          <w:color w:val="auto"/>
        </w:rPr>
        <w:t>Financial Instruments - 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Losses for Accounts Receivable and Contract Assets</w:t>
      </w:r>
      <w:r>
        <w:rPr>
          <w:rFonts w:ascii="Times New Roman" w:cs="Times New Roman" w:eastAsia="Times New Roman" w:hAnsi="Times New Roman"/>
          <w:sz w:val="18"/>
          <w:szCs w:val="18"/>
          <w:color w:val="auto"/>
        </w:rPr>
        <w:t>, which provides a practical expedient when estimating expected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for current accounts receivable and current contract assets arising from transactions accounted for under Topic 606. The practical expedient allows companies to assume the current conditions as of the balance sheet date do not change for the remaining life of the asset when measuring credit losses. The amendments in ASU 2025-05 are effective for annual periods</w:t>
      </w:r>
    </w:p>
    <w:p>
      <w:pPr>
        <w:sectPr>
          <w:pgSz w:w="11880" w:h="15480" w:orient="portrait"/>
          <w:cols w:equalWidth="0" w:num="1">
            <w:col w:w="9980"/>
          </w:cols>
          <w:pgMar w:left="940" w:top="352" w:right="96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980"/>
          </w:cols>
          <w:pgMar w:left="940" w:top="352" w:right="960" w:bottom="0" w:gutter="0" w:footer="0" w:header="0"/>
          <w:type w:val="continuous"/>
        </w:sectPr>
      </w:pPr>
    </w:p>
    <w:bookmarkStart w:id="186" w:name="page187"/>
    <w:bookmarkEnd w:id="18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beginning after December 15, 2025, and interim periods within those annual reporting periods. Early adoption is permitted. The Company is currently evaluating the impact of this standard on the Company's consolidated financial statements.</w:t>
      </w:r>
    </w:p>
    <w:p>
      <w:pPr>
        <w:spacing w:after="0" w:line="184" w:lineRule="exact"/>
        <w:rPr>
          <w:sz w:val="20"/>
          <w:szCs w:val="20"/>
          <w:color w:val="auto"/>
        </w:rPr>
      </w:pPr>
    </w:p>
    <w:p>
      <w:pPr>
        <w:ind w:right="20" w:firstLine="483"/>
        <w:spacing w:after="0" w:line="249"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b w:val="1"/>
          <w:bCs w:val="1"/>
          <w:i w:val="1"/>
          <w:iCs w:val="1"/>
          <w:color w:val="auto"/>
        </w:rPr>
        <w:t>Intangibles - Goodwill and Other - Internal-Use Software (Subtopic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350-40): Targeted Improvements to the Accounting for Internal-Use Software</w:t>
      </w:r>
      <w:r>
        <w:rPr>
          <w:rFonts w:ascii="Times New Roman" w:cs="Times New Roman" w:eastAsia="Times New Roman" w:hAnsi="Times New Roman"/>
          <w:sz w:val="20"/>
          <w:szCs w:val="20"/>
          <w:color w:val="auto"/>
        </w:rPr>
        <w:t>, which modernizes the accounting for internal-use software to current development practices, clarifies when to begin capitalizing costs, and enhances disclosure requirements. The amendments in ASU 2025-06 are effective for annual periods beginning after December 15, 2027, and interim periods within those annual reporting periods. Early adoption is permitted. The Company is currently evaluating the impact of this standard on the Company's consolidated financial statements.</w:t>
      </w:r>
    </w:p>
    <w:p>
      <w:pPr>
        <w:spacing w:after="0" w:line="207" w:lineRule="exact"/>
        <w:rPr>
          <w:sz w:val="20"/>
          <w:szCs w:val="20"/>
          <w:color w:val="auto"/>
        </w:rPr>
      </w:pPr>
    </w:p>
    <w:p>
      <w:pPr>
        <w:ind w:right="40" w:firstLine="483"/>
        <w:spacing w:after="0" w:line="249"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2025-11, </w:t>
      </w:r>
      <w:r>
        <w:rPr>
          <w:rFonts w:ascii="Times New Roman" w:cs="Times New Roman" w:eastAsia="Times New Roman" w:hAnsi="Times New Roman"/>
          <w:sz w:val="20"/>
          <w:szCs w:val="20"/>
          <w:b w:val="1"/>
          <w:bCs w:val="1"/>
          <w:i w:val="1"/>
          <w:iCs w:val="1"/>
          <w:color w:val="auto"/>
        </w:rPr>
        <w:t>Interim Reporting (Topic 270): Narrow-Scope Improvements</w:t>
      </w:r>
      <w:r>
        <w:rPr>
          <w:rFonts w:ascii="Times New Roman" w:cs="Times New Roman" w:eastAsia="Times New Roman" w:hAnsi="Times New Roman"/>
          <w:sz w:val="20"/>
          <w:szCs w:val="20"/>
          <w:color w:val="auto"/>
        </w:rPr>
        <w:t>, which clarifies existing interim reporting disclosure requirements, including the form and content of interim financial statements, and establishes a principle requiring disclosure of material events and changes since the most recent annual reporting period. The amendments in ASU 2025-11 are effective for interim reporting periods within annual periods beginning after December 15, 2027. Early adoption is permitted. The Company is currently evaluating the impact of this standard on the Company’s consolidated financial statements and related disclosures.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43" w:lineRule="exact"/>
        <w:rPr>
          <w:sz w:val="20"/>
          <w:szCs w:val="20"/>
          <w:color w:val="auto"/>
        </w:rPr>
      </w:pPr>
    </w:p>
    <w:p>
      <w:pPr>
        <w:ind w:right="80" w:firstLine="483"/>
        <w:spacing w:after="0" w:line="251"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w:t>
      </w:r>
      <w:r>
        <w:rPr>
          <w:rFonts w:ascii="Times New Roman" w:cs="Times New Roman" w:eastAsia="Times New Roman" w:hAnsi="Times New Roman"/>
          <w:sz w:val="20"/>
          <w:szCs w:val="20"/>
          <w:color w:val="auto"/>
        </w:rPr>
        <w:t>, to enhance income tax disclosures primarily through changes in rate reconciliation and income taxes paid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disclosures. The Company adopted ASU 2023-09 for the year ended December 31, 2025 and applied the guidance retrospectively to all periods presented. The Company has included the enhanced disclosures required by this guidance in Note 14 "Income Taxes".</w:t>
      </w:r>
    </w:p>
    <w:p>
      <w:pPr>
        <w:sectPr>
          <w:pgSz w:w="11880" w:h="15480" w:orient="portrait"/>
          <w:cols w:equalWidth="0" w:num="1">
            <w:col w:w="9960"/>
          </w:cols>
          <w:pgMar w:left="940" w:top="35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960"/>
          </w:cols>
          <w:pgMar w:left="940" w:top="352" w:right="980" w:bottom="0" w:gutter="0" w:footer="0" w:header="0"/>
          <w:type w:val="continuous"/>
        </w:sectPr>
      </w:pPr>
    </w:p>
    <w:bookmarkStart w:id="187" w:name="page188"/>
    <w:bookmarkEnd w:id="187"/>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right="1880" w:firstLine="1890"/>
        <w:spacing w:after="0" w:line="4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(Amounts in tables are in millions except per share data, or as otherwise noted) </w:t>
      </w:r>
      <w:r>
        <w:rPr>
          <w:rFonts w:ascii="Times New Roman" w:cs="Times New Roman" w:eastAsia="Times New Roman" w:hAnsi="Times New Roman"/>
          <w:sz w:val="20"/>
          <w:szCs w:val="20"/>
          <w:b w:val="1"/>
          <w:bCs w:val="1"/>
          <w:color w:val="auto"/>
        </w:rPr>
        <w:t>Note 2. Cash, Cash Equivalents and Short-Term Investments</w:t>
      </w:r>
    </w:p>
    <w:p>
      <w:pPr>
        <w:spacing w:after="0" w:line="14" w:lineRule="exact"/>
        <w:rPr>
          <w:sz w:val="20"/>
          <w:szCs w:val="20"/>
          <w:color w:val="auto"/>
        </w:rPr>
      </w:pPr>
    </w:p>
    <w:p>
      <w:pPr>
        <w:ind w:right="380" w:firstLine="483"/>
        <w:spacing w:after="0" w:line="269" w:lineRule="auto"/>
        <w:rPr>
          <w:sz w:val="20"/>
          <w:szCs w:val="20"/>
          <w:color w:val="auto"/>
        </w:rPr>
      </w:pPr>
      <w:r>
        <w:rPr>
          <w:rFonts w:ascii="Times New Roman" w:cs="Times New Roman" w:eastAsia="Times New Roman" w:hAnsi="Times New Roman"/>
          <w:sz w:val="20"/>
          <w:szCs w:val="20"/>
          <w:color w:val="auto"/>
        </w:rPr>
        <w:t>The amortized cost, unrealized gains and losses and estimated fair value of the Company's cash, cash equivalents and short-term investments as of December 31, 2025 and 2024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80" w:type="dxa"/>
            <w:vAlign w:val="bottom"/>
            <w:gridSpan w:val="4"/>
          </w:tcPr>
          <w:p>
            <w:pPr>
              <w:jc w:val="right"/>
              <w:ind w:right="562"/>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w w:val="96"/>
              </w:rPr>
              <w:t>Amortized Cost</w:t>
            </w:r>
          </w:p>
        </w:tc>
        <w:tc>
          <w:tcPr>
            <w:tcW w:w="80" w:type="dxa"/>
            <w:vAlign w:val="bottom"/>
          </w:tcPr>
          <w:p>
            <w:pPr>
              <w:spacing w:after="0"/>
              <w:rPr>
                <w:sz w:val="17"/>
                <w:szCs w:val="17"/>
                <w:color w:val="auto"/>
              </w:rPr>
            </w:pPr>
          </w:p>
        </w:tc>
        <w:tc>
          <w:tcPr>
            <w:tcW w:w="166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rPr>
              <w:t>Unrealized Gain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w w:val="96"/>
              </w:rPr>
              <w:t>Unrealized Loss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02"/>
              <w:spacing w:after="0" w:line="207" w:lineRule="exact"/>
              <w:rPr>
                <w:sz w:val="20"/>
                <w:szCs w:val="20"/>
                <w:color w:val="auto"/>
              </w:rPr>
            </w:pPr>
            <w:r>
              <w:rPr>
                <w:rFonts w:ascii="Times New Roman" w:cs="Times New Roman" w:eastAsia="Times New Roman" w:hAnsi="Times New Roman"/>
                <w:sz w:val="20"/>
                <w:szCs w:val="20"/>
                <w:b w:val="1"/>
                <w:bCs w:val="1"/>
                <w:color w:val="auto"/>
                <w:w w:val="98"/>
              </w:rPr>
              <w:t>Estimated Fair</w:t>
            </w:r>
          </w:p>
        </w:tc>
        <w:tc>
          <w:tcPr>
            <w:tcW w:w="0" w:type="dxa"/>
            <w:vAlign w:val="bottom"/>
          </w:tcPr>
          <w:p>
            <w:pPr>
              <w:spacing w:after="0"/>
              <w:rPr>
                <w:sz w:val="1"/>
                <w:szCs w:val="1"/>
                <w:color w:val="auto"/>
              </w:rPr>
            </w:pPr>
          </w:p>
        </w:tc>
      </w:tr>
      <w:tr>
        <w:trPr>
          <w:trHeight w:val="256"/>
        </w:trPr>
        <w:tc>
          <w:tcPr>
            <w:tcW w:w="31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66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268"/>
        </w:trPr>
        <w:tc>
          <w:tcPr>
            <w:tcW w:w="31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Cash</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126.5</w:t>
            </w:r>
          </w:p>
        </w:tc>
        <w:tc>
          <w:tcPr>
            <w:tcW w:w="480" w:type="dxa"/>
            <w:vAlign w:val="bottom"/>
            <w:gridSpan w:val="2"/>
            <w:shd w:val="clear" w:color="auto" w:fill="E6E6E6"/>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126.5</w:t>
            </w:r>
          </w:p>
        </w:tc>
        <w:tc>
          <w:tcPr>
            <w:tcW w:w="0" w:type="dxa"/>
            <w:vAlign w:val="bottom"/>
          </w:tcPr>
          <w:p>
            <w:pPr>
              <w:spacing w:after="0"/>
              <w:rPr>
                <w:sz w:val="1"/>
                <w:szCs w:val="1"/>
                <w:color w:val="auto"/>
              </w:rPr>
            </w:pPr>
          </w:p>
        </w:tc>
      </w:tr>
      <w:tr>
        <w:trPr>
          <w:trHeight w:val="271"/>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equivalents</w:t>
            </w: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1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Money market funds</w:t>
            </w:r>
          </w:p>
        </w:tc>
        <w:tc>
          <w:tcPr>
            <w:tcW w:w="16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764.8</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764.8</w:t>
            </w:r>
          </w:p>
        </w:tc>
        <w:tc>
          <w:tcPr>
            <w:tcW w:w="0" w:type="dxa"/>
            <w:vAlign w:val="bottom"/>
          </w:tcPr>
          <w:p>
            <w:pPr>
              <w:spacing w:after="0"/>
              <w:rPr>
                <w:sz w:val="1"/>
                <w:szCs w:val="1"/>
                <w:color w:val="auto"/>
              </w:rPr>
            </w:pPr>
          </w:p>
        </w:tc>
      </w:tr>
      <w:tr>
        <w:trPr>
          <w:trHeight w:val="259"/>
        </w:trPr>
        <w:tc>
          <w:tcPr>
            <w:tcW w:w="318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Total cash &amp; cash equivalents</w:t>
            </w:r>
          </w:p>
        </w:tc>
        <w:tc>
          <w:tcPr>
            <w:tcW w:w="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891.3</w:t>
            </w:r>
          </w:p>
        </w:tc>
        <w:tc>
          <w:tcPr>
            <w:tcW w:w="480" w:type="dxa"/>
            <w:vAlign w:val="bottom"/>
            <w:gridSpan w:val="2"/>
          </w:tcPr>
          <w:p>
            <w:pPr>
              <w:jc w:val="right"/>
              <w:ind w:right="162"/>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891.3</w:t>
            </w:r>
          </w:p>
        </w:tc>
        <w:tc>
          <w:tcPr>
            <w:tcW w:w="0" w:type="dxa"/>
            <w:vAlign w:val="bottom"/>
          </w:tcPr>
          <w:p>
            <w:pPr>
              <w:spacing w:after="0"/>
              <w:rPr>
                <w:sz w:val="1"/>
                <w:szCs w:val="1"/>
                <w:color w:val="auto"/>
              </w:rPr>
            </w:pPr>
          </w:p>
        </w:tc>
      </w:tr>
      <w:tr>
        <w:trPr>
          <w:trHeight w:val="249"/>
        </w:trPr>
        <w:tc>
          <w:tcPr>
            <w:tcW w:w="3180" w:type="dxa"/>
            <w:vAlign w:val="bottom"/>
            <w:tcBorders>
              <w:top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Short-term investments</w:t>
            </w:r>
          </w:p>
        </w:tc>
        <w:tc>
          <w:tcPr>
            <w:tcW w:w="160" w:type="dxa"/>
            <w:vAlign w:val="bottom"/>
            <w:tcBorders>
              <w:top w:val="single" w:sz="8" w:color="auto"/>
            </w:tcBorders>
            <w:shd w:val="clear" w:color="auto" w:fill="E6E6E6"/>
          </w:tcPr>
          <w:p>
            <w:pPr>
              <w:spacing w:after="0"/>
              <w:rPr>
                <w:sz w:val="21"/>
                <w:szCs w:val="21"/>
                <w:color w:val="auto"/>
              </w:rPr>
            </w:pPr>
          </w:p>
        </w:tc>
        <w:tc>
          <w:tcPr>
            <w:tcW w:w="148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400" w:type="dxa"/>
            <w:vAlign w:val="bottom"/>
            <w:tcBorders>
              <w:top w:val="single" w:sz="8" w:color="auto"/>
            </w:tcBorders>
            <w:shd w:val="clear" w:color="auto" w:fill="E6E6E6"/>
          </w:tcPr>
          <w:p>
            <w:pPr>
              <w:spacing w:after="0"/>
              <w:rPr>
                <w:sz w:val="21"/>
                <w:szCs w:val="21"/>
                <w:color w:val="auto"/>
              </w:rPr>
            </w:pPr>
          </w:p>
        </w:tc>
        <w:tc>
          <w:tcPr>
            <w:tcW w:w="126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60" w:type="dxa"/>
            <w:vAlign w:val="bottom"/>
            <w:tcBorders>
              <w:top w:val="single" w:sz="8" w:color="auto"/>
            </w:tcBorders>
            <w:shd w:val="clear" w:color="auto" w:fill="E6E6E6"/>
          </w:tcPr>
          <w:p>
            <w:pPr>
              <w:spacing w:after="0"/>
              <w:rPr>
                <w:sz w:val="21"/>
                <w:szCs w:val="21"/>
                <w:color w:val="auto"/>
              </w:rPr>
            </w:pPr>
          </w:p>
        </w:tc>
        <w:tc>
          <w:tcPr>
            <w:tcW w:w="15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80" w:type="dxa"/>
            <w:vAlign w:val="bottom"/>
            <w:tcBorders>
              <w:top w:val="single" w:sz="8" w:color="auto"/>
            </w:tcBorders>
            <w:shd w:val="clear" w:color="auto" w:fill="E6E6E6"/>
          </w:tcPr>
          <w:p>
            <w:pPr>
              <w:spacing w:after="0"/>
              <w:rPr>
                <w:sz w:val="21"/>
                <w:szCs w:val="21"/>
                <w:color w:val="auto"/>
              </w:rPr>
            </w:pPr>
          </w:p>
        </w:tc>
        <w:tc>
          <w:tcPr>
            <w:tcW w:w="148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notes and obligations</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0" w:type="dxa"/>
            <w:vAlign w:val="bottom"/>
          </w:tcPr>
          <w:p>
            <w:pPr>
              <w:spacing w:after="0"/>
              <w:rPr>
                <w:sz w:val="1"/>
                <w:szCs w:val="1"/>
                <w:color w:val="auto"/>
              </w:rPr>
            </w:pPr>
          </w:p>
        </w:tc>
      </w:tr>
      <w:tr>
        <w:trPr>
          <w:trHeight w:val="284"/>
        </w:trPr>
        <w:tc>
          <w:tcPr>
            <w:tcW w:w="31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U.S. Treasury securities</w:t>
            </w:r>
          </w:p>
        </w:tc>
        <w:tc>
          <w:tcPr>
            <w:tcW w:w="1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45.4</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0" w:type="dxa"/>
            <w:vAlign w:val="bottom"/>
          </w:tcPr>
          <w:p>
            <w:pPr>
              <w:spacing w:after="0"/>
              <w:rPr>
                <w:sz w:val="1"/>
                <w:szCs w:val="1"/>
                <w:color w:val="auto"/>
              </w:rPr>
            </w:pPr>
          </w:p>
        </w:tc>
      </w:tr>
      <w:tr>
        <w:trPr>
          <w:trHeight w:val="271"/>
        </w:trPr>
        <w:tc>
          <w:tcPr>
            <w:tcW w:w="3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Municipal securities</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84"/>
        </w:trPr>
        <w:tc>
          <w:tcPr>
            <w:tcW w:w="31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Asset backed securities</w:t>
            </w:r>
          </w:p>
        </w:tc>
        <w:tc>
          <w:tcPr>
            <w:tcW w:w="1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71"/>
        </w:trPr>
        <w:tc>
          <w:tcPr>
            <w:tcW w:w="3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agency obligations</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93"/>
        </w:trPr>
        <w:tc>
          <w:tcPr>
            <w:tcW w:w="31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Supranational Securities</w:t>
            </w:r>
          </w:p>
        </w:tc>
        <w:tc>
          <w:tcPr>
            <w:tcW w:w="16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39"/>
        </w:trPr>
        <w:tc>
          <w:tcPr>
            <w:tcW w:w="318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Total short-term investments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147.7</w:t>
            </w:r>
          </w:p>
        </w:tc>
        <w:tc>
          <w:tcPr>
            <w:tcW w:w="80" w:type="dxa"/>
            <w:vAlign w:val="bottom"/>
            <w:tcBorders>
              <w:bottom w:val="single" w:sz="8" w:color="E6E6E6"/>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146.9</w:t>
            </w:r>
          </w:p>
        </w:tc>
        <w:tc>
          <w:tcPr>
            <w:tcW w:w="0" w:type="dxa"/>
            <w:vAlign w:val="bottom"/>
          </w:tcPr>
          <w:p>
            <w:pPr>
              <w:spacing w:after="0"/>
              <w:rPr>
                <w:sz w:val="1"/>
                <w:szCs w:val="1"/>
                <w:color w:val="auto"/>
              </w:rPr>
            </w:pPr>
          </w:p>
        </w:tc>
      </w:tr>
      <w:tr>
        <w:trPr>
          <w:trHeight w:val="277"/>
        </w:trPr>
        <w:tc>
          <w:tcPr>
            <w:tcW w:w="31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1,039.0</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-2336800</wp:posOffset>
            </wp:positionV>
            <wp:extent cx="4387215" cy="4953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126">
                      <a:extLst>
                        <a:ext uri="{28A0092B-C50C-407E-A947-70E740481C1C}"/>
                      </a:extLst>
                    </a:blip>
                    <a:srcRect/>
                    <a:stretch>
                      <a:fillRect/>
                    </a:stretch>
                  </pic:blipFill>
                  <pic:spPr bwMode="auto">
                    <a:xfrm>
                      <a:off x="0" y="0"/>
                      <a:ext cx="4387215" cy="495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-1807210</wp:posOffset>
            </wp:positionV>
            <wp:extent cx="4387215" cy="495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127">
                      <a:extLst>
                        <a:ext uri="{28A0092B-C50C-407E-A947-70E740481C1C}"/>
                      </a:extLst>
                    </a:blip>
                    <a:srcRect/>
                    <a:stretch>
                      <a:fillRect/>
                    </a:stretch>
                  </pic:blipFill>
                  <pic:spPr bwMode="auto">
                    <a:xfrm>
                      <a:off x="0" y="0"/>
                      <a:ext cx="4387215" cy="495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-1643380</wp:posOffset>
            </wp:positionV>
            <wp:extent cx="4387215" cy="7429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128">
                      <a:extLst>
                        <a:ext uri="{28A0092B-C50C-407E-A947-70E740481C1C}"/>
                      </a:extLst>
                    </a:blip>
                    <a:srcRect/>
                    <a:stretch>
                      <a:fillRect/>
                    </a:stretch>
                  </pic:blipFill>
                  <pic:spPr bwMode="auto">
                    <a:xfrm>
                      <a:off x="0" y="0"/>
                      <a:ext cx="4387215" cy="7429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-395605</wp:posOffset>
            </wp:positionV>
            <wp:extent cx="4387215" cy="495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129">
                      <a:extLst>
                        <a:ext uri="{28A0092B-C50C-407E-A947-70E740481C1C}"/>
                      </a:extLst>
                    </a:blip>
                    <a:srcRect/>
                    <a:stretch>
                      <a:fillRect/>
                    </a:stretch>
                  </pic:blipFill>
                  <pic:spPr bwMode="auto">
                    <a:xfrm>
                      <a:off x="0" y="0"/>
                      <a:ext cx="4387215" cy="495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-219075</wp:posOffset>
            </wp:positionV>
            <wp:extent cx="4387215" cy="495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130">
                      <a:extLst>
                        <a:ext uri="{28A0092B-C50C-407E-A947-70E740481C1C}"/>
                      </a:extLst>
                    </a:blip>
                    <a:srcRect/>
                    <a:stretch>
                      <a:fillRect/>
                    </a:stretch>
                  </pic:blipFill>
                  <pic:spPr bwMode="auto">
                    <a:xfrm>
                      <a:off x="0" y="0"/>
                      <a:ext cx="4387215" cy="495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-55245</wp:posOffset>
            </wp:positionV>
            <wp:extent cx="4387215" cy="7429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131">
                      <a:extLst>
                        <a:ext uri="{28A0092B-C50C-407E-A947-70E740481C1C}"/>
                      </a:extLst>
                    </a:blip>
                    <a:srcRect/>
                    <a:stretch>
                      <a:fillRect/>
                    </a:stretch>
                  </pic:blipFill>
                  <pic:spPr bwMode="auto">
                    <a:xfrm>
                      <a:off x="0" y="0"/>
                      <a:ext cx="4387215" cy="7429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80" w:type="dxa"/>
            <w:vAlign w:val="bottom"/>
            <w:gridSpan w:val="4"/>
          </w:tcPr>
          <w:p>
            <w:pPr>
              <w:jc w:val="right"/>
              <w:ind w:right="562"/>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w w:val="96"/>
              </w:rPr>
              <w:t>Amortized Cost</w:t>
            </w:r>
          </w:p>
        </w:tc>
        <w:tc>
          <w:tcPr>
            <w:tcW w:w="80" w:type="dxa"/>
            <w:vAlign w:val="bottom"/>
          </w:tcPr>
          <w:p>
            <w:pPr>
              <w:spacing w:after="0"/>
              <w:rPr>
                <w:sz w:val="17"/>
                <w:szCs w:val="17"/>
                <w:color w:val="auto"/>
              </w:rPr>
            </w:pPr>
          </w:p>
        </w:tc>
        <w:tc>
          <w:tcPr>
            <w:tcW w:w="166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rPr>
              <w:t>Unrealized Gain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w w:val="96"/>
              </w:rPr>
              <w:t>Unrealized Loss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02"/>
              <w:spacing w:after="0" w:line="207" w:lineRule="exact"/>
              <w:rPr>
                <w:sz w:val="20"/>
                <w:szCs w:val="20"/>
                <w:color w:val="auto"/>
              </w:rPr>
            </w:pPr>
            <w:r>
              <w:rPr>
                <w:rFonts w:ascii="Times New Roman" w:cs="Times New Roman" w:eastAsia="Times New Roman" w:hAnsi="Times New Roman"/>
                <w:sz w:val="20"/>
                <w:szCs w:val="20"/>
                <w:b w:val="1"/>
                <w:bCs w:val="1"/>
                <w:color w:val="auto"/>
                <w:w w:val="98"/>
              </w:rPr>
              <w:t>Estimated Fair</w:t>
            </w:r>
          </w:p>
        </w:tc>
        <w:tc>
          <w:tcPr>
            <w:tcW w:w="0" w:type="dxa"/>
            <w:vAlign w:val="bottom"/>
          </w:tcPr>
          <w:p>
            <w:pPr>
              <w:spacing w:after="0"/>
              <w:rPr>
                <w:sz w:val="1"/>
                <w:szCs w:val="1"/>
                <w:color w:val="auto"/>
              </w:rPr>
            </w:pPr>
          </w:p>
        </w:tc>
      </w:tr>
      <w:tr>
        <w:trPr>
          <w:trHeight w:val="256"/>
        </w:trPr>
        <w:tc>
          <w:tcPr>
            <w:tcW w:w="31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66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282"/>
        </w:trPr>
        <w:tc>
          <w:tcPr>
            <w:tcW w:w="31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Cash</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98.3</w:t>
            </w:r>
          </w:p>
        </w:tc>
        <w:tc>
          <w:tcPr>
            <w:tcW w:w="480" w:type="dxa"/>
            <w:vAlign w:val="bottom"/>
            <w:gridSpan w:val="2"/>
            <w:shd w:val="clear" w:color="auto" w:fill="E6E6E6"/>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98.3</w:t>
            </w:r>
          </w:p>
        </w:tc>
        <w:tc>
          <w:tcPr>
            <w:tcW w:w="0" w:type="dxa"/>
            <w:vAlign w:val="bottom"/>
          </w:tcPr>
          <w:p>
            <w:pPr>
              <w:spacing w:after="0"/>
              <w:rPr>
                <w:sz w:val="1"/>
                <w:szCs w:val="1"/>
                <w:color w:val="auto"/>
              </w:rPr>
            </w:pPr>
          </w:p>
        </w:tc>
      </w:tr>
      <w:tr>
        <w:trPr>
          <w:trHeight w:val="286"/>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equivalents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1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Money market funds</w:t>
            </w:r>
          </w:p>
        </w:tc>
        <w:tc>
          <w:tcPr>
            <w:tcW w:w="16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1,230.0</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1,230.0</w:t>
            </w:r>
          </w:p>
        </w:tc>
        <w:tc>
          <w:tcPr>
            <w:tcW w:w="0" w:type="dxa"/>
            <w:vAlign w:val="bottom"/>
          </w:tcPr>
          <w:p>
            <w:pPr>
              <w:spacing w:after="0"/>
              <w:rPr>
                <w:sz w:val="1"/>
                <w:szCs w:val="1"/>
                <w:color w:val="auto"/>
              </w:rPr>
            </w:pPr>
          </w:p>
        </w:tc>
      </w:tr>
      <w:tr>
        <w:trPr>
          <w:trHeight w:val="292"/>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cash &amp;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1,328.3</w:t>
            </w:r>
          </w:p>
        </w:tc>
        <w:tc>
          <w:tcPr>
            <w:tcW w:w="480" w:type="dxa"/>
            <w:vAlign w:val="bottom"/>
            <w:gridSpan w:val="2"/>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1,328.3</w:t>
            </w:r>
          </w:p>
        </w:tc>
        <w:tc>
          <w:tcPr>
            <w:tcW w:w="0" w:type="dxa"/>
            <w:vAlign w:val="bottom"/>
          </w:tcPr>
          <w:p>
            <w:pPr>
              <w:spacing w:after="0"/>
              <w:rPr>
                <w:sz w:val="1"/>
                <w:szCs w:val="1"/>
                <w:color w:val="auto"/>
              </w:rPr>
            </w:pPr>
          </w:p>
        </w:tc>
      </w:tr>
      <w:tr>
        <w:trPr>
          <w:trHeight w:val="263"/>
        </w:trPr>
        <w:tc>
          <w:tcPr>
            <w:tcW w:w="3180" w:type="dxa"/>
            <w:vAlign w:val="bottom"/>
            <w:tcBorders>
              <w:top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Short-term investments</w:t>
            </w:r>
          </w:p>
        </w:tc>
        <w:tc>
          <w:tcPr>
            <w:tcW w:w="160" w:type="dxa"/>
            <w:vAlign w:val="bottom"/>
            <w:tcBorders>
              <w:top w:val="single" w:sz="8" w:color="auto"/>
            </w:tcBorders>
            <w:shd w:val="clear" w:color="auto" w:fill="E6E6E6"/>
          </w:tcPr>
          <w:p>
            <w:pPr>
              <w:spacing w:after="0"/>
              <w:rPr>
                <w:sz w:val="22"/>
                <w:szCs w:val="22"/>
                <w:color w:val="auto"/>
              </w:rPr>
            </w:pPr>
          </w:p>
        </w:tc>
        <w:tc>
          <w:tcPr>
            <w:tcW w:w="1480" w:type="dxa"/>
            <w:vAlign w:val="bottom"/>
            <w:tcBorders>
              <w:top w:val="single" w:sz="8" w:color="auto"/>
            </w:tcBorders>
            <w:shd w:val="clear" w:color="auto" w:fill="E6E6E6"/>
          </w:tcPr>
          <w:p>
            <w:pPr>
              <w:spacing w:after="0"/>
              <w:rPr>
                <w:sz w:val="22"/>
                <w:szCs w:val="22"/>
                <w:color w:val="auto"/>
              </w:rPr>
            </w:pPr>
          </w:p>
        </w:tc>
        <w:tc>
          <w:tcPr>
            <w:tcW w:w="80" w:type="dxa"/>
            <w:vAlign w:val="bottom"/>
            <w:tcBorders>
              <w:top w:val="single" w:sz="8" w:color="E6E6E6"/>
            </w:tcBorders>
            <w:shd w:val="clear" w:color="auto" w:fill="E6E6E6"/>
          </w:tcPr>
          <w:p>
            <w:pPr>
              <w:spacing w:after="0"/>
              <w:rPr>
                <w:sz w:val="22"/>
                <w:szCs w:val="22"/>
                <w:color w:val="auto"/>
              </w:rPr>
            </w:pPr>
          </w:p>
        </w:tc>
        <w:tc>
          <w:tcPr>
            <w:tcW w:w="400" w:type="dxa"/>
            <w:vAlign w:val="bottom"/>
            <w:tcBorders>
              <w:top w:val="single" w:sz="8" w:color="auto"/>
            </w:tcBorders>
            <w:shd w:val="clear" w:color="auto" w:fill="E6E6E6"/>
          </w:tcPr>
          <w:p>
            <w:pPr>
              <w:spacing w:after="0"/>
              <w:rPr>
                <w:sz w:val="22"/>
                <w:szCs w:val="22"/>
                <w:color w:val="auto"/>
              </w:rPr>
            </w:pPr>
          </w:p>
        </w:tc>
        <w:tc>
          <w:tcPr>
            <w:tcW w:w="1260" w:type="dxa"/>
            <w:vAlign w:val="bottom"/>
            <w:tcBorders>
              <w:top w:val="single" w:sz="8" w:color="auto"/>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160" w:type="dxa"/>
            <w:vAlign w:val="bottom"/>
            <w:tcBorders>
              <w:top w:val="single" w:sz="8" w:color="auto"/>
            </w:tcBorders>
            <w:shd w:val="clear" w:color="auto" w:fill="E6E6E6"/>
          </w:tcPr>
          <w:p>
            <w:pPr>
              <w:spacing w:after="0"/>
              <w:rPr>
                <w:sz w:val="22"/>
                <w:szCs w:val="22"/>
                <w:color w:val="auto"/>
              </w:rPr>
            </w:pPr>
          </w:p>
        </w:tc>
        <w:tc>
          <w:tcPr>
            <w:tcW w:w="1500" w:type="dxa"/>
            <w:vAlign w:val="bottom"/>
            <w:tcBorders>
              <w:top w:val="single" w:sz="8" w:color="auto"/>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180" w:type="dxa"/>
            <w:vAlign w:val="bottom"/>
            <w:tcBorders>
              <w:top w:val="single" w:sz="8" w:color="auto"/>
            </w:tcBorders>
            <w:shd w:val="clear" w:color="auto" w:fill="E6E6E6"/>
          </w:tcPr>
          <w:p>
            <w:pPr>
              <w:spacing w:after="0"/>
              <w:rPr>
                <w:sz w:val="22"/>
                <w:szCs w:val="22"/>
                <w:color w:val="auto"/>
              </w:rPr>
            </w:pPr>
          </w:p>
        </w:tc>
        <w:tc>
          <w:tcPr>
            <w:tcW w:w="1480" w:type="dxa"/>
            <w:vAlign w:val="bottom"/>
            <w:tcBorders>
              <w:top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notes and obligations</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0" w:type="dxa"/>
            <w:vAlign w:val="bottom"/>
          </w:tcPr>
          <w:p>
            <w:pPr>
              <w:spacing w:after="0"/>
              <w:rPr>
                <w:sz w:val="1"/>
                <w:szCs w:val="1"/>
                <w:color w:val="auto"/>
              </w:rPr>
            </w:pPr>
          </w:p>
        </w:tc>
      </w:tr>
      <w:tr>
        <w:trPr>
          <w:trHeight w:val="299"/>
        </w:trPr>
        <w:tc>
          <w:tcPr>
            <w:tcW w:w="31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U.S. Treasury securities</w:t>
            </w:r>
          </w:p>
        </w:tc>
        <w:tc>
          <w:tcPr>
            <w:tcW w:w="1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0" w:type="dxa"/>
            <w:vAlign w:val="bottom"/>
          </w:tcPr>
          <w:p>
            <w:pPr>
              <w:spacing w:after="0"/>
              <w:rPr>
                <w:sz w:val="1"/>
                <w:szCs w:val="1"/>
                <w:color w:val="auto"/>
              </w:rPr>
            </w:pPr>
          </w:p>
        </w:tc>
      </w:tr>
      <w:tr>
        <w:trPr>
          <w:trHeight w:val="286"/>
        </w:trPr>
        <w:tc>
          <w:tcPr>
            <w:tcW w:w="3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Municipal securities</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0" w:type="dxa"/>
            <w:vAlign w:val="bottom"/>
          </w:tcPr>
          <w:p>
            <w:pPr>
              <w:spacing w:after="0"/>
              <w:rPr>
                <w:sz w:val="1"/>
                <w:szCs w:val="1"/>
                <w:color w:val="auto"/>
              </w:rPr>
            </w:pPr>
          </w:p>
        </w:tc>
      </w:tr>
      <w:tr>
        <w:trPr>
          <w:trHeight w:val="299"/>
        </w:trPr>
        <w:tc>
          <w:tcPr>
            <w:tcW w:w="31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Asset backed securities</w:t>
            </w:r>
          </w:p>
        </w:tc>
        <w:tc>
          <w:tcPr>
            <w:tcW w:w="1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0" w:type="dxa"/>
            <w:vAlign w:val="bottom"/>
          </w:tcPr>
          <w:p>
            <w:pPr>
              <w:spacing w:after="0"/>
              <w:rPr>
                <w:sz w:val="1"/>
                <w:szCs w:val="1"/>
                <w:color w:val="auto"/>
              </w:rPr>
            </w:pPr>
          </w:p>
        </w:tc>
      </w:tr>
      <w:tr>
        <w:trPr>
          <w:trHeight w:val="286"/>
        </w:trPr>
        <w:tc>
          <w:tcPr>
            <w:tcW w:w="3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agency obligations</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89"/>
        </w:trPr>
        <w:tc>
          <w:tcPr>
            <w:tcW w:w="31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Supranational securities</w:t>
            </w:r>
          </w:p>
        </w:tc>
        <w:tc>
          <w:tcPr>
            <w:tcW w:w="16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73"/>
        </w:trPr>
        <w:tc>
          <w:tcPr>
            <w:tcW w:w="318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Total short-term investments</w:t>
            </w: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272.9</w:t>
            </w:r>
          </w:p>
        </w:tc>
        <w:tc>
          <w:tcPr>
            <w:tcW w:w="8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265.9</w:t>
            </w:r>
          </w:p>
        </w:tc>
        <w:tc>
          <w:tcPr>
            <w:tcW w:w="0" w:type="dxa"/>
            <w:vAlign w:val="bottom"/>
          </w:tcPr>
          <w:p>
            <w:pPr>
              <w:spacing w:after="0"/>
              <w:rPr>
                <w:sz w:val="1"/>
                <w:szCs w:val="1"/>
                <w:color w:val="auto"/>
              </w:rPr>
            </w:pPr>
          </w:p>
        </w:tc>
      </w:tr>
      <w:tr>
        <w:trPr>
          <w:trHeight w:val="307"/>
        </w:trPr>
        <w:tc>
          <w:tcPr>
            <w:tcW w:w="31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1,601.2</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1,594.2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-2466975</wp:posOffset>
            </wp:positionV>
            <wp:extent cx="4387215" cy="495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132">
                      <a:extLst>
                        <a:ext uri="{28A0092B-C50C-407E-A947-70E740481C1C}"/>
                      </a:extLst>
                    </a:blip>
                    <a:srcRect/>
                    <a:stretch>
                      <a:fillRect/>
                    </a:stretch>
                  </pic:blipFill>
                  <pic:spPr bwMode="auto">
                    <a:xfrm>
                      <a:off x="0" y="0"/>
                      <a:ext cx="4387215" cy="495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-1909445</wp:posOffset>
            </wp:positionV>
            <wp:extent cx="4387215" cy="495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133">
                      <a:extLst>
                        <a:ext uri="{28A0092B-C50C-407E-A947-70E740481C1C}"/>
                      </a:extLst>
                    </a:blip>
                    <a:srcRect/>
                    <a:stretch>
                      <a:fillRect/>
                    </a:stretch>
                  </pic:blipFill>
                  <pic:spPr bwMode="auto">
                    <a:xfrm>
                      <a:off x="0" y="0"/>
                      <a:ext cx="4387215" cy="495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-1736090</wp:posOffset>
            </wp:positionV>
            <wp:extent cx="4387215" cy="7429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134">
                      <a:extLst>
                        <a:ext uri="{28A0092B-C50C-407E-A947-70E740481C1C}"/>
                      </a:extLst>
                    </a:blip>
                    <a:srcRect/>
                    <a:stretch>
                      <a:fillRect/>
                    </a:stretch>
                  </pic:blipFill>
                  <pic:spPr bwMode="auto">
                    <a:xfrm>
                      <a:off x="0" y="0"/>
                      <a:ext cx="4387215" cy="7429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-423545</wp:posOffset>
            </wp:positionV>
            <wp:extent cx="4387215" cy="495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135">
                      <a:extLst>
                        <a:ext uri="{28A0092B-C50C-407E-A947-70E740481C1C}"/>
                      </a:extLst>
                    </a:blip>
                    <a:srcRect/>
                    <a:stretch>
                      <a:fillRect/>
                    </a:stretch>
                  </pic:blipFill>
                  <pic:spPr bwMode="auto">
                    <a:xfrm>
                      <a:off x="0" y="0"/>
                      <a:ext cx="4387215" cy="495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-237490</wp:posOffset>
            </wp:positionV>
            <wp:extent cx="4387215" cy="495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136">
                      <a:extLst>
                        <a:ext uri="{28A0092B-C50C-407E-A947-70E740481C1C}"/>
                      </a:extLst>
                    </a:blip>
                    <a:srcRect/>
                    <a:stretch>
                      <a:fillRect/>
                    </a:stretch>
                  </pic:blipFill>
                  <pic:spPr bwMode="auto">
                    <a:xfrm>
                      <a:off x="0" y="0"/>
                      <a:ext cx="4387215" cy="495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-55245</wp:posOffset>
            </wp:positionV>
            <wp:extent cx="4387215" cy="7429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137">
                      <a:extLst>
                        <a:ext uri="{28A0092B-C50C-407E-A947-70E740481C1C}"/>
                      </a:extLst>
                    </a:blip>
                    <a:srcRect/>
                    <a:stretch>
                      <a:fillRect/>
                    </a:stretch>
                  </pic:blipFill>
                  <pic:spPr bwMode="auto">
                    <a:xfrm>
                      <a:off x="0" y="0"/>
                      <a:ext cx="4387215" cy="7429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140" w:firstLine="483"/>
        <w:spacing w:after="0" w:line="269" w:lineRule="auto"/>
        <w:rPr>
          <w:sz w:val="20"/>
          <w:szCs w:val="20"/>
          <w:color w:val="auto"/>
        </w:rPr>
      </w:pPr>
      <w:r>
        <w:rPr>
          <w:rFonts w:ascii="Times New Roman" w:cs="Times New Roman" w:eastAsia="Times New Roman" w:hAnsi="Times New Roman"/>
          <w:sz w:val="20"/>
          <w:szCs w:val="20"/>
          <w:color w:val="auto"/>
        </w:rPr>
        <w:t>Included in cash and cash equivalents is cash in transit from payment processors for credit and debit card transactions of $8.1 million and $9.9 million as of December 31, 2025 and 2024, respectively.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short-term investments were designated as available-for-sale securities as of December 31, 2025 and 2024.</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presents the contractual maturities of the Company’s short-term investments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000"/>
          </w:cols>
          <w:pgMar w:left="940" w:top="352" w:right="940" w:bottom="0" w:gutter="0" w:footer="0" w:header="0"/>
          <w:type w:val="continuous"/>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9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3"/>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740" w:type="dxa"/>
            <w:vAlign w:val="bottom"/>
            <w:tcBorders>
              <w:bottom w:val="single" w:sz="8" w:color="auto"/>
            </w:tcBorders>
          </w:tcPr>
          <w:p>
            <w:pPr>
              <w:spacing w:after="0"/>
              <w:rPr>
                <w:sz w:val="22"/>
                <w:szCs w:val="22"/>
                <w:color w:val="auto"/>
              </w:rPr>
            </w:pPr>
          </w:p>
        </w:tc>
      </w:tr>
      <w:tr>
        <w:trPr>
          <w:trHeight w:val="273"/>
        </w:trPr>
        <w:tc>
          <w:tcPr>
            <w:tcW w:w="598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20"/>
                <w:szCs w:val="20"/>
                <w:b w:val="1"/>
                <w:bCs w:val="1"/>
                <w:color w:val="auto"/>
              </w:rPr>
              <w:t>Amortized cost</w:t>
            </w:r>
          </w:p>
        </w:tc>
        <w:tc>
          <w:tcPr>
            <w:tcW w:w="60" w:type="dxa"/>
            <w:vAlign w:val="bottom"/>
            <w:tcBorders>
              <w:bottom w:val="single" w:sz="8" w:color="E6E6E6"/>
            </w:tcBorders>
          </w:tcPr>
          <w:p>
            <w:pPr>
              <w:spacing w:after="0"/>
              <w:rPr>
                <w:sz w:val="23"/>
                <w:szCs w:val="23"/>
                <w:color w:val="auto"/>
              </w:rPr>
            </w:pPr>
          </w:p>
        </w:tc>
        <w:tc>
          <w:tcPr>
            <w:tcW w:w="198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Estimated fair value</w:t>
            </w:r>
          </w:p>
        </w:tc>
      </w:tr>
      <w:tr>
        <w:trPr>
          <w:trHeight w:val="283"/>
        </w:trPr>
        <w:tc>
          <w:tcPr>
            <w:tcW w:w="59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Due within one year</w:t>
            </w:r>
          </w:p>
        </w:tc>
        <w:tc>
          <w:tcPr>
            <w:tcW w:w="260" w:type="dxa"/>
            <w:vAlign w:val="bottom"/>
            <w:shd w:val="clear" w:color="auto" w:fill="E6E6E6"/>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116.0</w:t>
            </w:r>
          </w:p>
        </w:tc>
        <w:tc>
          <w:tcPr>
            <w:tcW w:w="1300" w:type="dxa"/>
            <w:vAlign w:val="bottom"/>
            <w:gridSpan w:val="2"/>
            <w:shd w:val="clear" w:color="auto" w:fill="E6E6E6"/>
          </w:tcPr>
          <w:p>
            <w:pPr>
              <w:jc w:val="right"/>
              <w:ind w:right="98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115.2</w:t>
            </w:r>
          </w:p>
        </w:tc>
      </w:tr>
      <w:tr>
        <w:trPr>
          <w:trHeight w:val="286"/>
        </w:trPr>
        <w:tc>
          <w:tcPr>
            <w:tcW w:w="5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between one to three years</w:t>
            </w:r>
          </w:p>
        </w:tc>
        <w:tc>
          <w:tcPr>
            <w:tcW w:w="2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r>
      <w:tr>
        <w:trPr>
          <w:trHeight w:val="289"/>
        </w:trPr>
        <w:tc>
          <w:tcPr>
            <w:tcW w:w="59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Due after three years</w:t>
            </w:r>
          </w:p>
        </w:tc>
        <w:tc>
          <w:tcPr>
            <w:tcW w:w="260" w:type="dxa"/>
            <w:vAlign w:val="bottom"/>
            <w:tcBorders>
              <w:bottom w:val="single" w:sz="8" w:color="auto"/>
            </w:tcBorders>
            <w:shd w:val="clear" w:color="auto" w:fill="E6E6E6"/>
          </w:tcPr>
          <w:p>
            <w:pPr>
              <w:spacing w:after="0"/>
              <w:rPr>
                <w:sz w:val="24"/>
                <w:szCs w:val="24"/>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92"/>
        </w:trPr>
        <w:tc>
          <w:tcPr>
            <w:tcW w:w="5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147.7</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-785495</wp:posOffset>
            </wp:positionV>
            <wp:extent cx="2603500" cy="495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138">
                      <a:extLst>
                        <a:ext uri="{28A0092B-C50C-407E-A947-70E740481C1C}"/>
                      </a:extLst>
                    </a:blip>
                    <a:srcRect/>
                    <a:stretch>
                      <a:fillRect/>
                    </a:stretch>
                  </pic:blipFill>
                  <pic:spPr bwMode="auto">
                    <a:xfrm>
                      <a:off x="0" y="0"/>
                      <a:ext cx="2603500" cy="4953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-228600</wp:posOffset>
            </wp:positionV>
            <wp:extent cx="2603500" cy="4953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139">
                      <a:extLst>
                        <a:ext uri="{28A0092B-C50C-407E-A947-70E740481C1C}"/>
                      </a:extLst>
                    </a:blip>
                    <a:srcRect/>
                    <a:stretch>
                      <a:fillRect/>
                    </a:stretch>
                  </pic:blipFill>
                  <pic:spPr bwMode="auto">
                    <a:xfrm>
                      <a:off x="0" y="0"/>
                      <a:ext cx="2603500" cy="4953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-55245</wp:posOffset>
            </wp:positionV>
            <wp:extent cx="2603500" cy="742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140">
                      <a:extLst>
                        <a:ext uri="{28A0092B-C50C-407E-A947-70E740481C1C}"/>
                      </a:extLst>
                    </a:blip>
                    <a:srcRect/>
                    <a:stretch>
                      <a:fillRect/>
                    </a:stretch>
                  </pic:blipFill>
                  <pic:spPr bwMode="auto">
                    <a:xfrm>
                      <a:off x="0" y="0"/>
                      <a:ext cx="2603500" cy="74295"/>
                    </a:xfrm>
                    <a:prstGeom prst="rect">
                      <a:avLst/>
                    </a:prstGeom>
                    <a:noFill/>
                  </pic:spPr>
                </pic:pic>
              </a:graphicData>
            </a:graphic>
          </wp:anchor>
        </w:drawing>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had 76 short-term investments in unrealized loss positions as of December 31, 2025. There</w:t>
      </w:r>
    </w:p>
    <w:p>
      <w:pPr>
        <w:spacing w:after="0" w:line="4"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were no material gains or losses from short-term investments that were reclassified out of accumulated other comprehensive income (loss) for the years ended December 31, 2025 or 2024.</w:t>
      </w:r>
    </w:p>
    <w:p>
      <w:pPr>
        <w:spacing w:after="0" w:line="187" w:lineRule="exact"/>
        <w:rPr>
          <w:sz w:val="20"/>
          <w:szCs w:val="20"/>
          <w:color w:val="auto"/>
        </w:rPr>
      </w:pPr>
    </w:p>
    <w:p>
      <w:pPr>
        <w:ind w:right="20" w:firstLine="483"/>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Company’s short-term investments portfolio consisted of six security types, four of which were in an unrealized loss position. The Company’s short-term investments had unrealized losses of approximately $1.0 million as of December 31, 2025. The following tables present the breakdown of the short-term investments that have been in a continuous unrealized loss position aggregated by investment category, as of December 31, 2025 and 2024:</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242"/>
              <w:spacing w:after="0"/>
              <w:rPr>
                <w:sz w:val="20"/>
                <w:szCs w:val="20"/>
                <w:color w:val="auto"/>
              </w:rPr>
            </w:pPr>
            <w:r>
              <w:rPr>
                <w:rFonts w:ascii="Times New Roman" w:cs="Times New Roman" w:eastAsia="Times New Roman" w:hAnsi="Times New Roman"/>
                <w:sz w:val="20"/>
                <w:szCs w:val="20"/>
                <w:b w:val="1"/>
                <w:bCs w:val="1"/>
                <w:color w:val="auto"/>
              </w:rPr>
              <w:t>Less than 12 months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More than 12 months</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2"/>
              <w:spacing w:after="0" w:line="187" w:lineRule="exact"/>
              <w:rPr>
                <w:sz w:val="20"/>
                <w:szCs w:val="20"/>
                <w:color w:val="auto"/>
              </w:rPr>
            </w:pPr>
            <w:r>
              <w:rPr>
                <w:rFonts w:ascii="Times New Roman" w:cs="Times New Roman" w:eastAsia="Times New Roman" w:hAnsi="Times New Roman"/>
                <w:sz w:val="20"/>
                <w:szCs w:val="20"/>
                <w:b w:val="1"/>
                <w:bCs w:val="1"/>
                <w:color w:val="auto"/>
                <w:w w:val="95"/>
              </w:rPr>
              <w:t>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42"/>
              <w:spacing w:after="0" w:line="187" w:lineRule="exact"/>
              <w:rPr>
                <w:sz w:val="20"/>
                <w:szCs w:val="20"/>
                <w:color w:val="auto"/>
              </w:rPr>
            </w:pPr>
            <w:r>
              <w:rPr>
                <w:rFonts w:ascii="Times New Roman" w:cs="Times New Roman" w:eastAsia="Times New Roman" w:hAnsi="Times New Roman"/>
                <w:sz w:val="20"/>
                <w:szCs w:val="20"/>
                <w:b w:val="1"/>
                <w:bCs w:val="1"/>
                <w:color w:val="auto"/>
                <w:w w:val="95"/>
              </w:rPr>
              <w:t>Gross</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center"/>
              <w:ind w:right="162"/>
              <w:spacing w:after="0" w:line="187" w:lineRule="exact"/>
              <w:rPr>
                <w:sz w:val="20"/>
                <w:szCs w:val="20"/>
                <w:color w:val="auto"/>
              </w:rPr>
            </w:pPr>
            <w:r>
              <w:rPr>
                <w:rFonts w:ascii="Times New Roman" w:cs="Times New Roman" w:eastAsia="Times New Roman" w:hAnsi="Times New Roman"/>
                <w:sz w:val="20"/>
                <w:szCs w:val="20"/>
                <w:b w:val="1"/>
                <w:bCs w:val="1"/>
                <w:color w:val="auto"/>
                <w:w w:val="95"/>
              </w:rPr>
              <w:t>Gross</w:t>
            </w: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w w:val="93"/>
              </w:rPr>
              <w:t>Fair Value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2"/>
              <w:spacing w:after="0" w:line="195"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80" w:type="dxa"/>
            <w:vAlign w:val="bottom"/>
          </w:tcPr>
          <w:p>
            <w:pPr>
              <w:spacing w:after="0"/>
              <w:rPr>
                <w:sz w:val="16"/>
                <w:szCs w:val="16"/>
                <w:color w:val="auto"/>
              </w:rPr>
            </w:pPr>
          </w:p>
        </w:tc>
        <w:tc>
          <w:tcPr>
            <w:tcW w:w="116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80" w:type="dxa"/>
            <w:vAlign w:val="bottom"/>
          </w:tcPr>
          <w:p>
            <w:pPr>
              <w:spacing w:after="0"/>
              <w:rPr>
                <w:sz w:val="16"/>
                <w:szCs w:val="16"/>
                <w:color w:val="auto"/>
              </w:rPr>
            </w:pPr>
          </w:p>
        </w:tc>
        <w:tc>
          <w:tcPr>
            <w:tcW w:w="11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16"/>
                <w:szCs w:val="16"/>
                <w:color w:val="auto"/>
              </w:rPr>
            </w:pPr>
          </w:p>
        </w:tc>
        <w:tc>
          <w:tcPr>
            <w:tcW w:w="116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20"/>
                <w:szCs w:val="20"/>
                <w:b w:val="1"/>
                <w:bCs w:val="1"/>
                <w:color w:val="auto"/>
                <w:w w:val="96"/>
              </w:rPr>
              <w:t>Unrealized</w:t>
            </w:r>
          </w:p>
        </w:tc>
        <w:tc>
          <w:tcPr>
            <w:tcW w:w="0" w:type="dxa"/>
            <w:vAlign w:val="bottom"/>
          </w:tcPr>
          <w:p>
            <w:pPr>
              <w:spacing w:after="0"/>
              <w:rPr>
                <w:sz w:val="1"/>
                <w:szCs w:val="1"/>
                <w:color w:val="auto"/>
              </w:rPr>
            </w:pPr>
          </w:p>
        </w:tc>
      </w:tr>
      <w:tr>
        <w:trPr>
          <w:trHeight w:val="256"/>
        </w:trPr>
        <w:tc>
          <w:tcPr>
            <w:tcW w:w="270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7"/>
              </w:rPr>
              <w:t>Losses</w:t>
            </w: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7"/>
              </w:rPr>
              <w:t>Losses</w:t>
            </w:r>
          </w:p>
        </w:tc>
        <w:tc>
          <w:tcPr>
            <w:tcW w:w="80" w:type="dxa"/>
            <w:vAlign w:val="bottom"/>
            <w:tcBorders>
              <w:bottom w:val="single" w:sz="8" w:color="E6E6E6"/>
            </w:tcBorders>
          </w:tcPr>
          <w:p>
            <w:pPr>
              <w:spacing w:after="0"/>
              <w:rPr>
                <w:sz w:val="22"/>
                <w:szCs w:val="22"/>
                <w:color w:val="auto"/>
              </w:rPr>
            </w:pPr>
          </w:p>
        </w:tc>
        <w:tc>
          <w:tcPr>
            <w:tcW w:w="112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20"/>
                <w:szCs w:val="20"/>
                <w:b w:val="1"/>
                <w:bCs w:val="1"/>
                <w:color w:val="auto"/>
                <w:w w:val="97"/>
              </w:rPr>
              <w:t>Losses</w:t>
            </w:r>
          </w:p>
        </w:tc>
        <w:tc>
          <w:tcPr>
            <w:tcW w:w="0" w:type="dxa"/>
            <w:vAlign w:val="bottom"/>
          </w:tcPr>
          <w:p>
            <w:pPr>
              <w:spacing w:after="0"/>
              <w:rPr>
                <w:sz w:val="1"/>
                <w:szCs w:val="1"/>
                <w:color w:val="auto"/>
              </w:rPr>
            </w:pPr>
          </w:p>
        </w:tc>
      </w:tr>
      <w:tr>
        <w:trPr>
          <w:trHeight w:val="268"/>
        </w:trPr>
        <w:tc>
          <w:tcPr>
            <w:tcW w:w="2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Corporate notes and obligations</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3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460" w:type="dxa"/>
            <w:vAlign w:val="bottom"/>
            <w:gridSpan w:val="2"/>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3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71"/>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 Treasury securities</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84"/>
        </w:trPr>
        <w:tc>
          <w:tcPr>
            <w:tcW w:w="2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Asset backed securities</w:t>
            </w: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68"/>
        </w:trPr>
        <w:tc>
          <w:tcPr>
            <w:tcW w:w="270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Municipal securities</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77"/>
        </w:trPr>
        <w:tc>
          <w:tcPr>
            <w:tcW w:w="270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570"/>
        </w:trPr>
        <w:tc>
          <w:tcPr>
            <w:tcW w:w="2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242"/>
              <w:spacing w:after="0"/>
              <w:rPr>
                <w:sz w:val="20"/>
                <w:szCs w:val="20"/>
                <w:color w:val="auto"/>
              </w:rPr>
            </w:pPr>
            <w:r>
              <w:rPr>
                <w:rFonts w:ascii="Times New Roman" w:cs="Times New Roman" w:eastAsia="Times New Roman" w:hAnsi="Times New Roman"/>
                <w:sz w:val="20"/>
                <w:szCs w:val="20"/>
                <w:b w:val="1"/>
                <w:bCs w:val="1"/>
                <w:color w:val="auto"/>
              </w:rPr>
              <w:t>Less than 12 months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More than 12 months</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2"/>
              <w:spacing w:after="0" w:line="187" w:lineRule="exact"/>
              <w:rPr>
                <w:sz w:val="20"/>
                <w:szCs w:val="20"/>
                <w:color w:val="auto"/>
              </w:rPr>
            </w:pPr>
            <w:r>
              <w:rPr>
                <w:rFonts w:ascii="Times New Roman" w:cs="Times New Roman" w:eastAsia="Times New Roman" w:hAnsi="Times New Roman"/>
                <w:sz w:val="20"/>
                <w:szCs w:val="20"/>
                <w:b w:val="1"/>
                <w:bCs w:val="1"/>
                <w:color w:val="auto"/>
                <w:w w:val="95"/>
              </w:rPr>
              <w:t>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42"/>
              <w:spacing w:after="0" w:line="187" w:lineRule="exact"/>
              <w:rPr>
                <w:sz w:val="20"/>
                <w:szCs w:val="20"/>
                <w:color w:val="auto"/>
              </w:rPr>
            </w:pPr>
            <w:r>
              <w:rPr>
                <w:rFonts w:ascii="Times New Roman" w:cs="Times New Roman" w:eastAsia="Times New Roman" w:hAnsi="Times New Roman"/>
                <w:sz w:val="20"/>
                <w:szCs w:val="20"/>
                <w:b w:val="1"/>
                <w:bCs w:val="1"/>
                <w:color w:val="auto"/>
                <w:w w:val="95"/>
              </w:rPr>
              <w:t>Gross</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center"/>
              <w:ind w:right="162"/>
              <w:spacing w:after="0" w:line="187" w:lineRule="exact"/>
              <w:rPr>
                <w:sz w:val="20"/>
                <w:szCs w:val="20"/>
                <w:color w:val="auto"/>
              </w:rPr>
            </w:pPr>
            <w:r>
              <w:rPr>
                <w:rFonts w:ascii="Times New Roman" w:cs="Times New Roman" w:eastAsia="Times New Roman" w:hAnsi="Times New Roman"/>
                <w:sz w:val="20"/>
                <w:szCs w:val="20"/>
                <w:b w:val="1"/>
                <w:bCs w:val="1"/>
                <w:color w:val="auto"/>
                <w:w w:val="95"/>
              </w:rPr>
              <w:t>Gross</w:t>
            </w: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w w:val="93"/>
              </w:rPr>
              <w:t>Fair Value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2"/>
              <w:spacing w:after="0" w:line="195"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80" w:type="dxa"/>
            <w:vAlign w:val="bottom"/>
          </w:tcPr>
          <w:p>
            <w:pPr>
              <w:spacing w:after="0"/>
              <w:rPr>
                <w:sz w:val="16"/>
                <w:szCs w:val="16"/>
                <w:color w:val="auto"/>
              </w:rPr>
            </w:pPr>
          </w:p>
        </w:tc>
        <w:tc>
          <w:tcPr>
            <w:tcW w:w="116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80" w:type="dxa"/>
            <w:vAlign w:val="bottom"/>
          </w:tcPr>
          <w:p>
            <w:pPr>
              <w:spacing w:after="0"/>
              <w:rPr>
                <w:sz w:val="16"/>
                <w:szCs w:val="16"/>
                <w:color w:val="auto"/>
              </w:rPr>
            </w:pPr>
          </w:p>
        </w:tc>
        <w:tc>
          <w:tcPr>
            <w:tcW w:w="11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16"/>
                <w:szCs w:val="16"/>
                <w:color w:val="auto"/>
              </w:rPr>
            </w:pPr>
          </w:p>
        </w:tc>
        <w:tc>
          <w:tcPr>
            <w:tcW w:w="116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20"/>
                <w:szCs w:val="20"/>
                <w:b w:val="1"/>
                <w:bCs w:val="1"/>
                <w:color w:val="auto"/>
                <w:w w:val="96"/>
              </w:rPr>
              <w:t>Unrealized</w:t>
            </w:r>
          </w:p>
        </w:tc>
        <w:tc>
          <w:tcPr>
            <w:tcW w:w="0" w:type="dxa"/>
            <w:vAlign w:val="bottom"/>
          </w:tcPr>
          <w:p>
            <w:pPr>
              <w:spacing w:after="0"/>
              <w:rPr>
                <w:sz w:val="1"/>
                <w:szCs w:val="1"/>
                <w:color w:val="auto"/>
              </w:rPr>
            </w:pPr>
          </w:p>
        </w:tc>
      </w:tr>
      <w:tr>
        <w:trPr>
          <w:trHeight w:val="256"/>
        </w:trPr>
        <w:tc>
          <w:tcPr>
            <w:tcW w:w="270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7"/>
              </w:rPr>
              <w:t>Losses</w:t>
            </w: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7"/>
              </w:rPr>
              <w:t>Losses</w:t>
            </w:r>
          </w:p>
        </w:tc>
        <w:tc>
          <w:tcPr>
            <w:tcW w:w="80" w:type="dxa"/>
            <w:vAlign w:val="bottom"/>
            <w:tcBorders>
              <w:bottom w:val="single" w:sz="8" w:color="E6E6E6"/>
            </w:tcBorders>
          </w:tcPr>
          <w:p>
            <w:pPr>
              <w:spacing w:after="0"/>
              <w:rPr>
                <w:sz w:val="22"/>
                <w:szCs w:val="22"/>
                <w:color w:val="auto"/>
              </w:rPr>
            </w:pPr>
          </w:p>
        </w:tc>
        <w:tc>
          <w:tcPr>
            <w:tcW w:w="112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20"/>
                <w:szCs w:val="20"/>
                <w:b w:val="1"/>
                <w:bCs w:val="1"/>
                <w:color w:val="auto"/>
                <w:w w:val="97"/>
              </w:rPr>
              <w:t>Losses</w:t>
            </w:r>
          </w:p>
        </w:tc>
        <w:tc>
          <w:tcPr>
            <w:tcW w:w="0" w:type="dxa"/>
            <w:vAlign w:val="bottom"/>
          </w:tcPr>
          <w:p>
            <w:pPr>
              <w:spacing w:after="0"/>
              <w:rPr>
                <w:sz w:val="1"/>
                <w:szCs w:val="1"/>
                <w:color w:val="auto"/>
              </w:rPr>
            </w:pPr>
          </w:p>
        </w:tc>
      </w:tr>
      <w:tr>
        <w:trPr>
          <w:trHeight w:val="268"/>
        </w:trPr>
        <w:tc>
          <w:tcPr>
            <w:tcW w:w="2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Corporate notes and obligations</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3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460" w:type="dxa"/>
            <w:vAlign w:val="bottom"/>
            <w:gridSpan w:val="2"/>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105.7</w:t>
            </w:r>
          </w:p>
        </w:tc>
        <w:tc>
          <w:tcPr>
            <w:tcW w:w="3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71"/>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 Treasury securities</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84"/>
        </w:trPr>
        <w:tc>
          <w:tcPr>
            <w:tcW w:w="2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Asset backed securities</w:t>
            </w: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71"/>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Municipal securities</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84"/>
        </w:trPr>
        <w:tc>
          <w:tcPr>
            <w:tcW w:w="27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U.S. agency obligations</w:t>
            </w: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68"/>
        </w:trPr>
        <w:tc>
          <w:tcPr>
            <w:tcW w:w="270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Supranational securities</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77"/>
        </w:trPr>
        <w:tc>
          <w:tcPr>
            <w:tcW w:w="270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213.9</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230.8</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-3141980</wp:posOffset>
            </wp:positionV>
            <wp:extent cx="4684395" cy="4953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141">
                      <a:extLst>
                        <a:ext uri="{28A0092B-C50C-407E-A947-70E740481C1C}"/>
                      </a:extLst>
                    </a:blip>
                    <a:srcRect/>
                    <a:stretch>
                      <a:fillRect/>
                    </a:stretch>
                  </pic:blipFill>
                  <pic:spPr bwMode="auto">
                    <a:xfrm>
                      <a:off x="0" y="0"/>
                      <a:ext cx="4684395" cy="4953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-2435860</wp:posOffset>
            </wp:positionV>
            <wp:extent cx="4684395" cy="495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142">
                      <a:extLst>
                        <a:ext uri="{28A0092B-C50C-407E-A947-70E740481C1C}"/>
                      </a:extLst>
                    </a:blip>
                    <a:srcRect/>
                    <a:stretch>
                      <a:fillRect/>
                    </a:stretch>
                  </pic:blipFill>
                  <pic:spPr bwMode="auto">
                    <a:xfrm>
                      <a:off x="0" y="0"/>
                      <a:ext cx="4684395" cy="4953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-2272030</wp:posOffset>
            </wp:positionV>
            <wp:extent cx="4684395" cy="742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43">
                      <a:extLst>
                        <a:ext uri="{28A0092B-C50C-407E-A947-70E740481C1C}"/>
                      </a:extLst>
                    </a:blip>
                    <a:srcRect/>
                    <a:stretch>
                      <a:fillRect/>
                    </a:stretch>
                  </pic:blipFill>
                  <pic:spPr bwMode="auto">
                    <a:xfrm>
                      <a:off x="0" y="0"/>
                      <a:ext cx="4684395" cy="7429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-1278255</wp:posOffset>
            </wp:positionV>
            <wp:extent cx="4684395" cy="4953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144">
                      <a:extLst>
                        <a:ext uri="{28A0092B-C50C-407E-A947-70E740481C1C}"/>
                      </a:extLst>
                    </a:blip>
                    <a:srcRect/>
                    <a:stretch>
                      <a:fillRect/>
                    </a:stretch>
                  </pic:blipFill>
                  <pic:spPr bwMode="auto">
                    <a:xfrm>
                      <a:off x="0" y="0"/>
                      <a:ext cx="4684395" cy="4953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-219075</wp:posOffset>
            </wp:positionV>
            <wp:extent cx="4684395" cy="495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145">
                      <a:extLst>
                        <a:ext uri="{28A0092B-C50C-407E-A947-70E740481C1C}"/>
                      </a:extLst>
                    </a:blip>
                    <a:srcRect/>
                    <a:stretch>
                      <a:fillRect/>
                    </a:stretch>
                  </pic:blipFill>
                  <pic:spPr bwMode="auto">
                    <a:xfrm>
                      <a:off x="0" y="0"/>
                      <a:ext cx="4684395" cy="4953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-55245</wp:posOffset>
            </wp:positionV>
            <wp:extent cx="4684395" cy="7429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146">
                      <a:extLst>
                        <a:ext uri="{28A0092B-C50C-407E-A947-70E740481C1C}"/>
                      </a:extLst>
                    </a:blip>
                    <a:srcRect/>
                    <a:stretch>
                      <a:fillRect/>
                    </a:stretch>
                  </pic:blipFill>
                  <pic:spPr bwMode="auto">
                    <a:xfrm>
                      <a:off x="0" y="0"/>
                      <a:ext cx="4684395" cy="74295"/>
                    </a:xfrm>
                    <a:prstGeom prst="rect">
                      <a:avLst/>
                    </a:prstGeom>
                    <a:noFill/>
                  </pic:spPr>
                </pic:pic>
              </a:graphicData>
            </a:graphic>
          </wp:anchor>
        </w:drawing>
      </w:r>
    </w:p>
    <w:p>
      <w:pPr>
        <w:spacing w:after="0" w:line="221" w:lineRule="exact"/>
        <w:rPr>
          <w:sz w:val="20"/>
          <w:szCs w:val="20"/>
          <w:color w:val="auto"/>
        </w:rPr>
      </w:pPr>
    </w:p>
    <w:p>
      <w:pPr>
        <w:ind w:right="120" w:firstLine="439"/>
        <w:spacing w:after="0" w:line="252" w:lineRule="auto"/>
        <w:rPr>
          <w:sz w:val="20"/>
          <w:szCs w:val="20"/>
          <w:color w:val="auto"/>
        </w:rPr>
      </w:pPr>
      <w:r>
        <w:rPr>
          <w:rFonts w:ascii="Times New Roman" w:cs="Times New Roman" w:eastAsia="Times New Roman" w:hAnsi="Times New Roman"/>
          <w:sz w:val="20"/>
          <w:szCs w:val="20"/>
          <w:color w:val="auto"/>
        </w:rPr>
        <w:t>Unrealized losses on short-term investments have not been recorded into income because management does not intend to sell nor will it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204" w:lineRule="exact"/>
        <w:rPr>
          <w:sz w:val="20"/>
          <w:szCs w:val="20"/>
          <w:color w:val="auto"/>
        </w:rPr>
      </w:pPr>
    </w:p>
    <w:p>
      <w:pPr>
        <w:ind w:right="420" w:firstLine="483"/>
        <w:spacing w:after="0" w:line="269" w:lineRule="auto"/>
        <w:rPr>
          <w:sz w:val="20"/>
          <w:szCs w:val="20"/>
          <w:color w:val="auto"/>
        </w:rPr>
      </w:pPr>
      <w:r>
        <w:rPr>
          <w:rFonts w:ascii="Times New Roman" w:cs="Times New Roman" w:eastAsia="Times New Roman" w:hAnsi="Times New Roman"/>
          <w:sz w:val="20"/>
          <w:szCs w:val="20"/>
          <w:color w:val="auto"/>
        </w:rPr>
        <w:t>The Company recorded interest income from its cash, cash equivalents, and short-term investments of $36.2 million, $39.0 million and $34.6 million during the years ended December 31, 2025, 2024 and 2023, respectively.</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000"/>
          </w:cols>
          <w:pgMar w:left="940" w:top="352" w:right="940" w:bottom="0" w:gutter="0" w:footer="0" w:header="0"/>
          <w:type w:val="continuous"/>
        </w:sectPr>
      </w:pPr>
    </w:p>
    <w:bookmarkStart w:id="189" w:name="page190"/>
    <w:bookmarkEnd w:id="189"/>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right="1880" w:firstLine="1890"/>
        <w:spacing w:after="0" w:line="4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(Amounts in tables are in millions except per share data, or as otherwise noted) </w:t>
      </w:r>
      <w:r>
        <w:rPr>
          <w:rFonts w:ascii="Times New Roman" w:cs="Times New Roman" w:eastAsia="Times New Roman" w:hAnsi="Times New Roman"/>
          <w:sz w:val="20"/>
          <w:szCs w:val="20"/>
          <w:b w:val="1"/>
          <w:bCs w:val="1"/>
          <w:color w:val="auto"/>
        </w:rPr>
        <w:t>Note 3. Fair Value Measurements</w:t>
      </w:r>
    </w:p>
    <w:p>
      <w:pPr>
        <w:spacing w:after="0" w:line="14" w:lineRule="exact"/>
        <w:rPr>
          <w:sz w:val="20"/>
          <w:szCs w:val="20"/>
          <w:color w:val="auto"/>
        </w:rPr>
      </w:pPr>
    </w:p>
    <w:p>
      <w:pPr>
        <w:ind w:right="320" w:firstLine="483"/>
        <w:spacing w:after="0" w:line="298" w:lineRule="auto"/>
        <w:rPr>
          <w:sz w:val="20"/>
          <w:szCs w:val="20"/>
          <w:color w:val="auto"/>
        </w:rPr>
      </w:pPr>
      <w:r>
        <w:rPr>
          <w:rFonts w:ascii="Times New Roman" w:cs="Times New Roman" w:eastAsia="Times New Roman" w:hAnsi="Times New Roman"/>
          <w:sz w:val="18"/>
          <w:szCs w:val="18"/>
          <w:color w:val="auto"/>
        </w:rPr>
        <w:t>The Company measures its financial instruments at fair value each reporting period using a fair value hierarchy that prioritizes the use of observable inputs and minimizes the use of unobservable inputs. A financial instrument’s classification within the fair value hierarchy is based upon the lowest level of input that is significant to the fair value measurement.</w:t>
      </w:r>
    </w:p>
    <w:p>
      <w:pPr>
        <w:spacing w:after="0" w:line="165" w:lineRule="exact"/>
        <w:rPr>
          <w:sz w:val="20"/>
          <w:szCs w:val="20"/>
          <w:color w:val="auto"/>
        </w:rPr>
      </w:pPr>
    </w:p>
    <w:p>
      <w:pPr>
        <w:ind w:right="140" w:firstLine="483"/>
        <w:spacing w:after="0" w:line="269" w:lineRule="auto"/>
        <w:rPr>
          <w:sz w:val="20"/>
          <w:szCs w:val="20"/>
          <w:color w:val="auto"/>
        </w:rPr>
      </w:pPr>
      <w:r>
        <w:rPr>
          <w:rFonts w:ascii="Times New Roman" w:cs="Times New Roman" w:eastAsia="Times New Roman" w:hAnsi="Times New Roman"/>
          <w:sz w:val="20"/>
          <w:szCs w:val="20"/>
          <w:color w:val="auto"/>
        </w:rPr>
        <w:t>The following table presents information about the Company’s financial instruments that are measured at fair value on a recurring basis using the input categories discussed in Note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04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8"/>
        </w:trPr>
        <w:tc>
          <w:tcPr>
            <w:tcW w:w="3040" w:type="dxa"/>
            <w:vAlign w:val="bottom"/>
            <w:tcBorders>
              <w:bottom w:val="single" w:sz="8" w:color="E6E6E6"/>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Borders>
              <w:bottom w:val="single" w:sz="8" w:color="E6E6E6"/>
            </w:tcBorders>
          </w:tcPr>
          <w:p>
            <w:pPr>
              <w:spacing w:after="0"/>
              <w:rPr>
                <w:sz w:val="22"/>
                <w:szCs w:val="22"/>
                <w:color w:val="auto"/>
              </w:rPr>
            </w:pPr>
          </w:p>
        </w:tc>
      </w:tr>
      <w:tr>
        <w:trPr>
          <w:trHeight w:val="268"/>
        </w:trPr>
        <w:tc>
          <w:tcPr>
            <w:tcW w:w="30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Cash equivalents</w:t>
            </w:r>
          </w:p>
        </w:tc>
        <w:tc>
          <w:tcPr>
            <w:tcW w:w="1160" w:type="dxa"/>
            <w:vAlign w:val="bottom"/>
            <w:shd w:val="clear" w:color="auto" w:fill="E6E6E6"/>
          </w:tcPr>
          <w:p>
            <w:pPr>
              <w:spacing w:after="0"/>
              <w:rPr>
                <w:sz w:val="23"/>
                <w:szCs w:val="23"/>
                <w:color w:val="auto"/>
              </w:rPr>
            </w:pPr>
          </w:p>
        </w:tc>
        <w:tc>
          <w:tcPr>
            <w:tcW w:w="5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5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28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13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68"/>
        </w:trPr>
        <w:tc>
          <w:tcPr>
            <w:tcW w:w="304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Money market funds</w:t>
            </w:r>
          </w:p>
        </w:tc>
        <w:tc>
          <w:tcPr>
            <w:tcW w:w="1160" w:type="dxa"/>
            <w:vAlign w:val="bottom"/>
            <w:tcBorders>
              <w:bottom w:val="single" w:sz="8" w:color="auto"/>
            </w:tcBorders>
          </w:tcPr>
          <w:p>
            <w:pPr>
              <w:jc w:val="right"/>
              <w:ind w:right="90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764.8</w:t>
            </w:r>
          </w:p>
        </w:tc>
        <w:tc>
          <w:tcPr>
            <w:tcW w:w="80" w:type="dxa"/>
            <w:vAlign w:val="bottom"/>
            <w:tcBorders>
              <w:bottom w:val="single" w:sz="8" w:color="E6E6E6"/>
            </w:tcBorders>
          </w:tcPr>
          <w:p>
            <w:pPr>
              <w:spacing w:after="0"/>
              <w:rPr>
                <w:sz w:val="23"/>
                <w:szCs w:val="23"/>
                <w:color w:val="auto"/>
              </w:rPr>
            </w:pPr>
          </w:p>
        </w:tc>
        <w:tc>
          <w:tcPr>
            <w:tcW w:w="1160" w:type="dxa"/>
            <w:vAlign w:val="bottom"/>
            <w:tcBorders>
              <w:bottom w:val="single" w:sz="8" w:color="auto"/>
            </w:tcBorders>
            <w:gridSpan w:val="2"/>
          </w:tcPr>
          <w:p>
            <w:pPr>
              <w:jc w:val="right"/>
              <w:ind w:right="90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128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764.8</w:t>
            </w:r>
          </w:p>
        </w:tc>
        <w:tc>
          <w:tcPr>
            <w:tcW w:w="20" w:type="dxa"/>
            <w:vAlign w:val="bottom"/>
            <w:tcBorders>
              <w:bottom w:val="single" w:sz="8" w:color="E6E6E6"/>
            </w:tcBorders>
          </w:tcPr>
          <w:p>
            <w:pPr>
              <w:spacing w:after="0"/>
              <w:rPr>
                <w:sz w:val="23"/>
                <w:szCs w:val="23"/>
                <w:color w:val="auto"/>
              </w:rPr>
            </w:pPr>
          </w:p>
        </w:tc>
      </w:tr>
      <w:tr>
        <w:trPr>
          <w:trHeight w:val="277"/>
        </w:trPr>
        <w:tc>
          <w:tcPr>
            <w:tcW w:w="30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cash equivalents</w:t>
            </w:r>
          </w:p>
        </w:tc>
        <w:tc>
          <w:tcPr>
            <w:tcW w:w="1160" w:type="dxa"/>
            <w:vAlign w:val="bottom"/>
            <w:shd w:val="clear" w:color="auto" w:fill="E6E6E6"/>
          </w:tcPr>
          <w:p>
            <w:pPr>
              <w:jc w:val="right"/>
              <w:ind w:right="90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3"/>
              </w:rPr>
              <w:t>764.8</w:t>
            </w:r>
          </w:p>
        </w:tc>
        <w:tc>
          <w:tcPr>
            <w:tcW w:w="1240" w:type="dxa"/>
            <w:vAlign w:val="bottom"/>
            <w:gridSpan w:val="3"/>
            <w:shd w:val="clear" w:color="auto" w:fill="E6E6E6"/>
          </w:tcPr>
          <w:p>
            <w:pPr>
              <w:jc w:val="right"/>
              <w:ind w:right="90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shd w:val="clear" w:color="auto" w:fill="E6E6E6"/>
          </w:tcPr>
          <w:p>
            <w:pPr>
              <w:jc w:val="right"/>
              <w:ind w:right="104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shd w:val="clear" w:color="auto" w:fill="E6E6E6"/>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764.8</w:t>
            </w:r>
          </w:p>
        </w:tc>
        <w:tc>
          <w:tcPr>
            <w:tcW w:w="20" w:type="dxa"/>
            <w:vAlign w:val="bottom"/>
            <w:shd w:val="clear" w:color="auto" w:fill="E6E6E6"/>
          </w:tcPr>
          <w:p>
            <w:pPr>
              <w:spacing w:after="0"/>
              <w:rPr>
                <w:sz w:val="24"/>
                <w:szCs w:val="24"/>
                <w:color w:val="auto"/>
              </w:rPr>
            </w:pPr>
          </w:p>
        </w:tc>
      </w:tr>
      <w:tr>
        <w:trPr>
          <w:trHeight w:val="242"/>
        </w:trPr>
        <w:tc>
          <w:tcPr>
            <w:tcW w:w="3040" w:type="dxa"/>
            <w:vAlign w:val="bottom"/>
            <w:tcBorders>
              <w:top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Short-term investments</w:t>
            </w:r>
          </w:p>
        </w:tc>
        <w:tc>
          <w:tcPr>
            <w:tcW w:w="1160" w:type="dxa"/>
            <w:vAlign w:val="bottom"/>
            <w:tcBorders>
              <w:top w:val="single" w:sz="8" w:color="E6E6E6"/>
            </w:tcBorders>
          </w:tcPr>
          <w:p>
            <w:pPr>
              <w:spacing w:after="0"/>
              <w:rPr>
                <w:sz w:val="21"/>
                <w:szCs w:val="21"/>
                <w:color w:val="auto"/>
              </w:rPr>
            </w:pPr>
          </w:p>
        </w:tc>
        <w:tc>
          <w:tcPr>
            <w:tcW w:w="520" w:type="dxa"/>
            <w:vAlign w:val="bottom"/>
            <w:tcBorders>
              <w:top w:val="single" w:sz="8" w:color="E6E6E6"/>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r>
      <w:tr>
        <w:trPr>
          <w:trHeight w:val="284"/>
        </w:trPr>
        <w:tc>
          <w:tcPr>
            <w:tcW w:w="30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Corporate notes and obligations</w:t>
            </w:r>
          </w:p>
        </w:tc>
        <w:tc>
          <w:tcPr>
            <w:tcW w:w="1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8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4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20" w:type="dxa"/>
            <w:vAlign w:val="bottom"/>
            <w:shd w:val="clear" w:color="auto" w:fill="E6E6E6"/>
          </w:tcPr>
          <w:p>
            <w:pPr>
              <w:spacing w:after="0"/>
              <w:rPr>
                <w:sz w:val="24"/>
                <w:szCs w:val="24"/>
                <w:color w:val="auto"/>
              </w:rPr>
            </w:pPr>
          </w:p>
        </w:tc>
      </w:tr>
      <w:tr>
        <w:trPr>
          <w:trHeight w:val="271"/>
        </w:trPr>
        <w:tc>
          <w:tcPr>
            <w:tcW w:w="3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Treasury securities</w:t>
            </w:r>
          </w:p>
        </w:tc>
        <w:tc>
          <w:tcPr>
            <w:tcW w:w="1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20" w:type="dxa"/>
            <w:vAlign w:val="bottom"/>
          </w:tcPr>
          <w:p>
            <w:pPr>
              <w:spacing w:after="0"/>
              <w:rPr>
                <w:sz w:val="23"/>
                <w:szCs w:val="23"/>
                <w:color w:val="auto"/>
              </w:rPr>
            </w:pPr>
          </w:p>
        </w:tc>
      </w:tr>
      <w:tr>
        <w:trPr>
          <w:trHeight w:val="284"/>
        </w:trPr>
        <w:tc>
          <w:tcPr>
            <w:tcW w:w="30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Municipal securities</w:t>
            </w:r>
          </w:p>
        </w:tc>
        <w:tc>
          <w:tcPr>
            <w:tcW w:w="1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4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0" w:type="dxa"/>
            <w:vAlign w:val="bottom"/>
            <w:shd w:val="clear" w:color="auto" w:fill="E6E6E6"/>
          </w:tcPr>
          <w:p>
            <w:pPr>
              <w:spacing w:after="0"/>
              <w:rPr>
                <w:sz w:val="24"/>
                <w:szCs w:val="24"/>
                <w:color w:val="auto"/>
              </w:rPr>
            </w:pPr>
          </w:p>
        </w:tc>
      </w:tr>
      <w:tr>
        <w:trPr>
          <w:trHeight w:val="271"/>
        </w:trPr>
        <w:tc>
          <w:tcPr>
            <w:tcW w:w="3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Asset backed securities</w:t>
            </w:r>
          </w:p>
        </w:tc>
        <w:tc>
          <w:tcPr>
            <w:tcW w:w="1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3"/>
                <w:szCs w:val="23"/>
                <w:color w:val="auto"/>
              </w:rPr>
            </w:pPr>
          </w:p>
        </w:tc>
      </w:tr>
      <w:tr>
        <w:trPr>
          <w:trHeight w:val="284"/>
        </w:trPr>
        <w:tc>
          <w:tcPr>
            <w:tcW w:w="30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U.S. agency obligations</w:t>
            </w:r>
          </w:p>
        </w:tc>
        <w:tc>
          <w:tcPr>
            <w:tcW w:w="1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4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0" w:type="dxa"/>
            <w:vAlign w:val="bottom"/>
            <w:shd w:val="clear" w:color="auto" w:fill="E6E6E6"/>
          </w:tcPr>
          <w:p>
            <w:pPr>
              <w:spacing w:after="0"/>
              <w:rPr>
                <w:sz w:val="24"/>
                <w:szCs w:val="24"/>
                <w:color w:val="auto"/>
              </w:rPr>
            </w:pPr>
          </w:p>
        </w:tc>
      </w:tr>
      <w:tr>
        <w:trPr>
          <w:trHeight w:val="268"/>
        </w:trPr>
        <w:tc>
          <w:tcPr>
            <w:tcW w:w="304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Supranational securities</w:t>
            </w:r>
          </w:p>
        </w:tc>
        <w:tc>
          <w:tcPr>
            <w:tcW w:w="1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Borders>
              <w:bottom w:val="single" w:sz="8" w:color="E6E6E6"/>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Borders>
              <w:bottom w:val="single" w:sz="8" w:color="E6E6E6"/>
            </w:tcBorders>
          </w:tcPr>
          <w:p>
            <w:pPr>
              <w:spacing w:after="0"/>
              <w:rPr>
                <w:sz w:val="23"/>
                <w:szCs w:val="23"/>
                <w:color w:val="auto"/>
              </w:rPr>
            </w:pPr>
          </w:p>
        </w:tc>
      </w:tr>
      <w:tr>
        <w:trPr>
          <w:trHeight w:val="277"/>
        </w:trPr>
        <w:tc>
          <w:tcPr>
            <w:tcW w:w="304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short-term investments</w:t>
            </w:r>
          </w:p>
        </w:tc>
        <w:tc>
          <w:tcPr>
            <w:tcW w:w="1160" w:type="dxa"/>
            <w:vAlign w:val="bottom"/>
            <w:tcBorders>
              <w:bottom w:val="single" w:sz="8" w:color="auto"/>
            </w:tcBorders>
            <w:shd w:val="clear" w:color="auto" w:fill="E6E6E6"/>
          </w:tcPr>
          <w:p>
            <w:pPr>
              <w:spacing w:after="0"/>
              <w:rPr>
                <w:sz w:val="24"/>
                <w:szCs w:val="24"/>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spacing w:after="0"/>
              <w:rPr>
                <w:sz w:val="24"/>
                <w:szCs w:val="24"/>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3"/>
              </w:rPr>
              <w:t>146.9</w:t>
            </w:r>
          </w:p>
        </w:tc>
        <w:tc>
          <w:tcPr>
            <w:tcW w:w="80" w:type="dxa"/>
            <w:vAlign w:val="bottom"/>
            <w:tcBorders>
              <w:bottom w:val="single" w:sz="8" w:color="E6E6E6"/>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146.9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0"/>
        </w:trPr>
        <w:tc>
          <w:tcPr>
            <w:tcW w:w="304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160" w:type="dxa"/>
            <w:vAlign w:val="bottom"/>
          </w:tcPr>
          <w:p>
            <w:pPr>
              <w:jc w:val="right"/>
              <w:ind w:right="902"/>
              <w:spacing w:after="0" w:line="220"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3"/>
              </w:rPr>
              <w:t>764.8</w:t>
            </w:r>
          </w:p>
        </w:tc>
        <w:tc>
          <w:tcPr>
            <w:tcW w:w="1240" w:type="dxa"/>
            <w:vAlign w:val="bottom"/>
            <w:tcBorders>
              <w:bottom w:val="single" w:sz="8" w:color="auto"/>
            </w:tcBorders>
            <w:gridSpan w:val="3"/>
          </w:tcPr>
          <w:p>
            <w:pPr>
              <w:jc w:val="right"/>
              <w:ind w:right="902"/>
              <w:spacing w:after="0" w:line="220"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3"/>
              </w:rPr>
              <w:t>146.9</w:t>
            </w:r>
          </w:p>
        </w:tc>
        <w:tc>
          <w:tcPr>
            <w:tcW w:w="80" w:type="dxa"/>
            <w:vAlign w:val="bottom"/>
          </w:tcPr>
          <w:p>
            <w:pPr>
              <w:spacing w:after="0"/>
              <w:rPr>
                <w:sz w:val="22"/>
                <w:szCs w:val="22"/>
                <w:color w:val="auto"/>
              </w:rPr>
            </w:pPr>
          </w:p>
        </w:tc>
        <w:tc>
          <w:tcPr>
            <w:tcW w:w="1280" w:type="dxa"/>
            <w:vAlign w:val="bottom"/>
            <w:tcBorders>
              <w:bottom w:val="single" w:sz="8" w:color="auto"/>
            </w:tcBorders>
          </w:tcPr>
          <w:p>
            <w:pPr>
              <w:jc w:val="right"/>
              <w:ind w:right="1042"/>
              <w:spacing w:after="0" w:line="220"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42"/>
              <w:spacing w:after="0" w:line="220"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911.7</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-2160270</wp:posOffset>
            </wp:positionV>
            <wp:extent cx="4461510" cy="4953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147">
                      <a:extLst>
                        <a:ext uri="{28A0092B-C50C-407E-A947-70E740481C1C}"/>
                      </a:extLst>
                    </a:blip>
                    <a:srcRect/>
                    <a:stretch>
                      <a:fillRect/>
                    </a:stretch>
                  </pic:blipFill>
                  <pic:spPr bwMode="auto">
                    <a:xfrm>
                      <a:off x="0" y="0"/>
                      <a:ext cx="4461510" cy="4953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-1807210</wp:posOffset>
            </wp:positionV>
            <wp:extent cx="4461510" cy="4953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148">
                      <a:extLst>
                        <a:ext uri="{28A0092B-C50C-407E-A947-70E740481C1C}"/>
                      </a:extLst>
                    </a:blip>
                    <a:srcRect/>
                    <a:stretch>
                      <a:fillRect/>
                    </a:stretch>
                  </pic:blipFill>
                  <pic:spPr bwMode="auto">
                    <a:xfrm>
                      <a:off x="0" y="0"/>
                      <a:ext cx="4461510" cy="4953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-1649730</wp:posOffset>
            </wp:positionV>
            <wp:extent cx="4461510" cy="8636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149">
                      <a:extLst>
                        <a:ext uri="{28A0092B-C50C-407E-A947-70E740481C1C}"/>
                      </a:extLst>
                    </a:blip>
                    <a:srcRect/>
                    <a:stretch>
                      <a:fillRect/>
                    </a:stretch>
                  </pic:blipFill>
                  <pic:spPr bwMode="auto">
                    <a:xfrm>
                      <a:off x="0" y="0"/>
                      <a:ext cx="4461510" cy="8636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-395605</wp:posOffset>
            </wp:positionV>
            <wp:extent cx="4461510" cy="4953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50">
                      <a:extLst>
                        <a:ext uri="{28A0092B-C50C-407E-A947-70E740481C1C}"/>
                      </a:extLst>
                    </a:blip>
                    <a:srcRect/>
                    <a:stretch>
                      <a:fillRect/>
                    </a:stretch>
                  </pic:blipFill>
                  <pic:spPr bwMode="auto">
                    <a:xfrm>
                      <a:off x="0" y="0"/>
                      <a:ext cx="4461510" cy="4953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-219075</wp:posOffset>
            </wp:positionV>
            <wp:extent cx="4461510" cy="495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151">
                      <a:extLst>
                        <a:ext uri="{28A0092B-C50C-407E-A947-70E740481C1C}"/>
                      </a:extLst>
                    </a:blip>
                    <a:srcRect/>
                    <a:stretch>
                      <a:fillRect/>
                    </a:stretch>
                  </pic:blipFill>
                  <pic:spPr bwMode="auto">
                    <a:xfrm>
                      <a:off x="0" y="0"/>
                      <a:ext cx="4461510" cy="4953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-61595</wp:posOffset>
            </wp:positionV>
            <wp:extent cx="4461510" cy="869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152">
                      <a:extLst>
                        <a:ext uri="{28A0092B-C50C-407E-A947-70E740481C1C}"/>
                      </a:extLst>
                    </a:blip>
                    <a:srcRect/>
                    <a:stretch>
                      <a:fillRect/>
                    </a:stretch>
                  </pic:blipFill>
                  <pic:spPr bwMode="auto">
                    <a:xfrm>
                      <a:off x="0" y="0"/>
                      <a:ext cx="4461510" cy="869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8"/>
        </w:trPr>
        <w:tc>
          <w:tcPr>
            <w:tcW w:w="30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Borders>
              <w:bottom w:val="single" w:sz="8" w:color="E6E6E6"/>
            </w:tcBorders>
          </w:tcPr>
          <w:p>
            <w:pPr>
              <w:spacing w:after="0"/>
              <w:rPr>
                <w:sz w:val="22"/>
                <w:szCs w:val="22"/>
                <w:color w:val="auto"/>
              </w:rPr>
            </w:pPr>
          </w:p>
        </w:tc>
      </w:tr>
      <w:tr>
        <w:trPr>
          <w:trHeight w:val="268"/>
        </w:trPr>
        <w:tc>
          <w:tcPr>
            <w:tcW w:w="30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Cash equivalents</w:t>
            </w:r>
          </w:p>
        </w:tc>
        <w:tc>
          <w:tcPr>
            <w:tcW w:w="360" w:type="dxa"/>
            <w:vAlign w:val="bottom"/>
            <w:shd w:val="clear" w:color="auto" w:fill="E6E6E6"/>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28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13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68"/>
        </w:trPr>
        <w:tc>
          <w:tcPr>
            <w:tcW w:w="304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Money market funds</w:t>
            </w:r>
          </w:p>
        </w:tc>
        <w:tc>
          <w:tcPr>
            <w:tcW w:w="3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1,230.0</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128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1,230.0</w:t>
            </w:r>
          </w:p>
        </w:tc>
        <w:tc>
          <w:tcPr>
            <w:tcW w:w="20" w:type="dxa"/>
            <w:vAlign w:val="bottom"/>
            <w:tcBorders>
              <w:bottom w:val="single" w:sz="8" w:color="E6E6E6"/>
            </w:tcBorders>
          </w:tcPr>
          <w:p>
            <w:pPr>
              <w:spacing w:after="0"/>
              <w:rPr>
                <w:sz w:val="23"/>
                <w:szCs w:val="23"/>
                <w:color w:val="auto"/>
              </w:rPr>
            </w:pPr>
          </w:p>
        </w:tc>
      </w:tr>
      <w:tr>
        <w:trPr>
          <w:trHeight w:val="277"/>
        </w:trPr>
        <w:tc>
          <w:tcPr>
            <w:tcW w:w="30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cash equivalents</w:t>
            </w:r>
          </w:p>
        </w:tc>
        <w:tc>
          <w:tcPr>
            <w:tcW w:w="360" w:type="dxa"/>
            <w:vAlign w:val="bottom"/>
            <w:shd w:val="clear" w:color="auto" w:fill="E6E6E6"/>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1,230.0</w:t>
            </w:r>
          </w:p>
        </w:tc>
        <w:tc>
          <w:tcPr>
            <w:tcW w:w="420" w:type="dxa"/>
            <w:vAlign w:val="bottom"/>
            <w:gridSpan w:val="2"/>
            <w:shd w:val="clear" w:color="auto" w:fill="E6E6E6"/>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shd w:val="clear" w:color="auto" w:fill="E6E6E6"/>
          </w:tcPr>
          <w:p>
            <w:pPr>
              <w:jc w:val="right"/>
              <w:ind w:right="104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shd w:val="clear" w:color="auto" w:fill="E6E6E6"/>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1,230.0</w:t>
            </w:r>
          </w:p>
        </w:tc>
        <w:tc>
          <w:tcPr>
            <w:tcW w:w="20" w:type="dxa"/>
            <w:vAlign w:val="bottom"/>
            <w:shd w:val="clear" w:color="auto" w:fill="E6E6E6"/>
          </w:tcPr>
          <w:p>
            <w:pPr>
              <w:spacing w:after="0"/>
              <w:rPr>
                <w:sz w:val="24"/>
                <w:szCs w:val="24"/>
                <w:color w:val="auto"/>
              </w:rPr>
            </w:pPr>
          </w:p>
        </w:tc>
      </w:tr>
      <w:tr>
        <w:trPr>
          <w:trHeight w:val="242"/>
        </w:trPr>
        <w:tc>
          <w:tcPr>
            <w:tcW w:w="3040" w:type="dxa"/>
            <w:vAlign w:val="bottom"/>
            <w:tcBorders>
              <w:top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Short-term investments</w:t>
            </w:r>
          </w:p>
        </w:tc>
        <w:tc>
          <w:tcPr>
            <w:tcW w:w="360" w:type="dxa"/>
            <w:vAlign w:val="bottom"/>
            <w:tcBorders>
              <w:top w:val="single" w:sz="8" w:color="E6E6E6"/>
            </w:tcBorders>
          </w:tcPr>
          <w:p>
            <w:pPr>
              <w:spacing w:after="0"/>
              <w:rPr>
                <w:sz w:val="21"/>
                <w:szCs w:val="21"/>
                <w:color w:val="auto"/>
              </w:rPr>
            </w:pPr>
          </w:p>
        </w:tc>
        <w:tc>
          <w:tcPr>
            <w:tcW w:w="1320" w:type="dxa"/>
            <w:vAlign w:val="bottom"/>
            <w:tcBorders>
              <w:top w:val="single" w:sz="8" w:color="E6E6E6"/>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r>
      <w:tr>
        <w:trPr>
          <w:trHeight w:val="284"/>
        </w:trPr>
        <w:tc>
          <w:tcPr>
            <w:tcW w:w="30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Corporate notes and obligations</w:t>
            </w:r>
          </w:p>
        </w:tc>
        <w:tc>
          <w:tcPr>
            <w:tcW w:w="36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8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4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20" w:type="dxa"/>
            <w:vAlign w:val="bottom"/>
            <w:shd w:val="clear" w:color="auto" w:fill="E6E6E6"/>
          </w:tcPr>
          <w:p>
            <w:pPr>
              <w:spacing w:after="0"/>
              <w:rPr>
                <w:sz w:val="24"/>
                <w:szCs w:val="24"/>
                <w:color w:val="auto"/>
              </w:rPr>
            </w:pPr>
          </w:p>
        </w:tc>
      </w:tr>
      <w:tr>
        <w:trPr>
          <w:trHeight w:val="271"/>
        </w:trPr>
        <w:tc>
          <w:tcPr>
            <w:tcW w:w="3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Treasury securities</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20" w:type="dxa"/>
            <w:vAlign w:val="bottom"/>
          </w:tcPr>
          <w:p>
            <w:pPr>
              <w:spacing w:after="0"/>
              <w:rPr>
                <w:sz w:val="23"/>
                <w:szCs w:val="23"/>
                <w:color w:val="auto"/>
              </w:rPr>
            </w:pPr>
          </w:p>
        </w:tc>
      </w:tr>
      <w:tr>
        <w:trPr>
          <w:trHeight w:val="284"/>
        </w:trPr>
        <w:tc>
          <w:tcPr>
            <w:tcW w:w="30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Municipal securities</w:t>
            </w:r>
          </w:p>
        </w:tc>
        <w:tc>
          <w:tcPr>
            <w:tcW w:w="36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8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4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20" w:type="dxa"/>
            <w:vAlign w:val="bottom"/>
            <w:shd w:val="clear" w:color="auto" w:fill="E6E6E6"/>
          </w:tcPr>
          <w:p>
            <w:pPr>
              <w:spacing w:after="0"/>
              <w:rPr>
                <w:sz w:val="24"/>
                <w:szCs w:val="24"/>
                <w:color w:val="auto"/>
              </w:rPr>
            </w:pPr>
          </w:p>
        </w:tc>
      </w:tr>
      <w:tr>
        <w:trPr>
          <w:trHeight w:val="271"/>
        </w:trPr>
        <w:tc>
          <w:tcPr>
            <w:tcW w:w="3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Asset backed securities</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0" w:type="dxa"/>
            <w:vAlign w:val="bottom"/>
          </w:tcPr>
          <w:p>
            <w:pPr>
              <w:spacing w:after="0"/>
              <w:rPr>
                <w:sz w:val="23"/>
                <w:szCs w:val="23"/>
                <w:color w:val="auto"/>
              </w:rPr>
            </w:pPr>
          </w:p>
        </w:tc>
      </w:tr>
      <w:tr>
        <w:trPr>
          <w:trHeight w:val="284"/>
        </w:trPr>
        <w:tc>
          <w:tcPr>
            <w:tcW w:w="30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U.S. agency obligations</w:t>
            </w:r>
          </w:p>
        </w:tc>
        <w:tc>
          <w:tcPr>
            <w:tcW w:w="36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4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 w:type="dxa"/>
            <w:vAlign w:val="bottom"/>
            <w:shd w:val="clear" w:color="auto" w:fill="E6E6E6"/>
          </w:tcPr>
          <w:p>
            <w:pPr>
              <w:spacing w:after="0"/>
              <w:rPr>
                <w:sz w:val="24"/>
                <w:szCs w:val="24"/>
                <w:color w:val="auto"/>
              </w:rPr>
            </w:pPr>
          </w:p>
        </w:tc>
      </w:tr>
      <w:tr>
        <w:trPr>
          <w:trHeight w:val="268"/>
        </w:trPr>
        <w:tc>
          <w:tcPr>
            <w:tcW w:w="304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Supranational securities</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Borders>
              <w:bottom w:val="single" w:sz="8" w:color="E6E6E6"/>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Borders>
              <w:bottom w:val="single" w:sz="8" w:color="E6E6E6"/>
            </w:tcBorders>
          </w:tcPr>
          <w:p>
            <w:pPr>
              <w:spacing w:after="0"/>
              <w:rPr>
                <w:sz w:val="23"/>
                <w:szCs w:val="23"/>
                <w:color w:val="auto"/>
              </w:rPr>
            </w:pPr>
          </w:p>
        </w:tc>
      </w:tr>
      <w:tr>
        <w:trPr>
          <w:trHeight w:val="287"/>
        </w:trPr>
        <w:tc>
          <w:tcPr>
            <w:tcW w:w="304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short-term investments</w:t>
            </w:r>
          </w:p>
        </w:tc>
        <w:tc>
          <w:tcPr>
            <w:tcW w:w="36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265.9</w:t>
            </w:r>
          </w:p>
        </w:tc>
        <w:tc>
          <w:tcPr>
            <w:tcW w:w="80" w:type="dxa"/>
            <w:vAlign w:val="bottom"/>
            <w:tcBorders>
              <w:bottom w:val="single" w:sz="8" w:color="E6E6E6"/>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265.9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07"/>
        </w:trPr>
        <w:tc>
          <w:tcPr>
            <w:tcW w:w="3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1,230.0</w:t>
            </w:r>
          </w:p>
        </w:tc>
        <w:tc>
          <w:tcPr>
            <w:tcW w:w="4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265.9</w:t>
            </w:r>
          </w:p>
        </w:tc>
        <w:tc>
          <w:tcPr>
            <w:tcW w:w="80" w:type="dxa"/>
            <w:vAlign w:val="bottom"/>
          </w:tcPr>
          <w:p>
            <w:pPr>
              <w:spacing w:after="0"/>
              <w:rPr>
                <w:sz w:val="24"/>
                <w:szCs w:val="24"/>
                <w:color w:val="auto"/>
              </w:rPr>
            </w:pPr>
          </w:p>
        </w:tc>
        <w:tc>
          <w:tcPr>
            <w:tcW w:w="128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1,495.9</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-2197735</wp:posOffset>
            </wp:positionV>
            <wp:extent cx="4461510" cy="4953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153">
                      <a:extLst>
                        <a:ext uri="{28A0092B-C50C-407E-A947-70E740481C1C}"/>
                      </a:extLst>
                    </a:blip>
                    <a:srcRect/>
                    <a:stretch>
                      <a:fillRect/>
                    </a:stretch>
                  </pic:blipFill>
                  <pic:spPr bwMode="auto">
                    <a:xfrm>
                      <a:off x="0" y="0"/>
                      <a:ext cx="4461510" cy="4953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-1844675</wp:posOffset>
            </wp:positionV>
            <wp:extent cx="4461510" cy="4953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154">
                      <a:extLst>
                        <a:ext uri="{28A0092B-C50C-407E-A947-70E740481C1C}"/>
                      </a:extLst>
                    </a:blip>
                    <a:srcRect/>
                    <a:stretch>
                      <a:fillRect/>
                    </a:stretch>
                  </pic:blipFill>
                  <pic:spPr bwMode="auto">
                    <a:xfrm>
                      <a:off x="0" y="0"/>
                      <a:ext cx="4461510" cy="4953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-1686560</wp:posOffset>
            </wp:positionV>
            <wp:extent cx="4461510" cy="8699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155">
                      <a:extLst>
                        <a:ext uri="{28A0092B-C50C-407E-A947-70E740481C1C}"/>
                      </a:extLst>
                    </a:blip>
                    <a:srcRect/>
                    <a:stretch>
                      <a:fillRect/>
                    </a:stretch>
                  </pic:blipFill>
                  <pic:spPr bwMode="auto">
                    <a:xfrm>
                      <a:off x="0" y="0"/>
                      <a:ext cx="4461510" cy="86995"/>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-433070</wp:posOffset>
            </wp:positionV>
            <wp:extent cx="4461510" cy="495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156">
                      <a:extLst>
                        <a:ext uri="{28A0092B-C50C-407E-A947-70E740481C1C}"/>
                      </a:extLst>
                    </a:blip>
                    <a:srcRect/>
                    <a:stretch>
                      <a:fillRect/>
                    </a:stretch>
                  </pic:blipFill>
                  <pic:spPr bwMode="auto">
                    <a:xfrm>
                      <a:off x="0" y="0"/>
                      <a:ext cx="4461510" cy="4953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-237490</wp:posOffset>
            </wp:positionV>
            <wp:extent cx="4461510" cy="4953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57">
                      <a:extLst>
                        <a:ext uri="{28A0092B-C50C-407E-A947-70E740481C1C}"/>
                      </a:extLst>
                    </a:blip>
                    <a:srcRect/>
                    <a:stretch>
                      <a:fillRect/>
                    </a:stretch>
                  </pic:blipFill>
                  <pic:spPr bwMode="auto">
                    <a:xfrm>
                      <a:off x="0" y="0"/>
                      <a:ext cx="4461510" cy="4953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-60960</wp:posOffset>
            </wp:positionV>
            <wp:extent cx="4461510" cy="8699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58">
                      <a:extLst>
                        <a:ext uri="{28A0092B-C50C-407E-A947-70E740481C1C}"/>
                      </a:extLst>
                    </a:blip>
                    <a:srcRect/>
                    <a:stretch>
                      <a:fillRect/>
                    </a:stretch>
                  </pic:blipFill>
                  <pic:spPr bwMode="auto">
                    <a:xfrm>
                      <a:off x="0" y="0"/>
                      <a:ext cx="4461510" cy="86995"/>
                    </a:xfrm>
                    <a:prstGeom prst="rect">
                      <a:avLst/>
                    </a:prstGeom>
                    <a:noFill/>
                  </pic:spPr>
                </pic:pic>
              </a:graphicData>
            </a:graphic>
          </wp:anchor>
        </w:drawing>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had no transfers between levels of the fair value hierarchy during the periods presented.</w:t>
      </w:r>
    </w:p>
    <w:p>
      <w:pPr>
        <w:spacing w:after="0" w:line="238" w:lineRule="exact"/>
        <w:rPr>
          <w:sz w:val="20"/>
          <w:szCs w:val="20"/>
          <w:color w:val="auto"/>
        </w:rPr>
      </w:pPr>
    </w:p>
    <w:p>
      <w:pPr>
        <w:ind w:right="180" w:firstLine="439"/>
        <w:spacing w:after="0" w:line="256" w:lineRule="auto"/>
        <w:rPr>
          <w:sz w:val="20"/>
          <w:szCs w:val="20"/>
          <w:color w:val="auto"/>
        </w:rPr>
      </w:pPr>
      <w:r>
        <w:rPr>
          <w:rFonts w:ascii="Times New Roman" w:cs="Times New Roman" w:eastAsia="Times New Roman" w:hAnsi="Times New Roman"/>
          <w:sz w:val="20"/>
          <w:szCs w:val="20"/>
          <w:color w:val="auto"/>
        </w:rPr>
        <w:t>The carrying amounts of certain financial instruments, including cash and restricted cash held at banks, accounts receivable and accounts payable approximate fair value due to their short-term maturities and are excluded from the fair value table above.</w:t>
      </w:r>
    </w:p>
    <w:p>
      <w:pPr>
        <w:spacing w:after="0" w:line="200" w:lineRule="exact"/>
        <w:rPr>
          <w:sz w:val="20"/>
          <w:szCs w:val="20"/>
          <w:color w:val="auto"/>
        </w:rPr>
      </w:pPr>
    </w:p>
    <w:p>
      <w:pPr>
        <w:ind w:right="240" w:firstLine="483"/>
        <w:spacing w:after="0" w:line="326" w:lineRule="auto"/>
        <w:rPr>
          <w:sz w:val="20"/>
          <w:szCs w:val="20"/>
          <w:color w:val="auto"/>
        </w:rPr>
      </w:pPr>
      <w:r>
        <w:rPr>
          <w:rFonts w:ascii="Times New Roman" w:cs="Times New Roman" w:eastAsia="Times New Roman" w:hAnsi="Times New Roman"/>
          <w:sz w:val="18"/>
          <w:szCs w:val="18"/>
          <w:color w:val="auto"/>
        </w:rPr>
        <w:t>The Company had $695.8 million in aggregate principal amount of 0% convertible senior notes due in 2026 (the "2026 Notes"), and $693.3 million in aggregate principal amount of 0% convertible senior notes due in 2028 (the "2028 Notes" and</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000"/>
          </w:cols>
          <w:pgMar w:left="940" w:top="352" w:right="940" w:bottom="0" w:gutter="0" w:footer="0" w:header="0"/>
          <w:type w:val="continuous"/>
        </w:sectPr>
      </w:pPr>
    </w:p>
    <w:bookmarkStart w:id="190" w:name="page191"/>
    <w:bookmarkEnd w:id="190"/>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together with the 2026 Notes, the "Notes"), outstanding as of December 31, 2025. Refer to Note 8 "Debt" for additional information.</w:t>
      </w:r>
    </w:p>
    <w:p>
      <w:pPr>
        <w:spacing w:after="0" w:line="187" w:lineRule="exact"/>
        <w:rPr>
          <w:sz w:val="20"/>
          <w:szCs w:val="20"/>
          <w:color w:val="auto"/>
        </w:rPr>
      </w:pPr>
    </w:p>
    <w:p>
      <w:pPr>
        <w:ind w:firstLine="483"/>
        <w:spacing w:after="0" w:line="252" w:lineRule="auto"/>
        <w:rPr>
          <w:sz w:val="20"/>
          <w:szCs w:val="20"/>
          <w:color w:val="auto"/>
        </w:rPr>
      </w:pPr>
      <w:r>
        <w:rPr>
          <w:rFonts w:ascii="Times New Roman" w:cs="Times New Roman" w:eastAsia="Times New Roman" w:hAnsi="Times New Roman"/>
          <w:sz w:val="20"/>
          <w:szCs w:val="20"/>
          <w:color w:val="auto"/>
        </w:rPr>
        <w:t>The estimated fair value of the 2026 Notes and the 2028 Notes, based on a market approach as of December 31, 2025 was approximately $699.3 million and $701.6 million, respectively. The Notes were categorized as Level 2 instruments as the estimated fair value was determined based on the trading activity of the Notes in an over-the-counter market on the last business day of the period.</w:t>
      </w:r>
    </w:p>
    <w:p>
      <w:pPr>
        <w:spacing w:after="0" w:line="204" w:lineRule="exact"/>
        <w:rPr>
          <w:sz w:val="20"/>
          <w:szCs w:val="20"/>
          <w:color w:val="auto"/>
        </w:rPr>
      </w:pPr>
    </w:p>
    <w:p>
      <w:pPr>
        <w:ind w:right="220" w:firstLine="483"/>
        <w:spacing w:after="0" w:line="250" w:lineRule="auto"/>
        <w:rPr>
          <w:sz w:val="20"/>
          <w:szCs w:val="20"/>
          <w:color w:val="auto"/>
        </w:rPr>
      </w:pPr>
      <w:r>
        <w:rPr>
          <w:rFonts w:ascii="Times New Roman" w:cs="Times New Roman" w:eastAsia="Times New Roman" w:hAnsi="Times New Roman"/>
          <w:sz w:val="20"/>
          <w:szCs w:val="20"/>
          <w:color w:val="auto"/>
        </w:rPr>
        <w:t>The Company had $1,488.3 million of term loans outstanding with a carrying value of $1,448.7 million as of December 31, 2025. Refer to Note 8 "Debt" for additional information. As of December 31, 2025, the fair value of the term loans approximated the carrying value as of such date. The term loans are categorized as Level 2 instruments as the estimated fair value was determined based on the borrowing rates currently available to the Company for bank loans with similar terms and maturities.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 4. Property and Equipment, Net</w:t>
            </w: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471"/>
        </w:trPr>
        <w:tc>
          <w:tcPr>
            <w:tcW w:w="20" w:type="dxa"/>
            <w:vAlign w:val="bottom"/>
          </w:tcPr>
          <w:p>
            <w:pPr>
              <w:spacing w:after="0"/>
              <w:rPr>
                <w:sz w:val="24"/>
                <w:szCs w:val="24"/>
                <w:color w:val="auto"/>
              </w:rPr>
            </w:pPr>
          </w:p>
        </w:tc>
        <w:tc>
          <w:tcPr>
            <w:tcW w:w="60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43"/>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As of December 31,</w:t>
            </w:r>
          </w:p>
        </w:tc>
        <w:tc>
          <w:tcPr>
            <w:tcW w:w="1160" w:type="dxa"/>
            <w:vAlign w:val="bottom"/>
            <w:tcBorders>
              <w:bottom w:val="single" w:sz="8" w:color="auto"/>
            </w:tcBorders>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6040" w:type="dxa"/>
            <w:vAlign w:val="bottom"/>
            <w:tcBorders>
              <w:bottom w:val="single" w:sz="8" w:color="E6E6E6"/>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20"/>
                <w:szCs w:val="20"/>
                <w:b w:val="1"/>
                <w:bCs w:val="1"/>
                <w:color w:val="auto"/>
                <w:w w:val="94"/>
              </w:rPr>
              <w:t>2024</w:t>
            </w:r>
          </w:p>
        </w:tc>
      </w:tr>
      <w:tr>
        <w:trPr>
          <w:trHeight w:val="282"/>
        </w:trPr>
        <w:tc>
          <w:tcPr>
            <w:tcW w:w="20" w:type="dxa"/>
            <w:vAlign w:val="bottom"/>
          </w:tcPr>
          <w:p>
            <w:pPr>
              <w:spacing w:after="0"/>
              <w:rPr>
                <w:sz w:val="24"/>
                <w:szCs w:val="24"/>
                <w:color w:val="auto"/>
              </w:rPr>
            </w:pPr>
          </w:p>
        </w:tc>
        <w:tc>
          <w:tcPr>
            <w:tcW w:w="60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Datacenter and other computer equipment</w:t>
            </w:r>
          </w:p>
        </w:tc>
        <w:tc>
          <w:tcPr>
            <w:tcW w:w="1160" w:type="dxa"/>
            <w:vAlign w:val="bottom"/>
            <w:shd w:val="clear" w:color="auto" w:fill="E6E6E6"/>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823.5</w:t>
            </w:r>
          </w:p>
        </w:tc>
        <w:tc>
          <w:tcPr>
            <w:tcW w:w="840" w:type="dxa"/>
            <w:vAlign w:val="bottom"/>
            <w:gridSpan w:val="2"/>
            <w:shd w:val="clear" w:color="auto" w:fill="E6E6E6"/>
          </w:tcPr>
          <w:p>
            <w:pPr>
              <w:jc w:val="right"/>
              <w:ind w:right="52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830.2</w:t>
            </w:r>
          </w:p>
        </w:tc>
      </w:tr>
      <w:tr>
        <w:trPr>
          <w:trHeight w:val="286"/>
        </w:trPr>
        <w:tc>
          <w:tcPr>
            <w:tcW w:w="20" w:type="dxa"/>
            <w:vAlign w:val="bottom"/>
          </w:tcPr>
          <w:p>
            <w:pPr>
              <w:spacing w:after="0"/>
              <w:rPr>
                <w:sz w:val="24"/>
                <w:szCs w:val="24"/>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Furniture and fixtures</w:t>
            </w:r>
          </w:p>
        </w:tc>
        <w:tc>
          <w:tcPr>
            <w:tcW w:w="1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99"/>
        </w:trPr>
        <w:tc>
          <w:tcPr>
            <w:tcW w:w="20" w:type="dxa"/>
            <w:vAlign w:val="bottom"/>
          </w:tcPr>
          <w:p>
            <w:pPr>
              <w:spacing w:after="0"/>
              <w:rPr>
                <w:sz w:val="24"/>
                <w:szCs w:val="24"/>
                <w:color w:val="auto"/>
              </w:rPr>
            </w:pPr>
          </w:p>
        </w:tc>
        <w:tc>
          <w:tcPr>
            <w:tcW w:w="60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Leasehold improvements</w:t>
            </w:r>
          </w:p>
        </w:tc>
        <w:tc>
          <w:tcPr>
            <w:tcW w:w="11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104.3</w:t>
            </w: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101.9</w:t>
            </w:r>
          </w:p>
        </w:tc>
      </w:tr>
      <w:tr>
        <w:trPr>
          <w:trHeight w:val="282"/>
        </w:trPr>
        <w:tc>
          <w:tcPr>
            <w:tcW w:w="20" w:type="dxa"/>
            <w:vAlign w:val="bottom"/>
          </w:tcPr>
          <w:p>
            <w:pPr>
              <w:spacing w:after="0"/>
              <w:rPr>
                <w:sz w:val="24"/>
                <w:szCs w:val="24"/>
                <w:color w:val="auto"/>
              </w:rPr>
            </w:pPr>
          </w:p>
        </w:tc>
        <w:tc>
          <w:tcPr>
            <w:tcW w:w="604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Construction in progress</w:t>
            </w: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Borders>
              <w:bottom w:val="single" w:sz="8" w:color="E6E6E6"/>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3"/>
        </w:trPr>
        <w:tc>
          <w:tcPr>
            <w:tcW w:w="20" w:type="dxa"/>
            <w:vAlign w:val="bottom"/>
          </w:tcPr>
          <w:p>
            <w:pPr>
              <w:spacing w:after="0"/>
              <w:rPr>
                <w:sz w:val="24"/>
                <w:szCs w:val="24"/>
                <w:color w:val="auto"/>
              </w:rPr>
            </w:pPr>
          </w:p>
        </w:tc>
        <w:tc>
          <w:tcPr>
            <w:tcW w:w="604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Total property and equipment</w:t>
            </w:r>
          </w:p>
        </w:tc>
        <w:tc>
          <w:tcPr>
            <w:tcW w:w="11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937.6</w:t>
            </w: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943.0</w:t>
            </w:r>
          </w:p>
        </w:tc>
      </w:tr>
      <w:tr>
        <w:trPr>
          <w:trHeight w:val="282"/>
        </w:trPr>
        <w:tc>
          <w:tcPr>
            <w:tcW w:w="20" w:type="dxa"/>
            <w:vAlign w:val="bottom"/>
          </w:tcPr>
          <w:p>
            <w:pPr>
              <w:spacing w:after="0"/>
              <w:rPr>
                <w:sz w:val="24"/>
                <w:szCs w:val="24"/>
                <w:color w:val="auto"/>
              </w:rPr>
            </w:pPr>
          </w:p>
        </w:tc>
        <w:tc>
          <w:tcPr>
            <w:tcW w:w="604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Accumulated depreciation</w:t>
            </w: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(559.2)</w:t>
            </w:r>
          </w:p>
        </w:tc>
        <w:tc>
          <w:tcPr>
            <w:tcW w:w="80" w:type="dxa"/>
            <w:vAlign w:val="bottom"/>
            <w:tcBorders>
              <w:bottom w:val="single" w:sz="8" w:color="E6E6E6"/>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(584.2)</w:t>
            </w:r>
          </w:p>
        </w:tc>
      </w:tr>
      <w:tr>
        <w:trPr>
          <w:trHeight w:val="292"/>
        </w:trPr>
        <w:tc>
          <w:tcPr>
            <w:tcW w:w="20" w:type="dxa"/>
            <w:vAlign w:val="bottom"/>
          </w:tcPr>
          <w:p>
            <w:pPr>
              <w:spacing w:after="0"/>
              <w:rPr>
                <w:sz w:val="24"/>
                <w:szCs w:val="24"/>
                <w:color w:val="auto"/>
              </w:rPr>
            </w:pPr>
          </w:p>
        </w:tc>
        <w:tc>
          <w:tcPr>
            <w:tcW w:w="604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160" w:type="dxa"/>
            <w:vAlign w:val="bottom"/>
            <w:tcBorders>
              <w:bottom w:val="single" w:sz="8" w:color="auto"/>
            </w:tcBorders>
            <w:shd w:val="clear" w:color="auto" w:fill="E6E6E6"/>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378.4</w:t>
            </w:r>
          </w:p>
        </w:tc>
        <w:tc>
          <w:tcPr>
            <w:tcW w:w="8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ind w:right="52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-1343025</wp:posOffset>
            </wp:positionV>
            <wp:extent cx="2548255" cy="4953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159">
                      <a:extLst>
                        <a:ext uri="{28A0092B-C50C-407E-A947-70E740481C1C}"/>
                      </a:extLst>
                    </a:blip>
                    <a:srcRect/>
                    <a:stretch>
                      <a:fillRect/>
                    </a:stretch>
                  </pic:blipFill>
                  <pic:spPr bwMode="auto">
                    <a:xfrm>
                      <a:off x="0" y="0"/>
                      <a:ext cx="2548255" cy="49530"/>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-600075</wp:posOffset>
            </wp:positionV>
            <wp:extent cx="2548255" cy="495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60">
                      <a:extLst>
                        <a:ext uri="{28A0092B-C50C-407E-A947-70E740481C1C}"/>
                      </a:extLst>
                    </a:blip>
                    <a:srcRect/>
                    <a:stretch>
                      <a:fillRect/>
                    </a:stretch>
                  </pic:blipFill>
                  <pic:spPr bwMode="auto">
                    <a:xfrm>
                      <a:off x="0" y="0"/>
                      <a:ext cx="2548255" cy="49530"/>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-228600</wp:posOffset>
            </wp:positionV>
            <wp:extent cx="2548255" cy="495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161">
                      <a:extLst>
                        <a:ext uri="{28A0092B-C50C-407E-A947-70E740481C1C}"/>
                      </a:extLst>
                    </a:blip>
                    <a:srcRect/>
                    <a:stretch>
                      <a:fillRect/>
                    </a:stretch>
                  </pic:blipFill>
                  <pic:spPr bwMode="auto">
                    <a:xfrm>
                      <a:off x="0" y="0"/>
                      <a:ext cx="2548255" cy="49530"/>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-55245</wp:posOffset>
            </wp:positionV>
            <wp:extent cx="2548255" cy="742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62">
                      <a:extLst>
                        <a:ext uri="{28A0092B-C50C-407E-A947-70E740481C1C}"/>
                      </a:extLst>
                    </a:blip>
                    <a:srcRect/>
                    <a:stretch>
                      <a:fillRect/>
                    </a:stretch>
                  </pic:blipFill>
                  <pic:spPr bwMode="auto">
                    <a:xfrm>
                      <a:off x="0" y="0"/>
                      <a:ext cx="2548255" cy="74295"/>
                    </a:xfrm>
                    <a:prstGeom prst="rect">
                      <a:avLst/>
                    </a:prstGeom>
                    <a:noFill/>
                  </pic:spPr>
                </pic:pic>
              </a:graphicData>
            </a:graphic>
          </wp:anchor>
        </w:drawing>
      </w:r>
    </w:p>
    <w:p>
      <w:pPr>
        <w:spacing w:after="0" w:line="221" w:lineRule="exact"/>
        <w:rPr>
          <w:sz w:val="20"/>
          <w:szCs w:val="20"/>
          <w:color w:val="auto"/>
        </w:rPr>
      </w:pPr>
    </w:p>
    <w:p>
      <w:pPr>
        <w:ind w:right="40" w:firstLine="483"/>
        <w:spacing w:after="0" w:line="285" w:lineRule="auto"/>
        <w:rPr>
          <w:sz w:val="20"/>
          <w:szCs w:val="20"/>
          <w:color w:val="auto"/>
        </w:rPr>
      </w:pPr>
      <w:r>
        <w:rPr>
          <w:rFonts w:ascii="Times New Roman" w:cs="Times New Roman" w:eastAsia="Times New Roman" w:hAnsi="Times New Roman"/>
          <w:sz w:val="18"/>
          <w:szCs w:val="18"/>
          <w:color w:val="auto"/>
        </w:rPr>
        <w:t>The Company leases certain infrastructure, computer equipment, and furniture from various third parties, through finance leases. Infrastructure assets as of December 31, 2025 and 2024 included a total of $485.5 million and $501.1 million, respectively, acquired under finance lease agreements. These leases are capitalized in property and equipment, and the related depreciation of assets under finance leases is included in depreciation expense. The accumulated depreciation of the equipment under finance leases totaled $183.8 million and $223.3 million as of December 31, 2025 and 2024, respectively.</w:t>
      </w:r>
    </w:p>
    <w:p>
      <w:pPr>
        <w:spacing w:after="0" w:line="175" w:lineRule="exact"/>
        <w:rPr>
          <w:sz w:val="20"/>
          <w:szCs w:val="20"/>
          <w:color w:val="auto"/>
        </w:rPr>
      </w:pPr>
    </w:p>
    <w:p>
      <w:pPr>
        <w:ind w:right="540" w:firstLine="483"/>
        <w:spacing w:after="0" w:line="269" w:lineRule="auto"/>
        <w:rPr>
          <w:sz w:val="20"/>
          <w:szCs w:val="20"/>
          <w:color w:val="auto"/>
        </w:rPr>
      </w:pPr>
      <w:r>
        <w:rPr>
          <w:rFonts w:ascii="Times New Roman" w:cs="Times New Roman" w:eastAsia="Times New Roman" w:hAnsi="Times New Roman"/>
          <w:sz w:val="20"/>
          <w:szCs w:val="20"/>
          <w:color w:val="auto"/>
        </w:rPr>
        <w:t>Depreciation expense related to property and equipment was $131.6 million and $109.3 million for the years ended December 31, 2025 and 2024,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Business Combinations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Business Combination</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On July 26, 2024, the Company completed the acquisition of Reclaim.ai Inc. (“Reclaim”) and entered into employment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with its employees. Reclaim is an AI-powered calendar application that helps users optimize their schedules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better productivity, collaboration, and work-life balance. The Company paid $40.2 million in cash. The Company recorded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$30.6 million of goodwill and $13.4 million of intangible assets resulting from the transaction. The goodwill is not expected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deductible for income tax purposes.</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000"/>
          </w:cols>
          <w:pgMar w:left="940" w:top="352" w:right="940" w:bottom="0" w:gutter="0" w:footer="0" w:header="0"/>
          <w:type w:val="continuous"/>
        </w:sectPr>
      </w:pPr>
    </w:p>
    <w:bookmarkStart w:id="191" w:name="page192"/>
    <w:bookmarkEnd w:id="191"/>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 6. Intangible Assets</w:t>
            </w: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5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Intangible assets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Weighted-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b w:val="1"/>
                <w:bCs w:val="1"/>
                <w:color w:val="auto"/>
                <w:w w:val="97"/>
              </w:rPr>
              <w:t>remaining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b w:val="1"/>
                <w:bCs w:val="1"/>
                <w:color w:val="auto"/>
                <w:w w:val="98"/>
              </w:rPr>
              <w:t>useful life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80" w:type="dxa"/>
            <w:vAlign w:val="bottom"/>
          </w:tcPr>
          <w:p>
            <w:pPr>
              <w:spacing w:after="0"/>
              <w:rPr>
                <w:sz w:val="16"/>
                <w:szCs w:val="16"/>
                <w:color w:val="auto"/>
              </w:rPr>
            </w:pP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60" w:type="dxa"/>
            <w:vAlign w:val="bottom"/>
          </w:tcPr>
          <w:p>
            <w:pPr>
              <w:spacing w:after="0"/>
              <w:rPr>
                <w:sz w:val="16"/>
                <w:szCs w:val="16"/>
                <w:color w:val="auto"/>
              </w:rPr>
            </w:pPr>
          </w:p>
        </w:tc>
        <w:tc>
          <w:tcPr>
            <w:tcW w:w="180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b w:val="1"/>
                <w:bCs w:val="1"/>
                <w:color w:val="auto"/>
                <w:w w:val="99"/>
              </w:rPr>
              <w:t>(In years)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As of December 31,</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0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2025</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5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Developed technology</w:t>
            </w:r>
          </w:p>
        </w:tc>
        <w:tc>
          <w:tcPr>
            <w:tcW w:w="420" w:type="dxa"/>
            <w:vAlign w:val="bottom"/>
            <w:shd w:val="clear" w:color="auto" w:fill="E6E6E6"/>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48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93.7</w:t>
            </w:r>
          </w:p>
        </w:tc>
        <w:tc>
          <w:tcPr>
            <w:tcW w:w="186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5"/>
              </w:rPr>
              <w:t>2.8</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Customer relationships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1.4</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5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Patents</w:t>
            </w:r>
          </w:p>
        </w:tc>
        <w:tc>
          <w:tcPr>
            <w:tcW w:w="42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86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5"/>
              </w:rPr>
              <w:t>1.8</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Software</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0.0</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5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Trademarks and trade names</w:t>
            </w:r>
          </w:p>
        </w:tc>
        <w:tc>
          <w:tcPr>
            <w:tcW w:w="42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86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5"/>
              </w:rPr>
              <w:t>0.2</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Licenses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3.0</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5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Assembled workforce in asset acquisitions</w:t>
            </w:r>
          </w:p>
        </w:tc>
        <w:tc>
          <w:tcPr>
            <w:tcW w:w="42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86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5"/>
              </w:rPr>
              <w:t>2.9</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50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60" w:type="dxa"/>
            <w:vAlign w:val="bottom"/>
            <w:tcBorders>
              <w:bottom w:val="single" w:sz="8" w:color="E6E6E6"/>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5"/>
              </w:rPr>
              <w:t>0.0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5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Total intangibles</w:t>
            </w:r>
          </w:p>
        </w:tc>
        <w:tc>
          <w:tcPr>
            <w:tcW w:w="42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182.5</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178.6</w:t>
            </w:r>
          </w:p>
        </w:tc>
        <w:tc>
          <w:tcPr>
            <w:tcW w:w="60" w:type="dxa"/>
            <w:vAlign w:val="bottom"/>
            <w:shd w:val="clear" w:color="auto" w:fill="E6E6E6"/>
          </w:tcPr>
          <w:p>
            <w:pPr>
              <w:spacing w:after="0"/>
              <w:rPr>
                <w:sz w:val="24"/>
                <w:szCs w:val="24"/>
                <w:color w:val="auto"/>
              </w:rPr>
            </w:pPr>
          </w:p>
        </w:tc>
        <w:tc>
          <w:tcPr>
            <w:tcW w:w="18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50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Accumulated amortization</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(148.8)</w:t>
            </w:r>
          </w:p>
        </w:tc>
        <w:tc>
          <w:tcPr>
            <w:tcW w:w="8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(123.7)</w:t>
            </w:r>
          </w:p>
        </w:tc>
        <w:tc>
          <w:tcPr>
            <w:tcW w:w="60" w:type="dxa"/>
            <w:vAlign w:val="bottom"/>
            <w:tcBorders>
              <w:bottom w:val="single" w:sz="8" w:color="E6E6E6"/>
            </w:tcBorders>
          </w:tcPr>
          <w:p>
            <w:pPr>
              <w:spacing w:after="0"/>
              <w:rPr>
                <w:sz w:val="24"/>
                <w:szCs w:val="24"/>
                <w:color w:val="auto"/>
              </w:rPr>
            </w:pPr>
          </w:p>
        </w:tc>
        <w:tc>
          <w:tcPr>
            <w:tcW w:w="180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50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Intangible assets, net</w:t>
            </w:r>
          </w:p>
        </w:tc>
        <w:tc>
          <w:tcPr>
            <w:tcW w:w="420" w:type="dxa"/>
            <w:vAlign w:val="bottom"/>
            <w:tcBorders>
              <w:bottom w:val="single" w:sz="8" w:color="auto"/>
            </w:tcBorders>
            <w:shd w:val="clear" w:color="auto" w:fill="E6E6E6"/>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-2085975</wp:posOffset>
            </wp:positionV>
            <wp:extent cx="3510915" cy="4953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63">
                      <a:extLst>
                        <a:ext uri="{28A0092B-C50C-407E-A947-70E740481C1C}"/>
                      </a:extLst>
                    </a:blip>
                    <a:srcRect/>
                    <a:stretch>
                      <a:fillRect/>
                    </a:stretch>
                  </pic:blipFill>
                  <pic:spPr bwMode="auto">
                    <a:xfrm>
                      <a:off x="0" y="0"/>
                      <a:ext cx="3510915" cy="4953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-600075</wp:posOffset>
            </wp:positionV>
            <wp:extent cx="2334260" cy="495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64">
                      <a:extLst>
                        <a:ext uri="{28A0092B-C50C-407E-A947-70E740481C1C}"/>
                      </a:extLst>
                    </a:blip>
                    <a:srcRect/>
                    <a:stretch>
                      <a:fillRect/>
                    </a:stretch>
                  </pic:blipFill>
                  <pic:spPr bwMode="auto">
                    <a:xfrm>
                      <a:off x="0" y="0"/>
                      <a:ext cx="2334260" cy="4953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-228600</wp:posOffset>
            </wp:positionV>
            <wp:extent cx="2334260" cy="4953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65">
                      <a:extLst>
                        <a:ext uri="{28A0092B-C50C-407E-A947-70E740481C1C}"/>
                      </a:extLst>
                    </a:blip>
                    <a:srcRect/>
                    <a:stretch>
                      <a:fillRect/>
                    </a:stretch>
                  </pic:blipFill>
                  <pic:spPr bwMode="auto">
                    <a:xfrm>
                      <a:off x="0" y="0"/>
                      <a:ext cx="2334260" cy="4953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-55245</wp:posOffset>
            </wp:positionV>
            <wp:extent cx="2334260" cy="7429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66">
                      <a:extLst>
                        <a:ext uri="{28A0092B-C50C-407E-A947-70E740481C1C}"/>
                      </a:extLst>
                    </a:blip>
                    <a:srcRect/>
                    <a:stretch>
                      <a:fillRect/>
                    </a:stretch>
                  </pic:blipFill>
                  <pic:spPr bwMode="auto">
                    <a:xfrm>
                      <a:off x="0" y="0"/>
                      <a:ext cx="2334260" cy="74295"/>
                    </a:xfrm>
                    <a:prstGeom prst="rect">
                      <a:avLst/>
                    </a:prstGeom>
                    <a:noFill/>
                  </pic:spPr>
                </pic:pic>
              </a:graphicData>
            </a:graphic>
          </wp:anchor>
        </w:drawing>
      </w:r>
    </w:p>
    <w:p>
      <w:pPr>
        <w:spacing w:after="0" w:line="124" w:lineRule="exact"/>
        <w:rPr>
          <w:sz w:val="20"/>
          <w:szCs w:val="20"/>
          <w:color w:val="auto"/>
        </w:rPr>
      </w:pPr>
    </w:p>
    <w:p>
      <w:pPr>
        <w:ind w:right="180" w:firstLine="483"/>
        <w:spacing w:after="0" w:line="269" w:lineRule="auto"/>
        <w:rPr>
          <w:sz w:val="20"/>
          <w:szCs w:val="20"/>
          <w:color w:val="auto"/>
        </w:rPr>
      </w:pPr>
      <w:r>
        <w:rPr>
          <w:rFonts w:ascii="Times New Roman" w:cs="Times New Roman" w:eastAsia="Times New Roman" w:hAnsi="Times New Roman"/>
          <w:sz w:val="20"/>
          <w:szCs w:val="20"/>
          <w:color w:val="auto"/>
        </w:rPr>
        <w:t>Amortization expense was $25.9 million, $27.8 million and $30.4 million for the years ended December 31, 2025, 2024 and 2023, respectively.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Expected future amortization expense for intangible assets as of December 31, 2025 is as follows: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802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Intangible assets</w:t>
            </w:r>
          </w:p>
        </w:tc>
      </w:tr>
      <w:tr>
        <w:trPr>
          <w:trHeight w:val="268"/>
        </w:trPr>
        <w:tc>
          <w:tcPr>
            <w:tcW w:w="80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16.7</w:t>
            </w:r>
          </w:p>
        </w:tc>
      </w:tr>
      <w:tr>
        <w:trPr>
          <w:trHeight w:val="271"/>
        </w:trPr>
        <w:tc>
          <w:tcPr>
            <w:tcW w:w="8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84"/>
        </w:trPr>
        <w:tc>
          <w:tcPr>
            <w:tcW w:w="80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71"/>
        </w:trPr>
        <w:tc>
          <w:tcPr>
            <w:tcW w:w="8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4"/>
        </w:trPr>
        <w:tc>
          <w:tcPr>
            <w:tcW w:w="80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2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w:t>
            </w:r>
          </w:p>
        </w:tc>
      </w:tr>
      <w:tr>
        <w:trPr>
          <w:trHeight w:val="268"/>
        </w:trPr>
        <w:tc>
          <w:tcPr>
            <w:tcW w:w="802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77"/>
        </w:trPr>
        <w:tc>
          <w:tcPr>
            <w:tcW w:w="8020" w:type="dxa"/>
            <w:vAlign w:val="bottom"/>
            <w:tcBorders>
              <w:bottom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-219075</wp:posOffset>
            </wp:positionV>
            <wp:extent cx="1284605" cy="495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167">
                      <a:extLst>
                        <a:ext uri="{28A0092B-C50C-407E-A947-70E740481C1C}"/>
                      </a:extLst>
                    </a:blip>
                    <a:srcRect/>
                    <a:stretch>
                      <a:fillRect/>
                    </a:stretch>
                  </pic:blipFill>
                  <pic:spPr bwMode="auto">
                    <a:xfrm>
                      <a:off x="0" y="0"/>
                      <a:ext cx="1284605" cy="4953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-55245</wp:posOffset>
            </wp:positionV>
            <wp:extent cx="1284605" cy="742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168">
                      <a:extLst>
                        <a:ext uri="{28A0092B-C50C-407E-A947-70E740481C1C}"/>
                      </a:extLst>
                    </a:blip>
                    <a:srcRect/>
                    <a:stretch>
                      <a:fillRect/>
                    </a:stretch>
                  </pic:blipFill>
                  <pic:spPr bwMode="auto">
                    <a:xfrm>
                      <a:off x="0" y="0"/>
                      <a:ext cx="1284605" cy="7429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Goodwill</w:t>
      </w:r>
    </w:p>
    <w:p>
      <w:pPr>
        <w:spacing w:after="0" w:line="245" w:lineRule="exact"/>
        <w:rPr>
          <w:sz w:val="20"/>
          <w:szCs w:val="20"/>
          <w:color w:val="auto"/>
        </w:rPr>
      </w:pPr>
    </w:p>
    <w:p>
      <w:pPr>
        <w:ind w:right="380" w:firstLine="483"/>
        <w:spacing w:after="0" w:line="269" w:lineRule="auto"/>
        <w:rPr>
          <w:sz w:val="20"/>
          <w:szCs w:val="20"/>
          <w:color w:val="auto"/>
        </w:rPr>
      </w:pPr>
      <w:r>
        <w:rPr>
          <w:rFonts w:ascii="Times New Roman" w:cs="Times New Roman" w:eastAsia="Times New Roman" w:hAnsi="Times New Roman"/>
          <w:sz w:val="20"/>
          <w:szCs w:val="20"/>
          <w:color w:val="auto"/>
        </w:rPr>
        <w:t>Goodwill represents the excess of the purchase price in a business combination over the fair value of net tangible and intangible assets acquired. The changes in the carrying amounts of goodwill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70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280" w:type="dxa"/>
            <w:vAlign w:val="bottom"/>
            <w:shd w:val="clear" w:color="auto" w:fill="E6E6E6"/>
          </w:tcPr>
          <w:p>
            <w:pPr>
              <w:jc w:val="right"/>
              <w:ind w:right="1022"/>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442.8</w:t>
            </w:r>
          </w:p>
        </w:tc>
      </w:tr>
      <w:tr>
        <w:trPr>
          <w:trHeight w:val="286"/>
        </w:trPr>
        <w:tc>
          <w:tcPr>
            <w:tcW w:w="7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Acquisitions</w:t>
            </w:r>
          </w:p>
        </w:tc>
        <w:tc>
          <w:tcPr>
            <w:tcW w:w="1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89"/>
        </w:trPr>
        <w:tc>
          <w:tcPr>
            <w:tcW w:w="7060" w:type="dxa"/>
            <w:vAlign w:val="bottom"/>
            <w:tcBorders>
              <w:bottom w:val="single" w:sz="8" w:color="E6E6E6"/>
            </w:tcBorders>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Effect of foreign currency translation</w:t>
            </w:r>
          </w:p>
        </w:tc>
        <w:tc>
          <w:tcPr>
            <w:tcW w:w="1280" w:type="dxa"/>
            <w:vAlign w:val="bottom"/>
            <w:tcBorders>
              <w:bottom w:val="single" w:sz="8" w:color="auto"/>
            </w:tcBorders>
            <w:shd w:val="clear" w:color="auto" w:fill="E6E6E6"/>
          </w:tcPr>
          <w:p>
            <w:pPr>
              <w:spacing w:after="0"/>
              <w:rPr>
                <w:sz w:val="24"/>
                <w:szCs w:val="24"/>
                <w:color w:val="auto"/>
              </w:rPr>
            </w:pPr>
          </w:p>
        </w:tc>
        <w:tc>
          <w:tcPr>
            <w:tcW w:w="1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4"/>
        </w:trPr>
        <w:tc>
          <w:tcPr>
            <w:tcW w:w="7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128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454.9</w:t>
            </w:r>
          </w:p>
        </w:tc>
      </w:tr>
      <w:tr>
        <w:trPr>
          <w:trHeight w:val="20"/>
        </w:trPr>
        <w:tc>
          <w:tcPr>
            <w:tcW w:w="7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-228600</wp:posOffset>
            </wp:positionV>
            <wp:extent cx="1906905" cy="4953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169">
                      <a:extLst>
                        <a:ext uri="{28A0092B-C50C-407E-A947-70E740481C1C}"/>
                      </a:extLst>
                    </a:blip>
                    <a:srcRect/>
                    <a:stretch>
                      <a:fillRect/>
                    </a:stretch>
                  </pic:blipFill>
                  <pic:spPr bwMode="auto">
                    <a:xfrm>
                      <a:off x="0" y="0"/>
                      <a:ext cx="1906905" cy="49530"/>
                    </a:xfrm>
                    <a:prstGeom prst="rect">
                      <a:avLst/>
                    </a:prstGeom>
                    <a:noFill/>
                  </pic:spPr>
                </pic:pic>
              </a:graphicData>
            </a:graphic>
          </wp:anchor>
        </w:drawing>
      </w:r>
    </w:p>
    <w:p>
      <w:pPr>
        <w:spacing w:after="0" w:line="198" w:lineRule="exact"/>
        <w:rPr>
          <w:sz w:val="20"/>
          <w:szCs w:val="20"/>
          <w:color w:val="auto"/>
        </w:rPr>
      </w:pPr>
    </w:p>
    <w:p>
      <w:pPr>
        <w:ind w:right="60" w:firstLine="483"/>
        <w:spacing w:after="0" w:line="269" w:lineRule="auto"/>
        <w:rPr>
          <w:sz w:val="20"/>
          <w:szCs w:val="20"/>
          <w:color w:val="auto"/>
        </w:rPr>
      </w:pPr>
      <w:r>
        <w:rPr>
          <w:rFonts w:ascii="Times New Roman" w:cs="Times New Roman" w:eastAsia="Times New Roman" w:hAnsi="Times New Roman"/>
          <w:sz w:val="20"/>
          <w:szCs w:val="20"/>
          <w:color w:val="auto"/>
        </w:rPr>
        <w:t>Goodwill amounts are not amortized, but tested for impairment on an annual basis. There was no impairment of goodwill during the periods ended December 31, 2025, 2024 and 2023.</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000"/>
          </w:cols>
          <w:pgMar w:left="940" w:top="352" w:right="940" w:bottom="0" w:gutter="0" w:footer="0" w:header="0"/>
          <w:type w:val="continuous"/>
        </w:sectPr>
      </w:pPr>
    </w:p>
    <w:bookmarkStart w:id="192" w:name="page193"/>
    <w:bookmarkEnd w:id="192"/>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Debt</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Term loan facility</w:t>
      </w:r>
    </w:p>
    <w:p>
      <w:pPr>
        <w:spacing w:after="0" w:line="246" w:lineRule="exact"/>
        <w:rPr>
          <w:sz w:val="20"/>
          <w:szCs w:val="20"/>
          <w:color w:val="auto"/>
        </w:rPr>
      </w:pPr>
    </w:p>
    <w:p>
      <w:pPr>
        <w:ind w:right="40" w:firstLine="483"/>
        <w:spacing w:after="0" w:line="250" w:lineRule="auto"/>
        <w:rPr>
          <w:sz w:val="20"/>
          <w:szCs w:val="20"/>
          <w:color w:val="auto"/>
        </w:rPr>
      </w:pPr>
      <w:r>
        <w:rPr>
          <w:rFonts w:ascii="Times New Roman" w:cs="Times New Roman" w:eastAsia="Times New Roman" w:hAnsi="Times New Roman"/>
          <w:sz w:val="20"/>
          <w:szCs w:val="20"/>
          <w:color w:val="auto"/>
        </w:rPr>
        <w:t>During the fourth quarter of 2024, the Company entered into a secured five-year term loan facility under a Credit and Guaranty Agreement (the “initial Credit Agreement”), providing up to $2.0 billion in aggregate principal, consisting of $1.0 billion of initial term loans (the “initial term loans”) and $1.0 billion of initial delayed draw term loan commitments (the “initial delayed draw term loan commitments”). The initial Credit Agreement also includes a secured letter of credit facility of up to $35.0 million.</w:t>
      </w:r>
    </w:p>
    <w:p>
      <w:pPr>
        <w:spacing w:after="0" w:line="206" w:lineRule="exact"/>
        <w:rPr>
          <w:sz w:val="20"/>
          <w:szCs w:val="20"/>
          <w:color w:val="auto"/>
        </w:rPr>
      </w:pPr>
    </w:p>
    <w:p>
      <w:pPr>
        <w:ind w:right="20" w:firstLine="526"/>
        <w:spacing w:after="0" w:line="250" w:lineRule="auto"/>
        <w:rPr>
          <w:sz w:val="20"/>
          <w:szCs w:val="20"/>
          <w:color w:val="auto"/>
        </w:rPr>
      </w:pPr>
      <w:r>
        <w:rPr>
          <w:rFonts w:ascii="Times New Roman" w:cs="Times New Roman" w:eastAsia="Times New Roman" w:hAnsi="Times New Roman"/>
          <w:sz w:val="20"/>
          <w:szCs w:val="20"/>
          <w:color w:val="auto"/>
        </w:rPr>
        <w:t>In the third quarter of 2025, the Company entered into Amendment No. 1 (the “First Amendment”) to its initial Credit Agreement (collectively, the “Amended Credit Agreement”) to add $700.0 million in delayed draw term loan commitments (the “2025 delayed draw term loans”). The Amended Credit Agreement now provides a secured term loan facility of $2.7 billion (collectively, the “term loan facility”). The term loan facility is guaranteed by certain material subsidiaries and secured by substantially all assets of the Company and such subsidiary guarantors.</w:t>
      </w:r>
    </w:p>
    <w:p>
      <w:pPr>
        <w:spacing w:after="0" w:line="206" w:lineRule="exact"/>
        <w:rPr>
          <w:sz w:val="20"/>
          <w:szCs w:val="20"/>
          <w:color w:val="auto"/>
        </w:rPr>
      </w:pPr>
    </w:p>
    <w:p>
      <w:pPr>
        <w:ind w:right="40" w:firstLine="526"/>
        <w:spacing w:after="0" w:line="279" w:lineRule="auto"/>
        <w:rPr>
          <w:sz w:val="20"/>
          <w:szCs w:val="20"/>
          <w:color w:val="auto"/>
        </w:rPr>
      </w:pPr>
      <w:r>
        <w:rPr>
          <w:rFonts w:ascii="Times New Roman" w:cs="Times New Roman" w:eastAsia="Times New Roman" w:hAnsi="Times New Roman"/>
          <w:sz w:val="18"/>
          <w:szCs w:val="18"/>
          <w:color w:val="auto"/>
        </w:rPr>
        <w:t>In December 2024, the Company borrowed $1.0 billion of initial term loans under the facility. The term loans are measured at amortized cost on the consolidated balance sheets. Issuance costs of $27.6 million were deducted from the carrying value and are amortized and recognized as a component of interest expense over the five-year term using the effective interest method. Additional deferred issuance costs of $25.1 million and $8.4 million related to the initial delayed draw term loan commitments and 2025 delayed draw term loans, respectively, were recognized initially as deferred assets and are reclassified and presented as a reduction of the carrying value of the debt upon draw, and are amortized over the remaining term on an effective interest method basis from the time of draw. Issuance costs of $0.2 million related to the secured letter of credit facility were recognized as a prepaid asset and are amortized over the five-year access period on a straight-line basis.</w:t>
      </w:r>
    </w:p>
    <w:p>
      <w:pPr>
        <w:spacing w:after="0" w:line="181" w:lineRule="exact"/>
        <w:rPr>
          <w:sz w:val="20"/>
          <w:szCs w:val="20"/>
          <w:color w:val="auto"/>
        </w:rPr>
      </w:pPr>
    </w:p>
    <w:p>
      <w:pPr>
        <w:ind w:right="140" w:firstLine="526"/>
        <w:spacing w:after="0" w:line="280" w:lineRule="auto"/>
        <w:rPr>
          <w:sz w:val="20"/>
          <w:szCs w:val="20"/>
          <w:color w:val="auto"/>
        </w:rPr>
      </w:pPr>
      <w:r>
        <w:rPr>
          <w:rFonts w:ascii="Times New Roman" w:cs="Times New Roman" w:eastAsia="Times New Roman" w:hAnsi="Times New Roman"/>
          <w:sz w:val="18"/>
          <w:szCs w:val="18"/>
          <w:color w:val="auto"/>
        </w:rPr>
        <w:t>The initial term loans and initial delayed draw term loans (if and when funded) shall have the same terms and shall be treated as a single fungible class of term loans for all purposes under the Amended Credit Agreement, except that interest on any initial delayed draw term loan shall commence from the applicable date of the draw. As of December 31, 2025, $500.0 million was drawn on the initial delayed draw term loan commitments and $500.0 million remained available. The remaining initial delayed draw term loan commitments are available through December 11, 2026 and draws must be at least $5.0 million. As of December 31, 2025, $17.5 million of letters of credit were issued and $17.5 million remains to be issued under the letter of credit facility. As of December 31, 2025, no amounts were drawn on the letter of credit facility.</w:t>
      </w:r>
    </w:p>
    <w:p>
      <w:pPr>
        <w:spacing w:after="0" w:line="182" w:lineRule="exact"/>
        <w:rPr>
          <w:sz w:val="20"/>
          <w:szCs w:val="20"/>
          <w:color w:val="auto"/>
        </w:rPr>
      </w:pPr>
    </w:p>
    <w:p>
      <w:pPr>
        <w:jc w:val="both"/>
        <w:ind w:right="140" w:firstLine="439"/>
        <w:spacing w:after="0" w:line="256" w:lineRule="auto"/>
        <w:rPr>
          <w:sz w:val="20"/>
          <w:szCs w:val="20"/>
          <w:color w:val="auto"/>
        </w:rPr>
      </w:pPr>
      <w:r>
        <w:rPr>
          <w:rFonts w:ascii="Times New Roman" w:cs="Times New Roman" w:eastAsia="Times New Roman" w:hAnsi="Times New Roman"/>
          <w:sz w:val="20"/>
          <w:szCs w:val="20"/>
          <w:color w:val="auto"/>
        </w:rPr>
        <w:t>The $700.0 million 2025 delayed draw term loan commitments are available through March 15, 2026, and the proceeds when drawn may be used solely to prepay, repay, repurchase, redeem, exchange, or settle upon conversion the 2026 Notes. As of December 31, 2025, no amounts were drawn on the 2025 delayed draw term loans.</w:t>
      </w:r>
    </w:p>
    <w:p>
      <w:pPr>
        <w:spacing w:after="0" w:line="200" w:lineRule="exact"/>
        <w:rPr>
          <w:sz w:val="20"/>
          <w:szCs w:val="20"/>
          <w:color w:val="auto"/>
        </w:rPr>
      </w:pPr>
    </w:p>
    <w:p>
      <w:pPr>
        <w:ind w:right="40" w:firstLine="526"/>
        <w:spacing w:after="0" w:line="247" w:lineRule="auto"/>
        <w:rPr>
          <w:sz w:val="20"/>
          <w:szCs w:val="20"/>
          <w:color w:val="auto"/>
        </w:rPr>
      </w:pPr>
      <w:r>
        <w:rPr>
          <w:rFonts w:ascii="Times New Roman" w:cs="Times New Roman" w:eastAsia="Times New Roman" w:hAnsi="Times New Roman"/>
          <w:sz w:val="20"/>
          <w:szCs w:val="20"/>
          <w:color w:val="auto"/>
        </w:rPr>
        <w:t>Pursuant to the terms of the Amended Credit Agreement, the Company is required to pay quarterly commitment fees of 1.00% per annum on the unused portions of both delayed draw term loan commitments. These fees will be capitalized each reporting period, as the draws are probable of occurring and will be reclassified against the carrying value of the respective debt upon draw and amortized over the respective debt terms on an effective interest method basis from the time of draw. The 2025 delayed draw term loan commitment fees started accruing on the unused portion three months after the effective date of the First Amendment. As of December 31, 2025, $4.8 million of deferred issuance costs related to commitment fees were reclassified and presented as a reduction of the carrying value of the related debt, with $5.5 million remaining as a deferred issuance cost asset related to the commitment fee.</w:t>
      </w:r>
    </w:p>
    <w:p>
      <w:pPr>
        <w:spacing w:after="0" w:line="213" w:lineRule="exact"/>
        <w:rPr>
          <w:sz w:val="20"/>
          <w:szCs w:val="20"/>
          <w:color w:val="auto"/>
        </w:rPr>
      </w:pPr>
    </w:p>
    <w:p>
      <w:pPr>
        <w:ind w:firstLine="526"/>
        <w:spacing w:after="0" w:line="279" w:lineRule="auto"/>
        <w:rPr>
          <w:sz w:val="20"/>
          <w:szCs w:val="20"/>
          <w:color w:val="auto"/>
        </w:rPr>
      </w:pPr>
      <w:r>
        <w:rPr>
          <w:rFonts w:ascii="Times New Roman" w:cs="Times New Roman" w:eastAsia="Times New Roman" w:hAnsi="Times New Roman"/>
          <w:sz w:val="18"/>
          <w:szCs w:val="18"/>
          <w:color w:val="auto"/>
        </w:rPr>
        <w:t>The initial term loans mature on December 11, 2029, with quarterly principal payments of 0.25% of the original principal amount or such greater percentage as may be required to make the initial delayed draw term loans fungible with any then-outstanding term loans. Quarterly principal payments began on March 31, 2025 and will continue on the last business day of each quarter thereafter. The 2025 delayed draw term loans mature on September 9, 2030, with quarterly repayments of 0.25% of the original principal amount beginning on the last business day of the quarter after the funding of such loans and continuing thereafter. Prepayments are permitted at any time, in whole or in part, subject to premiums of 2.00% of the aggregate principal amount prepaid on or within one year of the closing date for the initial Credit Agreement (or the effective date of the First Amendment in the case of the 2025 delayed draw term loans) and 1.00% of such amount prepaid after one year but on or prior</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000"/>
          </w:cols>
          <w:pgMar w:left="940" w:top="352" w:right="940" w:bottom="0" w:gutter="0" w:footer="0" w:header="0"/>
          <w:type w:val="continuous"/>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to two years from the closing date for the initial Credit Agreement (or the effective date of the First Amendment in the case of the 2025 delayed draw term loans). Any amounts repaid or prepaid may not be reborrowed. Mandatory prepayments on the term loan facility may be required upon the occurrence of certain events as defined in the Amended Credit Agreement, which the Company considers remote as of December 31, 2025.</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following is a summary of the term loan facility as of December 31, 2025 and December 31, 2024:</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80" w:type="dxa"/>
            <w:vAlign w:val="bottom"/>
            <w:tcBorders>
              <w:bottom w:val="single" w:sz="8" w:color="E6E6E6"/>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20"/>
                <w:szCs w:val="20"/>
                <w:b w:val="1"/>
                <w:bCs w:val="1"/>
                <w:color w:val="auto"/>
              </w:rPr>
              <w:t>Term Loan</w:t>
            </w:r>
          </w:p>
        </w:tc>
      </w:tr>
      <w:tr>
        <w:trPr>
          <w:trHeight w:val="283"/>
        </w:trPr>
        <w:tc>
          <w:tcPr>
            <w:tcW w:w="70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560" w:type="dxa"/>
            <w:vAlign w:val="bottom"/>
            <w:shd w:val="clear" w:color="auto" w:fill="E6E6E6"/>
          </w:tcPr>
          <w:p>
            <w:pPr>
              <w:spacing w:after="0"/>
              <w:rPr>
                <w:sz w:val="24"/>
                <w:szCs w:val="24"/>
                <w:color w:val="auto"/>
              </w:rPr>
            </w:pPr>
          </w:p>
        </w:tc>
        <w:tc>
          <w:tcPr>
            <w:tcW w:w="2360" w:type="dxa"/>
            <w:vAlign w:val="bottom"/>
            <w:shd w:val="clear" w:color="auto" w:fill="E6E6E6"/>
          </w:tcPr>
          <w:p>
            <w:pPr>
              <w:spacing w:after="0"/>
              <w:rPr>
                <w:sz w:val="24"/>
                <w:szCs w:val="24"/>
                <w:color w:val="auto"/>
              </w:rPr>
            </w:pPr>
          </w:p>
        </w:tc>
      </w:tr>
      <w:tr>
        <w:trPr>
          <w:trHeight w:val="286"/>
        </w:trPr>
        <w:tc>
          <w:tcPr>
            <w:tcW w:w="7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balance</w:t>
            </w:r>
          </w:p>
        </w:tc>
        <w:tc>
          <w:tcPr>
            <w:tcW w:w="56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1,488.3</w:t>
            </w:r>
          </w:p>
        </w:tc>
      </w:tr>
      <w:tr>
        <w:trPr>
          <w:trHeight w:val="289"/>
        </w:trPr>
        <w:tc>
          <w:tcPr>
            <w:tcW w:w="70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Unamortized issuance costs</w:t>
            </w:r>
          </w:p>
        </w:tc>
        <w:tc>
          <w:tcPr>
            <w:tcW w:w="560" w:type="dxa"/>
            <w:vAlign w:val="bottom"/>
            <w:tcBorders>
              <w:bottom w:val="single" w:sz="8" w:color="auto"/>
            </w:tcBorders>
            <w:shd w:val="clear" w:color="auto" w:fill="E6E6E6"/>
          </w:tcPr>
          <w:p>
            <w:pPr>
              <w:spacing w:after="0"/>
              <w:rPr>
                <w:sz w:val="24"/>
                <w:szCs w:val="24"/>
                <w:color w:val="auto"/>
              </w:rPr>
            </w:pPr>
          </w:p>
        </w:tc>
        <w:tc>
          <w:tcPr>
            <w:tcW w:w="2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(39.6)</w:t>
            </w:r>
          </w:p>
        </w:tc>
      </w:tr>
      <w:tr>
        <w:trPr>
          <w:trHeight w:val="292"/>
        </w:trPr>
        <w:tc>
          <w:tcPr>
            <w:tcW w:w="708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Carrying value, net</w:t>
            </w:r>
          </w:p>
        </w:tc>
        <w:tc>
          <w:tcPr>
            <w:tcW w:w="5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1,448.7</w:t>
            </w:r>
          </w:p>
        </w:tc>
      </w:tr>
      <w:tr>
        <w:trPr>
          <w:trHeight w:val="263"/>
        </w:trPr>
        <w:tc>
          <w:tcPr>
            <w:tcW w:w="708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2360" w:type="dxa"/>
            <w:vAlign w:val="bottom"/>
            <w:shd w:val="clear" w:color="auto" w:fill="E6E6E6"/>
          </w:tcPr>
          <w:p>
            <w:pPr>
              <w:spacing w:after="0"/>
              <w:rPr>
                <w:sz w:val="22"/>
                <w:szCs w:val="22"/>
                <w:color w:val="auto"/>
              </w:rPr>
            </w:pPr>
          </w:p>
        </w:tc>
      </w:tr>
      <w:tr>
        <w:trPr>
          <w:trHeight w:val="286"/>
        </w:trPr>
        <w:tc>
          <w:tcPr>
            <w:tcW w:w="70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99"/>
        </w:trPr>
        <w:tc>
          <w:tcPr>
            <w:tcW w:w="70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Principal balance</w:t>
            </w:r>
          </w:p>
        </w:tc>
        <w:tc>
          <w:tcPr>
            <w:tcW w:w="560" w:type="dxa"/>
            <w:vAlign w:val="bottom"/>
            <w:shd w:val="clear" w:color="auto" w:fill="E6E6E6"/>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82"/>
        </w:trPr>
        <w:tc>
          <w:tcPr>
            <w:tcW w:w="708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Unamortized issuance costs</w:t>
            </w:r>
          </w:p>
        </w:tc>
        <w:tc>
          <w:tcPr>
            <w:tcW w:w="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w:t>
            </w:r>
          </w:p>
        </w:tc>
      </w:tr>
      <w:tr>
        <w:trPr>
          <w:trHeight w:val="292"/>
        </w:trPr>
        <w:tc>
          <w:tcPr>
            <w:tcW w:w="70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Carrying value, net</w:t>
            </w:r>
          </w:p>
        </w:tc>
        <w:tc>
          <w:tcPr>
            <w:tcW w:w="560" w:type="dxa"/>
            <w:vAlign w:val="bottom"/>
            <w:tcBorders>
              <w:bottom w:val="single" w:sz="8" w:color="auto"/>
            </w:tcBorders>
            <w:shd w:val="clear" w:color="auto" w:fill="E6E6E6"/>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-1702435</wp:posOffset>
            </wp:positionV>
            <wp:extent cx="188277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170">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-1156970</wp:posOffset>
            </wp:positionV>
            <wp:extent cx="1906905" cy="4953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171">
                      <a:extLst>
                        <a:ext uri="{28A0092B-C50C-407E-A947-70E740481C1C}"/>
                      </a:extLst>
                    </a:blip>
                    <a:srcRect/>
                    <a:stretch>
                      <a:fillRect/>
                    </a:stretch>
                  </pic:blipFill>
                  <pic:spPr bwMode="auto">
                    <a:xfrm>
                      <a:off x="0" y="0"/>
                      <a:ext cx="1906905" cy="4953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-983615</wp:posOffset>
            </wp:positionV>
            <wp:extent cx="1906905" cy="742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172">
                      <a:extLst>
                        <a:ext uri="{28A0092B-C50C-407E-A947-70E740481C1C}"/>
                      </a:extLst>
                    </a:blip>
                    <a:srcRect/>
                    <a:stretch>
                      <a:fillRect/>
                    </a:stretch>
                  </pic:blipFill>
                  <pic:spPr bwMode="auto">
                    <a:xfrm>
                      <a:off x="0" y="0"/>
                      <a:ext cx="1906905" cy="7429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-228600</wp:posOffset>
            </wp:positionV>
            <wp:extent cx="1906905" cy="495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173">
                      <a:extLst>
                        <a:ext uri="{28A0092B-C50C-407E-A947-70E740481C1C}"/>
                      </a:extLst>
                    </a:blip>
                    <a:srcRect/>
                    <a:stretch>
                      <a:fillRect/>
                    </a:stretch>
                  </pic:blipFill>
                  <pic:spPr bwMode="auto">
                    <a:xfrm>
                      <a:off x="0" y="0"/>
                      <a:ext cx="1906905" cy="4953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-55245</wp:posOffset>
            </wp:positionV>
            <wp:extent cx="1906905" cy="742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174">
                      <a:extLst>
                        <a:ext uri="{28A0092B-C50C-407E-A947-70E740481C1C}"/>
                      </a:extLst>
                    </a:blip>
                    <a:srcRect/>
                    <a:stretch>
                      <a:fillRect/>
                    </a:stretch>
                  </pic:blipFill>
                  <pic:spPr bwMode="auto">
                    <a:xfrm>
                      <a:off x="0" y="0"/>
                      <a:ext cx="1906905" cy="7429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20" w:firstLine="526"/>
        <w:spacing w:after="0" w:line="248" w:lineRule="auto"/>
        <w:rPr>
          <w:sz w:val="20"/>
          <w:szCs w:val="20"/>
          <w:color w:val="auto"/>
        </w:rPr>
      </w:pPr>
      <w:r>
        <w:rPr>
          <w:rFonts w:ascii="Times New Roman" w:cs="Times New Roman" w:eastAsia="Times New Roman" w:hAnsi="Times New Roman"/>
          <w:sz w:val="20"/>
          <w:szCs w:val="20"/>
          <w:color w:val="auto"/>
        </w:rPr>
        <w:t>Borrowings under the term loan facility bear interest, at the Company’s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2.75% margin, or (b) an overnight term SOFR rate (based on one, three, or six month interest periods), plus a 3.75% margin. Interest is payable quarterly in arrears with respect to borrowings bearing interest at the alternate base rate on the last business day of an interest period, but at most monthly and at least quarterly, with respect to overnight and term SOFR rate borrowings.</w:t>
      </w:r>
    </w:p>
    <w:p>
      <w:pPr>
        <w:spacing w:after="0" w:line="209" w:lineRule="exact"/>
        <w:rPr>
          <w:sz w:val="20"/>
          <w:szCs w:val="20"/>
          <w:color w:val="auto"/>
        </w:rPr>
      </w:pPr>
    </w:p>
    <w:p>
      <w:pPr>
        <w:ind w:right="140" w:firstLine="526"/>
        <w:spacing w:after="0" w:line="256" w:lineRule="auto"/>
        <w:rPr>
          <w:sz w:val="20"/>
          <w:szCs w:val="20"/>
          <w:color w:val="auto"/>
        </w:rPr>
      </w:pPr>
      <w:r>
        <w:rPr>
          <w:rFonts w:ascii="Times New Roman" w:cs="Times New Roman" w:eastAsia="Times New Roman" w:hAnsi="Times New Roman"/>
          <w:sz w:val="20"/>
          <w:szCs w:val="20"/>
          <w:color w:val="auto"/>
        </w:rPr>
        <w:t>Interest expense associated with the term loan facility for the years ended December 31, 2025 and 2024, was $93.2 million and $ 5.2 million, respectively, with such interest expense consisting of interest expense on the outstanding principal of the term loan facility and amortization of issuance costs.</w:t>
      </w:r>
    </w:p>
    <w:p>
      <w:pPr>
        <w:spacing w:after="0" w:line="200" w:lineRule="exact"/>
        <w:rPr>
          <w:sz w:val="20"/>
          <w:szCs w:val="20"/>
          <w:color w:val="auto"/>
        </w:rPr>
      </w:pPr>
    </w:p>
    <w:p>
      <w:pPr>
        <w:ind w:right="100" w:firstLine="439"/>
        <w:spacing w:after="0" w:line="250" w:lineRule="auto"/>
        <w:rPr>
          <w:sz w:val="20"/>
          <w:szCs w:val="20"/>
          <w:color w:val="auto"/>
        </w:rPr>
      </w:pPr>
      <w:r>
        <w:rPr>
          <w:rFonts w:ascii="Times New Roman" w:cs="Times New Roman" w:eastAsia="Times New Roman" w:hAnsi="Times New Roman"/>
          <w:sz w:val="20"/>
          <w:szCs w:val="20"/>
          <w:color w:val="auto"/>
        </w:rPr>
        <w:t>The Amended Credit Agreement allows for additional term loan facilities or increased commitments, subject to certain conditions and limits. It includes customary representations and warranties, customary affirmative and negative covenants, and customary events of default. Failure to comply with these covenants may result in a portion of the outstanding term loan debt becoming due immediately. The Company was in compliance with all covenants under the term loan facility as of December 31, 2025.</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Maturities on the Company’s term loan facility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1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Term Loan</w:t>
            </w:r>
          </w:p>
        </w:tc>
      </w:tr>
      <w:tr>
        <w:trPr>
          <w:trHeight w:val="283"/>
        </w:trPr>
        <w:tc>
          <w:tcPr>
            <w:tcW w:w="81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shd w:val="clear" w:color="auto" w:fill="E6E6E6"/>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86"/>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99"/>
        </w:trPr>
        <w:tc>
          <w:tcPr>
            <w:tcW w:w="81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300" w:type="dxa"/>
            <w:vAlign w:val="bottom"/>
            <w:shd w:val="clear" w:color="auto" w:fill="E6E6E6"/>
          </w:tcPr>
          <w:p>
            <w:pPr>
              <w:spacing w:after="0"/>
              <w:rPr>
                <w:sz w:val="24"/>
                <w:szCs w:val="24"/>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86"/>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1,443.3</w:t>
            </w:r>
          </w:p>
        </w:tc>
      </w:tr>
      <w:tr>
        <w:trPr>
          <w:trHeight w:val="289"/>
        </w:trPr>
        <w:tc>
          <w:tcPr>
            <w:tcW w:w="81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2030 and thereafter</w:t>
            </w:r>
          </w:p>
        </w:tc>
        <w:tc>
          <w:tcPr>
            <w:tcW w:w="300" w:type="dxa"/>
            <w:vAlign w:val="bottom"/>
            <w:tcBorders>
              <w:bottom w:val="single" w:sz="8" w:color="auto"/>
            </w:tcBorders>
            <w:shd w:val="clear" w:color="auto" w:fill="E6E6E6"/>
          </w:tcPr>
          <w:p>
            <w:pPr>
              <w:spacing w:after="0"/>
              <w:rPr>
                <w:sz w:val="24"/>
                <w:szCs w:val="24"/>
                <w:color w:val="auto"/>
              </w:rPr>
            </w:pP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1,488.3</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-1156970</wp:posOffset>
            </wp:positionV>
            <wp:extent cx="1201420" cy="4953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175">
                      <a:extLst>
                        <a:ext uri="{28A0092B-C50C-407E-A947-70E740481C1C}"/>
                      </a:extLst>
                    </a:blip>
                    <a:srcRect/>
                    <a:stretch>
                      <a:fillRect/>
                    </a:stretch>
                  </pic:blipFill>
                  <pic:spPr bwMode="auto">
                    <a:xfrm>
                      <a:off x="0" y="0"/>
                      <a:ext cx="1201420" cy="4953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-228600</wp:posOffset>
            </wp:positionV>
            <wp:extent cx="1201420" cy="495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176">
                      <a:extLst>
                        <a:ext uri="{28A0092B-C50C-407E-A947-70E740481C1C}"/>
                      </a:extLst>
                    </a:blip>
                    <a:srcRect/>
                    <a:stretch>
                      <a:fillRect/>
                    </a:stretch>
                  </pic:blipFill>
                  <pic:spPr bwMode="auto">
                    <a:xfrm>
                      <a:off x="0" y="0"/>
                      <a:ext cx="1201420" cy="49530"/>
                    </a:xfrm>
                    <a:prstGeom prst="rect">
                      <a:avLst/>
                    </a:prstGeom>
                    <a:noFill/>
                  </pic:spPr>
                </pic:pic>
              </a:graphicData>
            </a:graphic>
          </wp:anchor>
        </w:drawing>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000"/>
          </w:cols>
          <w:pgMar w:left="940" w:top="352" w:right="940" w:bottom="0" w:gutter="0" w:footer="0" w:header="0"/>
          <w:type w:val="continuous"/>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00" w:lineRule="exact"/>
        <w:rPr>
          <w:sz w:val="20"/>
          <w:szCs w:val="20"/>
          <w:color w:val="auto"/>
        </w:rPr>
      </w:pP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w:t>
      </w:r>
    </w:p>
    <w:p>
      <w:pPr>
        <w:spacing w:after="0" w:line="246" w:lineRule="exact"/>
        <w:rPr>
          <w:sz w:val="20"/>
          <w:szCs w:val="20"/>
          <w:color w:val="auto"/>
        </w:rPr>
      </w:pPr>
    </w:p>
    <w:p>
      <w:pPr>
        <w:ind w:firstLine="483"/>
        <w:spacing w:after="0" w:line="250" w:lineRule="auto"/>
        <w:rPr>
          <w:sz w:val="20"/>
          <w:szCs w:val="20"/>
          <w:color w:val="auto"/>
        </w:rPr>
      </w:pPr>
      <w:r>
        <w:rPr>
          <w:rFonts w:ascii="Times New Roman" w:cs="Times New Roman" w:eastAsia="Times New Roman" w:hAnsi="Times New Roman"/>
          <w:sz w:val="20"/>
          <w:szCs w:val="20"/>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206" w:lineRule="exact"/>
        <w:rPr>
          <w:sz w:val="20"/>
          <w:szCs w:val="20"/>
          <w:color w:val="auto"/>
        </w:rPr>
      </w:pPr>
    </w:p>
    <w:p>
      <w:pPr>
        <w:ind w:right="240" w:firstLine="483"/>
        <w:spacing w:after="0" w:line="289" w:lineRule="auto"/>
        <w:rPr>
          <w:sz w:val="20"/>
          <w:szCs w:val="20"/>
          <w:color w:val="auto"/>
        </w:rPr>
      </w:pPr>
      <w:r>
        <w:rPr>
          <w:rFonts w:ascii="Times New Roman" w:cs="Times New Roman" w:eastAsia="Times New Roman" w:hAnsi="Times New Roman"/>
          <w:sz w:val="18"/>
          <w:szCs w:val="18"/>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December 31, 2025. The 2026 Notes will mature on March 1, 2026, and the 2028 Notes will mature on March 1, 2028, in each case, unless earlier converted, redeemed or repurchased.</w:t>
      </w:r>
    </w:p>
    <w:p>
      <w:pPr>
        <w:spacing w:after="0" w:line="173" w:lineRule="exact"/>
        <w:rPr>
          <w:sz w:val="20"/>
          <w:szCs w:val="20"/>
          <w:color w:val="auto"/>
        </w:rPr>
      </w:pPr>
    </w:p>
    <w:p>
      <w:pPr>
        <w:ind w:right="20" w:firstLine="483"/>
        <w:spacing w:after="0" w:line="246" w:lineRule="auto"/>
        <w:rPr>
          <w:sz w:val="20"/>
          <w:szCs w:val="20"/>
          <w:color w:val="auto"/>
        </w:rPr>
      </w:pPr>
      <w:r>
        <w:rPr>
          <w:rFonts w:ascii="Times New Roman" w:cs="Times New Roman" w:eastAsia="Times New Roman" w:hAnsi="Times New Roman"/>
          <w:sz w:val="20"/>
          <w:szCs w:val="20"/>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December 31, 2025.</w:t>
      </w:r>
    </w:p>
    <w:p>
      <w:pPr>
        <w:spacing w:after="0" w:line="212" w:lineRule="exact"/>
        <w:rPr>
          <w:sz w:val="20"/>
          <w:szCs w:val="20"/>
          <w:color w:val="auto"/>
        </w:rPr>
      </w:pPr>
    </w:p>
    <w:p>
      <w:pPr>
        <w:ind w:right="40" w:firstLine="483"/>
        <w:spacing w:after="0" w:line="248" w:lineRule="auto"/>
        <w:rPr>
          <w:sz w:val="20"/>
          <w:szCs w:val="20"/>
          <w:color w:val="auto"/>
        </w:rPr>
      </w:pPr>
      <w:r>
        <w:rPr>
          <w:rFonts w:ascii="Times New Roman" w:cs="Times New Roman" w:eastAsia="Times New Roman" w:hAnsi="Times New Roman"/>
          <w:sz w:val="20"/>
          <w:szCs w:val="20"/>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series of Notes as of December 31, 2025. For the majority of the year ended December 31, 2025, the conditions allowing holders of the Notes to convert during the following fiscal quarter were not met. However, beginning December 1, 2025, holders of the 2026 Notes may convert their Notes at any time until maturity, regardless of conditions. As of December 31, 2025, no Notes have been converted.</w:t>
      </w:r>
    </w:p>
    <w:p>
      <w:pPr>
        <w:spacing w:after="0" w:line="209" w:lineRule="exact"/>
        <w:rPr>
          <w:sz w:val="20"/>
          <w:szCs w:val="20"/>
          <w:color w:val="auto"/>
        </w:rPr>
      </w:pPr>
    </w:p>
    <w:p>
      <w:pPr>
        <w:ind w:right="80" w:firstLine="483"/>
        <w:spacing w:after="0" w:line="246" w:lineRule="auto"/>
        <w:rPr>
          <w:sz w:val="20"/>
          <w:szCs w:val="20"/>
          <w:color w:val="auto"/>
        </w:rPr>
      </w:pPr>
      <w:r>
        <w:rPr>
          <w:rFonts w:ascii="Times New Roman" w:cs="Times New Roman" w:eastAsia="Times New Roman" w:hAnsi="Times New Roman"/>
          <w:sz w:val="20"/>
          <w:szCs w:val="20"/>
          <w:color w:val="auto"/>
        </w:rPr>
        <w:t>Prior to the close of business on the business day immediately preceding December 1, 2027, the 2028 Notes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2028 Notes on each applicable trading day; (2) during the five business day period after any five consecutive trading day period in which, for each trading day of that period, the trading price per $1,000 principal amount of 2028 Notes for such trading day was less than 98% of the product of the last reported sale price of the Class A common stock and the conversion rate for the 2028 Notes on each such trading day; (3) if the Company calls any or all of the 2028 Notes for redemption, the Notes may be converted at any time prior to the close of business on the second scheduled trading day immediately preceding the redemption date; or (4) upon the occurrence of specified corporate transactions.</w:t>
      </w:r>
    </w:p>
    <w:p>
      <w:pPr>
        <w:spacing w:after="0" w:line="215" w:lineRule="exact"/>
        <w:rPr>
          <w:sz w:val="20"/>
          <w:szCs w:val="20"/>
          <w:color w:val="auto"/>
        </w:rPr>
      </w:pPr>
    </w:p>
    <w:p>
      <w:pPr>
        <w:ind w:right="60" w:firstLine="483"/>
        <w:spacing w:after="0" w:line="256" w:lineRule="auto"/>
        <w:rPr>
          <w:sz w:val="20"/>
          <w:szCs w:val="20"/>
          <w:color w:val="auto"/>
        </w:rPr>
      </w:pPr>
      <w:r>
        <w:rPr>
          <w:rFonts w:ascii="Times New Roman" w:cs="Times New Roman" w:eastAsia="Times New Roman" w:hAnsi="Times New Roman"/>
          <w:sz w:val="20"/>
          <w:szCs w:val="20"/>
          <w:color w:val="auto"/>
        </w:rPr>
        <w:t>On or after December 1, 2027, until the close of business on the second scheduled trading day immediately preceding the relevant maturity date, holders of the 2028 Notes may convert all or a portion of their Notes regardless of the foregoing conditions.</w:t>
      </w:r>
    </w:p>
    <w:p>
      <w:pPr>
        <w:spacing w:after="0" w:line="200" w:lineRule="exact"/>
        <w:rPr>
          <w:sz w:val="20"/>
          <w:szCs w:val="20"/>
          <w:color w:val="auto"/>
        </w:rPr>
      </w:pPr>
    </w:p>
    <w:p>
      <w:pPr>
        <w:ind w:right="20" w:firstLine="483"/>
        <w:spacing w:after="0" w:line="289" w:lineRule="auto"/>
        <w:rPr>
          <w:sz w:val="20"/>
          <w:szCs w:val="20"/>
          <w:color w:val="auto"/>
        </w:rPr>
      </w:pPr>
      <w:r>
        <w:rPr>
          <w:rFonts w:ascii="Times New Roman" w:cs="Times New Roman" w:eastAsia="Times New Roman" w:hAnsi="Times New Roman"/>
          <w:sz w:val="18"/>
          <w:szCs w:val="18"/>
          <w:color w:val="auto"/>
        </w:rPr>
        <w:t>The Company may redeem for cash all or any part of the 2028 Notes, at its option, on or after March 6, 2025, if the last reported sale price of its Class A common stock has been at least 130% of the conversion price for the 2028 Notes then in effect for at least 20 trading days (whether or not consecutive) during any 30 consecutive trading day period (including the last trading day of such period) ending on, and including, the trading day immediately preceding the date on which the Company provides</w:t>
      </w:r>
    </w:p>
    <w:p>
      <w:pPr>
        <w:sectPr>
          <w:pgSz w:w="11880" w:h="15480" w:orient="portrait"/>
          <w:cols w:equalWidth="0" w:num="1">
            <w:col w:w="10000"/>
          </w:cols>
          <w:pgMar w:left="940" w:top="352" w:right="94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000"/>
          </w:cols>
          <w:pgMar w:left="940" w:top="352" w:right="940" w:bottom="0" w:gutter="0" w:footer="0" w:header="0"/>
          <w:type w:val="continuous"/>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right="200"/>
        <w:spacing w:after="0" w:line="326" w:lineRule="auto"/>
        <w:rPr>
          <w:sz w:val="20"/>
          <w:szCs w:val="20"/>
          <w:color w:val="auto"/>
        </w:rPr>
      </w:pPr>
      <w:r>
        <w:rPr>
          <w:rFonts w:ascii="Times New Roman" w:cs="Times New Roman" w:eastAsia="Times New Roman" w:hAnsi="Times New Roman"/>
          <w:sz w:val="18"/>
          <w:szCs w:val="18"/>
          <w:color w:val="auto"/>
        </w:rPr>
        <w:t>notice of redemption at a redemption price equal to 100% of the principal amount of the 2028 Notes to be redeemed, plus any accrued and unpaid special interest to, but excluding, the redemption date. No sinking fund is provided for the 2028 Notes.</w:t>
      </w:r>
    </w:p>
    <w:p>
      <w:pPr>
        <w:spacing w:after="0" w:line="140" w:lineRule="exact"/>
        <w:rPr>
          <w:sz w:val="20"/>
          <w:szCs w:val="20"/>
          <w:color w:val="auto"/>
        </w:rPr>
      </w:pPr>
    </w:p>
    <w:p>
      <w:pPr>
        <w:ind w:right="40" w:firstLine="483"/>
        <w:spacing w:after="0" w:line="250" w:lineRule="auto"/>
        <w:rPr>
          <w:sz w:val="20"/>
          <w:szCs w:val="20"/>
          <w:color w:val="auto"/>
        </w:rPr>
      </w:pPr>
      <w:r>
        <w:rPr>
          <w:rFonts w:ascii="Times New Roman" w:cs="Times New Roman" w:eastAsia="Times New Roman" w:hAnsi="Times New Roman"/>
          <w:sz w:val="20"/>
          <w:szCs w:val="20"/>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206" w:lineRule="exact"/>
        <w:rPr>
          <w:sz w:val="20"/>
          <w:szCs w:val="20"/>
          <w:color w:val="auto"/>
        </w:rPr>
      </w:pPr>
    </w:p>
    <w:p>
      <w:pPr>
        <w:ind w:right="80" w:firstLine="483"/>
        <w:spacing w:after="0" w:line="285" w:lineRule="auto"/>
        <w:rPr>
          <w:sz w:val="20"/>
          <w:szCs w:val="20"/>
          <w:color w:val="auto"/>
        </w:rPr>
      </w:pPr>
      <w:r>
        <w:rPr>
          <w:rFonts w:ascii="Times New Roman" w:cs="Times New Roman" w:eastAsia="Times New Roman" w:hAnsi="Times New Roman"/>
          <w:sz w:val="18"/>
          <w:szCs w:val="18"/>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75" w:lineRule="exact"/>
        <w:rPr>
          <w:sz w:val="20"/>
          <w:szCs w:val="20"/>
          <w:color w:val="auto"/>
        </w:rPr>
      </w:pPr>
    </w:p>
    <w:p>
      <w:pPr>
        <w:ind w:right="20" w:firstLine="483"/>
        <w:spacing w:after="0" w:line="298" w:lineRule="auto"/>
        <w:rPr>
          <w:sz w:val="20"/>
          <w:szCs w:val="20"/>
          <w:color w:val="auto"/>
        </w:rPr>
      </w:pPr>
      <w:r>
        <w:rPr>
          <w:rFonts w:ascii="Times New Roman" w:cs="Times New Roman" w:eastAsia="Times New Roman" w:hAnsi="Times New Roman"/>
          <w:sz w:val="18"/>
          <w:szCs w:val="18"/>
          <w:color w:val="auto"/>
        </w:rPr>
        <w:t>In accounting for the Notes, issuance costs of $11.0 million and $11.0 million for the 2026 Notes and the 2028 Notes, respectively, were deducted from the carrying value of the Notes in the consolidated balance sheet. Issuance costs will be recognized as interest expense over the five-year term and seven-year term for the 2026 Notes and the 2028 Notes, respectively.</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is a summary of the Notes as of December 31, 2025 and 2024.</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42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20"/>
                <w:szCs w:val="20"/>
                <w:b w:val="1"/>
                <w:bCs w:val="1"/>
                <w:color w:val="auto"/>
              </w:rPr>
              <w:t>2026 Notes</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20"/>
                <w:szCs w:val="20"/>
                <w:b w:val="1"/>
                <w:bCs w:val="1"/>
                <w:color w:val="auto"/>
              </w:rPr>
              <w:t>2028 Notes</w:t>
            </w:r>
          </w:p>
        </w:tc>
        <w:tc>
          <w:tcPr>
            <w:tcW w:w="4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83"/>
        </w:trPr>
        <w:tc>
          <w:tcPr>
            <w:tcW w:w="44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20" w:type="dxa"/>
            <w:vAlign w:val="bottom"/>
            <w:shd w:val="clear" w:color="auto" w:fill="E6E6E6"/>
          </w:tcPr>
          <w:p>
            <w:pPr>
              <w:spacing w:after="0"/>
              <w:rPr>
                <w:sz w:val="24"/>
                <w:szCs w:val="24"/>
                <w:color w:val="auto"/>
              </w:rPr>
            </w:pPr>
          </w:p>
        </w:tc>
        <w:tc>
          <w:tcPr>
            <w:tcW w:w="15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5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400" w:type="dxa"/>
            <w:vAlign w:val="bottom"/>
            <w:shd w:val="clear" w:color="auto" w:fill="E6E6E6"/>
          </w:tcPr>
          <w:p>
            <w:pPr>
              <w:spacing w:after="0"/>
              <w:rPr>
                <w:sz w:val="24"/>
                <w:szCs w:val="24"/>
                <w:color w:val="auto"/>
              </w:rPr>
            </w:pPr>
          </w:p>
        </w:tc>
      </w:tr>
      <w:tr>
        <w:trPr>
          <w:trHeight w:val="286"/>
        </w:trPr>
        <w:tc>
          <w:tcPr>
            <w:tcW w:w="4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balance</w:t>
            </w: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695.8</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693.3</w:t>
            </w: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1,389.1</w:t>
            </w:r>
          </w:p>
        </w:tc>
      </w:tr>
      <w:tr>
        <w:trPr>
          <w:trHeight w:val="289"/>
        </w:trPr>
        <w:tc>
          <w:tcPr>
            <w:tcW w:w="442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Unamortized issuance costs</w:t>
            </w:r>
          </w:p>
        </w:tc>
        <w:tc>
          <w:tcPr>
            <w:tcW w:w="32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4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92"/>
        </w:trPr>
        <w:tc>
          <w:tcPr>
            <w:tcW w:w="4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Carrying value, net</w:t>
            </w: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695.4</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689.9</w:t>
            </w: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1,385.3</w:t>
            </w:r>
          </w:p>
        </w:tc>
      </w:tr>
      <w:tr>
        <w:trPr>
          <w:trHeight w:val="263"/>
        </w:trPr>
        <w:tc>
          <w:tcPr>
            <w:tcW w:w="4420" w:type="dxa"/>
            <w:vAlign w:val="bottom"/>
            <w:tcBorders>
              <w:top w:val="single" w:sz="8" w:color="E6E6E6"/>
            </w:tcBorders>
            <w:shd w:val="clear" w:color="auto" w:fill="E6E6E6"/>
          </w:tcPr>
          <w:p>
            <w:pPr>
              <w:spacing w:after="0"/>
              <w:rPr>
                <w:sz w:val="22"/>
                <w:szCs w:val="22"/>
                <w:color w:val="auto"/>
              </w:rPr>
            </w:pPr>
          </w:p>
        </w:tc>
        <w:tc>
          <w:tcPr>
            <w:tcW w:w="320" w:type="dxa"/>
            <w:vAlign w:val="bottom"/>
            <w:tcBorders>
              <w:top w:val="single" w:sz="8" w:color="auto"/>
            </w:tcBorders>
            <w:shd w:val="clear" w:color="auto" w:fill="E6E6E6"/>
          </w:tcPr>
          <w:p>
            <w:pPr>
              <w:spacing w:after="0"/>
              <w:rPr>
                <w:sz w:val="22"/>
                <w:szCs w:val="22"/>
                <w:color w:val="auto"/>
              </w:rPr>
            </w:pPr>
          </w:p>
        </w:tc>
        <w:tc>
          <w:tcPr>
            <w:tcW w:w="1500" w:type="dxa"/>
            <w:vAlign w:val="bottom"/>
            <w:tcBorders>
              <w:top w:val="single" w:sz="8" w:color="auto"/>
            </w:tcBorders>
            <w:shd w:val="clear" w:color="auto" w:fill="E6E6E6"/>
          </w:tcPr>
          <w:p>
            <w:pPr>
              <w:spacing w:after="0"/>
              <w:rPr>
                <w:sz w:val="22"/>
                <w:szCs w:val="22"/>
                <w:color w:val="auto"/>
              </w:rPr>
            </w:pPr>
          </w:p>
        </w:tc>
        <w:tc>
          <w:tcPr>
            <w:tcW w:w="80" w:type="dxa"/>
            <w:vAlign w:val="bottom"/>
            <w:tcBorders>
              <w:top w:val="single" w:sz="8" w:color="E6E6E6"/>
            </w:tcBorders>
            <w:shd w:val="clear" w:color="auto" w:fill="E6E6E6"/>
          </w:tcPr>
          <w:p>
            <w:pPr>
              <w:spacing w:after="0"/>
              <w:rPr>
                <w:sz w:val="22"/>
                <w:szCs w:val="22"/>
                <w:color w:val="auto"/>
              </w:rPr>
            </w:pPr>
          </w:p>
        </w:tc>
        <w:tc>
          <w:tcPr>
            <w:tcW w:w="300" w:type="dxa"/>
            <w:vAlign w:val="bottom"/>
            <w:tcBorders>
              <w:top w:val="single" w:sz="8" w:color="auto"/>
            </w:tcBorders>
            <w:shd w:val="clear" w:color="auto" w:fill="E6E6E6"/>
          </w:tcPr>
          <w:p>
            <w:pPr>
              <w:spacing w:after="0"/>
              <w:rPr>
                <w:sz w:val="22"/>
                <w:szCs w:val="22"/>
                <w:color w:val="auto"/>
              </w:rPr>
            </w:pPr>
          </w:p>
        </w:tc>
        <w:tc>
          <w:tcPr>
            <w:tcW w:w="1520" w:type="dxa"/>
            <w:vAlign w:val="bottom"/>
            <w:tcBorders>
              <w:top w:val="single" w:sz="8" w:color="auto"/>
            </w:tcBorders>
            <w:shd w:val="clear" w:color="auto" w:fill="E6E6E6"/>
          </w:tcPr>
          <w:p>
            <w:pPr>
              <w:spacing w:after="0"/>
              <w:rPr>
                <w:sz w:val="22"/>
                <w:szCs w:val="22"/>
                <w:color w:val="auto"/>
              </w:rPr>
            </w:pPr>
          </w:p>
        </w:tc>
        <w:tc>
          <w:tcPr>
            <w:tcW w:w="40" w:type="dxa"/>
            <w:vAlign w:val="bottom"/>
            <w:tcBorders>
              <w:top w:val="single" w:sz="8" w:color="E6E6E6"/>
            </w:tcBorders>
            <w:shd w:val="clear" w:color="auto" w:fill="E6E6E6"/>
          </w:tcPr>
          <w:p>
            <w:pPr>
              <w:spacing w:after="0"/>
              <w:rPr>
                <w:sz w:val="22"/>
                <w:szCs w:val="22"/>
                <w:color w:val="auto"/>
              </w:rPr>
            </w:pPr>
          </w:p>
        </w:tc>
        <w:tc>
          <w:tcPr>
            <w:tcW w:w="420" w:type="dxa"/>
            <w:vAlign w:val="bottom"/>
            <w:tcBorders>
              <w:top w:val="single" w:sz="8" w:color="auto"/>
            </w:tcBorders>
            <w:shd w:val="clear" w:color="auto" w:fill="E6E6E6"/>
          </w:tcPr>
          <w:p>
            <w:pPr>
              <w:spacing w:after="0"/>
              <w:rPr>
                <w:sz w:val="22"/>
                <w:szCs w:val="22"/>
                <w:color w:val="auto"/>
              </w:rPr>
            </w:pPr>
          </w:p>
        </w:tc>
        <w:tc>
          <w:tcPr>
            <w:tcW w:w="1400" w:type="dxa"/>
            <w:vAlign w:val="bottom"/>
            <w:tcBorders>
              <w:top w:val="single" w:sz="8" w:color="auto"/>
            </w:tcBorders>
            <w:shd w:val="clear" w:color="auto" w:fill="E6E6E6"/>
          </w:tcPr>
          <w:p>
            <w:pPr>
              <w:spacing w:after="0"/>
              <w:rPr>
                <w:sz w:val="22"/>
                <w:szCs w:val="22"/>
                <w:color w:val="auto"/>
              </w:rPr>
            </w:pPr>
          </w:p>
        </w:tc>
      </w:tr>
      <w:tr>
        <w:trPr>
          <w:trHeight w:val="286"/>
        </w:trPr>
        <w:tc>
          <w:tcPr>
            <w:tcW w:w="44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9"/>
        </w:trPr>
        <w:tc>
          <w:tcPr>
            <w:tcW w:w="44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Principal balance</w:t>
            </w:r>
          </w:p>
        </w:tc>
        <w:tc>
          <w:tcPr>
            <w:tcW w:w="320" w:type="dxa"/>
            <w:vAlign w:val="bottom"/>
            <w:shd w:val="clear" w:color="auto" w:fill="E6E6E6"/>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695.8</w:t>
            </w:r>
          </w:p>
        </w:tc>
        <w:tc>
          <w:tcPr>
            <w:tcW w:w="380" w:type="dxa"/>
            <w:vAlign w:val="bottom"/>
            <w:gridSpan w:val="2"/>
            <w:shd w:val="clear" w:color="auto" w:fill="E6E6E6"/>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693.3</w:t>
            </w:r>
          </w:p>
        </w:tc>
        <w:tc>
          <w:tcPr>
            <w:tcW w:w="460" w:type="dxa"/>
            <w:vAlign w:val="bottom"/>
            <w:gridSpan w:val="2"/>
            <w:shd w:val="clear" w:color="auto" w:fill="E6E6E6"/>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1,389.1</w:t>
            </w:r>
          </w:p>
        </w:tc>
      </w:tr>
      <w:tr>
        <w:trPr>
          <w:trHeight w:val="282"/>
        </w:trPr>
        <w:tc>
          <w:tcPr>
            <w:tcW w:w="442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Unamortized issuance costs</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4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92"/>
        </w:trPr>
        <w:tc>
          <w:tcPr>
            <w:tcW w:w="442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Carrying value, net</w:t>
            </w:r>
          </w:p>
        </w:tc>
        <w:tc>
          <w:tcPr>
            <w:tcW w:w="320" w:type="dxa"/>
            <w:vAlign w:val="bottom"/>
            <w:tcBorders>
              <w:bottom w:val="single" w:sz="8" w:color="auto"/>
            </w:tcBorders>
            <w:shd w:val="clear" w:color="auto" w:fill="E6E6E6"/>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693.2</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688.4</w:t>
            </w:r>
          </w:p>
        </w:tc>
        <w:tc>
          <w:tcPr>
            <w:tcW w:w="4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1,381.6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-1714500</wp:posOffset>
            </wp:positionV>
            <wp:extent cx="2390140" cy="495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177">
                      <a:extLst>
                        <a:ext uri="{28A0092B-C50C-407E-A947-70E740481C1C}"/>
                      </a:extLst>
                    </a:blip>
                    <a:srcRect/>
                    <a:stretch>
                      <a:fillRect/>
                    </a:stretch>
                  </pic:blipFill>
                  <pic:spPr bwMode="auto">
                    <a:xfrm>
                      <a:off x="0" y="0"/>
                      <a:ext cx="2390140" cy="495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-1156970</wp:posOffset>
            </wp:positionV>
            <wp:extent cx="3588385" cy="495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178">
                      <a:extLst>
                        <a:ext uri="{28A0092B-C50C-407E-A947-70E740481C1C}"/>
                      </a:extLst>
                    </a:blip>
                    <a:srcRect/>
                    <a:stretch>
                      <a:fillRect/>
                    </a:stretch>
                  </pic:blipFill>
                  <pic:spPr bwMode="auto">
                    <a:xfrm>
                      <a:off x="0" y="0"/>
                      <a:ext cx="3588385" cy="495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-983615</wp:posOffset>
            </wp:positionV>
            <wp:extent cx="3588385" cy="7429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179">
                      <a:extLst>
                        <a:ext uri="{28A0092B-C50C-407E-A947-70E740481C1C}"/>
                      </a:extLst>
                    </a:blip>
                    <a:srcRect/>
                    <a:stretch>
                      <a:fillRect/>
                    </a:stretch>
                  </pic:blipFill>
                  <pic:spPr bwMode="auto">
                    <a:xfrm>
                      <a:off x="0" y="0"/>
                      <a:ext cx="3588385" cy="7429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-228600</wp:posOffset>
            </wp:positionV>
            <wp:extent cx="3588385" cy="495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180">
                      <a:extLst>
                        <a:ext uri="{28A0092B-C50C-407E-A947-70E740481C1C}"/>
                      </a:extLst>
                    </a:blip>
                    <a:srcRect/>
                    <a:stretch>
                      <a:fillRect/>
                    </a:stretch>
                  </pic:blipFill>
                  <pic:spPr bwMode="auto">
                    <a:xfrm>
                      <a:off x="0" y="0"/>
                      <a:ext cx="3588385" cy="495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-55245</wp:posOffset>
            </wp:positionV>
            <wp:extent cx="3588385" cy="7429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181">
                      <a:extLst>
                        <a:ext uri="{28A0092B-C50C-407E-A947-70E740481C1C}"/>
                      </a:extLst>
                    </a:blip>
                    <a:srcRect/>
                    <a:stretch>
                      <a:fillRect/>
                    </a:stretch>
                  </pic:blipFill>
                  <pic:spPr bwMode="auto">
                    <a:xfrm>
                      <a:off x="0" y="0"/>
                      <a:ext cx="3588385" cy="74295"/>
                    </a:xfrm>
                    <a:prstGeom prst="rect">
                      <a:avLst/>
                    </a:prstGeom>
                    <a:noFill/>
                  </pic:spPr>
                </pic:pic>
              </a:graphicData>
            </a:graphic>
          </wp:anchor>
        </w:drawing>
      </w:r>
    </w:p>
    <w:p>
      <w:pPr>
        <w:spacing w:after="0" w:line="221" w:lineRule="exact"/>
        <w:rPr>
          <w:sz w:val="20"/>
          <w:szCs w:val="20"/>
          <w:color w:val="auto"/>
        </w:rPr>
      </w:pPr>
    </w:p>
    <w:p>
      <w:pPr>
        <w:ind w:right="20" w:firstLine="439"/>
        <w:spacing w:after="0" w:line="252"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recognized $2.2 million in interest expense for the 2026 Notes and $1.6 million in interest expense for the 2028 Notes, respectively, with such interest expense solely consisting of amortization of issuance costs. The effective interest rate for the 2026 Notes and the 2028 Notes was 0.32% and 0.22%, respectively, as of 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Maturities on the Company's convertible debt are as follows: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557"/>
        </w:trPr>
        <w:tc>
          <w:tcPr>
            <w:tcW w:w="81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w w:val="97"/>
              </w:rPr>
              <w:t>Convertible Debt</w:t>
            </w:r>
          </w:p>
        </w:tc>
      </w:tr>
      <w:tr>
        <w:trPr>
          <w:trHeight w:val="283"/>
        </w:trPr>
        <w:tc>
          <w:tcPr>
            <w:tcW w:w="81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695.8</w:t>
            </w:r>
          </w:p>
        </w:tc>
      </w:tr>
      <w:tr>
        <w:trPr>
          <w:trHeight w:val="286"/>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81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shd w:val="clear" w:color="auto" w:fill="E6E6E6"/>
          </w:tcPr>
          <w:p>
            <w:pPr>
              <w:spacing w:after="0"/>
              <w:rPr>
                <w:sz w:val="24"/>
                <w:szCs w:val="24"/>
                <w:color w:val="auto"/>
              </w:rPr>
            </w:pPr>
          </w:p>
        </w:tc>
        <w:tc>
          <w:tcPr>
            <w:tcW w:w="1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693.3</w:t>
            </w:r>
          </w:p>
        </w:tc>
      </w:tr>
      <w:tr>
        <w:trPr>
          <w:trHeight w:val="286"/>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9"/>
        </w:trPr>
        <w:tc>
          <w:tcPr>
            <w:tcW w:w="81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2030 and thereafter</w:t>
            </w:r>
          </w:p>
        </w:tc>
        <w:tc>
          <w:tcPr>
            <w:tcW w:w="180" w:type="dxa"/>
            <w:vAlign w:val="bottom"/>
            <w:tcBorders>
              <w:bottom w:val="single" w:sz="8" w:color="auto"/>
            </w:tcBorders>
            <w:shd w:val="clear" w:color="auto" w:fill="E6E6E6"/>
          </w:tcPr>
          <w:p>
            <w:pPr>
              <w:spacing w:after="0"/>
              <w:rPr>
                <w:sz w:val="24"/>
                <w:szCs w:val="24"/>
                <w:color w:val="auto"/>
              </w:rPr>
            </w:pPr>
          </w:p>
        </w:tc>
        <w:tc>
          <w:tcPr>
            <w:tcW w:w="16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1,389.1</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-1156970</wp:posOffset>
            </wp:positionV>
            <wp:extent cx="1201420" cy="4953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182">
                      <a:extLst>
                        <a:ext uri="{28A0092B-C50C-407E-A947-70E740481C1C}"/>
                      </a:extLst>
                    </a:blip>
                    <a:srcRect/>
                    <a:stretch>
                      <a:fillRect/>
                    </a:stretch>
                  </pic:blipFill>
                  <pic:spPr bwMode="auto">
                    <a:xfrm>
                      <a:off x="0" y="0"/>
                      <a:ext cx="1201420" cy="4953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-228600</wp:posOffset>
            </wp:positionV>
            <wp:extent cx="1201420" cy="495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183">
                      <a:extLst>
                        <a:ext uri="{28A0092B-C50C-407E-A947-70E740481C1C}"/>
                      </a:extLst>
                    </a:blip>
                    <a:srcRect/>
                    <a:stretch>
                      <a:fillRect/>
                    </a:stretch>
                  </pic:blipFill>
                  <pic:spPr bwMode="auto">
                    <a:xfrm>
                      <a:off x="0" y="0"/>
                      <a:ext cx="1201420" cy="49530"/>
                    </a:xfrm>
                    <a:prstGeom prst="rect">
                      <a:avLst/>
                    </a:prstGeom>
                    <a:noFill/>
                  </pic:spPr>
                </pic:pic>
              </a:graphicData>
            </a:graphic>
          </wp:anchor>
        </w:drawing>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000"/>
          </w:cols>
          <w:pgMar w:left="940" w:top="352" w:right="940" w:bottom="0" w:gutter="0" w:footer="0" w:header="0"/>
          <w:type w:val="continuous"/>
        </w:sectPr>
      </w:pPr>
    </w:p>
    <w:bookmarkStart w:id="196" w:name="page197"/>
    <w:bookmarkEnd w:id="196"/>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 Hedges and Warrants</w:t>
      </w:r>
    </w:p>
    <w:p>
      <w:pPr>
        <w:spacing w:after="0" w:line="246" w:lineRule="exact"/>
        <w:rPr>
          <w:sz w:val="20"/>
          <w:szCs w:val="20"/>
          <w:color w:val="auto"/>
        </w:rPr>
      </w:pPr>
    </w:p>
    <w:p>
      <w:pPr>
        <w:ind w:right="140" w:firstLine="483"/>
        <w:spacing w:after="0" w:line="249" w:lineRule="auto"/>
        <w:rPr>
          <w:sz w:val="20"/>
          <w:szCs w:val="20"/>
          <w:color w:val="auto"/>
        </w:rPr>
      </w:pPr>
      <w:r>
        <w:rPr>
          <w:rFonts w:ascii="Times New Roman" w:cs="Times New Roman" w:eastAsia="Times New Roman" w:hAnsi="Times New Roman"/>
          <w:sz w:val="20"/>
          <w:szCs w:val="20"/>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convertible note hedge transactions was $265.3 million.</w:t>
      </w:r>
    </w:p>
    <w:p>
      <w:pPr>
        <w:spacing w:after="0" w:line="207" w:lineRule="exact"/>
        <w:rPr>
          <w:sz w:val="20"/>
          <w:szCs w:val="20"/>
          <w:color w:val="auto"/>
        </w:rPr>
      </w:pPr>
    </w:p>
    <w:p>
      <w:pPr>
        <w:ind w:right="20" w:firstLine="483"/>
        <w:spacing w:after="0" w:line="249" w:lineRule="auto"/>
        <w:rPr>
          <w:sz w:val="20"/>
          <w:szCs w:val="20"/>
          <w:color w:val="auto"/>
        </w:rPr>
      </w:pPr>
      <w:r>
        <w:rPr>
          <w:rFonts w:ascii="Times New Roman" w:cs="Times New Roman" w:eastAsia="Times New Roman" w:hAnsi="Times New Roman"/>
          <w:sz w:val="20"/>
          <w:szCs w:val="20"/>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series of Notes.</w:t>
      </w:r>
    </w:p>
    <w:p>
      <w:pPr>
        <w:spacing w:after="0" w:line="207" w:lineRule="exact"/>
        <w:rPr>
          <w:sz w:val="20"/>
          <w:szCs w:val="20"/>
          <w:color w:val="auto"/>
        </w:rPr>
      </w:pPr>
    </w:p>
    <w:p>
      <w:pPr>
        <w:ind w:right="200" w:firstLine="483"/>
        <w:spacing w:after="0" w:line="249" w:lineRule="auto"/>
        <w:rPr>
          <w:sz w:val="20"/>
          <w:szCs w:val="20"/>
          <w:color w:val="auto"/>
        </w:rPr>
      </w:pPr>
      <w:r>
        <w:rPr>
          <w:rFonts w:ascii="Times New Roman" w:cs="Times New Roman" w:eastAsia="Times New Roman" w:hAnsi="Times New Roman"/>
          <w:sz w:val="20"/>
          <w:szCs w:val="20"/>
          <w:color w:val="auto"/>
        </w:rPr>
        <w:t>The convertible note hedge transactions are expected generally to offset the potential dilution to the Class A common stock upon conversion of the relevant series of Notes and/or reduce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December 31, 2025, the Company’s stock price was below the exercise price of the respective Note Hedges.</w:t>
      </w:r>
    </w:p>
    <w:p>
      <w:pPr>
        <w:spacing w:after="0" w:line="207" w:lineRule="exact"/>
        <w:rPr>
          <w:sz w:val="20"/>
          <w:szCs w:val="20"/>
          <w:color w:val="auto"/>
        </w:rPr>
      </w:pPr>
    </w:p>
    <w:p>
      <w:pPr>
        <w:ind w:right="80" w:firstLine="483"/>
        <w:spacing w:after="0" w:line="285" w:lineRule="auto"/>
        <w:rPr>
          <w:sz w:val="20"/>
          <w:szCs w:val="20"/>
          <w:color w:val="auto"/>
        </w:rPr>
      </w:pPr>
      <w:r>
        <w:rPr>
          <w:rFonts w:ascii="Times New Roman" w:cs="Times New Roman" w:eastAsia="Times New Roman" w:hAnsi="Times New Roman"/>
          <w:sz w:val="18"/>
          <w:szCs w:val="18"/>
          <w:color w:val="auto"/>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spacing w:after="0" w:line="175" w:lineRule="exact"/>
        <w:rPr>
          <w:sz w:val="20"/>
          <w:szCs w:val="20"/>
          <w:color w:val="auto"/>
        </w:rPr>
      </w:pPr>
    </w:p>
    <w:p>
      <w:pPr>
        <w:ind w:right="60" w:firstLine="483"/>
        <w:spacing w:after="0" w:line="248" w:lineRule="auto"/>
        <w:rPr>
          <w:sz w:val="20"/>
          <w:szCs w:val="20"/>
          <w:color w:val="auto"/>
        </w:rPr>
      </w:pPr>
      <w:r>
        <w:rPr>
          <w:rFonts w:ascii="Times New Roman" w:cs="Times New Roman" w:eastAsia="Times New Roman" w:hAnsi="Times New Roman"/>
          <w:sz w:val="20"/>
          <w:szCs w:val="20"/>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December 31, 2025, the Company’s Class A common stock price was below the exercise price of the Warrants.</w:t>
      </w:r>
    </w:p>
    <w:p>
      <w:pPr>
        <w:spacing w:after="0" w:line="209" w:lineRule="exact"/>
        <w:rPr>
          <w:sz w:val="20"/>
          <w:szCs w:val="20"/>
          <w:color w:val="auto"/>
        </w:rPr>
      </w:pPr>
    </w:p>
    <w:p>
      <w:pPr>
        <w:ind w:firstLine="483"/>
        <w:spacing w:after="0" w:line="250" w:lineRule="auto"/>
        <w:rPr>
          <w:sz w:val="20"/>
          <w:szCs w:val="20"/>
          <w:color w:val="auto"/>
        </w:rPr>
      </w:pPr>
      <w:r>
        <w:rPr>
          <w:rFonts w:ascii="Times New Roman" w:cs="Times New Roman" w:eastAsia="Times New Roman" w:hAnsi="Times New Roman"/>
          <w:sz w:val="20"/>
          <w:szCs w:val="20"/>
          <w:color w:val="auto"/>
        </w:rPr>
        <w:t>Taken together, the purchase of the Note Hedges and the sale of the Warrants are intended to offset potential dilution from the conversion of the 2026 Notes and the 2028 Notes and/or reduce any cash payments the Company is required to make in excess of the principal amount of such converted Notes, as the case may be, and to effectively increase the overall conversion price from $38.25 per share to $46.36 per share and from $35.35 per share to $46.36 for the 2026 Notes and the 2028 Notes, respectively.</w:t>
      </w:r>
    </w:p>
    <w:p>
      <w:pPr>
        <w:spacing w:after="0" w:line="206" w:lineRule="exact"/>
        <w:rPr>
          <w:sz w:val="20"/>
          <w:szCs w:val="20"/>
          <w:color w:val="auto"/>
        </w:rPr>
      </w:pPr>
    </w:p>
    <w:p>
      <w:pPr>
        <w:ind w:right="100" w:firstLine="483"/>
        <w:spacing w:after="0" w:line="250" w:lineRule="auto"/>
        <w:rPr>
          <w:sz w:val="20"/>
          <w:szCs w:val="20"/>
          <w:color w:val="auto"/>
        </w:rPr>
      </w:pPr>
      <w:r>
        <w:rPr>
          <w:rFonts w:ascii="Times New Roman" w:cs="Times New Roman" w:eastAsia="Times New Roman" w:hAnsi="Times New Roman"/>
          <w:sz w:val="20"/>
          <w:szCs w:val="20"/>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000"/>
          </w:cols>
          <w:pgMar w:left="940" w:top="352" w:right="940" w:bottom="0" w:gutter="0" w:footer="0" w:header="0"/>
          <w:type w:val="continuous"/>
        </w:sectPr>
      </w:pPr>
    </w:p>
    <w:bookmarkStart w:id="197" w:name="page198"/>
    <w:bookmarkEnd w:id="197"/>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Note 9. Leases</w:t>
      </w:r>
    </w:p>
    <w:p>
      <w:pPr>
        <w:spacing w:after="0" w:line="245" w:lineRule="exact"/>
        <w:rPr>
          <w:sz w:val="20"/>
          <w:szCs w:val="20"/>
          <w:color w:val="auto"/>
        </w:rPr>
      </w:pPr>
    </w:p>
    <w:p>
      <w:pPr>
        <w:jc w:val="both"/>
        <w:ind w:left="2" w:right="240" w:firstLine="439"/>
        <w:spacing w:after="0" w:line="256" w:lineRule="auto"/>
        <w:rPr>
          <w:sz w:val="20"/>
          <w:szCs w:val="20"/>
          <w:color w:val="auto"/>
        </w:rPr>
      </w:pPr>
      <w:r>
        <w:rPr>
          <w:rFonts w:ascii="Times New Roman" w:cs="Times New Roman" w:eastAsia="Times New Roman" w:hAnsi="Times New Roman"/>
          <w:sz w:val="20"/>
          <w:szCs w:val="20"/>
          <w:color w:val="auto"/>
        </w:rPr>
        <w:t>The Company has operating leases for corporate offices, datacenters, and finance leases for infrastructure and computer equipment. The Company’s leases have remaining lease terms of under 1 year to 11 years, some of which include options to extend the leases for up to 5 years.</w:t>
      </w:r>
    </w:p>
    <w:p>
      <w:pPr>
        <w:spacing w:after="0" w:line="185"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20"/>
          <w:szCs w:val="20"/>
          <w:color w:val="auto"/>
        </w:rPr>
        <w:t>The components of lease cost were as follows:</w:t>
      </w:r>
    </w:p>
    <w:p>
      <w:pPr>
        <w:spacing w:after="0" w:line="137" w:lineRule="exact"/>
        <w:rPr>
          <w:sz w:val="20"/>
          <w:szCs w:val="20"/>
          <w:color w:val="auto"/>
        </w:rPr>
      </w:pPr>
    </w:p>
    <w:p>
      <w:pPr>
        <w:ind w:left="8082"/>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8002"/>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2" w:type="dxa"/>
        <w:tblCellMar>
          <w:top w:w="0" w:type="dxa"/>
          <w:left w:w="0" w:type="dxa"/>
          <w:bottom w:w="0" w:type="dxa"/>
          <w:right w:w="0" w:type="dxa"/>
        </w:tblCellMar>
      </w:tblPr>
      <w:tr>
        <w:trPr>
          <w:trHeight w:val="275"/>
        </w:trPr>
        <w:tc>
          <w:tcPr>
            <w:tcW w:w="7160" w:type="dxa"/>
            <w:vAlign w:val="bottom"/>
            <w:tcBorders>
              <w:bottom w:val="single" w:sz="8" w:color="E6E6E6"/>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top w:val="single" w:sz="8" w:color="auto"/>
              <w:bottom w:val="single" w:sz="8" w:color="E6E6E6"/>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83"/>
        </w:trPr>
        <w:tc>
          <w:tcPr>
            <w:tcW w:w="716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 xml:space="preserve">Operating lease cost </w:t>
            </w:r>
            <w:r>
              <w:rPr>
                <w:rFonts w:ascii="Times New Roman" w:cs="Times New Roman" w:eastAsia="Times New Roman" w:hAnsi="Times New Roman"/>
                <w:sz w:val="12"/>
                <w:szCs w:val="12"/>
                <w:color w:val="auto"/>
              </w:rPr>
              <w:t>(1)</w:t>
            </w:r>
          </w:p>
        </w:tc>
        <w:tc>
          <w:tcPr>
            <w:tcW w:w="320" w:type="dxa"/>
            <w:vAlign w:val="bottom"/>
            <w:shd w:val="clear" w:color="auto" w:fill="E6E6E6"/>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3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64.4</w:t>
            </w:r>
          </w:p>
        </w:tc>
      </w:tr>
      <w:tr>
        <w:trPr>
          <w:trHeight w:val="286"/>
        </w:trPr>
        <w:tc>
          <w:tcPr>
            <w:tcW w:w="7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Finance lease cost: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9"/>
        </w:trPr>
        <w:tc>
          <w:tcPr>
            <w:tcW w:w="716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Amortization of assets under finance lease</w:t>
            </w:r>
          </w:p>
        </w:tc>
        <w:tc>
          <w:tcPr>
            <w:tcW w:w="3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89.9</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77.9</w:t>
            </w:r>
          </w:p>
        </w:tc>
      </w:tr>
      <w:tr>
        <w:trPr>
          <w:trHeight w:val="282"/>
        </w:trPr>
        <w:tc>
          <w:tcPr>
            <w:tcW w:w="7160" w:type="dxa"/>
            <w:vAlign w:val="bottom"/>
            <w:tcBorders>
              <w:bottom w:val="single" w:sz="8" w:color="E6E6E6"/>
            </w:tcBorders>
          </w:tcPr>
          <w:p>
            <w:pPr>
              <w:ind w:left="300"/>
              <w:spacing w:after="0"/>
              <w:rPr>
                <w:sz w:val="20"/>
                <w:szCs w:val="20"/>
                <w:color w:val="auto"/>
              </w:rPr>
            </w:pPr>
            <w:r>
              <w:rPr>
                <w:rFonts w:ascii="Times New Roman" w:cs="Times New Roman" w:eastAsia="Times New Roman" w:hAnsi="Times New Roman"/>
                <w:sz w:val="20"/>
                <w:szCs w:val="20"/>
                <w:color w:val="auto"/>
              </w:rPr>
              <w:t>Interest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92"/>
        </w:trPr>
        <w:tc>
          <w:tcPr>
            <w:tcW w:w="716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finance lease cost</w:t>
            </w:r>
          </w:p>
        </w:tc>
        <w:tc>
          <w:tcPr>
            <w:tcW w:w="320" w:type="dxa"/>
            <w:vAlign w:val="bottom"/>
            <w:tcBorders>
              <w:bottom w:val="single" w:sz="8" w:color="auto"/>
            </w:tcBorders>
            <w:shd w:val="clear" w:color="auto" w:fill="E6E6E6"/>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380" w:type="dxa"/>
            <w:vAlign w:val="bottom"/>
            <w:tcBorders>
              <w:bottom w:val="single" w:sz="8" w:color="auto"/>
            </w:tcBorders>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-971550</wp:posOffset>
            </wp:positionV>
            <wp:extent cx="1860550" cy="495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84">
                      <a:extLst>
                        <a:ext uri="{28A0092B-C50C-407E-A947-70E740481C1C}"/>
                      </a:extLst>
                    </a:blip>
                    <a:srcRect/>
                    <a:stretch>
                      <a:fillRect/>
                    </a:stretch>
                  </pic:blipFill>
                  <pic:spPr bwMode="auto">
                    <a:xfrm>
                      <a:off x="0" y="0"/>
                      <a:ext cx="1860550" cy="49530"/>
                    </a:xfrm>
                    <a:prstGeom prst="rect">
                      <a:avLst/>
                    </a:prstGeom>
                    <a:noFill/>
                  </pic:spPr>
                </pic:pic>
              </a:graphicData>
            </a:graphic>
          </wp:anchor>
        </w:drawing>
        <w:drawing>
          <wp:anchor simplePos="0" relativeHeight="251657728" behindDoc="1" locked="0" layoutInCell="0" allowOverlap="1">
            <wp:simplePos x="0" y="0"/>
            <wp:positionH relativeFrom="column">
              <wp:posOffset>4516755</wp:posOffset>
            </wp:positionH>
            <wp:positionV relativeFrom="paragraph">
              <wp:posOffset>-228600</wp:posOffset>
            </wp:positionV>
            <wp:extent cx="1860550" cy="4953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85">
                      <a:extLst>
                        <a:ext uri="{28A0092B-C50C-407E-A947-70E740481C1C}"/>
                      </a:extLst>
                    </a:blip>
                    <a:srcRect/>
                    <a:stretch>
                      <a:fillRect/>
                    </a:stretch>
                  </pic:blipFill>
                  <pic:spPr bwMode="auto">
                    <a:xfrm>
                      <a:off x="0" y="0"/>
                      <a:ext cx="1860550" cy="49530"/>
                    </a:xfrm>
                    <a:prstGeom prst="rect">
                      <a:avLst/>
                    </a:prstGeom>
                    <a:noFill/>
                  </pic:spPr>
                </pic:pic>
              </a:graphicData>
            </a:graphic>
          </wp:anchor>
        </w:drawing>
        <w:drawing>
          <wp:anchor simplePos="0" relativeHeight="251657728" behindDoc="1" locked="0" layoutInCell="0" allowOverlap="1">
            <wp:simplePos x="0" y="0"/>
            <wp:positionH relativeFrom="column">
              <wp:posOffset>4516755</wp:posOffset>
            </wp:positionH>
            <wp:positionV relativeFrom="paragraph">
              <wp:posOffset>-55245</wp:posOffset>
            </wp:positionV>
            <wp:extent cx="1860550" cy="7429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186">
                      <a:extLst>
                        <a:ext uri="{28A0092B-C50C-407E-A947-70E740481C1C}"/>
                      </a:extLst>
                    </a:blip>
                    <a:srcRect/>
                    <a:stretch>
                      <a:fillRect/>
                    </a:stretch>
                  </pic:blipFill>
                  <pic:spPr bwMode="auto">
                    <a:xfrm>
                      <a:off x="0" y="0"/>
                      <a:ext cx="1860550" cy="74295"/>
                    </a:xfrm>
                    <a:prstGeom prst="rect">
                      <a:avLst/>
                    </a:prstGeom>
                    <a:noFill/>
                  </pic:spPr>
                </pic:pic>
              </a:graphicData>
            </a:graphic>
          </wp:anchor>
        </w:drawing>
      </w:r>
    </w:p>
    <w:p>
      <w:pPr>
        <w:spacing w:after="0" w:line="182" w:lineRule="exact"/>
        <w:rPr>
          <w:sz w:val="20"/>
          <w:szCs w:val="20"/>
          <w:color w:val="auto"/>
        </w:rPr>
      </w:pPr>
    </w:p>
    <w:p>
      <w:pPr>
        <w:ind w:left="202" w:hanging="202"/>
        <w:spacing w:after="0"/>
        <w:tabs>
          <w:tab w:leader="none" w:pos="202" w:val="left"/>
        </w:tabs>
        <w:numPr>
          <w:ilvl w:val="0"/>
          <w:numId w:val="1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Is presented gross of sublease income and includes short-term leases, which are immaterial.</w:t>
      </w:r>
    </w:p>
    <w:p>
      <w:pPr>
        <w:spacing w:after="0" w:line="219" w:lineRule="exact"/>
        <w:rPr>
          <w:rFonts w:ascii="Times New Roman" w:cs="Times New Roman" w:eastAsia="Times New Roman" w:hAnsi="Times New Roman"/>
          <w:sz w:val="25"/>
          <w:szCs w:val="25"/>
          <w:color w:val="auto"/>
          <w:vertAlign w:val="superscript"/>
        </w:rPr>
      </w:pPr>
    </w:p>
    <w:p>
      <w:pPr>
        <w:ind w:left="342"/>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Other information related to leases was as follows:</w:t>
      </w:r>
    </w:p>
    <w:p>
      <w:pPr>
        <w:spacing w:after="0" w:line="232" w:lineRule="exact"/>
        <w:rPr>
          <w:sz w:val="20"/>
          <w:szCs w:val="20"/>
          <w:color w:val="auto"/>
        </w:rPr>
      </w:pPr>
    </w:p>
    <w:p>
      <w:pPr>
        <w:ind w:left="8042"/>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962"/>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22" w:type="dxa"/>
        <w:tblCellMar>
          <w:top w:w="0" w:type="dxa"/>
          <w:left w:w="0" w:type="dxa"/>
          <w:bottom w:w="0" w:type="dxa"/>
          <w:right w:w="0" w:type="dxa"/>
        </w:tblCellMar>
      </w:tblPr>
      <w:tr>
        <w:trPr>
          <w:trHeight w:val="261"/>
        </w:trPr>
        <w:tc>
          <w:tcPr>
            <w:tcW w:w="70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1"/>
        </w:trPr>
        <w:tc>
          <w:tcPr>
            <w:tcW w:w="70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0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r>
      <w:tr>
        <w:trPr>
          <w:trHeight w:val="271"/>
        </w:trPr>
        <w:tc>
          <w:tcPr>
            <w:tcW w:w="7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Payments for operating leases included in cash from operating activities</w:t>
            </w:r>
          </w:p>
        </w:tc>
        <w:tc>
          <w:tcPr>
            <w:tcW w:w="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r>
      <w:tr>
        <w:trPr>
          <w:trHeight w:val="284"/>
        </w:trPr>
        <w:tc>
          <w:tcPr>
            <w:tcW w:w="706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Payments for finance leases included in cash from operating activities</w:t>
            </w: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71"/>
        </w:trPr>
        <w:tc>
          <w:tcPr>
            <w:tcW w:w="7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Payments for finance leases included in cash from financing activities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129.4</w:t>
            </w:r>
          </w:p>
        </w:tc>
      </w:tr>
      <w:tr>
        <w:trPr>
          <w:trHeight w:val="284"/>
        </w:trPr>
        <w:tc>
          <w:tcPr>
            <w:tcW w:w="70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Assets obtained in exchange for lease obligations:</w:t>
            </w: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r>
      <w:tr>
        <w:trPr>
          <w:trHeight w:val="271"/>
        </w:trPr>
        <w:tc>
          <w:tcPr>
            <w:tcW w:w="70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Operating leases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84"/>
        </w:trPr>
        <w:tc>
          <w:tcPr>
            <w:tcW w:w="706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Finance leases</w:t>
            </w:r>
          </w:p>
        </w:tc>
        <w:tc>
          <w:tcPr>
            <w:tcW w:w="340" w:type="dxa"/>
            <w:vAlign w:val="bottom"/>
            <w:shd w:val="clear" w:color="auto" w:fill="E6E6E6"/>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147.3</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171.6</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722"/>
        <w:spacing w:after="0"/>
        <w:rPr>
          <w:sz w:val="20"/>
          <w:szCs w:val="20"/>
          <w:color w:val="auto"/>
        </w:rPr>
      </w:pPr>
      <w:r>
        <w:rPr>
          <w:rFonts w:ascii="Times New Roman" w:cs="Times New Roman" w:eastAsia="Times New Roman" w:hAnsi="Times New Roman"/>
          <w:sz w:val="20"/>
          <w:szCs w:val="20"/>
          <w:b w:val="1"/>
          <w:bCs w:val="1"/>
          <w:color w:val="auto"/>
        </w:rPr>
        <w:t>As of December 31,</w:t>
      </w:r>
    </w:p>
    <w:p>
      <w:pPr>
        <w:spacing w:after="0" w:line="28" w:lineRule="exact"/>
        <w:rPr>
          <w:sz w:val="20"/>
          <w:szCs w:val="20"/>
          <w:color w:val="auto"/>
        </w:rPr>
      </w:pPr>
    </w:p>
    <w:tbl>
      <w:tblPr>
        <w:tblLayout w:type="fixed"/>
        <w:tblInd w:w="42" w:type="dxa"/>
        <w:tblCellMar>
          <w:top w:w="0" w:type="dxa"/>
          <w:left w:w="0" w:type="dxa"/>
          <w:bottom w:w="0" w:type="dxa"/>
          <w:right w:w="0" w:type="dxa"/>
        </w:tblCellMar>
      </w:tblPr>
      <w:tr>
        <w:trPr>
          <w:trHeight w:val="261"/>
        </w:trPr>
        <w:tc>
          <w:tcPr>
            <w:tcW w:w="7060" w:type="dxa"/>
            <w:vAlign w:val="bottom"/>
            <w:tcBorders>
              <w:bottom w:val="single" w:sz="8" w:color="E6E6E6"/>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E6E6E6"/>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82"/>
        </w:trPr>
        <w:tc>
          <w:tcPr>
            <w:tcW w:w="79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Weighted Average Remaining Lease Term (in years)</w:t>
            </w:r>
          </w:p>
        </w:tc>
        <w:tc>
          <w:tcPr>
            <w:tcW w:w="5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400" w:type="dxa"/>
            <w:vAlign w:val="bottom"/>
            <w:shd w:val="clear" w:color="auto" w:fill="E6E6E6"/>
          </w:tcPr>
          <w:p>
            <w:pPr>
              <w:spacing w:after="0"/>
              <w:rPr>
                <w:sz w:val="24"/>
                <w:szCs w:val="24"/>
                <w:color w:val="auto"/>
              </w:rPr>
            </w:pPr>
          </w:p>
        </w:tc>
      </w:tr>
      <w:tr>
        <w:trPr>
          <w:trHeight w:val="286"/>
        </w:trPr>
        <w:tc>
          <w:tcPr>
            <w:tcW w:w="79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Operating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99"/>
        </w:trPr>
        <w:tc>
          <w:tcPr>
            <w:tcW w:w="7960" w:type="dxa"/>
            <w:vAlign w:val="bottom"/>
            <w:gridSpan w:val="2"/>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Finance leases</w:t>
            </w: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4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93"/>
        </w:trPr>
        <w:tc>
          <w:tcPr>
            <w:tcW w:w="7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3"/>
        </w:trPr>
        <w:tc>
          <w:tcPr>
            <w:tcW w:w="79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Weighted Average Discount Rate</w:t>
            </w:r>
          </w:p>
        </w:tc>
        <w:tc>
          <w:tcPr>
            <w:tcW w:w="5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400" w:type="dxa"/>
            <w:vAlign w:val="bottom"/>
            <w:shd w:val="clear" w:color="auto" w:fill="E6E6E6"/>
          </w:tcPr>
          <w:p>
            <w:pPr>
              <w:spacing w:after="0"/>
              <w:rPr>
                <w:sz w:val="24"/>
                <w:szCs w:val="24"/>
                <w:color w:val="auto"/>
              </w:rPr>
            </w:pPr>
          </w:p>
        </w:tc>
      </w:tr>
      <w:tr>
        <w:trPr>
          <w:trHeight w:val="286"/>
        </w:trPr>
        <w:tc>
          <w:tcPr>
            <w:tcW w:w="79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Operating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3.8 %</w:t>
            </w:r>
          </w:p>
        </w:tc>
      </w:tr>
      <w:tr>
        <w:trPr>
          <w:trHeight w:val="299"/>
        </w:trPr>
        <w:tc>
          <w:tcPr>
            <w:tcW w:w="7960" w:type="dxa"/>
            <w:vAlign w:val="bottom"/>
            <w:gridSpan w:val="2"/>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Finance leases</w:t>
            </w: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8"/>
              </w:rPr>
              <w:t>5.3 %</w:t>
            </w:r>
          </w:p>
        </w:tc>
        <w:tc>
          <w:tcPr>
            <w:tcW w:w="14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-1324610</wp:posOffset>
            </wp:positionV>
            <wp:extent cx="1870075" cy="495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187">
                      <a:extLst>
                        <a:ext uri="{28A0092B-C50C-407E-A947-70E740481C1C}"/>
                      </a:extLst>
                    </a:blip>
                    <a:srcRect/>
                    <a:stretch>
                      <a:fillRect/>
                    </a:stretch>
                  </pic:blipFill>
                  <pic:spPr bwMode="auto">
                    <a:xfrm>
                      <a:off x="0" y="0"/>
                      <a:ext cx="1870075" cy="49530"/>
                    </a:xfrm>
                    <a:prstGeom prst="rect">
                      <a:avLst/>
                    </a:prstGeom>
                    <a:noFill/>
                  </pic:spPr>
                </pic:pic>
              </a:graphicData>
            </a:graphic>
          </wp:anchor>
        </w:drawing>
      </w:r>
    </w:p>
    <w:p>
      <w:pPr>
        <w:sectPr>
          <w:pgSz w:w="11880" w:h="15480" w:orient="portrait"/>
          <w:cols w:equalWidth="0" w:num="1">
            <w:col w:w="10002"/>
          </w:cols>
          <w:pgMar w:left="938"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002"/>
          </w:cols>
          <w:pgMar w:left="938" w:top="352" w:right="940" w:bottom="0" w:gutter="0" w:footer="0" w:header="0"/>
          <w:type w:val="continuous"/>
        </w:sectPr>
      </w:pPr>
    </w:p>
    <w:bookmarkStart w:id="198" w:name="page199"/>
    <w:bookmarkEnd w:id="198"/>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left="1882"/>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2025 were as follows:</w:t>
      </w:r>
    </w:p>
    <w:p>
      <w:pPr>
        <w:spacing w:after="0" w:line="321" w:lineRule="exact"/>
        <w:rPr>
          <w:sz w:val="20"/>
          <w:szCs w:val="20"/>
          <w:color w:val="auto"/>
        </w:rPr>
      </w:pPr>
    </w:p>
    <w:tbl>
      <w:tblPr>
        <w:tblLayout w:type="fixed"/>
        <w:tblInd w:w="2" w:type="dxa"/>
        <w:tblCellMar>
          <w:top w:w="0" w:type="dxa"/>
          <w:left w:w="0" w:type="dxa"/>
          <w:bottom w:w="0" w:type="dxa"/>
          <w:right w:w="0" w:type="dxa"/>
        </w:tblCellMar>
      </w:tblPr>
      <w:tr>
        <w:trPr>
          <w:trHeight w:val="261"/>
        </w:trPr>
        <w:tc>
          <w:tcPr>
            <w:tcW w:w="630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Operating leases</w:t>
            </w:r>
            <w:r>
              <w:rPr>
                <w:rFonts w:ascii="Times New Roman" w:cs="Times New Roman" w:eastAsia="Times New Roman" w:hAnsi="Times New Roman"/>
                <w:sz w:val="12"/>
                <w:szCs w:val="12"/>
                <w:b w:val="1"/>
                <w:bCs w:val="1"/>
                <w:color w:val="auto"/>
              </w:rPr>
              <w:t>(1)</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20"/>
                <w:szCs w:val="20"/>
                <w:b w:val="1"/>
                <w:bCs w:val="1"/>
                <w:color w:val="auto"/>
              </w:rPr>
              <w:t>Finance leases</w:t>
            </w:r>
          </w:p>
        </w:tc>
      </w:tr>
      <w:tr>
        <w:trPr>
          <w:trHeight w:val="283"/>
        </w:trPr>
        <w:tc>
          <w:tcPr>
            <w:tcW w:w="63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shd w:val="clear" w:color="auto" w:fill="E6E6E6"/>
          </w:tcPr>
          <w:p>
            <w:pPr>
              <w:spacing w:after="0"/>
              <w:rPr>
                <w:sz w:val="24"/>
                <w:szCs w:val="24"/>
                <w:color w:val="auto"/>
              </w:rPr>
            </w:pPr>
          </w:p>
        </w:tc>
        <w:tc>
          <w:tcPr>
            <w:tcW w:w="700" w:type="dxa"/>
            <w:vAlign w:val="bottom"/>
            <w:shd w:val="clear" w:color="auto" w:fill="E6E6E6"/>
          </w:tcPr>
          <w:p>
            <w:pPr>
              <w:jc w:val="right"/>
              <w:ind w:right="46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3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161.3</w:t>
            </w:r>
          </w:p>
        </w:tc>
      </w:tr>
      <w:tr>
        <w:trPr>
          <w:trHeight w:val="286"/>
        </w:trPr>
        <w:tc>
          <w:tcPr>
            <w:tcW w:w="6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w:t>
            </w:r>
          </w:p>
        </w:tc>
      </w:tr>
      <w:tr>
        <w:trPr>
          <w:trHeight w:val="299"/>
        </w:trPr>
        <w:tc>
          <w:tcPr>
            <w:tcW w:w="63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72.4</w:t>
            </w:r>
          </w:p>
        </w:tc>
      </w:tr>
      <w:tr>
        <w:trPr>
          <w:trHeight w:val="286"/>
        </w:trPr>
        <w:tc>
          <w:tcPr>
            <w:tcW w:w="6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r>
      <w:tr>
        <w:trPr>
          <w:trHeight w:val="296"/>
        </w:trPr>
        <w:tc>
          <w:tcPr>
            <w:tcW w:w="63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630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3"/>
        </w:trPr>
        <w:tc>
          <w:tcPr>
            <w:tcW w:w="6320" w:type="dxa"/>
            <w:vAlign w:val="bottom"/>
            <w:gridSpan w:val="2"/>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future minimum lease payments</w:t>
            </w:r>
          </w:p>
        </w:tc>
        <w:tc>
          <w:tcPr>
            <w:tcW w:w="700" w:type="dxa"/>
            <w:vAlign w:val="bottom"/>
            <w:shd w:val="clear" w:color="auto" w:fill="E6E6E6"/>
          </w:tcPr>
          <w:p>
            <w:pPr>
              <w:jc w:val="right"/>
              <w:ind w:right="46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483.2</w:t>
            </w:r>
          </w:p>
        </w:tc>
        <w:tc>
          <w:tcPr>
            <w:tcW w:w="3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373.1</w:t>
            </w:r>
          </w:p>
        </w:tc>
      </w:tr>
      <w:tr>
        <w:trPr>
          <w:trHeight w:val="282"/>
        </w:trPr>
        <w:tc>
          <w:tcPr>
            <w:tcW w:w="630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Less imputed interest</w:t>
            </w: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w:t>
            </w:r>
          </w:p>
        </w:tc>
      </w:tr>
      <w:tr>
        <w:trPr>
          <w:trHeight w:val="307"/>
        </w:trPr>
        <w:tc>
          <w:tcPr>
            <w:tcW w:w="630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liability</w:t>
            </w:r>
          </w:p>
        </w:tc>
        <w:tc>
          <w:tcPr>
            <w:tcW w:w="2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ind w:right="46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407.2</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-1724025</wp:posOffset>
            </wp:positionV>
            <wp:extent cx="2386965" cy="4953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188">
                      <a:extLst>
                        <a:ext uri="{28A0092B-C50C-407E-A947-70E740481C1C}"/>
                      </a:extLst>
                    </a:blip>
                    <a:srcRect/>
                    <a:stretch>
                      <a:fillRect/>
                    </a:stretch>
                  </pic:blipFill>
                  <pic:spPr bwMode="auto">
                    <a:xfrm>
                      <a:off x="0" y="0"/>
                      <a:ext cx="2386965" cy="4953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-608965</wp:posOffset>
            </wp:positionV>
            <wp:extent cx="2399030" cy="495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189">
                      <a:extLst>
                        <a:ext uri="{28A0092B-C50C-407E-A947-70E740481C1C}"/>
                      </a:extLst>
                    </a:blip>
                    <a:srcRect/>
                    <a:stretch>
                      <a:fillRect/>
                    </a:stretch>
                  </pic:blipFill>
                  <pic:spPr bwMode="auto">
                    <a:xfrm>
                      <a:off x="0" y="0"/>
                      <a:ext cx="2399030" cy="4953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-237490</wp:posOffset>
            </wp:positionV>
            <wp:extent cx="2399030" cy="495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190">
                      <a:extLst>
                        <a:ext uri="{28A0092B-C50C-407E-A947-70E740481C1C}"/>
                      </a:extLst>
                    </a:blip>
                    <a:srcRect/>
                    <a:stretch>
                      <a:fillRect/>
                    </a:stretch>
                  </pic:blipFill>
                  <pic:spPr bwMode="auto">
                    <a:xfrm>
                      <a:off x="0" y="0"/>
                      <a:ext cx="2399030" cy="4953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-55245</wp:posOffset>
            </wp:positionV>
            <wp:extent cx="2399030" cy="7429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191">
                      <a:extLst>
                        <a:ext uri="{28A0092B-C50C-407E-A947-70E740481C1C}"/>
                      </a:extLst>
                    </a:blip>
                    <a:srcRect/>
                    <a:stretch>
                      <a:fillRect/>
                    </a:stretch>
                  </pic:blipFill>
                  <pic:spPr bwMode="auto">
                    <a:xfrm>
                      <a:off x="0" y="0"/>
                      <a:ext cx="2399030" cy="74295"/>
                    </a:xfrm>
                    <a:prstGeom prst="rect">
                      <a:avLst/>
                    </a:prstGeom>
                    <a:noFill/>
                  </pic:spPr>
                </pic:pic>
              </a:graphicData>
            </a:graphic>
          </wp:anchor>
        </w:drawing>
      </w:r>
    </w:p>
    <w:p>
      <w:pPr>
        <w:ind w:left="2" w:right="120" w:hanging="2"/>
        <w:spacing w:after="0" w:line="256" w:lineRule="auto"/>
        <w:tabs>
          <w:tab w:leader="none" w:pos="163"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pacing w:after="0" w:line="197" w:lineRule="exact"/>
        <w:rPr>
          <w:sz w:val="20"/>
          <w:szCs w:val="20"/>
          <w:color w:val="auto"/>
        </w:rPr>
      </w:pPr>
    </w:p>
    <w:p>
      <w:pPr>
        <w:ind w:left="2" w:right="140" w:firstLine="439"/>
        <w:spacing w:after="0" w:line="237" w:lineRule="auto"/>
        <w:rPr>
          <w:sz w:val="20"/>
          <w:szCs w:val="20"/>
          <w:color w:val="auto"/>
        </w:rPr>
      </w:pPr>
      <w:r>
        <w:rPr>
          <w:rFonts w:ascii="Times New Roman" w:cs="Times New Roman" w:eastAsia="Times New Roman" w:hAnsi="Times New Roman"/>
          <w:sz w:val="20"/>
          <w:szCs w:val="20"/>
          <w:color w:val="auto"/>
        </w:rPr>
        <w:t>The Company also has subleases for several floors of its corporate offices. The Company classifies its subleases as operating leases. The subleases have remaining lease terms of under 1 year to 8 years, some of which include tenant options to extend the sublease for up to approximately 4 years. Sublease income, which is recorded as a reduction of rental expense, was $11.4 million and $14.0 million during the years ended December 31, 2025 and 2024, respectively.</w:t>
      </w:r>
    </w:p>
    <w:p>
      <w:pPr>
        <w:spacing w:after="0" w:line="199"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20"/>
          <w:szCs w:val="20"/>
          <w:color w:val="auto"/>
        </w:rPr>
        <w:t>Future non-cancelable rent payments from the Company's subtenants as of December 31, 2025 were as follows:</w:t>
      </w:r>
    </w:p>
    <w:p>
      <w:pPr>
        <w:spacing w:after="0" w:line="321" w:lineRule="exact"/>
        <w:rPr>
          <w:sz w:val="20"/>
          <w:szCs w:val="20"/>
          <w:color w:val="auto"/>
        </w:rPr>
      </w:pPr>
    </w:p>
    <w:tbl>
      <w:tblPr>
        <w:tblLayout w:type="fixed"/>
        <w:tblInd w:w="2" w:type="dxa"/>
        <w:tblCellMar>
          <w:top w:w="0" w:type="dxa"/>
          <w:left w:w="0" w:type="dxa"/>
          <w:bottom w:w="0" w:type="dxa"/>
          <w:right w:w="0" w:type="dxa"/>
        </w:tblCellMar>
      </w:tblPr>
      <w:tr>
        <w:trPr>
          <w:trHeight w:val="265"/>
        </w:trPr>
        <w:tc>
          <w:tcPr>
            <w:tcW w:w="8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22"/>
              <w:spacing w:after="0"/>
              <w:rPr>
                <w:sz w:val="20"/>
                <w:szCs w:val="20"/>
                <w:color w:val="auto"/>
              </w:rPr>
            </w:pPr>
            <w:r>
              <w:rPr>
                <w:rFonts w:ascii="Times New Roman" w:cs="Times New Roman" w:eastAsia="Times New Roman" w:hAnsi="Times New Roman"/>
                <w:sz w:val="20"/>
                <w:szCs w:val="20"/>
                <w:b w:val="1"/>
                <w:bCs w:val="1"/>
                <w:color w:val="auto"/>
                <w:w w:val="97"/>
              </w:rPr>
              <w:t>Operating leases</w:t>
            </w:r>
          </w:p>
        </w:tc>
      </w:tr>
      <w:tr>
        <w:trPr>
          <w:trHeight w:val="279"/>
        </w:trPr>
        <w:tc>
          <w:tcPr>
            <w:tcW w:w="81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86"/>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79"/>
        </w:trPr>
        <w:tc>
          <w:tcPr>
            <w:tcW w:w="81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tcBorders>
              <w:bottom w:val="single" w:sz="8" w:color="E6E6E6"/>
            </w:tcBorders>
            <w:shd w:val="clear" w:color="auto" w:fill="E6E6E6"/>
          </w:tcPr>
          <w:p>
            <w:pPr>
              <w:spacing w:after="0"/>
              <w:rPr>
                <w:sz w:val="24"/>
                <w:szCs w:val="24"/>
                <w:color w:val="auto"/>
              </w:rPr>
            </w:pPr>
          </w:p>
        </w:tc>
        <w:tc>
          <w:tcPr>
            <w:tcW w:w="16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86"/>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79"/>
        </w:trPr>
        <w:tc>
          <w:tcPr>
            <w:tcW w:w="81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00" w:type="dxa"/>
            <w:vAlign w:val="bottom"/>
            <w:tcBorders>
              <w:bottom w:val="single" w:sz="8" w:color="E6E6E6"/>
            </w:tcBorders>
            <w:shd w:val="clear" w:color="auto" w:fill="E6E6E6"/>
          </w:tcPr>
          <w:p>
            <w:pPr>
              <w:spacing w:after="0"/>
              <w:rPr>
                <w:sz w:val="24"/>
                <w:szCs w:val="24"/>
                <w:color w:val="auto"/>
              </w:rPr>
            </w:pPr>
          </w:p>
        </w:tc>
        <w:tc>
          <w:tcPr>
            <w:tcW w:w="16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82"/>
        </w:trPr>
        <w:tc>
          <w:tcPr>
            <w:tcW w:w="818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07"/>
        </w:trPr>
        <w:tc>
          <w:tcPr>
            <w:tcW w:w="81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future sublease rent payments, net</w:t>
            </w:r>
          </w:p>
        </w:tc>
        <w:tc>
          <w:tcPr>
            <w:tcW w:w="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-237490</wp:posOffset>
            </wp:positionV>
            <wp:extent cx="1201420" cy="4953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192">
                      <a:extLst>
                        <a:ext uri="{28A0092B-C50C-407E-A947-70E740481C1C}"/>
                      </a:extLst>
                    </a:blip>
                    <a:srcRect/>
                    <a:stretch>
                      <a:fillRect/>
                    </a:stretch>
                  </pic:blipFill>
                  <pic:spPr bwMode="auto">
                    <a:xfrm>
                      <a:off x="0" y="0"/>
                      <a:ext cx="1201420" cy="4953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-55245</wp:posOffset>
            </wp:positionV>
            <wp:extent cx="1201420" cy="7429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193">
                      <a:extLst>
                        <a:ext uri="{28A0092B-C50C-407E-A947-70E740481C1C}"/>
                      </a:extLst>
                    </a:blip>
                    <a:srcRect/>
                    <a:stretch>
                      <a:fillRect/>
                    </a:stretch>
                  </pic:blipFill>
                  <pic:spPr bwMode="auto">
                    <a:xfrm>
                      <a:off x="0" y="0"/>
                      <a:ext cx="1201420" cy="74295"/>
                    </a:xfrm>
                    <a:prstGeom prst="rect">
                      <a:avLst/>
                    </a:prstGeom>
                    <a:noFill/>
                  </pic:spPr>
                </pic:pic>
              </a:graphicData>
            </a:graphic>
          </wp:anchor>
        </w:drawing>
      </w:r>
    </w:p>
    <w:p>
      <w:pPr>
        <w:spacing w:after="0" w:line="221" w:lineRule="exact"/>
        <w:rPr>
          <w:sz w:val="20"/>
          <w:szCs w:val="20"/>
          <w:color w:val="auto"/>
        </w:rPr>
      </w:pPr>
    </w:p>
    <w:p>
      <w:pPr>
        <w:ind w:left="2" w:right="40" w:firstLine="439"/>
        <w:spacing w:after="0" w:line="252" w:lineRule="auto"/>
        <w:rPr>
          <w:sz w:val="20"/>
          <w:szCs w:val="20"/>
          <w:color w:val="auto"/>
        </w:rPr>
      </w:pPr>
      <w:r>
        <w:rPr>
          <w:rFonts w:ascii="Times New Roman" w:cs="Times New Roman" w:eastAsia="Times New Roman" w:hAnsi="Times New Roman"/>
          <w:sz w:val="20"/>
          <w:szCs w:val="20"/>
          <w:color w:val="auto"/>
        </w:rPr>
        <w:t>In 2017, the Company signed a 15 year lease agreement for office space in San Francisco, California, to serve as its corporate headquarters which commenced in 2018. The Company's obligations under the lease are supported by a $17.5 million letter of credit. As of December 31, 2025, the Company's remaining minimum obligation under the lease for its headquarters was $138.6 million, which excludes $162.9 million of future payments allocated to non-lease components.</w:t>
      </w:r>
    </w:p>
    <w:p>
      <w:pPr>
        <w:spacing w:after="0" w:line="204" w:lineRule="exact"/>
        <w:rPr>
          <w:sz w:val="20"/>
          <w:szCs w:val="20"/>
          <w:color w:val="auto"/>
        </w:rPr>
      </w:pPr>
    </w:p>
    <w:p>
      <w:pPr>
        <w:ind w:left="2" w:right="20" w:firstLine="439"/>
        <w:spacing w:after="0" w:line="248" w:lineRule="auto"/>
        <w:rPr>
          <w:sz w:val="20"/>
          <w:szCs w:val="20"/>
          <w:color w:val="auto"/>
        </w:rPr>
      </w:pPr>
      <w:r>
        <w:rPr>
          <w:rFonts w:ascii="Times New Roman" w:cs="Times New Roman" w:eastAsia="Times New Roman" w:hAnsi="Times New Roman"/>
          <w:sz w:val="20"/>
          <w:szCs w:val="20"/>
          <w:color w:val="auto"/>
        </w:rPr>
        <w:t>In the fourth quarter of 2020, the Company moved to a Virtual First work model pursuant to which remote work has become the primary experience for all of its employees. As part of the Virtual First work model, the Company retained a portion of its office space to be used for the Company’s team collaboration use and a portion was marketed for sublease. Subsequently, every quarter, the Company has evaluated its real estate portfolio for impairment under ASC 360. As part of this analysis, the Company reassesses its real estate asset groups and estimates the fair value of the office space to be subleased using current market conditions. Where the carrying value of the individual asset groups exceeds their fair value, an impairment charge will be recognized for the difference.</w:t>
      </w:r>
    </w:p>
    <w:p>
      <w:pPr>
        <w:spacing w:after="0" w:line="162" w:lineRule="exact"/>
        <w:rPr>
          <w:sz w:val="20"/>
          <w:szCs w:val="20"/>
          <w:color w:val="auto"/>
        </w:rPr>
      </w:pPr>
    </w:p>
    <w:p>
      <w:pPr>
        <w:ind w:left="2" w:right="280" w:firstLine="439"/>
        <w:spacing w:after="0" w:line="250" w:lineRule="auto"/>
        <w:rPr>
          <w:sz w:val="20"/>
          <w:szCs w:val="20"/>
          <w:color w:val="auto"/>
        </w:rPr>
      </w:pPr>
      <w:r>
        <w:rPr>
          <w:rFonts w:ascii="Times New Roman" w:cs="Times New Roman" w:eastAsia="Times New Roman" w:hAnsi="Times New Roman"/>
          <w:sz w:val="20"/>
          <w:szCs w:val="20"/>
          <w:color w:val="auto"/>
        </w:rPr>
        <w:t>The Company recorded a gain of $1.3 million during the year ended December 31, 2025, primarily resulting from a reduction of the liability for unrecoverable common area maintenance costs related to its San Francisco, California corporate headquarters due to recent sublease activity. See Note 16 "Subsequent Events" for additional information. The Company recorded total impairment charges of $0.1 million and $3.6 million during the years ended December 31, 2024 and 2023, respectively, for right-of-use and other lease related assets.</w:t>
      </w:r>
    </w:p>
    <w:p>
      <w:pPr>
        <w:sectPr>
          <w:pgSz w:w="11880" w:h="15480" w:orient="portrait"/>
          <w:cols w:equalWidth="0" w:num="1">
            <w:col w:w="10002"/>
          </w:cols>
          <w:pgMar w:left="938"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002"/>
          </w:cols>
          <w:pgMar w:left="938" w:top="352" w:right="940" w:bottom="0" w:gutter="0" w:footer="0" w:header="0"/>
          <w:type w:val="continuous"/>
        </w:sectPr>
      </w:pPr>
    </w:p>
    <w:bookmarkStart w:id="199" w:name="page200"/>
    <w:bookmarkEnd w:id="199"/>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left="2" w:right="80" w:firstLine="439"/>
        <w:spacing w:after="0" w:line="289" w:lineRule="auto"/>
        <w:rPr>
          <w:sz w:val="20"/>
          <w:szCs w:val="20"/>
          <w:color w:val="auto"/>
        </w:rPr>
      </w:pPr>
      <w:r>
        <w:rPr>
          <w:rFonts w:ascii="Times New Roman" w:cs="Times New Roman" w:eastAsia="Times New Roman" w:hAnsi="Times New Roman"/>
          <w:sz w:val="18"/>
          <w:szCs w:val="18"/>
          <w:color w:val="auto"/>
        </w:rPr>
        <w:t>In the fourth quarter of 2023, the Company amended its San Francisco corporate headquarters lease to surrender approximately 165,000 square feet of office space in exchange for aggregate termination payments of $79.0 million, payable in three tranches through January 2025. In January 2025, the Company completed the final tranche of the lease amendment, surrendering the remaining 59,000 square feet of space and paying the remaining $36.0 million termination fee.</w:t>
      </w:r>
    </w:p>
    <w:p>
      <w:pPr>
        <w:spacing w:after="0" w:line="173" w:lineRule="exact"/>
        <w:rPr>
          <w:sz w:val="20"/>
          <w:szCs w:val="20"/>
          <w:color w:val="auto"/>
        </w:rPr>
      </w:pPr>
    </w:p>
    <w:p>
      <w:pPr>
        <w:ind w:left="2" w:right="40" w:firstLine="439"/>
        <w:spacing w:after="0" w:line="252" w:lineRule="auto"/>
        <w:rPr>
          <w:sz w:val="20"/>
          <w:szCs w:val="20"/>
          <w:color w:val="auto"/>
        </w:rPr>
      </w:pPr>
      <w:r>
        <w:rPr>
          <w:rFonts w:ascii="Times New Roman" w:cs="Times New Roman" w:eastAsia="Times New Roman" w:hAnsi="Times New Roman"/>
          <w:sz w:val="20"/>
          <w:szCs w:val="20"/>
          <w:color w:val="auto"/>
        </w:rPr>
        <w:t>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 The gain was recorded within net (gain) loss on real estate assets in the consolidated statement of operations.</w:t>
      </w:r>
    </w:p>
    <w:p>
      <w:pPr>
        <w:spacing w:after="0" w:line="204" w:lineRule="exact"/>
        <w:rPr>
          <w:sz w:val="20"/>
          <w:szCs w:val="20"/>
          <w:color w:val="auto"/>
        </w:rPr>
      </w:pPr>
    </w:p>
    <w:p>
      <w:pPr>
        <w:ind w:left="2" w:right="60" w:firstLine="439"/>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Company's lease liability associated with its corporate headquarters lease was $108.2 million. The liability for unrecoverable common area maintenance costs totaled $26.7 million, compared to $51.7 million as of December 31, 2024. The liability for unrecoverable common area maintenance costs is recorded within accrued and other current liabilities and other liabilities.</w:t>
      </w:r>
    </w:p>
    <w:p>
      <w:pPr>
        <w:spacing w:after="0" w:line="3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Note 10.Commitments and Contingencies</w:t>
      </w:r>
    </w:p>
    <w:p>
      <w:pPr>
        <w:spacing w:after="0" w:line="237"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b w:val="1"/>
          <w:bCs w:val="1"/>
          <w:i w:val="1"/>
          <w:iCs w:val="1"/>
          <w:color w:val="auto"/>
        </w:rPr>
        <w:t>Other commitments</w:t>
      </w:r>
    </w:p>
    <w:p>
      <w:pPr>
        <w:spacing w:after="0" w:line="129" w:lineRule="exact"/>
        <w:rPr>
          <w:sz w:val="20"/>
          <w:szCs w:val="20"/>
          <w:color w:val="auto"/>
        </w:rPr>
      </w:pPr>
    </w:p>
    <w:p>
      <w:pPr>
        <w:ind w:left="2" w:right="720" w:firstLine="483"/>
        <w:spacing w:after="0" w:line="269" w:lineRule="auto"/>
        <w:rPr>
          <w:sz w:val="20"/>
          <w:szCs w:val="20"/>
          <w:color w:val="auto"/>
        </w:rPr>
      </w:pPr>
      <w:r>
        <w:rPr>
          <w:rFonts w:ascii="Times New Roman" w:cs="Times New Roman" w:eastAsia="Times New Roman" w:hAnsi="Times New Roman"/>
          <w:sz w:val="20"/>
          <w:szCs w:val="20"/>
          <w:color w:val="auto"/>
        </w:rPr>
        <w:t>Other commitments include payments to third-party vendors for services related to the Company's infrastructure, infrastructure warranty contracts, and asset retirement obligations for office modifications.</w:t>
      </w:r>
    </w:p>
    <w:p>
      <w:pPr>
        <w:spacing w:after="0" w:line="187" w:lineRule="exact"/>
        <w:rPr>
          <w:sz w:val="20"/>
          <w:szCs w:val="20"/>
          <w:color w:val="auto"/>
        </w:rPr>
      </w:pPr>
    </w:p>
    <w:p>
      <w:pPr>
        <w:ind w:left="2" w:right="20" w:firstLine="483"/>
        <w:spacing w:after="0" w:line="326" w:lineRule="auto"/>
        <w:rPr>
          <w:sz w:val="20"/>
          <w:szCs w:val="20"/>
          <w:color w:val="auto"/>
        </w:rPr>
      </w:pPr>
      <w:r>
        <w:rPr>
          <w:rFonts w:ascii="Times New Roman" w:cs="Times New Roman" w:eastAsia="Times New Roman" w:hAnsi="Times New Roman"/>
          <w:sz w:val="18"/>
          <w:szCs w:val="18"/>
          <w:color w:val="auto"/>
        </w:rPr>
        <w:t>Future minimum payments under the Company's non-cancelable leases, finance lease obligations, and other commitments as of December 31, 2025, are as follows, and exclude non-cancelable rent payments from the Company's subtenants:</w:t>
      </w:r>
    </w:p>
    <w:p>
      <w:pPr>
        <w:spacing w:after="0" w:line="266"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Finance</w:t>
            </w:r>
          </w:p>
        </w:tc>
        <w:tc>
          <w:tcPr>
            <w:tcW w:w="160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Operating lease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vMerge w:val="restart"/>
          </w:tcPr>
          <w:p>
            <w:pPr>
              <w:jc w:val="right"/>
              <w:ind w:right="442"/>
              <w:spacing w:after="0"/>
              <w:rPr>
                <w:sz w:val="20"/>
                <w:szCs w:val="20"/>
                <w:color w:val="auto"/>
              </w:rPr>
            </w:pPr>
            <w:r>
              <w:rPr>
                <w:rFonts w:ascii="Times New Roman" w:cs="Times New Roman" w:eastAsia="Times New Roman" w:hAnsi="Times New Roman"/>
                <w:sz w:val="20"/>
                <w:szCs w:val="20"/>
                <w:b w:val="1"/>
                <w:bCs w:val="1"/>
                <w:color w:val="auto"/>
              </w:rPr>
              <w:t>Other</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100" w:type="dxa"/>
            <w:vAlign w:val="bottom"/>
          </w:tcPr>
          <w:p>
            <w:pPr>
              <w:jc w:val="center"/>
              <w:ind w:left="522"/>
              <w:spacing w:after="0" w:line="195" w:lineRule="exact"/>
              <w:rPr>
                <w:sz w:val="20"/>
                <w:szCs w:val="20"/>
                <w:color w:val="auto"/>
              </w:rPr>
            </w:pPr>
            <w:r>
              <w:rPr>
                <w:rFonts w:ascii="Times New Roman" w:cs="Times New Roman" w:eastAsia="Times New Roman" w:hAnsi="Times New Roman"/>
                <w:sz w:val="20"/>
                <w:szCs w:val="20"/>
                <w:b w:val="1"/>
                <w:bCs w:val="1"/>
                <w:color w:val="auto"/>
                <w:w w:val="97"/>
              </w:rPr>
              <w:t>lease</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2"/>
                <w:szCs w:val="22"/>
                <w:color w:val="auto"/>
              </w:rPr>
            </w:pPr>
          </w:p>
        </w:tc>
        <w:tc>
          <w:tcPr>
            <w:tcW w:w="178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6"/>
              </w:rPr>
              <w:t>commitments</w:t>
            </w:r>
          </w:p>
        </w:tc>
        <w:tc>
          <w:tcPr>
            <w:tcW w:w="160" w:type="dxa"/>
            <w:vAlign w:val="bottom"/>
          </w:tcPr>
          <w:p>
            <w:pPr>
              <w:spacing w:after="0"/>
              <w:rPr>
                <w:sz w:val="22"/>
                <w:szCs w:val="22"/>
                <w:color w:val="auto"/>
              </w:rPr>
            </w:pP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w w:val="97"/>
              </w:rPr>
              <w:t>commitments</w:t>
            </w:r>
            <w:r>
              <w:rPr>
                <w:rFonts w:ascii="Times New Roman" w:cs="Times New Roman" w:eastAsia="Times New Roman" w:hAnsi="Times New Roman"/>
                <w:sz w:val="12"/>
                <w:szCs w:val="12"/>
                <w:b w:val="1"/>
                <w:bCs w:val="1"/>
                <w:color w:val="auto"/>
                <w:w w:val="97"/>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w w:val="97"/>
              </w:rPr>
              <w:t>commitments</w:t>
            </w:r>
            <w:r>
              <w:rPr>
                <w:rFonts w:ascii="Times New Roman" w:cs="Times New Roman" w:eastAsia="Times New Roman" w:hAnsi="Times New Roman"/>
                <w:sz w:val="12"/>
                <w:szCs w:val="12"/>
                <w:b w:val="1"/>
                <w:bCs w:val="1"/>
                <w:color w:val="auto"/>
                <w:w w:val="97"/>
              </w:rPr>
              <w:t>(2)</w:t>
            </w:r>
          </w:p>
        </w:tc>
        <w:tc>
          <w:tcPr>
            <w:tcW w:w="0" w:type="dxa"/>
            <w:vAlign w:val="bottom"/>
          </w:tcPr>
          <w:p>
            <w:pPr>
              <w:spacing w:after="0"/>
              <w:rPr>
                <w:sz w:val="1"/>
                <w:szCs w:val="1"/>
                <w:color w:val="auto"/>
              </w:rPr>
            </w:pPr>
          </w:p>
        </w:tc>
      </w:tr>
      <w:tr>
        <w:trPr>
          <w:trHeight w:val="262"/>
        </w:trPr>
        <w:tc>
          <w:tcPr>
            <w:tcW w:w="496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Year ended December 31:</w:t>
            </w:r>
          </w:p>
        </w:tc>
        <w:tc>
          <w:tcPr>
            <w:tcW w:w="1100" w:type="dxa"/>
            <w:vAlign w:val="bottom"/>
            <w:tcBorders>
              <w:top w:val="single" w:sz="8" w:color="auto"/>
              <w:bottom w:val="single" w:sz="8" w:color="E6E6E6"/>
            </w:tcBorders>
            <w:shd w:val="clear" w:color="auto" w:fill="E6E6E6"/>
          </w:tcPr>
          <w:p>
            <w:pPr>
              <w:spacing w:after="0"/>
              <w:rPr>
                <w:sz w:val="22"/>
                <w:szCs w:val="22"/>
                <w:color w:val="auto"/>
              </w:rPr>
            </w:pPr>
          </w:p>
        </w:tc>
        <w:tc>
          <w:tcPr>
            <w:tcW w:w="62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60" w:type="dxa"/>
            <w:vAlign w:val="bottom"/>
            <w:tcBorders>
              <w:top w:val="single" w:sz="8" w:color="auto"/>
              <w:bottom w:val="single" w:sz="8" w:color="E6E6E6"/>
            </w:tcBorders>
            <w:shd w:val="clear" w:color="auto" w:fill="E6E6E6"/>
          </w:tcPr>
          <w:p>
            <w:pPr>
              <w:spacing w:after="0"/>
              <w:rPr>
                <w:sz w:val="22"/>
                <w:szCs w:val="22"/>
                <w:color w:val="auto"/>
              </w:rPr>
            </w:pPr>
          </w:p>
        </w:tc>
        <w:tc>
          <w:tcPr>
            <w:tcW w:w="1440" w:type="dxa"/>
            <w:vAlign w:val="bottom"/>
            <w:tcBorders>
              <w:top w:val="single" w:sz="8" w:color="auto"/>
              <w:bottom w:val="single" w:sz="8" w:color="E6E6E6"/>
            </w:tcBorders>
            <w:shd w:val="clear" w:color="auto" w:fill="E6E6E6"/>
          </w:tcPr>
          <w:p>
            <w:pPr>
              <w:spacing w:after="0"/>
              <w:rPr>
                <w:sz w:val="22"/>
                <w:szCs w:val="22"/>
                <w:color w:val="auto"/>
              </w:rPr>
            </w:pP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140" w:type="dxa"/>
            <w:vAlign w:val="bottom"/>
            <w:tcBorders>
              <w:top w:val="single" w:sz="8" w:color="auto"/>
              <w:bottom w:val="single" w:sz="8" w:color="E6E6E6"/>
            </w:tcBorders>
            <w:shd w:val="clear" w:color="auto" w:fill="E6E6E6"/>
          </w:tcPr>
          <w:p>
            <w:pPr>
              <w:spacing w:after="0"/>
              <w:rPr>
                <w:sz w:val="22"/>
                <w:szCs w:val="22"/>
                <w:color w:val="auto"/>
              </w:rPr>
            </w:pPr>
          </w:p>
        </w:tc>
        <w:tc>
          <w:tcPr>
            <w:tcW w:w="1440" w:type="dxa"/>
            <w:vAlign w:val="bottom"/>
            <w:tcBorders>
              <w:top w:val="single" w:sz="8" w:color="auto"/>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1100" w:type="dxa"/>
            <w:vAlign w:val="bottom"/>
          </w:tcPr>
          <w:p>
            <w:pPr>
              <w:jc w:val="right"/>
              <w:ind w:right="84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161.3</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0" w:type="dxa"/>
            <w:vAlign w:val="bottom"/>
          </w:tcPr>
          <w:p>
            <w:pPr>
              <w:spacing w:after="0"/>
              <w:rPr>
                <w:sz w:val="1"/>
                <w:szCs w:val="1"/>
                <w:color w:val="auto"/>
              </w:rPr>
            </w:pPr>
          </w:p>
        </w:tc>
      </w:tr>
      <w:tr>
        <w:trPr>
          <w:trHeight w:val="299"/>
        </w:trPr>
        <w:tc>
          <w:tcPr>
            <w:tcW w:w="49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11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114.7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91.2</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86"/>
        </w:trPr>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99"/>
        </w:trPr>
        <w:tc>
          <w:tcPr>
            <w:tcW w:w="49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11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91.5</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86"/>
        </w:trPr>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2030</w:t>
            </w:r>
          </w:p>
        </w:tc>
        <w:tc>
          <w:tcPr>
            <w:tcW w:w="1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308"/>
        </w:trPr>
        <w:tc>
          <w:tcPr>
            <w:tcW w:w="496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110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193.6</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73"/>
        </w:trPr>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Future minimum payments</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373.1</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w:t>
            </w:r>
          </w:p>
        </w:tc>
        <w:tc>
          <w:tcPr>
            <w:tcW w:w="0" w:type="dxa"/>
            <w:vAlign w:val="bottom"/>
          </w:tcPr>
          <w:p>
            <w:pPr>
              <w:spacing w:after="0"/>
              <w:rPr>
                <w:sz w:val="1"/>
                <w:szCs w:val="1"/>
                <w:color w:val="auto"/>
              </w:rPr>
            </w:pPr>
          </w:p>
        </w:tc>
      </w:tr>
      <w:tr>
        <w:trPr>
          <w:trHeight w:val="263"/>
        </w:trPr>
        <w:tc>
          <w:tcPr>
            <w:tcW w:w="4960" w:type="dxa"/>
            <w:vAlign w:val="bottom"/>
            <w:tcBorders>
              <w:top w:val="single" w:sz="8" w:color="E6E6E6"/>
            </w:tcBorders>
            <w:shd w:val="clear" w:color="auto" w:fill="E6E6E6"/>
          </w:tcPr>
          <w:p>
            <w:pPr>
              <w:ind w:left="60"/>
              <w:spacing w:after="0" w:line="225" w:lineRule="exact"/>
              <w:rPr>
                <w:sz w:val="20"/>
                <w:szCs w:val="20"/>
                <w:color w:val="auto"/>
              </w:rPr>
            </w:pPr>
            <w:r>
              <w:rPr>
                <w:rFonts w:ascii="Times New Roman" w:cs="Times New Roman" w:eastAsia="Times New Roman" w:hAnsi="Times New Roman"/>
                <w:sz w:val="20"/>
                <w:szCs w:val="20"/>
                <w:color w:val="auto"/>
              </w:rPr>
              <w:t>Less interest and taxes</w:t>
            </w:r>
          </w:p>
        </w:tc>
        <w:tc>
          <w:tcPr>
            <w:tcW w:w="1100" w:type="dxa"/>
            <w:vAlign w:val="bottom"/>
            <w:tcBorders>
              <w:top w:val="single" w:sz="8" w:color="E6E6E6"/>
            </w:tcBorders>
            <w:shd w:val="clear" w:color="auto" w:fill="E6E6E6"/>
          </w:tcPr>
          <w:p>
            <w:pPr>
              <w:spacing w:after="0"/>
              <w:rPr>
                <w:sz w:val="22"/>
                <w:szCs w:val="22"/>
                <w:color w:val="auto"/>
              </w:rPr>
            </w:pPr>
          </w:p>
        </w:tc>
        <w:tc>
          <w:tcPr>
            <w:tcW w:w="62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60" w:type="dxa"/>
            <w:vAlign w:val="bottom"/>
            <w:tcBorders>
              <w:top w:val="single" w:sz="8" w:color="E6E6E6"/>
            </w:tcBorders>
            <w:shd w:val="clear" w:color="auto" w:fill="E6E6E6"/>
          </w:tcPr>
          <w:p>
            <w:pPr>
              <w:spacing w:after="0"/>
              <w:rPr>
                <w:sz w:val="22"/>
                <w:szCs w:val="22"/>
                <w:color w:val="auto"/>
              </w:rPr>
            </w:pPr>
          </w:p>
        </w:tc>
        <w:tc>
          <w:tcPr>
            <w:tcW w:w="160" w:type="dxa"/>
            <w:vAlign w:val="bottom"/>
            <w:tcBorders>
              <w:top w:val="single" w:sz="8" w:color="auto"/>
            </w:tcBorders>
            <w:shd w:val="clear" w:color="auto" w:fill="E6E6E6"/>
          </w:tcPr>
          <w:p>
            <w:pPr>
              <w:spacing w:after="0"/>
              <w:rPr>
                <w:sz w:val="22"/>
                <w:szCs w:val="22"/>
                <w:color w:val="auto"/>
              </w:rPr>
            </w:pPr>
          </w:p>
        </w:tc>
        <w:tc>
          <w:tcPr>
            <w:tcW w:w="1440" w:type="dxa"/>
            <w:vAlign w:val="bottom"/>
            <w:tcBorders>
              <w:top w:val="single" w:sz="8" w:color="auto"/>
            </w:tcBorders>
            <w:shd w:val="clear" w:color="auto" w:fill="E6E6E6"/>
          </w:tcPr>
          <w:p>
            <w:pPr>
              <w:spacing w:after="0"/>
              <w:rPr>
                <w:sz w:val="22"/>
                <w:szCs w:val="22"/>
                <w:color w:val="auto"/>
              </w:rPr>
            </w:pPr>
          </w:p>
        </w:tc>
        <w:tc>
          <w:tcPr>
            <w:tcW w:w="80" w:type="dxa"/>
            <w:vAlign w:val="bottom"/>
            <w:tcBorders>
              <w:top w:val="single" w:sz="8" w:color="E6E6E6"/>
            </w:tcBorders>
            <w:shd w:val="clear" w:color="auto" w:fill="E6E6E6"/>
          </w:tcPr>
          <w:p>
            <w:pPr>
              <w:spacing w:after="0"/>
              <w:rPr>
                <w:sz w:val="22"/>
                <w:szCs w:val="22"/>
                <w:color w:val="auto"/>
              </w:rPr>
            </w:pPr>
          </w:p>
        </w:tc>
        <w:tc>
          <w:tcPr>
            <w:tcW w:w="140" w:type="dxa"/>
            <w:vAlign w:val="bottom"/>
            <w:tcBorders>
              <w:top w:val="single" w:sz="8" w:color="auto"/>
            </w:tcBorders>
            <w:shd w:val="clear" w:color="auto" w:fill="E6E6E6"/>
          </w:tcPr>
          <w:p>
            <w:pPr>
              <w:spacing w:after="0"/>
              <w:rPr>
                <w:sz w:val="22"/>
                <w:szCs w:val="22"/>
                <w:color w:val="auto"/>
              </w:rPr>
            </w:pPr>
          </w:p>
        </w:tc>
        <w:tc>
          <w:tcPr>
            <w:tcW w:w="1440" w:type="dxa"/>
            <w:vAlign w:val="bottom"/>
            <w:tcBorders>
              <w:top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960" w:type="dxa"/>
            <w:vAlign w:val="bottom"/>
          </w:tcPr>
          <w:p>
            <w:pPr>
              <w:ind w:left="60"/>
              <w:spacing w:after="0" w:line="186" w:lineRule="exact"/>
              <w:rPr>
                <w:sz w:val="20"/>
                <w:szCs w:val="20"/>
                <w:color w:val="auto"/>
              </w:rPr>
            </w:pPr>
            <w:r>
              <w:rPr>
                <w:rFonts w:ascii="Times New Roman" w:cs="Times New Roman" w:eastAsia="Times New Roman" w:hAnsi="Times New Roman"/>
                <w:sz w:val="20"/>
                <w:szCs w:val="20"/>
                <w:color w:val="auto"/>
              </w:rPr>
              <w:t>Less current portion of the present value of minimum lease</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96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payments</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(144.3)</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14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14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96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Financing lease obligations, net of current portion</w:t>
            </w:r>
          </w:p>
        </w:tc>
        <w:tc>
          <w:tcPr>
            <w:tcW w:w="1100" w:type="dxa"/>
            <w:vAlign w:val="bottom"/>
            <w:tcBorders>
              <w:bottom w:val="single" w:sz="8" w:color="auto"/>
            </w:tcBorders>
            <w:shd w:val="clear" w:color="auto" w:fill="E6E6E6"/>
          </w:tcPr>
          <w:p>
            <w:pPr>
              <w:jc w:val="right"/>
              <w:ind w:right="84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201.5</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4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14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-2206625</wp:posOffset>
            </wp:positionV>
            <wp:extent cx="3232785" cy="4953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194">
                      <a:extLst>
                        <a:ext uri="{28A0092B-C50C-407E-A947-70E740481C1C}"/>
                      </a:extLst>
                    </a:blip>
                    <a:srcRect/>
                    <a:stretch>
                      <a:fillRect/>
                    </a:stretch>
                  </pic:blipFill>
                  <pic:spPr bwMode="auto">
                    <a:xfrm>
                      <a:off x="0" y="0"/>
                      <a:ext cx="3232785" cy="4953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-906780</wp:posOffset>
            </wp:positionV>
            <wp:extent cx="3244850" cy="495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195">
                      <a:extLst>
                        <a:ext uri="{28A0092B-C50C-407E-A947-70E740481C1C}"/>
                      </a:extLst>
                    </a:blip>
                    <a:srcRect/>
                    <a:stretch>
                      <a:fillRect/>
                    </a:stretch>
                  </pic:blipFill>
                  <pic:spPr bwMode="auto">
                    <a:xfrm>
                      <a:off x="0" y="0"/>
                      <a:ext cx="3244850" cy="4953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-732790</wp:posOffset>
            </wp:positionV>
            <wp:extent cx="2111375" cy="7429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196">
                      <a:extLst>
                        <a:ext uri="{28A0092B-C50C-407E-A947-70E740481C1C}"/>
                      </a:extLst>
                    </a:blip>
                    <a:srcRect/>
                    <a:stretch>
                      <a:fillRect/>
                    </a:stretch>
                  </pic:blipFill>
                  <pic:spPr bwMode="auto">
                    <a:xfrm>
                      <a:off x="0" y="0"/>
                      <a:ext cx="2111375" cy="74295"/>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-228600</wp:posOffset>
            </wp:positionV>
            <wp:extent cx="1136015" cy="4953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197">
                      <a:extLst>
                        <a:ext uri="{28A0092B-C50C-407E-A947-70E740481C1C}"/>
                      </a:extLst>
                    </a:blip>
                    <a:srcRect/>
                    <a:stretch>
                      <a:fillRect/>
                    </a:stretch>
                  </pic:blipFill>
                  <pic:spPr bwMode="auto">
                    <a:xfrm>
                      <a:off x="0" y="0"/>
                      <a:ext cx="1136015" cy="4953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-55245</wp:posOffset>
            </wp:positionV>
            <wp:extent cx="1136015" cy="742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198">
                      <a:extLst>
                        <a:ext uri="{28A0092B-C50C-407E-A947-70E740481C1C}"/>
                      </a:extLst>
                    </a:blip>
                    <a:srcRect/>
                    <a:stretch>
                      <a:fillRect/>
                    </a:stretch>
                  </pic:blipFill>
                  <pic:spPr bwMode="auto">
                    <a:xfrm>
                      <a:off x="0" y="0"/>
                      <a:ext cx="1136015" cy="74295"/>
                    </a:xfrm>
                    <a:prstGeom prst="rect">
                      <a:avLst/>
                    </a:prstGeom>
                    <a:noFill/>
                  </pic:spPr>
                </pic:pic>
              </a:graphicData>
            </a:graphic>
          </wp:anchor>
        </w:drawing>
      </w:r>
    </w:p>
    <w:p>
      <w:pPr>
        <w:spacing w:after="0" w:line="20" w:lineRule="exact"/>
        <w:rPr>
          <w:sz w:val="20"/>
          <w:szCs w:val="20"/>
          <w:color w:val="auto"/>
        </w:rPr>
      </w:pPr>
    </w:p>
    <w:p>
      <w:pPr>
        <w:ind w:left="2" w:right="840" w:hanging="2"/>
        <w:spacing w:after="0" w:line="233" w:lineRule="auto"/>
        <w:tabs>
          <w:tab w:leader="none" w:pos="200" w:val="left"/>
        </w:tabs>
        <w:numPr>
          <w:ilvl w:val="0"/>
          <w:numId w:val="16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This balance includes short-term lease obligations and $162.9 million of future contractual rent payments allocated to non-lease components.</w:t>
      </w:r>
    </w:p>
    <w:p>
      <w:pPr>
        <w:spacing w:after="0" w:line="1" w:lineRule="exact"/>
        <w:rPr>
          <w:rFonts w:ascii="Times New Roman" w:cs="Times New Roman" w:eastAsia="Times New Roman" w:hAnsi="Times New Roman"/>
          <w:sz w:val="25"/>
          <w:szCs w:val="25"/>
          <w:color w:val="auto"/>
          <w:vertAlign w:val="superscript"/>
        </w:rPr>
      </w:pPr>
    </w:p>
    <w:p>
      <w:pPr>
        <w:ind w:left="202" w:hanging="202"/>
        <w:spacing w:after="0" w:line="190" w:lineRule="auto"/>
        <w:tabs>
          <w:tab w:leader="none" w:pos="202" w:val="left"/>
        </w:tabs>
        <w:numPr>
          <w:ilvl w:val="0"/>
          <w:numId w:val="1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This balance excludes indemnification and founder holdbacks related to our acquisitions.</w:t>
      </w:r>
    </w:p>
    <w:p>
      <w:pPr>
        <w:spacing w:after="0" w:line="22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20"/>
          <w:szCs w:val="20"/>
          <w:b w:val="1"/>
          <w:bCs w:val="1"/>
          <w:i w:val="1"/>
          <w:iCs w:val="1"/>
          <w:color w:val="auto"/>
        </w:rPr>
        <w:t>Legal matters</w:t>
      </w:r>
    </w:p>
    <w:p>
      <w:pPr>
        <w:spacing w:after="0" w:line="129" w:lineRule="exact"/>
        <w:rPr>
          <w:sz w:val="20"/>
          <w:szCs w:val="20"/>
          <w:color w:val="auto"/>
        </w:rPr>
      </w:pPr>
    </w:p>
    <w:p>
      <w:pPr>
        <w:ind w:left="2" w:right="20" w:firstLine="439"/>
        <w:spacing w:after="0" w:line="282" w:lineRule="auto"/>
        <w:rPr>
          <w:sz w:val="20"/>
          <w:szCs w:val="20"/>
          <w:color w:val="auto"/>
        </w:rPr>
      </w:pPr>
      <w:r>
        <w:rPr>
          <w:rFonts w:ascii="Times New Roman" w:cs="Times New Roman" w:eastAsia="Times New Roman" w:hAnsi="Times New Roman"/>
          <w:sz w:val="18"/>
          <w:szCs w:val="18"/>
          <w:color w:val="auto"/>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w:t>
      </w:r>
    </w:p>
    <w:p>
      <w:pPr>
        <w:sectPr>
          <w:pgSz w:w="11880" w:h="15480" w:orient="portrait"/>
          <w:cols w:equalWidth="0" w:num="1">
            <w:col w:w="10002"/>
          </w:cols>
          <w:pgMar w:left="938" w:top="352" w:right="94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002"/>
          </w:cols>
          <w:pgMar w:left="938" w:top="352" w:right="940" w:bottom="0" w:gutter="0" w:footer="0" w:header="0"/>
          <w:type w:val="continuous"/>
        </w:sectPr>
      </w:pPr>
    </w:p>
    <w:bookmarkStart w:id="200" w:name="page201"/>
    <w:bookmarkEnd w:id="200"/>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assessment. As additional information becomes available, the Company reassesses the potential liability and may revise the estimate.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w:t>
      </w:r>
    </w:p>
    <w:p>
      <w:pPr>
        <w:spacing w:after="0" w:line="129" w:lineRule="exact"/>
        <w:rPr>
          <w:sz w:val="20"/>
          <w:szCs w:val="20"/>
          <w:color w:val="auto"/>
        </w:rPr>
      </w:pPr>
    </w:p>
    <w:p>
      <w:pPr>
        <w:ind w:right="260" w:firstLine="439"/>
        <w:spacing w:after="0" w:line="256" w:lineRule="auto"/>
        <w:rPr>
          <w:sz w:val="20"/>
          <w:szCs w:val="20"/>
          <w:color w:val="auto"/>
        </w:rPr>
      </w:pPr>
      <w:r>
        <w:rPr>
          <w:rFonts w:ascii="Times New Roman" w:cs="Times New Roman" w:eastAsia="Times New Roman" w:hAnsi="Times New Roman"/>
          <w:sz w:val="20"/>
          <w:szCs w:val="20"/>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Accrued and Other Current Liabilities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Accrued and other current liabilities consisted of the following:</w:t>
            </w: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640"/>
        </w:trPr>
        <w:tc>
          <w:tcPr>
            <w:tcW w:w="60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As of December 31,</w:t>
            </w:r>
          </w:p>
        </w:tc>
        <w:tc>
          <w:tcPr>
            <w:tcW w:w="1160" w:type="dxa"/>
            <w:vAlign w:val="bottom"/>
            <w:tcBorders>
              <w:bottom w:val="single" w:sz="8" w:color="auto"/>
            </w:tcBorders>
          </w:tcPr>
          <w:p>
            <w:pPr>
              <w:spacing w:after="0"/>
              <w:rPr>
                <w:sz w:val="24"/>
                <w:szCs w:val="24"/>
                <w:color w:val="auto"/>
              </w:rPr>
            </w:pPr>
          </w:p>
        </w:tc>
      </w:tr>
      <w:tr>
        <w:trPr>
          <w:trHeight w:val="258"/>
        </w:trPr>
        <w:tc>
          <w:tcPr>
            <w:tcW w:w="6060" w:type="dxa"/>
            <w:vAlign w:val="bottom"/>
            <w:tcBorders>
              <w:bottom w:val="single" w:sz="8" w:color="E6E6E6"/>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20"/>
                <w:szCs w:val="20"/>
                <w:b w:val="1"/>
                <w:bCs w:val="1"/>
                <w:color w:val="auto"/>
                <w:w w:val="94"/>
              </w:rPr>
              <w:t>2024</w:t>
            </w:r>
          </w:p>
        </w:tc>
      </w:tr>
      <w:tr>
        <w:trPr>
          <w:trHeight w:val="282"/>
        </w:trPr>
        <w:tc>
          <w:tcPr>
            <w:tcW w:w="606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Non-income taxes payable</w:t>
            </w:r>
          </w:p>
        </w:tc>
        <w:tc>
          <w:tcPr>
            <w:tcW w:w="1160" w:type="dxa"/>
            <w:vAlign w:val="bottom"/>
            <w:shd w:val="clear" w:color="auto" w:fill="E6E6E6"/>
          </w:tcPr>
          <w:p>
            <w:pPr>
              <w:jc w:val="right"/>
              <w:ind w:right="90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58.9</w:t>
            </w:r>
          </w:p>
        </w:tc>
        <w:tc>
          <w:tcPr>
            <w:tcW w:w="840" w:type="dxa"/>
            <w:vAlign w:val="bottom"/>
            <w:gridSpan w:val="2"/>
            <w:shd w:val="clear" w:color="auto" w:fill="E6E6E6"/>
          </w:tcPr>
          <w:p>
            <w:pPr>
              <w:jc w:val="right"/>
              <w:ind w:right="52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59.2</w:t>
            </w:r>
          </w:p>
        </w:tc>
      </w:tr>
      <w:tr>
        <w:trPr>
          <w:trHeight w:val="286"/>
        </w:trPr>
        <w:tc>
          <w:tcPr>
            <w:tcW w:w="6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legal and other external fees</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r>
      <w:tr>
        <w:trPr>
          <w:trHeight w:val="299"/>
        </w:trPr>
        <w:tc>
          <w:tcPr>
            <w:tcW w:w="606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Acquisition indemnification holdbacks</w:t>
            </w:r>
          </w:p>
        </w:tc>
        <w:tc>
          <w:tcPr>
            <w:tcW w:w="116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82"/>
        </w:trPr>
        <w:tc>
          <w:tcPr>
            <w:tcW w:w="606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Other accrued and current liabilities</w:t>
            </w:r>
          </w:p>
        </w:tc>
        <w:tc>
          <w:tcPr>
            <w:tcW w:w="1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80" w:type="dxa"/>
            <w:vAlign w:val="bottom"/>
            <w:tcBorders>
              <w:bottom w:val="single" w:sz="8" w:color="E6E6E6"/>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w:t>
            </w:r>
          </w:p>
        </w:tc>
      </w:tr>
      <w:tr>
        <w:trPr>
          <w:trHeight w:val="292"/>
        </w:trPr>
        <w:tc>
          <w:tcPr>
            <w:tcW w:w="606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accrued and other current liabilities</w:t>
            </w:r>
          </w:p>
        </w:tc>
        <w:tc>
          <w:tcPr>
            <w:tcW w:w="1160" w:type="dxa"/>
            <w:vAlign w:val="bottom"/>
            <w:tcBorders>
              <w:bottom w:val="single" w:sz="8" w:color="auto"/>
            </w:tcBorders>
            <w:shd w:val="clear" w:color="auto" w:fill="E6E6E6"/>
          </w:tcPr>
          <w:p>
            <w:pPr>
              <w:jc w:val="right"/>
              <w:ind w:right="90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8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ind w:right="52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-971550</wp:posOffset>
            </wp:positionV>
            <wp:extent cx="2548255" cy="4953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199">
                      <a:extLst>
                        <a:ext uri="{28A0092B-C50C-407E-A947-70E740481C1C}"/>
                      </a:extLst>
                    </a:blip>
                    <a:srcRect/>
                    <a:stretch>
                      <a:fillRect/>
                    </a:stretch>
                  </pic:blipFill>
                  <pic:spPr bwMode="auto">
                    <a:xfrm>
                      <a:off x="0" y="0"/>
                      <a:ext cx="2548255" cy="4953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-228600</wp:posOffset>
            </wp:positionV>
            <wp:extent cx="2548255" cy="4953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200">
                      <a:extLst>
                        <a:ext uri="{28A0092B-C50C-407E-A947-70E740481C1C}"/>
                      </a:extLst>
                    </a:blip>
                    <a:srcRect/>
                    <a:stretch>
                      <a:fillRect/>
                    </a:stretch>
                  </pic:blipFill>
                  <pic:spPr bwMode="auto">
                    <a:xfrm>
                      <a:off x="0" y="0"/>
                      <a:ext cx="2548255" cy="4953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-55245</wp:posOffset>
            </wp:positionV>
            <wp:extent cx="2548255" cy="742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201">
                      <a:extLst>
                        <a:ext uri="{28A0092B-C50C-407E-A947-70E740481C1C}"/>
                      </a:extLst>
                    </a:blip>
                    <a:srcRect/>
                    <a:stretch>
                      <a:fillRect/>
                    </a:stretch>
                  </pic:blipFill>
                  <pic:spPr bwMode="auto">
                    <a:xfrm>
                      <a:off x="0" y="0"/>
                      <a:ext cx="2548255" cy="7429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12.Stockholders’ Deficit</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29" w:lineRule="exact"/>
        <w:rPr>
          <w:sz w:val="20"/>
          <w:szCs w:val="20"/>
          <w:color w:val="auto"/>
        </w:rPr>
      </w:pPr>
    </w:p>
    <w:p>
      <w:pPr>
        <w:ind w:firstLine="439"/>
        <w:spacing w:after="0" w:line="285" w:lineRule="auto"/>
        <w:rPr>
          <w:sz w:val="20"/>
          <w:szCs w:val="20"/>
          <w:color w:val="auto"/>
        </w:rPr>
      </w:pPr>
      <w:r>
        <w:rPr>
          <w:rFonts w:ascii="Times New Roman" w:cs="Times New Roman" w:eastAsia="Times New Roman" w:hAnsi="Times New Roman"/>
          <w:sz w:val="18"/>
          <w:szCs w:val="18"/>
          <w:color w:val="auto"/>
        </w:rPr>
        <w:t>The Company’s articles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175" w:lineRule="exact"/>
        <w:rPr>
          <w:sz w:val="20"/>
          <w:szCs w:val="20"/>
          <w:color w:val="auto"/>
        </w:rPr>
      </w:pPr>
    </w:p>
    <w:p>
      <w:pPr>
        <w:ind w:right="80" w:firstLine="439"/>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 had authorized 2,400.0 million shares of Class A common stock, 475.0 million shares of Class B common stock, and 800.0 million shares of Class C common stock, each at par value of $0.00001. Holders of Class B common stock voluntarily converted 1.7 million and 3.2 million shares into an equivalent number of shares of Class A common stock during the years ended December 31, 2025 and 2024, respectively.</w:t>
      </w:r>
    </w:p>
    <w:p>
      <w:pPr>
        <w:spacing w:after="0" w:line="204"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20"/>
          <w:szCs w:val="20"/>
          <w:color w:val="auto"/>
        </w:rPr>
        <w:t>As of December 31, 2025, 167.2 million shares of Class A common stock, 75.7 million shares of Class B common stock, and no shares of Class C common stock were issued and outstanding. As of December 31, 2024, 218.4 million shares of Class A common stock, 77.5 million shares of Class B common stock, and no shares of Class C common stock were issued and outstanding. Class A shares issued and outstanding as of December 31, 2025 and 2024 exclude unvested restricted stock awards granted to certain executives, including 8.3 million unvested restricted stock awards granted to one of the Company's co-founders. See "Co-Founder Grant" section below for additional information.</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246" w:lineRule="exact"/>
        <w:rPr>
          <w:sz w:val="20"/>
          <w:szCs w:val="20"/>
          <w:color w:val="auto"/>
        </w:rPr>
      </w:pPr>
    </w:p>
    <w:p>
      <w:pPr>
        <w:jc w:val="both"/>
        <w:ind w:right="60" w:firstLine="439"/>
        <w:spacing w:after="0" w:line="256" w:lineRule="auto"/>
        <w:rPr>
          <w:sz w:val="20"/>
          <w:szCs w:val="20"/>
          <w:color w:val="auto"/>
        </w:rPr>
      </w:pPr>
      <w:r>
        <w:rPr>
          <w:rFonts w:ascii="Times New Roman" w:cs="Times New Roman" w:eastAsia="Times New Roman" w:hAnsi="Times New Roman"/>
          <w:sz w:val="20"/>
          <w:szCs w:val="20"/>
          <w:color w:val="auto"/>
        </w:rPr>
        <w:t>The Company's Board of Directors has the authority, without further action by the Company's stockholders, to issue up to 240.0 million shares of undesignated preferred stock with rights and preferences, including voting rights, designated from time-to-time by the Board of Directors.</w:t>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000"/>
          </w:cols>
          <w:pgMar w:left="940" w:top="352" w:right="940" w:bottom="0" w:gutter="0" w:footer="0" w:header="0"/>
          <w:type w:val="continuous"/>
        </w:sectPr>
      </w:pPr>
    </w:p>
    <w:bookmarkStart w:id="201" w:name="page202"/>
    <w:bookmarkEnd w:id="20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 program</w:t>
      </w:r>
    </w:p>
    <w:p>
      <w:pPr>
        <w:spacing w:after="0" w:line="246" w:lineRule="exact"/>
        <w:rPr>
          <w:sz w:val="20"/>
          <w:szCs w:val="20"/>
          <w:color w:val="auto"/>
        </w:rPr>
      </w:pPr>
    </w:p>
    <w:p>
      <w:pPr>
        <w:ind w:right="20" w:firstLine="439"/>
        <w:spacing w:after="0" w:line="247" w:lineRule="auto"/>
        <w:rPr>
          <w:sz w:val="20"/>
          <w:szCs w:val="20"/>
          <w:color w:val="auto"/>
        </w:rPr>
      </w:pPr>
      <w:r>
        <w:rPr>
          <w:rFonts w:ascii="Times New Roman" w:cs="Times New Roman" w:eastAsia="Times New Roman" w:hAnsi="Times New Roman"/>
          <w:sz w:val="20"/>
          <w:szCs w:val="20"/>
          <w:color w:val="auto"/>
        </w:rPr>
        <w:t>In February 2022, the Board of Directors authorized a $1.2 billion share repurchase program, which the Company completed during the three months ended March 31, 2024. In July 2023, the Board of Directors authorized an additional $1.2 billion share repurchase program, which the Company completed during the three months ended March 31, 2025. In December 2024, the Board of Directors authorized a third $1.2 billion program, which the Company completed during the three months ended December 31, 2025. In August 2025, the Board of Directors authorized a fourth $1.5 billion share repurchase program, under which the Company continues to repurchase shares.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the Company to repurchase any specific number of shares and may be discontinued at any time.</w:t>
      </w:r>
    </w:p>
    <w:p>
      <w:pPr>
        <w:spacing w:after="0" w:line="366" w:lineRule="exact"/>
        <w:rPr>
          <w:sz w:val="20"/>
          <w:szCs w:val="20"/>
          <w:color w:val="auto"/>
        </w:rPr>
      </w:pPr>
    </w:p>
    <w:p>
      <w:pPr>
        <w:ind w:right="60" w:firstLine="439"/>
        <w:spacing w:after="0" w:line="234" w:lineRule="auto"/>
        <w:rPr>
          <w:sz w:val="20"/>
          <w:szCs w:val="20"/>
          <w:color w:val="auto"/>
        </w:rPr>
      </w:pPr>
      <w:r>
        <w:rPr>
          <w:rFonts w:ascii="Times New Roman" w:cs="Times New Roman" w:eastAsia="Times New Roman" w:hAnsi="Times New Roman"/>
          <w:sz w:val="20"/>
          <w:szCs w:val="20"/>
          <w:color w:val="auto"/>
        </w:rPr>
        <w:t>During the year ended December 31, 2025, the Company repurchased and subsequently retired 60.4 million shares of its Class A common stock for an aggregate amount of $1.7 billion. During the year ended December 31, 2024, the Company repurchased and subsequently retired 49.5 million shares of its Class A common stock, for an aggregate amount of $1.2 billion. Included in the cost of treasury stock acquired pursuant to common share repurchases is the 1% excise tax imposed as part of the Inflation Reduction Act, in addition to repurchase execution costs incurred in connection with the Company’s share repurchase program.</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Equity incentive plans</w:t>
      </w:r>
    </w:p>
    <w:p>
      <w:pPr>
        <w:spacing w:after="0" w:line="246" w:lineRule="exact"/>
        <w:rPr>
          <w:sz w:val="20"/>
          <w:szCs w:val="20"/>
          <w:color w:val="auto"/>
        </w:rPr>
      </w:pPr>
    </w:p>
    <w:p>
      <w:pPr>
        <w:ind w:firstLine="439"/>
        <w:spacing w:after="0" w:line="248" w:lineRule="auto"/>
        <w:rPr>
          <w:sz w:val="20"/>
          <w:szCs w:val="20"/>
          <w:color w:val="auto"/>
        </w:rPr>
      </w:pPr>
      <w:r>
        <w:rPr>
          <w:rFonts w:ascii="Times New Roman" w:cs="Times New Roman" w:eastAsia="Times New Roman" w:hAnsi="Times New Roman"/>
          <w:sz w:val="20"/>
          <w:szCs w:val="20"/>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92" w:lineRule="exact"/>
        <w:rPr>
          <w:sz w:val="20"/>
          <w:szCs w:val="20"/>
          <w:color w:val="auto"/>
        </w:rPr>
      </w:pPr>
    </w:p>
    <w:p>
      <w:pPr>
        <w:ind w:right="120" w:firstLine="483"/>
        <w:spacing w:after="0" w:line="256" w:lineRule="auto"/>
        <w:rPr>
          <w:sz w:val="20"/>
          <w:szCs w:val="20"/>
          <w:color w:val="auto"/>
        </w:rPr>
      </w:pPr>
      <w:r>
        <w:rPr>
          <w:rFonts w:ascii="Times New Roman" w:cs="Times New Roman" w:eastAsia="Times New Roman" w:hAnsi="Times New Roman"/>
          <w:sz w:val="20"/>
          <w:szCs w:val="20"/>
          <w:color w:val="auto"/>
        </w:rPr>
        <w:t>As of December 31, 2025, there were 24.9 million stock-based awards issued and outstanding and 131.0 million shares available for issuance under the Dropbox Equity Incentive Plans, Dropbox Sign's 2011 Equity Incentive Plan, DocSend's 2013 Stock Plan and DocSend's 2015 Stock Option and Grant Plan (collectively, the "Plans").</w:t>
      </w:r>
    </w:p>
    <w:p>
      <w:pPr>
        <w:sectPr>
          <w:pgSz w:w="11880" w:h="15480" w:orient="portrait"/>
          <w:cols w:equalWidth="0" w:num="1">
            <w:col w:w="9980"/>
          </w:cols>
          <w:pgMar w:left="940" w:top="35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880" w:h="15480" w:orient="portrait"/>
          <w:cols w:equalWidth="0" w:num="1">
            <w:col w:w="9980"/>
          </w:cols>
          <w:pgMar w:left="940" w:top="352" w:right="960" w:bottom="0" w:gutter="0" w:footer="0" w:header="0"/>
          <w:type w:val="continuous"/>
        </w:sectPr>
      </w:pPr>
    </w:p>
    <w:bookmarkStart w:id="202" w:name="page203"/>
    <w:bookmarkEnd w:id="202"/>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Stock option and restricted stock activity for the Plans was as follows for the years ended December 31, 2025 and 2024:</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Options outstanding</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gridSpan w:val="3"/>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Restricted stock</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Borders>
              <w:bottom w:val="single" w:sz="8" w:color="auto"/>
            </w:tcBorders>
            <w:gridSpan w:val="3"/>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0" w:type="dxa"/>
            <w:vAlign w:val="bottom"/>
          </w:tcPr>
          <w:p>
            <w:pPr>
              <w:spacing w:after="0"/>
              <w:rPr>
                <w:sz w:val="1"/>
                <w:szCs w:val="1"/>
                <w:color w:val="auto"/>
              </w:rPr>
            </w:pPr>
          </w:p>
        </w:tc>
      </w:tr>
      <w:tr>
        <w:trPr>
          <w:trHeight w:val="406"/>
        </w:trPr>
        <w:tc>
          <w:tcPr>
            <w:tcW w:w="2360" w:type="dxa"/>
            <w:vAlign w:val="bottom"/>
          </w:tcPr>
          <w:p>
            <w:pPr>
              <w:spacing w:after="0"/>
              <w:rPr>
                <w:sz w:val="24"/>
                <w:szCs w:val="24"/>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6"/>
              </w:rPr>
              <w:t>Number of</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Number of</w:t>
            </w:r>
          </w:p>
        </w:tc>
        <w:tc>
          <w:tcPr>
            <w:tcW w:w="80" w:type="dxa"/>
            <w:vAlign w:val="bottom"/>
          </w:tcPr>
          <w:p>
            <w:pPr>
              <w:spacing w:after="0"/>
              <w:rPr>
                <w:sz w:val="24"/>
                <w:szCs w:val="24"/>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Weighted-</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Weighted-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Weighted-</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1160" w:type="dxa"/>
            <w:vAlign w:val="bottom"/>
            <w:gridSpan w:val="2"/>
          </w:tcPr>
          <w:p>
            <w:pPr>
              <w:jc w:val="center"/>
              <w:ind w:right="80"/>
              <w:spacing w:after="0" w:line="195" w:lineRule="exact"/>
              <w:rPr>
                <w:sz w:val="20"/>
                <w:szCs w:val="20"/>
                <w:color w:val="auto"/>
              </w:rPr>
            </w:pPr>
            <w:r>
              <w:rPr>
                <w:rFonts w:ascii="Times New Roman" w:cs="Times New Roman" w:eastAsia="Times New Roman" w:hAnsi="Times New Roman"/>
                <w:sz w:val="20"/>
                <w:szCs w:val="20"/>
                <w:color w:val="auto"/>
                <w:w w:val="95"/>
              </w:rPr>
              <w:t>shares</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6"/>
              </w:rPr>
              <w:t>average</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1160" w:type="dxa"/>
            <w:vAlign w:val="bottom"/>
            <w:gridSpan w:val="2"/>
          </w:tcPr>
          <w:p>
            <w:pPr>
              <w:jc w:val="center"/>
              <w:ind w:right="60"/>
              <w:spacing w:after="0" w:line="195" w:lineRule="exact"/>
              <w:rPr>
                <w:sz w:val="20"/>
                <w:szCs w:val="20"/>
                <w:color w:val="auto"/>
              </w:rPr>
            </w:pPr>
            <w:r>
              <w:rPr>
                <w:rFonts w:ascii="Times New Roman" w:cs="Times New Roman" w:eastAsia="Times New Roman" w:hAnsi="Times New Roman"/>
                <w:sz w:val="20"/>
                <w:szCs w:val="20"/>
                <w:color w:val="auto"/>
                <w:w w:val="97"/>
              </w:rPr>
              <w:t>available for</w:t>
            </w:r>
          </w:p>
        </w:tc>
        <w:tc>
          <w:tcPr>
            <w:tcW w:w="104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5"/>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2"/>
              <w:spacing w:after="0" w:line="195" w:lineRule="exact"/>
              <w:rPr>
                <w:sz w:val="20"/>
                <w:szCs w:val="20"/>
                <w:color w:val="auto"/>
              </w:rPr>
            </w:pPr>
            <w:r>
              <w:rPr>
                <w:rFonts w:ascii="Times New Roman" w:cs="Times New Roman" w:eastAsia="Times New Roman" w:hAnsi="Times New Roman"/>
                <w:sz w:val="20"/>
                <w:szCs w:val="20"/>
                <w:color w:val="auto"/>
                <w:w w:val="96"/>
              </w:rPr>
              <w:t>average</w:t>
            </w: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8"/>
              </w:rPr>
              <w:t>remaining</w:t>
            </w: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Aggregate</w:t>
            </w:r>
          </w:p>
        </w:tc>
        <w:tc>
          <w:tcPr>
            <w:tcW w:w="8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9"/>
              </w:rPr>
              <w:t>shares</w:t>
            </w:r>
          </w:p>
        </w:tc>
        <w:tc>
          <w:tcPr>
            <w:tcW w:w="240" w:type="dxa"/>
            <w:vAlign w:val="bottom"/>
          </w:tcPr>
          <w:p>
            <w:pPr>
              <w:spacing w:after="0"/>
              <w:rPr>
                <w:sz w:val="16"/>
                <w:szCs w:val="16"/>
                <w:color w:val="auto"/>
              </w:rPr>
            </w:pPr>
          </w:p>
        </w:tc>
        <w:tc>
          <w:tcPr>
            <w:tcW w:w="880" w:type="dxa"/>
            <w:vAlign w:val="bottom"/>
          </w:tcPr>
          <w:p>
            <w:pPr>
              <w:jc w:val="center"/>
              <w:ind w:right="62"/>
              <w:spacing w:after="0" w:line="195" w:lineRule="exact"/>
              <w:rPr>
                <w:sz w:val="20"/>
                <w:szCs w:val="20"/>
                <w:color w:val="auto"/>
              </w:rPr>
            </w:pPr>
            <w:r>
              <w:rPr>
                <w:rFonts w:ascii="Times New Roman" w:cs="Times New Roman" w:eastAsia="Times New Roman" w:hAnsi="Times New Roman"/>
                <w:sz w:val="20"/>
                <w:szCs w:val="20"/>
                <w:color w:val="auto"/>
                <w:w w:val="96"/>
              </w:rPr>
              <w:t>average</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1160" w:type="dxa"/>
            <w:vAlign w:val="bottom"/>
            <w:gridSpan w:val="2"/>
          </w:tcPr>
          <w:p>
            <w:pPr>
              <w:jc w:val="center"/>
              <w:ind w:right="60"/>
              <w:spacing w:after="0" w:line="195" w:lineRule="exact"/>
              <w:rPr>
                <w:sz w:val="20"/>
                <w:szCs w:val="20"/>
                <w:color w:val="auto"/>
              </w:rPr>
            </w:pPr>
            <w:r>
              <w:rPr>
                <w:rFonts w:ascii="Times New Roman" w:cs="Times New Roman" w:eastAsia="Times New Roman" w:hAnsi="Times New Roman"/>
                <w:sz w:val="20"/>
                <w:szCs w:val="20"/>
                <w:color w:val="auto"/>
                <w:w w:val="97"/>
              </w:rPr>
              <w:t>issuance</w:t>
            </w:r>
          </w:p>
        </w:tc>
        <w:tc>
          <w:tcPr>
            <w:tcW w:w="104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8"/>
              </w:rPr>
              <w:t>outstanding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2"/>
              <w:spacing w:after="0" w:line="195" w:lineRule="exact"/>
              <w:rPr>
                <w:sz w:val="20"/>
                <w:szCs w:val="20"/>
                <w:color w:val="auto"/>
              </w:rPr>
            </w:pPr>
            <w:r>
              <w:rPr>
                <w:rFonts w:ascii="Times New Roman" w:cs="Times New Roman" w:eastAsia="Times New Roman" w:hAnsi="Times New Roman"/>
                <w:sz w:val="20"/>
                <w:szCs w:val="20"/>
                <w:color w:val="auto"/>
                <w:w w:val="97"/>
              </w:rPr>
              <w:t>exercise</w:t>
            </w: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6"/>
              </w:rPr>
              <w:t>contractual</w:t>
            </w: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6"/>
              </w:rPr>
              <w:t>outstanding</w:t>
            </w:r>
          </w:p>
        </w:tc>
        <w:tc>
          <w:tcPr>
            <w:tcW w:w="112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20"/>
                <w:szCs w:val="20"/>
                <w:color w:val="auto"/>
                <w:w w:val="95"/>
              </w:rPr>
              <w:t>grant date</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1160" w:type="dxa"/>
            <w:vAlign w:val="bottom"/>
            <w:gridSpan w:val="2"/>
          </w:tcPr>
          <w:p>
            <w:pPr>
              <w:jc w:val="center"/>
              <w:ind w:right="80"/>
              <w:spacing w:after="0" w:line="195" w:lineRule="exact"/>
              <w:rPr>
                <w:sz w:val="20"/>
                <w:szCs w:val="20"/>
                <w:color w:val="auto"/>
              </w:rPr>
            </w:pPr>
            <w:r>
              <w:rPr>
                <w:rFonts w:ascii="Times New Roman" w:cs="Times New Roman" w:eastAsia="Times New Roman" w:hAnsi="Times New Roman"/>
                <w:sz w:val="20"/>
                <w:szCs w:val="20"/>
                <w:color w:val="auto"/>
                <w:w w:val="95"/>
              </w:rPr>
              <w:t>under the</w:t>
            </w:r>
          </w:p>
        </w:tc>
        <w:tc>
          <w:tcPr>
            <w:tcW w:w="104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5"/>
              </w:rPr>
              <w:t>under the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2"/>
              <w:spacing w:after="0" w:line="195" w:lineRule="exact"/>
              <w:rPr>
                <w:sz w:val="20"/>
                <w:szCs w:val="20"/>
                <w:color w:val="auto"/>
              </w:rPr>
            </w:pPr>
            <w:r>
              <w:rPr>
                <w:rFonts w:ascii="Times New Roman" w:cs="Times New Roman" w:eastAsia="Times New Roman" w:hAnsi="Times New Roman"/>
                <w:sz w:val="20"/>
                <w:szCs w:val="20"/>
                <w:color w:val="auto"/>
                <w:w w:val="99"/>
              </w:rPr>
              <w:t>price</w:t>
            </w: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8"/>
              </w:rPr>
              <w:t>term</w:t>
            </w:r>
          </w:p>
        </w:tc>
        <w:tc>
          <w:tcPr>
            <w:tcW w:w="180" w:type="dxa"/>
            <w:vAlign w:val="bottom"/>
          </w:tcPr>
          <w:p>
            <w:pPr>
              <w:spacing w:after="0"/>
              <w:rPr>
                <w:sz w:val="16"/>
                <w:szCs w:val="16"/>
                <w:color w:val="auto"/>
              </w:rPr>
            </w:pPr>
          </w:p>
        </w:tc>
        <w:tc>
          <w:tcPr>
            <w:tcW w:w="800" w:type="dxa"/>
            <w:vAlign w:val="bottom"/>
          </w:tcPr>
          <w:p>
            <w:pPr>
              <w:jc w:val="right"/>
              <w:ind w:right="62"/>
              <w:spacing w:after="0" w:line="195" w:lineRule="exact"/>
              <w:rPr>
                <w:sz w:val="20"/>
                <w:szCs w:val="20"/>
                <w:color w:val="auto"/>
              </w:rPr>
            </w:pPr>
            <w:r>
              <w:rPr>
                <w:rFonts w:ascii="Times New Roman" w:cs="Times New Roman" w:eastAsia="Times New Roman" w:hAnsi="Times New Roman"/>
                <w:sz w:val="20"/>
                <w:szCs w:val="20"/>
                <w:color w:val="auto"/>
                <w:w w:val="94"/>
              </w:rPr>
              <w:t>intrinsic</w:t>
            </w:r>
          </w:p>
        </w:tc>
        <w:tc>
          <w:tcPr>
            <w:tcW w:w="8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20"/>
                <w:szCs w:val="20"/>
                <w:color w:val="auto"/>
                <w:w w:val="98"/>
              </w:rPr>
              <w:t>under the</w:t>
            </w:r>
          </w:p>
        </w:tc>
        <w:tc>
          <w:tcPr>
            <w:tcW w:w="240" w:type="dxa"/>
            <w:vAlign w:val="bottom"/>
          </w:tcPr>
          <w:p>
            <w:pPr>
              <w:spacing w:after="0"/>
              <w:rPr>
                <w:sz w:val="16"/>
                <w:szCs w:val="16"/>
                <w:color w:val="auto"/>
              </w:rPr>
            </w:pPr>
          </w:p>
        </w:tc>
        <w:tc>
          <w:tcPr>
            <w:tcW w:w="880" w:type="dxa"/>
            <w:vAlign w:val="bottom"/>
          </w:tcPr>
          <w:p>
            <w:pPr>
              <w:jc w:val="center"/>
              <w:ind w:right="42"/>
              <w:spacing w:after="0" w:line="195" w:lineRule="exact"/>
              <w:rPr>
                <w:sz w:val="20"/>
                <w:szCs w:val="20"/>
                <w:color w:val="auto"/>
              </w:rPr>
            </w:pPr>
            <w:r>
              <w:rPr>
                <w:rFonts w:ascii="Times New Roman" w:cs="Times New Roman" w:eastAsia="Times New Roman" w:hAnsi="Times New Roman"/>
                <w:sz w:val="20"/>
                <w:szCs w:val="20"/>
                <w:color w:val="auto"/>
                <w:w w:val="97"/>
              </w:rPr>
              <w:t>fair value</w:t>
            </w:r>
          </w:p>
        </w:tc>
        <w:tc>
          <w:tcPr>
            <w:tcW w:w="0" w:type="dxa"/>
            <w:vAlign w:val="bottom"/>
          </w:tcPr>
          <w:p>
            <w:pPr>
              <w:spacing w:after="0"/>
              <w:rPr>
                <w:sz w:val="1"/>
                <w:szCs w:val="1"/>
                <w:color w:val="auto"/>
              </w:rPr>
            </w:pPr>
          </w:p>
        </w:tc>
      </w:tr>
      <w:tr>
        <w:trPr>
          <w:trHeight w:val="256"/>
        </w:trPr>
        <w:tc>
          <w:tcPr>
            <w:tcW w:w="2360" w:type="dxa"/>
            <w:vAlign w:val="bottom"/>
            <w:tcBorders>
              <w:bottom w:val="single" w:sz="8" w:color="E6E6E6"/>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Plans</w:t>
            </w:r>
          </w:p>
        </w:tc>
        <w:tc>
          <w:tcPr>
            <w:tcW w:w="60" w:type="dxa"/>
            <w:vAlign w:val="bottom"/>
            <w:tcBorders>
              <w:bottom w:val="single" w:sz="8" w:color="E6E6E6"/>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Plans</w:t>
            </w: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20"/>
                <w:szCs w:val="20"/>
                <w:color w:val="auto"/>
                <w:w w:val="98"/>
              </w:rPr>
              <w:t>per share</w:t>
            </w:r>
          </w:p>
        </w:tc>
        <w:tc>
          <w:tcPr>
            <w:tcW w:w="1120" w:type="dxa"/>
            <w:vAlign w:val="bottom"/>
            <w:tcBorders>
              <w:bottom w:val="single" w:sz="8" w:color="E6E6E6"/>
            </w:tcBorders>
          </w:tcPr>
          <w:p>
            <w:pPr>
              <w:jc w:val="center"/>
              <w:spacing w:after="0"/>
              <w:rPr>
                <w:sz w:val="20"/>
                <w:szCs w:val="20"/>
                <w:color w:val="auto"/>
              </w:rPr>
            </w:pPr>
            <w:r>
              <w:rPr>
                <w:rFonts w:ascii="Times New Roman" w:cs="Times New Roman" w:eastAsia="Times New Roman" w:hAnsi="Times New Roman"/>
                <w:sz w:val="20"/>
                <w:szCs w:val="20"/>
                <w:color w:val="auto"/>
                <w:w w:val="98"/>
              </w:rPr>
              <w:t>(In years)</w:t>
            </w:r>
          </w:p>
        </w:tc>
        <w:tc>
          <w:tcPr>
            <w:tcW w:w="180" w:type="dxa"/>
            <w:vAlign w:val="bottom"/>
            <w:tcBorders>
              <w:bottom w:val="single" w:sz="8" w:color="E6E6E6"/>
            </w:tcBorders>
          </w:tcPr>
          <w:p>
            <w:pPr>
              <w:spacing w:after="0"/>
              <w:rPr>
                <w:sz w:val="22"/>
                <w:szCs w:val="22"/>
                <w:color w:val="auto"/>
              </w:rPr>
            </w:pPr>
          </w:p>
        </w:tc>
        <w:tc>
          <w:tcPr>
            <w:tcW w:w="800" w:type="dxa"/>
            <w:vAlign w:val="bottom"/>
            <w:tcBorders>
              <w:bottom w:val="single" w:sz="8" w:color="E6E6E6"/>
            </w:tcBorders>
          </w:tcPr>
          <w:p>
            <w:pPr>
              <w:jc w:val="right"/>
              <w:ind w:right="162"/>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Borders>
              <w:bottom w:val="single" w:sz="8" w:color="E6E6E6"/>
            </w:tcBorders>
          </w:tcPr>
          <w:p>
            <w:pPr>
              <w:spacing w:after="0"/>
              <w:rPr>
                <w:sz w:val="22"/>
                <w:szCs w:val="22"/>
                <w:color w:val="auto"/>
              </w:rPr>
            </w:pPr>
          </w:p>
        </w:tc>
        <w:tc>
          <w:tcPr>
            <w:tcW w:w="1020" w:type="dxa"/>
            <w:vAlign w:val="bottom"/>
            <w:tcBorders>
              <w:bottom w:val="single" w:sz="8" w:color="E6E6E6"/>
            </w:tcBorders>
          </w:tcPr>
          <w:p>
            <w:pPr>
              <w:jc w:val="center"/>
              <w:spacing w:after="0"/>
              <w:rPr>
                <w:sz w:val="20"/>
                <w:szCs w:val="20"/>
                <w:color w:val="auto"/>
              </w:rPr>
            </w:pPr>
            <w:r>
              <w:rPr>
                <w:rFonts w:ascii="Times New Roman" w:cs="Times New Roman" w:eastAsia="Times New Roman" w:hAnsi="Times New Roman"/>
                <w:sz w:val="20"/>
                <w:szCs w:val="20"/>
                <w:color w:val="auto"/>
                <w:w w:val="96"/>
              </w:rPr>
              <w:t>Plans</w:t>
            </w:r>
          </w:p>
        </w:tc>
        <w:tc>
          <w:tcPr>
            <w:tcW w:w="240" w:type="dxa"/>
            <w:vAlign w:val="bottom"/>
            <w:tcBorders>
              <w:bottom w:val="single" w:sz="8" w:color="E6E6E6"/>
            </w:tcBorders>
          </w:tcPr>
          <w:p>
            <w:pPr>
              <w:spacing w:after="0"/>
              <w:rPr>
                <w:sz w:val="22"/>
                <w:szCs w:val="22"/>
                <w:color w:val="auto"/>
              </w:rPr>
            </w:pPr>
          </w:p>
        </w:tc>
        <w:tc>
          <w:tcPr>
            <w:tcW w:w="880" w:type="dxa"/>
            <w:vAlign w:val="bottom"/>
            <w:tcBorders>
              <w:bottom w:val="single" w:sz="8" w:color="E6E6E6"/>
            </w:tcBorders>
          </w:tcPr>
          <w:p>
            <w:pPr>
              <w:jc w:val="center"/>
              <w:ind w:right="62"/>
              <w:spacing w:after="0"/>
              <w:rPr>
                <w:sz w:val="20"/>
                <w:szCs w:val="20"/>
                <w:color w:val="auto"/>
              </w:rPr>
            </w:pPr>
            <w:r>
              <w:rPr>
                <w:rFonts w:ascii="Times New Roman" w:cs="Times New Roman" w:eastAsia="Times New Roman" w:hAnsi="Times New Roman"/>
                <w:sz w:val="20"/>
                <w:szCs w:val="20"/>
                <w:color w:val="auto"/>
                <w:w w:val="98"/>
              </w:rPr>
              <w:t>per share</w:t>
            </w:r>
          </w:p>
        </w:tc>
        <w:tc>
          <w:tcPr>
            <w:tcW w:w="0" w:type="dxa"/>
            <w:vAlign w:val="bottom"/>
          </w:tcPr>
          <w:p>
            <w:pPr>
              <w:spacing w:after="0"/>
              <w:rPr>
                <w:sz w:val="1"/>
                <w:szCs w:val="1"/>
                <w:color w:val="auto"/>
              </w:rPr>
            </w:pPr>
          </w:p>
        </w:tc>
      </w:tr>
      <w:tr>
        <w:trPr>
          <w:trHeight w:val="177"/>
        </w:trPr>
        <w:tc>
          <w:tcPr>
            <w:tcW w:w="2360" w:type="dxa"/>
            <w:vAlign w:val="bottom"/>
            <w:shd w:val="clear" w:color="auto" w:fill="E6E6E6"/>
          </w:tcPr>
          <w:p>
            <w:pPr>
              <w:ind w:left="60"/>
              <w:spacing w:after="0" w:line="177" w:lineRule="exact"/>
              <w:rPr>
                <w:sz w:val="20"/>
                <w:szCs w:val="20"/>
                <w:color w:val="auto"/>
              </w:rPr>
            </w:pPr>
            <w:r>
              <w:rPr>
                <w:rFonts w:ascii="Times New Roman" w:cs="Times New Roman" w:eastAsia="Times New Roman" w:hAnsi="Times New Roman"/>
                <w:sz w:val="20"/>
                <w:szCs w:val="20"/>
                <w:color w:val="auto"/>
              </w:rPr>
              <w:t>Balance as of December 31,</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60" w:type="dxa"/>
            <w:vAlign w:val="bottom"/>
            <w:shd w:val="clear" w:color="auto" w:fill="E6E6E6"/>
          </w:tcPr>
          <w:p>
            <w:pPr>
              <w:spacing w:after="0"/>
              <w:rPr>
                <w:sz w:val="15"/>
                <w:szCs w:val="15"/>
                <w:color w:val="auto"/>
              </w:rPr>
            </w:pPr>
          </w:p>
        </w:tc>
        <w:tc>
          <w:tcPr>
            <w:tcW w:w="10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2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1120" w:type="dxa"/>
            <w:vAlign w:val="bottom"/>
            <w:vMerge w:val="restart"/>
            <w:shd w:val="clear" w:color="auto" w:fill="E6E6E6"/>
          </w:tcPr>
          <w:p>
            <w:pPr>
              <w:ind w:left="800"/>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vMerge w:val="restart"/>
            <w:shd w:val="clear" w:color="auto" w:fill="E6E6E6"/>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10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2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23.16</w:t>
            </w:r>
          </w:p>
        </w:tc>
        <w:tc>
          <w:tcPr>
            <w:tcW w:w="0" w:type="dxa"/>
            <w:vAlign w:val="bottom"/>
          </w:tcPr>
          <w:p>
            <w:pPr>
              <w:spacing w:after="0"/>
              <w:rPr>
                <w:sz w:val="1"/>
                <w:szCs w:val="1"/>
                <w:color w:val="auto"/>
              </w:rPr>
            </w:pPr>
          </w:p>
        </w:tc>
      </w:tr>
      <w:tr>
        <w:trPr>
          <w:trHeight w:val="276"/>
        </w:trPr>
        <w:tc>
          <w:tcPr>
            <w:tcW w:w="23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1100" w:type="dxa"/>
            <w:vAlign w:val="bottom"/>
            <w:vMerge w:val="continue"/>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40" w:type="dxa"/>
            <w:vAlign w:val="bottom"/>
            <w:vMerge w:val="continue"/>
            <w:shd w:val="clear" w:color="auto" w:fill="E6E6E6"/>
          </w:tcPr>
          <w:p>
            <w:pPr>
              <w:spacing w:after="0"/>
              <w:rPr>
                <w:sz w:val="24"/>
                <w:szCs w:val="24"/>
                <w:color w:val="auto"/>
              </w:rPr>
            </w:pPr>
          </w:p>
        </w:tc>
        <w:tc>
          <w:tcPr>
            <w:tcW w:w="220" w:type="dxa"/>
            <w:vAlign w:val="bottom"/>
            <w:gridSpan w:val="2"/>
            <w:vMerge w:val="continue"/>
            <w:shd w:val="clear" w:color="auto" w:fill="E6E6E6"/>
          </w:tcPr>
          <w:p>
            <w:pPr>
              <w:spacing w:after="0"/>
              <w:rPr>
                <w:sz w:val="24"/>
                <w:szCs w:val="24"/>
                <w:color w:val="auto"/>
              </w:rPr>
            </w:pPr>
          </w:p>
        </w:tc>
        <w:tc>
          <w:tcPr>
            <w:tcW w:w="860" w:type="dxa"/>
            <w:vAlign w:val="bottom"/>
            <w:vMerge w:val="continue"/>
            <w:shd w:val="clear" w:color="auto" w:fill="E6E6E6"/>
          </w:tcPr>
          <w:p>
            <w:pPr>
              <w:spacing w:after="0"/>
              <w:rPr>
                <w:sz w:val="24"/>
                <w:szCs w:val="24"/>
                <w:color w:val="auto"/>
              </w:rPr>
            </w:pPr>
          </w:p>
        </w:tc>
        <w:tc>
          <w:tcPr>
            <w:tcW w:w="1120" w:type="dxa"/>
            <w:vAlign w:val="bottom"/>
            <w:vMerge w:val="continue"/>
            <w:shd w:val="clear" w:color="auto" w:fill="E6E6E6"/>
          </w:tcPr>
          <w:p>
            <w:pPr>
              <w:spacing w:after="0"/>
              <w:rPr>
                <w:sz w:val="24"/>
                <w:szCs w:val="24"/>
                <w:color w:val="auto"/>
              </w:rPr>
            </w:pPr>
          </w:p>
        </w:tc>
        <w:tc>
          <w:tcPr>
            <w:tcW w:w="180" w:type="dxa"/>
            <w:vAlign w:val="bottom"/>
            <w:vMerge w:val="continue"/>
            <w:shd w:val="clear" w:color="auto" w:fill="E6E6E6"/>
          </w:tcPr>
          <w:p>
            <w:pPr>
              <w:spacing w:after="0"/>
              <w:rPr>
                <w:sz w:val="24"/>
                <w:szCs w:val="24"/>
                <w:color w:val="auto"/>
              </w:rPr>
            </w:pPr>
          </w:p>
        </w:tc>
        <w:tc>
          <w:tcPr>
            <w:tcW w:w="800" w:type="dxa"/>
            <w:vAlign w:val="bottom"/>
            <w:vMerge w:val="continue"/>
            <w:shd w:val="clear" w:color="auto" w:fill="E6E6E6"/>
          </w:tcPr>
          <w:p>
            <w:pPr>
              <w:spacing w:after="0"/>
              <w:rPr>
                <w:sz w:val="24"/>
                <w:szCs w:val="24"/>
                <w:color w:val="auto"/>
              </w:rPr>
            </w:pPr>
          </w:p>
        </w:tc>
        <w:tc>
          <w:tcPr>
            <w:tcW w:w="1100" w:type="dxa"/>
            <w:vAlign w:val="bottom"/>
            <w:gridSpan w:val="2"/>
            <w:vMerge w:val="continue"/>
            <w:shd w:val="clear" w:color="auto" w:fill="E6E6E6"/>
          </w:tcPr>
          <w:p>
            <w:pPr>
              <w:spacing w:after="0"/>
              <w:rPr>
                <w:sz w:val="24"/>
                <w:szCs w:val="24"/>
                <w:color w:val="auto"/>
              </w:rPr>
            </w:pPr>
          </w:p>
        </w:tc>
        <w:tc>
          <w:tcPr>
            <w:tcW w:w="240" w:type="dxa"/>
            <w:vAlign w:val="bottom"/>
            <w:vMerge w:val="continue"/>
            <w:shd w:val="clear" w:color="auto" w:fill="E6E6E6"/>
          </w:tcPr>
          <w:p>
            <w:pPr>
              <w:spacing w:after="0"/>
              <w:rPr>
                <w:sz w:val="24"/>
                <w:szCs w:val="24"/>
                <w:color w:val="auto"/>
              </w:rPr>
            </w:pPr>
          </w:p>
        </w:tc>
        <w:tc>
          <w:tcPr>
            <w:tcW w:w="880" w:type="dxa"/>
            <w:vAlign w:val="bottom"/>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360" w:type="dxa"/>
            <w:vAlign w:val="bottom"/>
            <w:tcBorders>
              <w:top w:val="single" w:sz="8" w:color="E6E6E6"/>
            </w:tcBorders>
          </w:tcPr>
          <w:p>
            <w:pPr>
              <w:ind w:left="60"/>
              <w:spacing w:after="0" w:line="225" w:lineRule="exact"/>
              <w:rPr>
                <w:sz w:val="20"/>
                <w:szCs w:val="20"/>
                <w:color w:val="auto"/>
              </w:rPr>
            </w:pPr>
            <w:r>
              <w:rPr>
                <w:rFonts w:ascii="Times New Roman" w:cs="Times New Roman" w:eastAsia="Times New Roman" w:hAnsi="Times New Roman"/>
                <w:sz w:val="20"/>
                <w:szCs w:val="20"/>
                <w:color w:val="auto"/>
                <w:w w:val="99"/>
              </w:rPr>
              <w:t>Additional shares authorized</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60" w:type="dxa"/>
            <w:vAlign w:val="bottom"/>
            <w:tcBorders>
              <w:top w:val="single" w:sz="8" w:color="E6E6E6"/>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6E6E6"/>
            </w:tcBorders>
          </w:tcPr>
          <w:p>
            <w:pPr>
              <w:spacing w:after="0"/>
              <w:rPr>
                <w:sz w:val="21"/>
                <w:szCs w:val="21"/>
                <w:color w:val="auto"/>
              </w:rPr>
            </w:pPr>
          </w:p>
        </w:tc>
        <w:tc>
          <w:tcPr>
            <w:tcW w:w="140" w:type="dxa"/>
            <w:vAlign w:val="bottom"/>
            <w:tcBorders>
              <w:top w:val="single" w:sz="8" w:color="E6E6E6"/>
            </w:tcBorders>
          </w:tcPr>
          <w:p>
            <w:pPr>
              <w:spacing w:after="0"/>
              <w:rPr>
                <w:sz w:val="21"/>
                <w:szCs w:val="21"/>
                <w:color w:val="auto"/>
              </w:rPr>
            </w:pPr>
          </w:p>
        </w:tc>
        <w:tc>
          <w:tcPr>
            <w:tcW w:w="860" w:type="dxa"/>
            <w:vAlign w:val="bottom"/>
            <w:tcBorders>
              <w:top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E6E6E6"/>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E6E6E6"/>
            </w:tcBorders>
          </w:tcPr>
          <w:p>
            <w:pPr>
              <w:spacing w:after="0"/>
              <w:rPr>
                <w:sz w:val="21"/>
                <w:szCs w:val="21"/>
                <w:color w:val="auto"/>
              </w:rPr>
            </w:pPr>
          </w:p>
        </w:tc>
        <w:tc>
          <w:tcPr>
            <w:tcW w:w="800" w:type="dxa"/>
            <w:vAlign w:val="bottom"/>
            <w:tcBorders>
              <w:top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6E6E6"/>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E6E6E6"/>
            </w:tcBorders>
          </w:tcPr>
          <w:p>
            <w:pPr>
              <w:spacing w:after="0"/>
              <w:rPr>
                <w:sz w:val="21"/>
                <w:szCs w:val="21"/>
                <w:color w:val="auto"/>
              </w:rPr>
            </w:pPr>
          </w:p>
        </w:tc>
        <w:tc>
          <w:tcPr>
            <w:tcW w:w="880" w:type="dxa"/>
            <w:vAlign w:val="bottom"/>
            <w:tcBorders>
              <w:top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6"/>
        </w:trPr>
        <w:tc>
          <w:tcPr>
            <w:tcW w:w="2360" w:type="dxa"/>
            <w:vAlign w:val="bottom"/>
            <w:shd w:val="clear" w:color="auto" w:fill="E6E6E6"/>
          </w:tcPr>
          <w:p>
            <w:pPr>
              <w:ind w:left="60"/>
              <w:spacing w:after="0" w:line="186" w:lineRule="exact"/>
              <w:rPr>
                <w:sz w:val="20"/>
                <w:szCs w:val="20"/>
                <w:color w:val="auto"/>
              </w:rPr>
            </w:pPr>
            <w:r>
              <w:rPr>
                <w:rFonts w:ascii="Times New Roman" w:cs="Times New Roman" w:eastAsia="Times New Roman" w:hAnsi="Times New Roman"/>
                <w:sz w:val="20"/>
                <w:szCs w:val="20"/>
                <w:color w:val="auto"/>
              </w:rPr>
              <w:t>Options exercised and</w:t>
            </w:r>
          </w:p>
        </w:tc>
        <w:tc>
          <w:tcPr>
            <w:tcW w:w="11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0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0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E6E6E6"/>
          </w:tcPr>
          <w:p>
            <w:pPr>
              <w:ind w:left="60"/>
              <w:spacing w:after="0" w:line="195" w:lineRule="exact"/>
              <w:rPr>
                <w:sz w:val="20"/>
                <w:szCs w:val="20"/>
                <w:color w:val="auto"/>
              </w:rPr>
            </w:pPr>
            <w:r>
              <w:rPr>
                <w:rFonts w:ascii="Times New Roman" w:cs="Times New Roman" w:eastAsia="Times New Roman" w:hAnsi="Times New Roman"/>
                <w:sz w:val="20"/>
                <w:szCs w:val="20"/>
                <w:color w:val="auto"/>
              </w:rPr>
              <w:t>restricted stock units and</w:t>
            </w:r>
          </w:p>
        </w:tc>
        <w:tc>
          <w:tcPr>
            <w:tcW w:w="1160" w:type="dxa"/>
            <w:vAlign w:val="bottom"/>
            <w:gridSpan w:val="2"/>
            <w:vMerge w:val="restart"/>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11.68</w:t>
            </w:r>
          </w:p>
        </w:tc>
        <w:tc>
          <w:tcPr>
            <w:tcW w:w="1120" w:type="dxa"/>
            <w:vAlign w:val="bottom"/>
            <w:vMerge w:val="restart"/>
            <w:shd w:val="clear" w:color="auto" w:fill="E6E6E6"/>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240" w:type="dxa"/>
            <w:vAlign w:val="bottom"/>
            <w:shd w:val="clear" w:color="auto" w:fill="E6E6E6"/>
          </w:tcPr>
          <w:p>
            <w:pPr>
              <w:spacing w:after="0"/>
              <w:rPr>
                <w:sz w:val="16"/>
                <w:szCs w:val="16"/>
                <w:color w:val="auto"/>
              </w:rPr>
            </w:pPr>
          </w:p>
        </w:tc>
        <w:tc>
          <w:tcPr>
            <w:tcW w:w="8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23.61</w:t>
            </w:r>
          </w:p>
        </w:tc>
        <w:tc>
          <w:tcPr>
            <w:tcW w:w="0" w:type="dxa"/>
            <w:vAlign w:val="bottom"/>
          </w:tcPr>
          <w:p>
            <w:pPr>
              <w:spacing w:after="0"/>
              <w:rPr>
                <w:sz w:val="1"/>
                <w:szCs w:val="1"/>
                <w:color w:val="auto"/>
              </w:rPr>
            </w:pPr>
          </w:p>
        </w:tc>
      </w:tr>
      <w:tr>
        <w:trPr>
          <w:trHeight w:val="262"/>
        </w:trPr>
        <w:tc>
          <w:tcPr>
            <w:tcW w:w="23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awards released</w:t>
            </w:r>
          </w:p>
        </w:tc>
        <w:tc>
          <w:tcPr>
            <w:tcW w:w="1160" w:type="dxa"/>
            <w:vAlign w:val="bottom"/>
            <w:gridSpan w:val="2"/>
            <w:vMerge w:val="continue"/>
            <w:shd w:val="clear" w:color="auto" w:fill="E6E6E6"/>
          </w:tcPr>
          <w:p>
            <w:pPr>
              <w:spacing w:after="0"/>
              <w:rPr>
                <w:sz w:val="22"/>
                <w:szCs w:val="22"/>
                <w:color w:val="auto"/>
              </w:rPr>
            </w:pPr>
          </w:p>
        </w:tc>
        <w:tc>
          <w:tcPr>
            <w:tcW w:w="1040" w:type="dxa"/>
            <w:vAlign w:val="bottom"/>
            <w:vMerge w:val="continue"/>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860" w:type="dxa"/>
            <w:vAlign w:val="bottom"/>
            <w:vMerge w:val="continue"/>
            <w:shd w:val="clear" w:color="auto" w:fill="E6E6E6"/>
          </w:tcPr>
          <w:p>
            <w:pPr>
              <w:spacing w:after="0"/>
              <w:rPr>
                <w:sz w:val="22"/>
                <w:szCs w:val="22"/>
                <w:color w:val="auto"/>
              </w:rPr>
            </w:pPr>
          </w:p>
        </w:tc>
        <w:tc>
          <w:tcPr>
            <w:tcW w:w="1120" w:type="dxa"/>
            <w:vAlign w:val="bottom"/>
            <w:vMerge w:val="continue"/>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800" w:type="dxa"/>
            <w:vAlign w:val="bottom"/>
            <w:vMerge w:val="continue"/>
            <w:shd w:val="clear" w:color="auto" w:fill="E6E6E6"/>
          </w:tcPr>
          <w:p>
            <w:pPr>
              <w:spacing w:after="0"/>
              <w:rPr>
                <w:sz w:val="22"/>
                <w:szCs w:val="22"/>
                <w:color w:val="auto"/>
              </w:rPr>
            </w:pPr>
          </w:p>
        </w:tc>
        <w:tc>
          <w:tcPr>
            <w:tcW w:w="1100" w:type="dxa"/>
            <w:vAlign w:val="bottom"/>
            <w:gridSpan w:val="2"/>
            <w:vMerge w:val="continue"/>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880" w:type="dxa"/>
            <w:vAlign w:val="bottom"/>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360" w:type="dxa"/>
            <w:vAlign w:val="bottom"/>
          </w:tcPr>
          <w:p>
            <w:pPr>
              <w:ind w:left="60"/>
              <w:spacing w:after="0" w:line="186" w:lineRule="exact"/>
              <w:rPr>
                <w:sz w:val="20"/>
                <w:szCs w:val="20"/>
                <w:color w:val="auto"/>
              </w:rPr>
            </w:pPr>
            <w:r>
              <w:rPr>
                <w:rFonts w:ascii="Times New Roman" w:cs="Times New Roman" w:eastAsia="Times New Roman" w:hAnsi="Times New Roman"/>
                <w:sz w:val="20"/>
                <w:szCs w:val="20"/>
                <w:color w:val="auto"/>
              </w:rPr>
              <w:t>Options and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23.68</w:t>
            </w:r>
          </w:p>
        </w:tc>
        <w:tc>
          <w:tcPr>
            <w:tcW w:w="0" w:type="dxa"/>
            <w:vAlign w:val="bottom"/>
          </w:tcPr>
          <w:p>
            <w:pPr>
              <w:spacing w:after="0"/>
              <w:rPr>
                <w:sz w:val="1"/>
                <w:szCs w:val="1"/>
                <w:color w:val="auto"/>
              </w:rPr>
            </w:pPr>
          </w:p>
        </w:tc>
      </w:tr>
      <w:tr>
        <w:trPr>
          <w:trHeight w:val="261"/>
        </w:trPr>
        <w:tc>
          <w:tcPr>
            <w:tcW w:w="2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units and awards canceled</w:t>
            </w: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360" w:type="dxa"/>
            <w:vAlign w:val="bottom"/>
            <w:shd w:val="clear" w:color="auto" w:fill="E6E6E6"/>
          </w:tcPr>
          <w:p>
            <w:pPr>
              <w:ind w:left="60"/>
              <w:spacing w:after="0" w:line="193" w:lineRule="exact"/>
              <w:rPr>
                <w:sz w:val="20"/>
                <w:szCs w:val="20"/>
                <w:color w:val="auto"/>
              </w:rPr>
            </w:pPr>
            <w:r>
              <w:rPr>
                <w:rFonts w:ascii="Times New Roman" w:cs="Times New Roman" w:eastAsia="Times New Roman" w:hAnsi="Times New Roman"/>
                <w:sz w:val="20"/>
                <w:szCs w:val="20"/>
                <w:color w:val="auto"/>
              </w:rPr>
              <w:t>Shares withheld related to</w:t>
            </w:r>
          </w:p>
        </w:tc>
        <w:tc>
          <w:tcPr>
            <w:tcW w:w="11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0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0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E6E6E6"/>
          </w:tcPr>
          <w:p>
            <w:pPr>
              <w:ind w:left="60"/>
              <w:spacing w:after="0" w:line="195" w:lineRule="exact"/>
              <w:rPr>
                <w:sz w:val="20"/>
                <w:szCs w:val="20"/>
                <w:color w:val="auto"/>
              </w:rPr>
            </w:pPr>
            <w:r>
              <w:rPr>
                <w:rFonts w:ascii="Times New Roman" w:cs="Times New Roman" w:eastAsia="Times New Roman" w:hAnsi="Times New Roman"/>
                <w:sz w:val="20"/>
                <w:szCs w:val="20"/>
                <w:color w:val="auto"/>
              </w:rPr>
              <w:t>net share settlement of</w:t>
            </w:r>
          </w:p>
        </w:tc>
        <w:tc>
          <w:tcPr>
            <w:tcW w:w="11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0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0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E6E6E6"/>
          </w:tcPr>
          <w:p>
            <w:pPr>
              <w:ind w:left="60"/>
              <w:spacing w:after="0" w:line="195" w:lineRule="exact"/>
              <w:rPr>
                <w:sz w:val="20"/>
                <w:szCs w:val="20"/>
                <w:color w:val="auto"/>
              </w:rPr>
            </w:pPr>
            <w:r>
              <w:rPr>
                <w:rFonts w:ascii="Times New Roman" w:cs="Times New Roman" w:eastAsia="Times New Roman" w:hAnsi="Times New Roman"/>
                <w:sz w:val="20"/>
                <w:szCs w:val="20"/>
                <w:color w:val="auto"/>
              </w:rPr>
              <w:t>restricted stock units and</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shd w:val="clear" w:color="auto" w:fill="E6E6E6"/>
          </w:tcPr>
          <w:p>
            <w:pPr>
              <w:spacing w:after="0"/>
              <w:rPr>
                <w:sz w:val="16"/>
                <w:szCs w:val="16"/>
                <w:color w:val="auto"/>
              </w:rPr>
            </w:pPr>
          </w:p>
        </w:tc>
        <w:tc>
          <w:tcPr>
            <w:tcW w:w="10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shd w:val="clear" w:color="auto" w:fill="E6E6E6"/>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6"/>
                <w:szCs w:val="16"/>
                <w:color w:val="auto"/>
              </w:rPr>
            </w:pPr>
          </w:p>
        </w:tc>
        <w:tc>
          <w:tcPr>
            <w:tcW w:w="10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16"/>
                <w:szCs w:val="16"/>
                <w:color w:val="auto"/>
              </w:rPr>
            </w:pPr>
          </w:p>
        </w:tc>
        <w:tc>
          <w:tcPr>
            <w:tcW w:w="8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23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awards</w:t>
            </w:r>
          </w:p>
        </w:tc>
        <w:tc>
          <w:tcPr>
            <w:tcW w:w="1100" w:type="dxa"/>
            <w:vAlign w:val="bottom"/>
            <w:vMerge w:val="continue"/>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40" w:type="dxa"/>
            <w:vAlign w:val="bottom"/>
            <w:vMerge w:val="continue"/>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860" w:type="dxa"/>
            <w:vAlign w:val="bottom"/>
            <w:vMerge w:val="continue"/>
            <w:shd w:val="clear" w:color="auto" w:fill="E6E6E6"/>
          </w:tcPr>
          <w:p>
            <w:pPr>
              <w:spacing w:after="0"/>
              <w:rPr>
                <w:sz w:val="22"/>
                <w:szCs w:val="22"/>
                <w:color w:val="auto"/>
              </w:rPr>
            </w:pPr>
          </w:p>
        </w:tc>
        <w:tc>
          <w:tcPr>
            <w:tcW w:w="1120" w:type="dxa"/>
            <w:vAlign w:val="bottom"/>
            <w:vMerge w:val="continue"/>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800" w:type="dxa"/>
            <w:vAlign w:val="bottom"/>
            <w:vMerge w:val="continue"/>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020" w:type="dxa"/>
            <w:vAlign w:val="bottom"/>
            <w:vMerge w:val="continue"/>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880" w:type="dxa"/>
            <w:vAlign w:val="bottom"/>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360" w:type="dxa"/>
            <w:vAlign w:val="bottom"/>
          </w:tcPr>
          <w:p>
            <w:pPr>
              <w:ind w:left="60"/>
              <w:spacing w:after="0" w:line="186" w:lineRule="exact"/>
              <w:rPr>
                <w:sz w:val="20"/>
                <w:szCs w:val="20"/>
                <w:color w:val="auto"/>
              </w:rPr>
            </w:pPr>
            <w:r>
              <w:rPr>
                <w:rFonts w:ascii="Times New Roman" w:cs="Times New Roman" w:eastAsia="Times New Roman" w:hAnsi="Times New Roman"/>
                <w:sz w:val="20"/>
                <w:szCs w:val="20"/>
                <w:color w:val="auto"/>
              </w:rPr>
              <w:t>Options and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vMerge w:val="restart"/>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24.53</w:t>
            </w:r>
          </w:p>
        </w:tc>
        <w:tc>
          <w:tcPr>
            <w:tcW w:w="0" w:type="dxa"/>
            <w:vAlign w:val="bottom"/>
          </w:tcPr>
          <w:p>
            <w:pPr>
              <w:spacing w:after="0"/>
              <w:rPr>
                <w:sz w:val="1"/>
                <w:szCs w:val="1"/>
                <w:color w:val="auto"/>
              </w:rPr>
            </w:pPr>
          </w:p>
        </w:tc>
      </w:tr>
      <w:tr>
        <w:trPr>
          <w:trHeight w:val="257"/>
        </w:trPr>
        <w:tc>
          <w:tcPr>
            <w:tcW w:w="236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units and awards granted</w:t>
            </w: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E6E6E6"/>
            </w:tcBorders>
          </w:tcPr>
          <w:p>
            <w:pPr>
              <w:spacing w:after="0"/>
              <w:rPr>
                <w:sz w:val="22"/>
                <w:szCs w:val="22"/>
                <w:color w:val="auto"/>
              </w:rPr>
            </w:pPr>
          </w:p>
        </w:tc>
        <w:tc>
          <w:tcPr>
            <w:tcW w:w="860" w:type="dxa"/>
            <w:vAlign w:val="bottom"/>
            <w:tcBorders>
              <w:bottom w:val="single" w:sz="8" w:color="E6E6E6"/>
            </w:tcBorders>
            <w:vMerge w:val="continue"/>
          </w:tcPr>
          <w:p>
            <w:pPr>
              <w:spacing w:after="0"/>
              <w:rPr>
                <w:sz w:val="22"/>
                <w:szCs w:val="22"/>
                <w:color w:val="auto"/>
              </w:rPr>
            </w:pPr>
          </w:p>
        </w:tc>
        <w:tc>
          <w:tcPr>
            <w:tcW w:w="1120" w:type="dxa"/>
            <w:vAlign w:val="bottom"/>
            <w:tcBorders>
              <w:bottom w:val="single" w:sz="8" w:color="E6E6E6"/>
            </w:tcBorders>
            <w:vMerge w:val="continue"/>
          </w:tcPr>
          <w:p>
            <w:pPr>
              <w:spacing w:after="0"/>
              <w:rPr>
                <w:sz w:val="22"/>
                <w:szCs w:val="22"/>
                <w:color w:val="auto"/>
              </w:rPr>
            </w:pPr>
          </w:p>
        </w:tc>
        <w:tc>
          <w:tcPr>
            <w:tcW w:w="180" w:type="dxa"/>
            <w:vAlign w:val="bottom"/>
            <w:tcBorders>
              <w:bottom w:val="single" w:sz="8" w:color="E6E6E6"/>
            </w:tcBorders>
          </w:tcPr>
          <w:p>
            <w:pPr>
              <w:spacing w:after="0"/>
              <w:rPr>
                <w:sz w:val="22"/>
                <w:szCs w:val="22"/>
                <w:color w:val="auto"/>
              </w:rPr>
            </w:pPr>
          </w:p>
        </w:tc>
        <w:tc>
          <w:tcPr>
            <w:tcW w:w="800" w:type="dxa"/>
            <w:vAlign w:val="bottom"/>
            <w:tcBorders>
              <w:bottom w:val="single" w:sz="8" w:color="E6E6E6"/>
            </w:tcBorders>
            <w:vMerge w:val="continue"/>
          </w:tcPr>
          <w:p>
            <w:pPr>
              <w:spacing w:after="0"/>
              <w:rPr>
                <w:sz w:val="22"/>
                <w:szCs w:val="22"/>
                <w:color w:val="auto"/>
              </w:rPr>
            </w:pPr>
          </w:p>
        </w:tc>
        <w:tc>
          <w:tcPr>
            <w:tcW w:w="80" w:type="dxa"/>
            <w:vAlign w:val="bottom"/>
            <w:tcBorders>
              <w:bottom w:val="single" w:sz="8" w:color="E6E6E6"/>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E6E6E6"/>
            </w:tcBorders>
            <w:vMerge w:val="continue"/>
          </w:tcPr>
          <w:p>
            <w:pPr>
              <w:spacing w:after="0"/>
              <w:rPr>
                <w:sz w:val="22"/>
                <w:szCs w:val="22"/>
                <w:color w:val="auto"/>
              </w:rPr>
            </w:pPr>
          </w:p>
        </w:tc>
        <w:tc>
          <w:tcPr>
            <w:tcW w:w="880" w:type="dxa"/>
            <w:vAlign w:val="bottom"/>
            <w:tcBorders>
              <w:bottom w:val="single" w:sz="8" w:color="E6E6E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360" w:type="dxa"/>
            <w:vAlign w:val="bottom"/>
            <w:shd w:val="clear" w:color="auto" w:fill="E6E6E6"/>
          </w:tcPr>
          <w:p>
            <w:pPr>
              <w:ind w:left="60"/>
              <w:spacing w:after="0" w:line="177" w:lineRule="exact"/>
              <w:rPr>
                <w:sz w:val="20"/>
                <w:szCs w:val="20"/>
                <w:color w:val="auto"/>
              </w:rPr>
            </w:pPr>
            <w:r>
              <w:rPr>
                <w:rFonts w:ascii="Times New Roman" w:cs="Times New Roman" w:eastAsia="Times New Roman" w:hAnsi="Times New Roman"/>
                <w:sz w:val="20"/>
                <w:szCs w:val="20"/>
                <w:color w:val="auto"/>
              </w:rPr>
              <w:t>Balance at December 31,</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60" w:type="dxa"/>
            <w:vAlign w:val="bottom"/>
            <w:shd w:val="clear" w:color="auto" w:fill="E6E6E6"/>
          </w:tcPr>
          <w:p>
            <w:pPr>
              <w:spacing w:after="0"/>
              <w:rPr>
                <w:sz w:val="15"/>
                <w:szCs w:val="15"/>
                <w:color w:val="auto"/>
              </w:rPr>
            </w:pPr>
          </w:p>
        </w:tc>
        <w:tc>
          <w:tcPr>
            <w:tcW w:w="10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2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1120" w:type="dxa"/>
            <w:vAlign w:val="bottom"/>
            <w:vMerge w:val="restart"/>
            <w:shd w:val="clear" w:color="auto" w:fill="E6E6E6"/>
          </w:tcPr>
          <w:p>
            <w:pPr>
              <w:ind w:left="800"/>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vMerge w:val="restart"/>
            <w:shd w:val="clear" w:color="auto" w:fill="E6E6E6"/>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110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2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23.79</w:t>
            </w:r>
          </w:p>
        </w:tc>
        <w:tc>
          <w:tcPr>
            <w:tcW w:w="0" w:type="dxa"/>
            <w:vAlign w:val="bottom"/>
          </w:tcPr>
          <w:p>
            <w:pPr>
              <w:spacing w:after="0"/>
              <w:rPr>
                <w:sz w:val="1"/>
                <w:szCs w:val="1"/>
                <w:color w:val="auto"/>
              </w:rPr>
            </w:pPr>
          </w:p>
        </w:tc>
      </w:tr>
      <w:tr>
        <w:trPr>
          <w:trHeight w:val="276"/>
        </w:trPr>
        <w:tc>
          <w:tcPr>
            <w:tcW w:w="23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1100" w:type="dxa"/>
            <w:vAlign w:val="bottom"/>
            <w:vMerge w:val="continue"/>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40" w:type="dxa"/>
            <w:vAlign w:val="bottom"/>
            <w:vMerge w:val="continue"/>
            <w:shd w:val="clear" w:color="auto" w:fill="E6E6E6"/>
          </w:tcPr>
          <w:p>
            <w:pPr>
              <w:spacing w:after="0"/>
              <w:rPr>
                <w:sz w:val="24"/>
                <w:szCs w:val="24"/>
                <w:color w:val="auto"/>
              </w:rPr>
            </w:pPr>
          </w:p>
        </w:tc>
        <w:tc>
          <w:tcPr>
            <w:tcW w:w="220" w:type="dxa"/>
            <w:vAlign w:val="bottom"/>
            <w:gridSpan w:val="2"/>
            <w:vMerge w:val="continue"/>
            <w:shd w:val="clear" w:color="auto" w:fill="E6E6E6"/>
          </w:tcPr>
          <w:p>
            <w:pPr>
              <w:spacing w:after="0"/>
              <w:rPr>
                <w:sz w:val="24"/>
                <w:szCs w:val="24"/>
                <w:color w:val="auto"/>
              </w:rPr>
            </w:pPr>
          </w:p>
        </w:tc>
        <w:tc>
          <w:tcPr>
            <w:tcW w:w="860" w:type="dxa"/>
            <w:vAlign w:val="bottom"/>
            <w:vMerge w:val="continue"/>
            <w:shd w:val="clear" w:color="auto" w:fill="E6E6E6"/>
          </w:tcPr>
          <w:p>
            <w:pPr>
              <w:spacing w:after="0"/>
              <w:rPr>
                <w:sz w:val="24"/>
                <w:szCs w:val="24"/>
                <w:color w:val="auto"/>
              </w:rPr>
            </w:pPr>
          </w:p>
        </w:tc>
        <w:tc>
          <w:tcPr>
            <w:tcW w:w="1120" w:type="dxa"/>
            <w:vAlign w:val="bottom"/>
            <w:vMerge w:val="continue"/>
            <w:shd w:val="clear" w:color="auto" w:fill="E6E6E6"/>
          </w:tcPr>
          <w:p>
            <w:pPr>
              <w:spacing w:after="0"/>
              <w:rPr>
                <w:sz w:val="24"/>
                <w:szCs w:val="24"/>
                <w:color w:val="auto"/>
              </w:rPr>
            </w:pPr>
          </w:p>
        </w:tc>
        <w:tc>
          <w:tcPr>
            <w:tcW w:w="180" w:type="dxa"/>
            <w:vAlign w:val="bottom"/>
            <w:vMerge w:val="continue"/>
            <w:shd w:val="clear" w:color="auto" w:fill="E6E6E6"/>
          </w:tcPr>
          <w:p>
            <w:pPr>
              <w:spacing w:after="0"/>
              <w:rPr>
                <w:sz w:val="24"/>
                <w:szCs w:val="24"/>
                <w:color w:val="auto"/>
              </w:rPr>
            </w:pPr>
          </w:p>
        </w:tc>
        <w:tc>
          <w:tcPr>
            <w:tcW w:w="800" w:type="dxa"/>
            <w:vAlign w:val="bottom"/>
            <w:vMerge w:val="continue"/>
            <w:shd w:val="clear" w:color="auto" w:fill="E6E6E6"/>
          </w:tcPr>
          <w:p>
            <w:pPr>
              <w:spacing w:after="0"/>
              <w:rPr>
                <w:sz w:val="24"/>
                <w:szCs w:val="24"/>
                <w:color w:val="auto"/>
              </w:rPr>
            </w:pPr>
          </w:p>
        </w:tc>
        <w:tc>
          <w:tcPr>
            <w:tcW w:w="1100" w:type="dxa"/>
            <w:vAlign w:val="bottom"/>
            <w:gridSpan w:val="2"/>
            <w:vMerge w:val="continue"/>
            <w:shd w:val="clear" w:color="auto" w:fill="E6E6E6"/>
          </w:tcPr>
          <w:p>
            <w:pPr>
              <w:spacing w:after="0"/>
              <w:rPr>
                <w:sz w:val="24"/>
                <w:szCs w:val="24"/>
                <w:color w:val="auto"/>
              </w:rPr>
            </w:pPr>
          </w:p>
        </w:tc>
        <w:tc>
          <w:tcPr>
            <w:tcW w:w="240" w:type="dxa"/>
            <w:vAlign w:val="bottom"/>
            <w:vMerge w:val="continue"/>
            <w:shd w:val="clear" w:color="auto" w:fill="E6E6E6"/>
          </w:tcPr>
          <w:p>
            <w:pPr>
              <w:spacing w:after="0"/>
              <w:rPr>
                <w:sz w:val="24"/>
                <w:szCs w:val="24"/>
                <w:color w:val="auto"/>
              </w:rPr>
            </w:pPr>
          </w:p>
        </w:tc>
        <w:tc>
          <w:tcPr>
            <w:tcW w:w="880" w:type="dxa"/>
            <w:vAlign w:val="bottom"/>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360" w:type="dxa"/>
            <w:vAlign w:val="bottom"/>
            <w:tcBorders>
              <w:top w:val="single" w:sz="8" w:color="E6E6E6"/>
            </w:tcBorders>
          </w:tcPr>
          <w:p>
            <w:pPr>
              <w:ind w:left="60"/>
              <w:spacing w:after="0" w:line="225" w:lineRule="exact"/>
              <w:rPr>
                <w:sz w:val="20"/>
                <w:szCs w:val="20"/>
                <w:color w:val="auto"/>
              </w:rPr>
            </w:pPr>
            <w:r>
              <w:rPr>
                <w:rFonts w:ascii="Times New Roman" w:cs="Times New Roman" w:eastAsia="Times New Roman" w:hAnsi="Times New Roman"/>
                <w:sz w:val="20"/>
                <w:szCs w:val="20"/>
                <w:color w:val="auto"/>
                <w:w w:val="99"/>
              </w:rPr>
              <w:t>Additional shares authorized</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Borders>
              <w:top w:val="single" w:sz="8" w:color="E6E6E6"/>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6E6E6"/>
            </w:tcBorders>
          </w:tcPr>
          <w:p>
            <w:pPr>
              <w:spacing w:after="0"/>
              <w:rPr>
                <w:sz w:val="21"/>
                <w:szCs w:val="21"/>
                <w:color w:val="auto"/>
              </w:rPr>
            </w:pPr>
          </w:p>
        </w:tc>
        <w:tc>
          <w:tcPr>
            <w:tcW w:w="140" w:type="dxa"/>
            <w:vAlign w:val="bottom"/>
            <w:tcBorders>
              <w:top w:val="single" w:sz="8" w:color="E6E6E6"/>
            </w:tcBorders>
          </w:tcPr>
          <w:p>
            <w:pPr>
              <w:spacing w:after="0"/>
              <w:rPr>
                <w:sz w:val="21"/>
                <w:szCs w:val="21"/>
                <w:color w:val="auto"/>
              </w:rPr>
            </w:pPr>
          </w:p>
        </w:tc>
        <w:tc>
          <w:tcPr>
            <w:tcW w:w="860" w:type="dxa"/>
            <w:vAlign w:val="bottom"/>
            <w:tcBorders>
              <w:top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E6E6E6"/>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E6E6E6"/>
            </w:tcBorders>
          </w:tcPr>
          <w:p>
            <w:pPr>
              <w:spacing w:after="0"/>
              <w:rPr>
                <w:sz w:val="21"/>
                <w:szCs w:val="21"/>
                <w:color w:val="auto"/>
              </w:rPr>
            </w:pPr>
          </w:p>
        </w:tc>
        <w:tc>
          <w:tcPr>
            <w:tcW w:w="800" w:type="dxa"/>
            <w:vAlign w:val="bottom"/>
            <w:tcBorders>
              <w:top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6E6E6"/>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E6E6E6"/>
            </w:tcBorders>
          </w:tcPr>
          <w:p>
            <w:pPr>
              <w:spacing w:after="0"/>
              <w:rPr>
                <w:sz w:val="21"/>
                <w:szCs w:val="21"/>
                <w:color w:val="auto"/>
              </w:rPr>
            </w:pPr>
          </w:p>
        </w:tc>
        <w:tc>
          <w:tcPr>
            <w:tcW w:w="880" w:type="dxa"/>
            <w:vAlign w:val="bottom"/>
            <w:tcBorders>
              <w:top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6"/>
        </w:trPr>
        <w:tc>
          <w:tcPr>
            <w:tcW w:w="2360" w:type="dxa"/>
            <w:vAlign w:val="bottom"/>
            <w:shd w:val="clear" w:color="auto" w:fill="E6E6E6"/>
          </w:tcPr>
          <w:p>
            <w:pPr>
              <w:ind w:left="60"/>
              <w:spacing w:after="0" w:line="186" w:lineRule="exact"/>
              <w:rPr>
                <w:sz w:val="20"/>
                <w:szCs w:val="20"/>
                <w:color w:val="auto"/>
              </w:rPr>
            </w:pPr>
            <w:r>
              <w:rPr>
                <w:rFonts w:ascii="Times New Roman" w:cs="Times New Roman" w:eastAsia="Times New Roman" w:hAnsi="Times New Roman"/>
                <w:sz w:val="20"/>
                <w:szCs w:val="20"/>
                <w:color w:val="auto"/>
              </w:rPr>
              <w:t>Options exercised and</w:t>
            </w:r>
          </w:p>
        </w:tc>
        <w:tc>
          <w:tcPr>
            <w:tcW w:w="11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0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0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E6E6E6"/>
          </w:tcPr>
          <w:p>
            <w:pPr>
              <w:ind w:left="60"/>
              <w:spacing w:after="0" w:line="195" w:lineRule="exact"/>
              <w:rPr>
                <w:sz w:val="20"/>
                <w:szCs w:val="20"/>
                <w:color w:val="auto"/>
              </w:rPr>
            </w:pPr>
            <w:r>
              <w:rPr>
                <w:rFonts w:ascii="Times New Roman" w:cs="Times New Roman" w:eastAsia="Times New Roman" w:hAnsi="Times New Roman"/>
                <w:sz w:val="20"/>
                <w:szCs w:val="20"/>
                <w:color w:val="auto"/>
              </w:rPr>
              <w:t>restricted stock units and</w:t>
            </w:r>
          </w:p>
        </w:tc>
        <w:tc>
          <w:tcPr>
            <w:tcW w:w="11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0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0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3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awards released</w:t>
            </w:r>
          </w:p>
        </w:tc>
        <w:tc>
          <w:tcPr>
            <w:tcW w:w="11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6.62</w:t>
            </w:r>
          </w:p>
        </w:tc>
        <w:tc>
          <w:tcPr>
            <w:tcW w:w="1120" w:type="dxa"/>
            <w:vAlign w:val="bottom"/>
            <w:shd w:val="clear" w:color="auto" w:fill="E6E6E6"/>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4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24.46</w:t>
            </w:r>
          </w:p>
        </w:tc>
        <w:tc>
          <w:tcPr>
            <w:tcW w:w="0" w:type="dxa"/>
            <w:vAlign w:val="bottom"/>
          </w:tcPr>
          <w:p>
            <w:pPr>
              <w:spacing w:after="0"/>
              <w:rPr>
                <w:sz w:val="1"/>
                <w:szCs w:val="1"/>
                <w:color w:val="auto"/>
              </w:rPr>
            </w:pPr>
          </w:p>
        </w:tc>
      </w:tr>
      <w:tr>
        <w:trPr>
          <w:trHeight w:val="186"/>
        </w:trPr>
        <w:tc>
          <w:tcPr>
            <w:tcW w:w="2360" w:type="dxa"/>
            <w:vAlign w:val="bottom"/>
          </w:tcPr>
          <w:p>
            <w:pPr>
              <w:ind w:left="60"/>
              <w:spacing w:after="0" w:line="186" w:lineRule="exact"/>
              <w:rPr>
                <w:sz w:val="20"/>
                <w:szCs w:val="20"/>
                <w:color w:val="auto"/>
              </w:rPr>
            </w:pPr>
            <w:r>
              <w:rPr>
                <w:rFonts w:ascii="Times New Roman" w:cs="Times New Roman" w:eastAsia="Times New Roman" w:hAnsi="Times New Roman"/>
                <w:sz w:val="20"/>
                <w:szCs w:val="20"/>
                <w:color w:val="auto"/>
              </w:rPr>
              <w:t>Options and restricted stock</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60"/>
              <w:spacing w:after="0" w:line="195" w:lineRule="exact"/>
              <w:rPr>
                <w:sz w:val="20"/>
                <w:szCs w:val="20"/>
                <w:color w:val="auto"/>
              </w:rPr>
            </w:pPr>
            <w:r>
              <w:rPr>
                <w:rFonts w:ascii="Times New Roman" w:cs="Times New Roman" w:eastAsia="Times New Roman" w:hAnsi="Times New Roman"/>
                <w:sz w:val="20"/>
                <w:szCs w:val="20"/>
                <w:color w:val="auto"/>
              </w:rPr>
              <w:t>units and awards canceled /</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expired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24.63</w:t>
            </w:r>
          </w:p>
        </w:tc>
        <w:tc>
          <w:tcPr>
            <w:tcW w:w="0" w:type="dxa"/>
            <w:vAlign w:val="bottom"/>
          </w:tcPr>
          <w:p>
            <w:pPr>
              <w:spacing w:after="0"/>
              <w:rPr>
                <w:sz w:val="1"/>
                <w:szCs w:val="1"/>
                <w:color w:val="auto"/>
              </w:rPr>
            </w:pPr>
          </w:p>
        </w:tc>
      </w:tr>
      <w:tr>
        <w:trPr>
          <w:trHeight w:val="193"/>
        </w:trPr>
        <w:tc>
          <w:tcPr>
            <w:tcW w:w="2360" w:type="dxa"/>
            <w:vAlign w:val="bottom"/>
            <w:shd w:val="clear" w:color="auto" w:fill="E6E6E6"/>
          </w:tcPr>
          <w:p>
            <w:pPr>
              <w:ind w:left="60"/>
              <w:spacing w:after="0" w:line="193" w:lineRule="exact"/>
              <w:rPr>
                <w:sz w:val="20"/>
                <w:szCs w:val="20"/>
                <w:color w:val="auto"/>
              </w:rPr>
            </w:pPr>
            <w:r>
              <w:rPr>
                <w:rFonts w:ascii="Times New Roman" w:cs="Times New Roman" w:eastAsia="Times New Roman" w:hAnsi="Times New Roman"/>
                <w:sz w:val="20"/>
                <w:szCs w:val="20"/>
                <w:color w:val="auto"/>
              </w:rPr>
              <w:t>Shares withheld related to</w:t>
            </w:r>
          </w:p>
        </w:tc>
        <w:tc>
          <w:tcPr>
            <w:tcW w:w="11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0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0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E6E6E6"/>
          </w:tcPr>
          <w:p>
            <w:pPr>
              <w:ind w:left="60"/>
              <w:spacing w:after="0" w:line="195" w:lineRule="exact"/>
              <w:rPr>
                <w:sz w:val="20"/>
                <w:szCs w:val="20"/>
                <w:color w:val="auto"/>
              </w:rPr>
            </w:pPr>
            <w:r>
              <w:rPr>
                <w:rFonts w:ascii="Times New Roman" w:cs="Times New Roman" w:eastAsia="Times New Roman" w:hAnsi="Times New Roman"/>
                <w:sz w:val="20"/>
                <w:szCs w:val="20"/>
                <w:color w:val="auto"/>
              </w:rPr>
              <w:t>net share settlement of</w:t>
            </w:r>
          </w:p>
        </w:tc>
        <w:tc>
          <w:tcPr>
            <w:tcW w:w="11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0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0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E6E6E6"/>
          </w:tcPr>
          <w:p>
            <w:pPr>
              <w:ind w:left="60"/>
              <w:spacing w:after="0" w:line="195" w:lineRule="exact"/>
              <w:rPr>
                <w:sz w:val="20"/>
                <w:szCs w:val="20"/>
                <w:color w:val="auto"/>
              </w:rPr>
            </w:pPr>
            <w:r>
              <w:rPr>
                <w:rFonts w:ascii="Times New Roman" w:cs="Times New Roman" w:eastAsia="Times New Roman" w:hAnsi="Times New Roman"/>
                <w:sz w:val="20"/>
                <w:szCs w:val="20"/>
                <w:color w:val="auto"/>
              </w:rPr>
              <w:t>restricted stock units and</w:t>
            </w:r>
          </w:p>
        </w:tc>
        <w:tc>
          <w:tcPr>
            <w:tcW w:w="11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0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0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3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awards</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6E6E6"/>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6"/>
        </w:trPr>
        <w:tc>
          <w:tcPr>
            <w:tcW w:w="2360" w:type="dxa"/>
            <w:vAlign w:val="bottom"/>
          </w:tcPr>
          <w:p>
            <w:pPr>
              <w:ind w:left="60"/>
              <w:spacing w:after="0" w:line="186" w:lineRule="exact"/>
              <w:rPr>
                <w:sz w:val="20"/>
                <w:szCs w:val="20"/>
                <w:color w:val="auto"/>
              </w:rPr>
            </w:pPr>
            <w:r>
              <w:rPr>
                <w:rFonts w:ascii="Times New Roman" w:cs="Times New Roman" w:eastAsia="Times New Roman" w:hAnsi="Times New Roman"/>
                <w:sz w:val="20"/>
                <w:szCs w:val="20"/>
                <w:color w:val="auto"/>
              </w:rPr>
              <w:t>Options and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vMerge w:val="restart"/>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27.84</w:t>
            </w:r>
          </w:p>
        </w:tc>
        <w:tc>
          <w:tcPr>
            <w:tcW w:w="0" w:type="dxa"/>
            <w:vAlign w:val="bottom"/>
          </w:tcPr>
          <w:p>
            <w:pPr>
              <w:spacing w:after="0"/>
              <w:rPr>
                <w:sz w:val="1"/>
                <w:szCs w:val="1"/>
                <w:color w:val="auto"/>
              </w:rPr>
            </w:pPr>
          </w:p>
        </w:tc>
      </w:tr>
      <w:tr>
        <w:trPr>
          <w:trHeight w:val="257"/>
        </w:trPr>
        <w:tc>
          <w:tcPr>
            <w:tcW w:w="236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units and awards granted</w:t>
            </w: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E6E6E6"/>
            </w:tcBorders>
          </w:tcPr>
          <w:p>
            <w:pPr>
              <w:spacing w:after="0"/>
              <w:rPr>
                <w:sz w:val="22"/>
                <w:szCs w:val="22"/>
                <w:color w:val="auto"/>
              </w:rPr>
            </w:pPr>
          </w:p>
        </w:tc>
        <w:tc>
          <w:tcPr>
            <w:tcW w:w="860" w:type="dxa"/>
            <w:vAlign w:val="bottom"/>
            <w:tcBorders>
              <w:bottom w:val="single" w:sz="8" w:color="E6E6E6"/>
            </w:tcBorders>
            <w:vMerge w:val="continue"/>
          </w:tcPr>
          <w:p>
            <w:pPr>
              <w:spacing w:after="0"/>
              <w:rPr>
                <w:sz w:val="22"/>
                <w:szCs w:val="22"/>
                <w:color w:val="auto"/>
              </w:rPr>
            </w:pPr>
          </w:p>
        </w:tc>
        <w:tc>
          <w:tcPr>
            <w:tcW w:w="1120" w:type="dxa"/>
            <w:vAlign w:val="bottom"/>
            <w:tcBorders>
              <w:bottom w:val="single" w:sz="8" w:color="E6E6E6"/>
            </w:tcBorders>
            <w:vMerge w:val="continue"/>
          </w:tcPr>
          <w:p>
            <w:pPr>
              <w:spacing w:after="0"/>
              <w:rPr>
                <w:sz w:val="22"/>
                <w:szCs w:val="22"/>
                <w:color w:val="auto"/>
              </w:rPr>
            </w:pPr>
          </w:p>
        </w:tc>
        <w:tc>
          <w:tcPr>
            <w:tcW w:w="180" w:type="dxa"/>
            <w:vAlign w:val="bottom"/>
            <w:tcBorders>
              <w:bottom w:val="single" w:sz="8" w:color="E6E6E6"/>
            </w:tcBorders>
          </w:tcPr>
          <w:p>
            <w:pPr>
              <w:spacing w:after="0"/>
              <w:rPr>
                <w:sz w:val="22"/>
                <w:szCs w:val="22"/>
                <w:color w:val="auto"/>
              </w:rPr>
            </w:pPr>
          </w:p>
        </w:tc>
        <w:tc>
          <w:tcPr>
            <w:tcW w:w="800" w:type="dxa"/>
            <w:vAlign w:val="bottom"/>
            <w:tcBorders>
              <w:bottom w:val="single" w:sz="8" w:color="E6E6E6"/>
            </w:tcBorders>
            <w:vMerge w:val="continue"/>
          </w:tcPr>
          <w:p>
            <w:pPr>
              <w:spacing w:after="0"/>
              <w:rPr>
                <w:sz w:val="22"/>
                <w:szCs w:val="22"/>
                <w:color w:val="auto"/>
              </w:rPr>
            </w:pPr>
          </w:p>
        </w:tc>
        <w:tc>
          <w:tcPr>
            <w:tcW w:w="80" w:type="dxa"/>
            <w:vAlign w:val="bottom"/>
            <w:tcBorders>
              <w:bottom w:val="single" w:sz="8" w:color="E6E6E6"/>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E6E6E6"/>
            </w:tcBorders>
          </w:tcPr>
          <w:p>
            <w:pPr>
              <w:spacing w:after="0"/>
              <w:rPr>
                <w:sz w:val="22"/>
                <w:szCs w:val="22"/>
                <w:color w:val="auto"/>
              </w:rPr>
            </w:pPr>
          </w:p>
        </w:tc>
        <w:tc>
          <w:tcPr>
            <w:tcW w:w="880" w:type="dxa"/>
            <w:vAlign w:val="bottom"/>
            <w:tcBorders>
              <w:bottom w:val="single" w:sz="8" w:color="E6E6E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360" w:type="dxa"/>
            <w:vAlign w:val="bottom"/>
            <w:shd w:val="clear" w:color="auto" w:fill="E6E6E6"/>
          </w:tcPr>
          <w:p>
            <w:pPr>
              <w:ind w:left="60"/>
              <w:spacing w:after="0" w:line="177" w:lineRule="exact"/>
              <w:rPr>
                <w:sz w:val="20"/>
                <w:szCs w:val="20"/>
                <w:color w:val="auto"/>
              </w:rPr>
            </w:pPr>
            <w:r>
              <w:rPr>
                <w:rFonts w:ascii="Times New Roman" w:cs="Times New Roman" w:eastAsia="Times New Roman" w:hAnsi="Times New Roman"/>
                <w:sz w:val="20"/>
                <w:szCs w:val="20"/>
                <w:color w:val="auto"/>
              </w:rPr>
              <w:t>Balance as of December 31,</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131.0</w:t>
            </w:r>
          </w:p>
        </w:tc>
        <w:tc>
          <w:tcPr>
            <w:tcW w:w="60" w:type="dxa"/>
            <w:vAlign w:val="bottom"/>
            <w:shd w:val="clear" w:color="auto" w:fill="E6E6E6"/>
          </w:tcPr>
          <w:p>
            <w:pPr>
              <w:spacing w:after="0"/>
              <w:rPr>
                <w:sz w:val="15"/>
                <w:szCs w:val="15"/>
                <w:color w:val="auto"/>
              </w:rPr>
            </w:pPr>
          </w:p>
        </w:tc>
        <w:tc>
          <w:tcPr>
            <w:tcW w:w="10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shd w:val="clear" w:color="auto" w:fill="E6E6E6"/>
          </w:tcPr>
          <w:p>
            <w:pPr>
              <w:ind w:left="800"/>
              <w:spacing w:after="0"/>
              <w:rPr>
                <w:sz w:val="20"/>
                <w:szCs w:val="20"/>
                <w:color w:val="auto"/>
              </w:rPr>
            </w:pPr>
            <w:r>
              <w:rPr>
                <w:rFonts w:ascii="Times New Roman" w:cs="Times New Roman" w:eastAsia="Times New Roman" w:hAnsi="Times New Roman"/>
                <w:sz w:val="20"/>
                <w:szCs w:val="20"/>
                <w:color w:val="auto"/>
              </w:rPr>
              <w:t>0.0</w:t>
            </w:r>
          </w:p>
        </w:tc>
        <w:tc>
          <w:tcPr>
            <w:tcW w:w="180" w:type="dxa"/>
            <w:vAlign w:val="bottom"/>
            <w:vMerge w:val="restart"/>
            <w:shd w:val="clear" w:color="auto" w:fill="E6E6E6"/>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2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26.24</w:t>
            </w:r>
          </w:p>
        </w:tc>
        <w:tc>
          <w:tcPr>
            <w:tcW w:w="0" w:type="dxa"/>
            <w:vAlign w:val="bottom"/>
          </w:tcPr>
          <w:p>
            <w:pPr>
              <w:spacing w:after="0"/>
              <w:rPr>
                <w:sz w:val="1"/>
                <w:szCs w:val="1"/>
                <w:color w:val="auto"/>
              </w:rPr>
            </w:pPr>
          </w:p>
        </w:tc>
      </w:tr>
      <w:tr>
        <w:trPr>
          <w:trHeight w:val="276"/>
        </w:trPr>
        <w:tc>
          <w:tcPr>
            <w:tcW w:w="23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1100" w:type="dxa"/>
            <w:vAlign w:val="bottom"/>
            <w:vMerge w:val="continue"/>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40" w:type="dxa"/>
            <w:vAlign w:val="bottom"/>
            <w:vMerge w:val="continue"/>
            <w:shd w:val="clear" w:color="auto" w:fill="E6E6E6"/>
          </w:tcPr>
          <w:p>
            <w:pPr>
              <w:spacing w:after="0"/>
              <w:rPr>
                <w:sz w:val="24"/>
                <w:szCs w:val="24"/>
                <w:color w:val="auto"/>
              </w:rPr>
            </w:pPr>
          </w:p>
        </w:tc>
        <w:tc>
          <w:tcPr>
            <w:tcW w:w="220" w:type="dxa"/>
            <w:vAlign w:val="bottom"/>
            <w:gridSpan w:val="2"/>
            <w:vMerge w:val="continue"/>
            <w:shd w:val="clear" w:color="auto" w:fill="E6E6E6"/>
          </w:tcPr>
          <w:p>
            <w:pPr>
              <w:spacing w:after="0"/>
              <w:rPr>
                <w:sz w:val="24"/>
                <w:szCs w:val="24"/>
                <w:color w:val="auto"/>
              </w:rPr>
            </w:pPr>
          </w:p>
        </w:tc>
        <w:tc>
          <w:tcPr>
            <w:tcW w:w="860" w:type="dxa"/>
            <w:vAlign w:val="bottom"/>
            <w:vMerge w:val="continue"/>
            <w:shd w:val="clear" w:color="auto" w:fill="E6E6E6"/>
          </w:tcPr>
          <w:p>
            <w:pPr>
              <w:spacing w:after="0"/>
              <w:rPr>
                <w:sz w:val="24"/>
                <w:szCs w:val="24"/>
                <w:color w:val="auto"/>
              </w:rPr>
            </w:pPr>
          </w:p>
        </w:tc>
        <w:tc>
          <w:tcPr>
            <w:tcW w:w="1120" w:type="dxa"/>
            <w:vAlign w:val="bottom"/>
            <w:vMerge w:val="continue"/>
            <w:shd w:val="clear" w:color="auto" w:fill="E6E6E6"/>
          </w:tcPr>
          <w:p>
            <w:pPr>
              <w:spacing w:after="0"/>
              <w:rPr>
                <w:sz w:val="24"/>
                <w:szCs w:val="24"/>
                <w:color w:val="auto"/>
              </w:rPr>
            </w:pPr>
          </w:p>
        </w:tc>
        <w:tc>
          <w:tcPr>
            <w:tcW w:w="180" w:type="dxa"/>
            <w:vAlign w:val="bottom"/>
            <w:vMerge w:val="continue"/>
            <w:shd w:val="clear" w:color="auto" w:fill="E6E6E6"/>
          </w:tcPr>
          <w:p>
            <w:pPr>
              <w:spacing w:after="0"/>
              <w:rPr>
                <w:sz w:val="24"/>
                <w:szCs w:val="24"/>
                <w:color w:val="auto"/>
              </w:rPr>
            </w:pPr>
          </w:p>
        </w:tc>
        <w:tc>
          <w:tcPr>
            <w:tcW w:w="800" w:type="dxa"/>
            <w:vAlign w:val="bottom"/>
            <w:vMerge w:val="continue"/>
            <w:shd w:val="clear" w:color="auto" w:fill="E6E6E6"/>
          </w:tcPr>
          <w:p>
            <w:pPr>
              <w:spacing w:after="0"/>
              <w:rPr>
                <w:sz w:val="24"/>
                <w:szCs w:val="24"/>
                <w:color w:val="auto"/>
              </w:rPr>
            </w:pPr>
          </w:p>
        </w:tc>
        <w:tc>
          <w:tcPr>
            <w:tcW w:w="1100" w:type="dxa"/>
            <w:vAlign w:val="bottom"/>
            <w:gridSpan w:val="2"/>
            <w:vMerge w:val="continue"/>
            <w:shd w:val="clear" w:color="auto" w:fill="E6E6E6"/>
          </w:tcPr>
          <w:p>
            <w:pPr>
              <w:spacing w:after="0"/>
              <w:rPr>
                <w:sz w:val="24"/>
                <w:szCs w:val="24"/>
                <w:color w:val="auto"/>
              </w:rPr>
            </w:pPr>
          </w:p>
        </w:tc>
        <w:tc>
          <w:tcPr>
            <w:tcW w:w="240" w:type="dxa"/>
            <w:vAlign w:val="bottom"/>
            <w:vMerge w:val="continue"/>
            <w:shd w:val="clear" w:color="auto" w:fill="E6E6E6"/>
          </w:tcPr>
          <w:p>
            <w:pPr>
              <w:spacing w:after="0"/>
              <w:rPr>
                <w:sz w:val="24"/>
                <w:szCs w:val="24"/>
                <w:color w:val="auto"/>
              </w:rPr>
            </w:pPr>
          </w:p>
        </w:tc>
        <w:tc>
          <w:tcPr>
            <w:tcW w:w="880" w:type="dxa"/>
            <w:vAlign w:val="bottom"/>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60" w:type="dxa"/>
            <w:vAlign w:val="bottom"/>
            <w:tcBorders>
              <w:top w:val="single" w:sz="8" w:color="E6E6E6"/>
            </w:tcBorders>
          </w:tcPr>
          <w:p>
            <w:pPr>
              <w:ind w:left="60"/>
              <w:spacing w:after="0" w:line="157" w:lineRule="exact"/>
              <w:rPr>
                <w:sz w:val="20"/>
                <w:szCs w:val="20"/>
                <w:color w:val="auto"/>
              </w:rPr>
            </w:pPr>
            <w:r>
              <w:rPr>
                <w:rFonts w:ascii="Times New Roman" w:cs="Times New Roman" w:eastAsia="Times New Roman" w:hAnsi="Times New Roman"/>
                <w:sz w:val="18"/>
                <w:szCs w:val="18"/>
                <w:color w:val="auto"/>
              </w:rPr>
              <w:t>Vested at December 31,</w:t>
            </w:r>
          </w:p>
        </w:tc>
        <w:tc>
          <w:tcPr>
            <w:tcW w:w="1100" w:type="dxa"/>
            <w:vAlign w:val="bottom"/>
            <w:tcBorders>
              <w:top w:val="single" w:sz="8" w:color="auto"/>
            </w:tcBorders>
          </w:tcPr>
          <w:p>
            <w:pPr>
              <w:spacing w:after="0"/>
              <w:rPr>
                <w:sz w:val="13"/>
                <w:szCs w:val="13"/>
                <w:color w:val="auto"/>
              </w:rPr>
            </w:pPr>
          </w:p>
        </w:tc>
        <w:tc>
          <w:tcPr>
            <w:tcW w:w="60" w:type="dxa"/>
            <w:vAlign w:val="bottom"/>
            <w:tcBorders>
              <w:top w:val="single" w:sz="8" w:color="E6E6E6"/>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E6E6E6"/>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E6E6E6"/>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E6E6E6"/>
            </w:tcBorders>
            <w:vMerge w:val="restart"/>
          </w:tcPr>
          <w:p>
            <w:pPr>
              <w:ind w:left="800"/>
              <w:spacing w:after="0"/>
              <w:rPr>
                <w:sz w:val="20"/>
                <w:szCs w:val="20"/>
                <w:color w:val="auto"/>
              </w:rPr>
            </w:pPr>
            <w:r>
              <w:rPr>
                <w:rFonts w:ascii="Times New Roman" w:cs="Times New Roman" w:eastAsia="Times New Roman" w:hAnsi="Times New Roman"/>
                <w:sz w:val="20"/>
                <w:szCs w:val="20"/>
                <w:color w:val="auto"/>
              </w:rPr>
              <w:t>0.0</w:t>
            </w:r>
          </w:p>
        </w:tc>
        <w:tc>
          <w:tcPr>
            <w:tcW w:w="180" w:type="dxa"/>
            <w:vAlign w:val="bottom"/>
            <w:tcBorders>
              <w:top w:val="single" w:sz="8" w:color="E6E6E6"/>
            </w:tcBorders>
            <w:vMerge w:val="restart"/>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E6E6E6"/>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6E6E6"/>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E6E6E6"/>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E6E6E6"/>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11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E6E6E6"/>
            </w:tcBorders>
            <w:gridSpan w:val="2"/>
            <w:vMerge w:val="continue"/>
          </w:tcPr>
          <w:p>
            <w:pPr>
              <w:spacing w:after="0"/>
              <w:rPr>
                <w:sz w:val="24"/>
                <w:szCs w:val="24"/>
                <w:color w:val="auto"/>
              </w:rPr>
            </w:pPr>
          </w:p>
        </w:tc>
        <w:tc>
          <w:tcPr>
            <w:tcW w:w="860" w:type="dxa"/>
            <w:vAlign w:val="bottom"/>
            <w:tcBorders>
              <w:bottom w:val="single" w:sz="8" w:color="E6E6E6"/>
            </w:tcBorders>
            <w:vMerge w:val="continue"/>
          </w:tcPr>
          <w:p>
            <w:pPr>
              <w:spacing w:after="0"/>
              <w:rPr>
                <w:sz w:val="24"/>
                <w:szCs w:val="24"/>
                <w:color w:val="auto"/>
              </w:rPr>
            </w:pPr>
          </w:p>
        </w:tc>
        <w:tc>
          <w:tcPr>
            <w:tcW w:w="1120" w:type="dxa"/>
            <w:vAlign w:val="bottom"/>
            <w:tcBorders>
              <w:bottom w:val="single" w:sz="8" w:color="E6E6E6"/>
            </w:tcBorders>
            <w:vMerge w:val="continue"/>
          </w:tcPr>
          <w:p>
            <w:pPr>
              <w:spacing w:after="0"/>
              <w:rPr>
                <w:sz w:val="24"/>
                <w:szCs w:val="24"/>
                <w:color w:val="auto"/>
              </w:rPr>
            </w:pPr>
          </w:p>
        </w:tc>
        <w:tc>
          <w:tcPr>
            <w:tcW w:w="180" w:type="dxa"/>
            <w:vAlign w:val="bottom"/>
            <w:tcBorders>
              <w:bottom w:val="single" w:sz="8" w:color="E6E6E6"/>
            </w:tcBorders>
            <w:vMerge w:val="continue"/>
          </w:tcPr>
          <w:p>
            <w:pPr>
              <w:spacing w:after="0"/>
              <w:rPr>
                <w:sz w:val="24"/>
                <w:szCs w:val="24"/>
                <w:color w:val="auto"/>
              </w:rPr>
            </w:pPr>
          </w:p>
        </w:tc>
        <w:tc>
          <w:tcPr>
            <w:tcW w:w="800" w:type="dxa"/>
            <w:vAlign w:val="bottom"/>
            <w:tcBorders>
              <w:bottom w:val="single" w:sz="8" w:color="E6E6E6"/>
            </w:tcBorders>
            <w:vMerge w:val="continue"/>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E6E6E6"/>
            </w:tcBorders>
            <w:vMerge w:val="continue"/>
          </w:tcPr>
          <w:p>
            <w:pPr>
              <w:spacing w:after="0"/>
              <w:rPr>
                <w:sz w:val="24"/>
                <w:szCs w:val="24"/>
                <w:color w:val="auto"/>
              </w:rPr>
            </w:pPr>
          </w:p>
        </w:tc>
        <w:tc>
          <w:tcPr>
            <w:tcW w:w="880" w:type="dxa"/>
            <w:vAlign w:val="bottom"/>
            <w:tcBorders>
              <w:bottom w:val="single" w:sz="8" w:color="E6E6E6"/>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60" w:type="dxa"/>
            <w:vAlign w:val="bottom"/>
            <w:shd w:val="clear" w:color="auto" w:fill="E6E6E6"/>
          </w:tcPr>
          <w:p>
            <w:pPr>
              <w:ind w:left="60"/>
              <w:spacing w:after="0" w:line="157" w:lineRule="exact"/>
              <w:rPr>
                <w:sz w:val="20"/>
                <w:szCs w:val="20"/>
                <w:color w:val="auto"/>
              </w:rPr>
            </w:pPr>
            <w:r>
              <w:rPr>
                <w:rFonts w:ascii="Times New Roman" w:cs="Times New Roman" w:eastAsia="Times New Roman" w:hAnsi="Times New Roman"/>
                <w:sz w:val="18"/>
                <w:szCs w:val="18"/>
                <w:color w:val="auto"/>
              </w:rPr>
              <w:t>Unvested at December 31,</w:t>
            </w:r>
          </w:p>
        </w:tc>
        <w:tc>
          <w:tcPr>
            <w:tcW w:w="110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10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shd w:val="clear" w:color="auto" w:fill="E6E6E6"/>
          </w:tcPr>
          <w:p>
            <w:pPr>
              <w:ind w:left="800"/>
              <w:spacing w:after="0"/>
              <w:rPr>
                <w:sz w:val="20"/>
                <w:szCs w:val="20"/>
                <w:color w:val="auto"/>
              </w:rPr>
            </w:pPr>
            <w:r>
              <w:rPr>
                <w:rFonts w:ascii="Times New Roman" w:cs="Times New Roman" w:eastAsia="Times New Roman" w:hAnsi="Times New Roman"/>
                <w:sz w:val="20"/>
                <w:szCs w:val="20"/>
                <w:color w:val="auto"/>
              </w:rPr>
              <w:t>0.0</w:t>
            </w:r>
          </w:p>
        </w:tc>
        <w:tc>
          <w:tcPr>
            <w:tcW w:w="180" w:type="dxa"/>
            <w:vAlign w:val="bottom"/>
            <w:vMerge w:val="restart"/>
            <w:shd w:val="clear" w:color="auto" w:fill="E6E6E6"/>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vMerge w:val="restart"/>
            <w:shd w:val="clear" w:color="auto" w:fill="E6E6E6"/>
          </w:tcPr>
          <w:p>
            <w:pPr>
              <w:spacing w:after="0"/>
              <w:rPr>
                <w:sz w:val="13"/>
                <w:szCs w:val="13"/>
                <w:color w:val="auto"/>
              </w:rPr>
            </w:pPr>
          </w:p>
        </w:tc>
        <w:tc>
          <w:tcPr>
            <w:tcW w:w="10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2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26.24</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11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auto"/>
            </w:tcBorders>
            <w:vMerge w:val="continue"/>
            <w:shd w:val="clear" w:color="auto" w:fill="E6E6E6"/>
          </w:tcPr>
          <w:p>
            <w:pPr>
              <w:spacing w:after="0"/>
              <w:rPr>
                <w:sz w:val="24"/>
                <w:szCs w:val="24"/>
                <w:color w:val="auto"/>
              </w:rPr>
            </w:pPr>
          </w:p>
        </w:tc>
        <w:tc>
          <w:tcPr>
            <w:tcW w:w="220" w:type="dxa"/>
            <w:vAlign w:val="bottom"/>
            <w:tcBorders>
              <w:bottom w:val="single" w:sz="8" w:color="E6E6E6"/>
            </w:tcBorders>
            <w:gridSpan w:val="2"/>
            <w:vMerge w:val="continue"/>
            <w:shd w:val="clear" w:color="auto" w:fill="E6E6E6"/>
          </w:tcPr>
          <w:p>
            <w:pPr>
              <w:spacing w:after="0"/>
              <w:rPr>
                <w:sz w:val="24"/>
                <w:szCs w:val="24"/>
                <w:color w:val="auto"/>
              </w:rPr>
            </w:pPr>
          </w:p>
        </w:tc>
        <w:tc>
          <w:tcPr>
            <w:tcW w:w="860" w:type="dxa"/>
            <w:vAlign w:val="bottom"/>
            <w:tcBorders>
              <w:bottom w:val="single" w:sz="8" w:color="E6E6E6"/>
            </w:tcBorders>
            <w:vMerge w:val="continue"/>
            <w:shd w:val="clear" w:color="auto" w:fill="E6E6E6"/>
          </w:tcPr>
          <w:p>
            <w:pPr>
              <w:spacing w:after="0"/>
              <w:rPr>
                <w:sz w:val="24"/>
                <w:szCs w:val="24"/>
                <w:color w:val="auto"/>
              </w:rPr>
            </w:pPr>
          </w:p>
        </w:tc>
        <w:tc>
          <w:tcPr>
            <w:tcW w:w="1120" w:type="dxa"/>
            <w:vAlign w:val="bottom"/>
            <w:tcBorders>
              <w:bottom w:val="single" w:sz="8" w:color="E6E6E6"/>
            </w:tcBorders>
            <w:vMerge w:val="continue"/>
            <w:shd w:val="clear" w:color="auto" w:fill="E6E6E6"/>
          </w:tcPr>
          <w:p>
            <w:pPr>
              <w:spacing w:after="0"/>
              <w:rPr>
                <w:sz w:val="24"/>
                <w:szCs w:val="24"/>
                <w:color w:val="auto"/>
              </w:rPr>
            </w:pPr>
          </w:p>
        </w:tc>
        <w:tc>
          <w:tcPr>
            <w:tcW w:w="180" w:type="dxa"/>
            <w:vAlign w:val="bottom"/>
            <w:tcBorders>
              <w:bottom w:val="single" w:sz="8" w:color="E6E6E6"/>
            </w:tcBorders>
            <w:vMerge w:val="continue"/>
            <w:shd w:val="clear" w:color="auto" w:fill="E6E6E6"/>
          </w:tcPr>
          <w:p>
            <w:pPr>
              <w:spacing w:after="0"/>
              <w:rPr>
                <w:sz w:val="24"/>
                <w:szCs w:val="24"/>
                <w:color w:val="auto"/>
              </w:rPr>
            </w:pPr>
          </w:p>
        </w:tc>
        <w:tc>
          <w:tcPr>
            <w:tcW w:w="800" w:type="dxa"/>
            <w:vAlign w:val="bottom"/>
            <w:tcBorders>
              <w:bottom w:val="single" w:sz="8" w:color="E6E6E6"/>
            </w:tcBorders>
            <w:vMerge w:val="continue"/>
            <w:shd w:val="clear" w:color="auto" w:fill="E6E6E6"/>
          </w:tcPr>
          <w:p>
            <w:pPr>
              <w:spacing w:after="0"/>
              <w:rPr>
                <w:sz w:val="24"/>
                <w:szCs w:val="24"/>
                <w:color w:val="auto"/>
              </w:rPr>
            </w:pPr>
          </w:p>
        </w:tc>
        <w:tc>
          <w:tcPr>
            <w:tcW w:w="80" w:type="dxa"/>
            <w:vAlign w:val="bottom"/>
            <w:tcBorders>
              <w:bottom w:val="single" w:sz="8" w:color="E6E6E6"/>
            </w:tcBorders>
            <w:vMerge w:val="continue"/>
            <w:shd w:val="clear" w:color="auto" w:fill="E6E6E6"/>
          </w:tcPr>
          <w:p>
            <w:pPr>
              <w:spacing w:after="0"/>
              <w:rPr>
                <w:sz w:val="24"/>
                <w:szCs w:val="24"/>
                <w:color w:val="auto"/>
              </w:rPr>
            </w:pPr>
          </w:p>
        </w:tc>
        <w:tc>
          <w:tcPr>
            <w:tcW w:w="1020" w:type="dxa"/>
            <w:vAlign w:val="bottom"/>
            <w:tcBorders>
              <w:bottom w:val="single" w:sz="8" w:color="auto"/>
            </w:tcBorders>
            <w:vMerge w:val="continue"/>
            <w:shd w:val="clear" w:color="auto" w:fill="E6E6E6"/>
          </w:tcPr>
          <w:p>
            <w:pPr>
              <w:spacing w:after="0"/>
              <w:rPr>
                <w:sz w:val="24"/>
                <w:szCs w:val="24"/>
                <w:color w:val="auto"/>
              </w:rPr>
            </w:pPr>
          </w:p>
        </w:tc>
        <w:tc>
          <w:tcPr>
            <w:tcW w:w="240" w:type="dxa"/>
            <w:vAlign w:val="bottom"/>
            <w:tcBorders>
              <w:bottom w:val="single" w:sz="8" w:color="E6E6E6"/>
            </w:tcBorders>
            <w:vMerge w:val="continue"/>
            <w:shd w:val="clear" w:color="auto" w:fill="E6E6E6"/>
          </w:tcPr>
          <w:p>
            <w:pPr>
              <w:spacing w:after="0"/>
              <w:rPr>
                <w:sz w:val="24"/>
                <w:szCs w:val="24"/>
                <w:color w:val="auto"/>
              </w:rPr>
            </w:pPr>
          </w:p>
        </w:tc>
        <w:tc>
          <w:tcPr>
            <w:tcW w:w="880" w:type="dxa"/>
            <w:vAlign w:val="bottom"/>
            <w:tcBorders>
              <w:bottom w:val="single" w:sz="8" w:color="E6E6E6"/>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-5020945</wp:posOffset>
            </wp:positionV>
            <wp:extent cx="2139315" cy="495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202">
                      <a:extLst>
                        <a:ext uri="{28A0092B-C50C-407E-A947-70E740481C1C}"/>
                      </a:extLst>
                    </a:blip>
                    <a:srcRect/>
                    <a:stretch>
                      <a:fillRect/>
                    </a:stretch>
                  </pic:blipFill>
                  <pic:spPr bwMode="auto">
                    <a:xfrm>
                      <a:off x="0" y="0"/>
                      <a:ext cx="2139315" cy="49530"/>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-4745355</wp:posOffset>
            </wp:positionV>
            <wp:extent cx="1452245" cy="7429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203">
                      <a:extLst>
                        <a:ext uri="{28A0092B-C50C-407E-A947-70E740481C1C}"/>
                      </a:extLst>
                    </a:blip>
                    <a:srcRect/>
                    <a:stretch>
                      <a:fillRect/>
                    </a:stretch>
                  </pic:blipFill>
                  <pic:spPr bwMode="auto">
                    <a:xfrm>
                      <a:off x="0" y="0"/>
                      <a:ext cx="1452245" cy="7429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-4745355</wp:posOffset>
            </wp:positionV>
            <wp:extent cx="709295" cy="7429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204">
                      <a:extLst>
                        <a:ext uri="{28A0092B-C50C-407E-A947-70E740481C1C}"/>
                      </a:extLst>
                    </a:blip>
                    <a:srcRect/>
                    <a:stretch>
                      <a:fillRect/>
                    </a:stretch>
                  </pic:blipFill>
                  <pic:spPr bwMode="auto">
                    <a:xfrm>
                      <a:off x="0" y="0"/>
                      <a:ext cx="709295" cy="7429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-3042920</wp:posOffset>
            </wp:positionV>
            <wp:extent cx="1452245" cy="4953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205">
                      <a:extLst>
                        <a:ext uri="{28A0092B-C50C-407E-A947-70E740481C1C}"/>
                      </a:extLst>
                    </a:blip>
                    <a:srcRect/>
                    <a:stretch>
                      <a:fillRect/>
                    </a:stretch>
                  </pic:blipFill>
                  <pic:spPr bwMode="auto">
                    <a:xfrm>
                      <a:off x="0" y="0"/>
                      <a:ext cx="1452245" cy="4953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-3042920</wp:posOffset>
            </wp:positionV>
            <wp:extent cx="709295" cy="4953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206">
                      <a:extLst>
                        <a:ext uri="{28A0092B-C50C-407E-A947-70E740481C1C}"/>
                      </a:extLst>
                    </a:blip>
                    <a:srcRect/>
                    <a:stretch>
                      <a:fillRect/>
                    </a:stretch>
                  </pic:blipFill>
                  <pic:spPr bwMode="auto">
                    <a:xfrm>
                      <a:off x="0" y="0"/>
                      <a:ext cx="709295" cy="49530"/>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-2767330</wp:posOffset>
            </wp:positionV>
            <wp:extent cx="1452245" cy="7429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207">
                      <a:extLst>
                        <a:ext uri="{28A0092B-C50C-407E-A947-70E740481C1C}"/>
                      </a:extLst>
                    </a:blip>
                    <a:srcRect/>
                    <a:stretch>
                      <a:fillRect/>
                    </a:stretch>
                  </pic:blipFill>
                  <pic:spPr bwMode="auto">
                    <a:xfrm>
                      <a:off x="0" y="0"/>
                      <a:ext cx="1452245" cy="7429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-2767330</wp:posOffset>
            </wp:positionV>
            <wp:extent cx="709295" cy="7429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208">
                      <a:extLst>
                        <a:ext uri="{28A0092B-C50C-407E-A947-70E740481C1C}"/>
                      </a:extLst>
                    </a:blip>
                    <a:srcRect/>
                    <a:stretch>
                      <a:fillRect/>
                    </a:stretch>
                  </pic:blipFill>
                  <pic:spPr bwMode="auto">
                    <a:xfrm>
                      <a:off x="0" y="0"/>
                      <a:ext cx="709295" cy="7429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-906780</wp:posOffset>
            </wp:positionV>
            <wp:extent cx="1452245" cy="4953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209">
                      <a:extLst>
                        <a:ext uri="{28A0092B-C50C-407E-A947-70E740481C1C}"/>
                      </a:extLst>
                    </a:blip>
                    <a:srcRect/>
                    <a:stretch>
                      <a:fillRect/>
                    </a:stretch>
                  </pic:blipFill>
                  <pic:spPr bwMode="auto">
                    <a:xfrm>
                      <a:off x="0" y="0"/>
                      <a:ext cx="1452245" cy="4953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-906780</wp:posOffset>
            </wp:positionV>
            <wp:extent cx="709295" cy="4953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210">
                      <a:extLst>
                        <a:ext uri="{28A0092B-C50C-407E-A947-70E740481C1C}"/>
                      </a:extLst>
                    </a:blip>
                    <a:srcRect/>
                    <a:stretch>
                      <a:fillRect/>
                    </a:stretch>
                  </pic:blipFill>
                  <pic:spPr bwMode="auto">
                    <a:xfrm>
                      <a:off x="0" y="0"/>
                      <a:ext cx="709295" cy="49530"/>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-631190</wp:posOffset>
            </wp:positionV>
            <wp:extent cx="1452245" cy="7429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211">
                      <a:extLst>
                        <a:ext uri="{28A0092B-C50C-407E-A947-70E740481C1C}"/>
                      </a:extLst>
                    </a:blip>
                    <a:srcRect/>
                    <a:stretch>
                      <a:fillRect/>
                    </a:stretch>
                  </pic:blipFill>
                  <pic:spPr bwMode="auto">
                    <a:xfrm>
                      <a:off x="0" y="0"/>
                      <a:ext cx="1452245" cy="7429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-631190</wp:posOffset>
            </wp:positionV>
            <wp:extent cx="709295" cy="7429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212">
                      <a:extLst>
                        <a:ext uri="{28A0092B-C50C-407E-A947-70E740481C1C}"/>
                      </a:extLst>
                    </a:blip>
                    <a:srcRect/>
                    <a:stretch>
                      <a:fillRect/>
                    </a:stretch>
                  </pic:blipFill>
                  <pic:spPr bwMode="auto">
                    <a:xfrm>
                      <a:off x="0" y="0"/>
                      <a:ext cx="709295" cy="7429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-342900</wp:posOffset>
            </wp:positionV>
            <wp:extent cx="708660" cy="7429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213">
                      <a:extLst>
                        <a:ext uri="{28A0092B-C50C-407E-A947-70E740481C1C}"/>
                      </a:extLst>
                    </a:blip>
                    <a:srcRect/>
                    <a:stretch>
                      <a:fillRect/>
                    </a:stretch>
                  </pic:blipFill>
                  <pic:spPr bwMode="auto">
                    <a:xfrm>
                      <a:off x="0" y="0"/>
                      <a:ext cx="708660" cy="7429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-342900</wp:posOffset>
            </wp:positionV>
            <wp:extent cx="709295" cy="7429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214">
                      <a:extLst>
                        <a:ext uri="{28A0092B-C50C-407E-A947-70E740481C1C}"/>
                      </a:extLst>
                    </a:blip>
                    <a:srcRect/>
                    <a:stretch>
                      <a:fillRect/>
                    </a:stretch>
                  </pic:blipFill>
                  <pic:spPr bwMode="auto">
                    <a:xfrm>
                      <a:off x="0" y="0"/>
                      <a:ext cx="709295" cy="7429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-55245</wp:posOffset>
            </wp:positionV>
            <wp:extent cx="708660" cy="7429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215">
                      <a:extLst>
                        <a:ext uri="{28A0092B-C50C-407E-A947-70E740481C1C}"/>
                      </a:extLst>
                    </a:blip>
                    <a:srcRect/>
                    <a:stretch>
                      <a:fillRect/>
                    </a:stretch>
                  </pic:blipFill>
                  <pic:spPr bwMode="auto">
                    <a:xfrm>
                      <a:off x="0" y="0"/>
                      <a:ext cx="708660" cy="7429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-55245</wp:posOffset>
            </wp:positionV>
            <wp:extent cx="709295" cy="7429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216">
                      <a:extLst>
                        <a:ext uri="{28A0092B-C50C-407E-A947-70E740481C1C}"/>
                      </a:extLst>
                    </a:blip>
                    <a:srcRect/>
                    <a:stretch>
                      <a:fillRect/>
                    </a:stretch>
                  </pic:blipFill>
                  <pic:spPr bwMode="auto">
                    <a:xfrm>
                      <a:off x="0" y="0"/>
                      <a:ext cx="709295" cy="74295"/>
                    </a:xfrm>
                    <a:prstGeom prst="rect">
                      <a:avLst/>
                    </a:prstGeom>
                    <a:noFill/>
                  </pic:spPr>
                </pic:pic>
              </a:graphicData>
            </a:graphic>
          </wp:anchor>
        </w:drawing>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the pre-tax intrinsic value of options exercised during the years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and 2024:</w:t>
            </w: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77"/>
        </w:trPr>
        <w:tc>
          <w:tcPr>
            <w:tcW w:w="6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Year Ended</w:t>
            </w:r>
          </w:p>
        </w:tc>
        <w:tc>
          <w:tcPr>
            <w:tcW w:w="1000" w:type="dxa"/>
            <w:vAlign w:val="bottom"/>
          </w:tcPr>
          <w:p>
            <w:pPr>
              <w:spacing w:after="0"/>
              <w:rPr>
                <w:sz w:val="24"/>
                <w:szCs w:val="24"/>
                <w:color w:val="auto"/>
              </w:rPr>
            </w:pPr>
          </w:p>
        </w:tc>
      </w:tr>
      <w:tr>
        <w:trPr>
          <w:trHeight w:val="256"/>
        </w:trPr>
        <w:tc>
          <w:tcPr>
            <w:tcW w:w="68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1000" w:type="dxa"/>
            <w:vAlign w:val="bottom"/>
            <w:tcBorders>
              <w:bottom w:val="single" w:sz="8" w:color="auto"/>
            </w:tcBorders>
          </w:tcPr>
          <w:p>
            <w:pPr>
              <w:spacing w:after="0"/>
              <w:rPr>
                <w:sz w:val="22"/>
                <w:szCs w:val="22"/>
                <w:color w:val="auto"/>
              </w:rPr>
            </w:pPr>
          </w:p>
        </w:tc>
      </w:tr>
      <w:tr>
        <w:trPr>
          <w:trHeight w:val="258"/>
        </w:trPr>
        <w:tc>
          <w:tcPr>
            <w:tcW w:w="6820" w:type="dxa"/>
            <w:vAlign w:val="bottom"/>
            <w:tcBorders>
              <w:bottom w:val="single" w:sz="8" w:color="E6E6E6"/>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82"/>
        </w:trPr>
        <w:tc>
          <w:tcPr>
            <w:tcW w:w="68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Intrinsic value of options exercised</w:t>
            </w:r>
          </w:p>
        </w:tc>
        <w:tc>
          <w:tcPr>
            <w:tcW w:w="1000" w:type="dxa"/>
            <w:vAlign w:val="bottom"/>
            <w:shd w:val="clear" w:color="auto" w:fill="E6E6E6"/>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  $</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-210185</wp:posOffset>
            </wp:positionV>
            <wp:extent cx="2074545" cy="4953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217">
                      <a:extLst>
                        <a:ext uri="{28A0092B-C50C-407E-A947-70E740481C1C}"/>
                      </a:extLst>
                    </a:blip>
                    <a:srcRect/>
                    <a:stretch>
                      <a:fillRect/>
                    </a:stretch>
                  </pic:blipFill>
                  <pic:spPr bwMode="auto">
                    <a:xfrm>
                      <a:off x="0" y="0"/>
                      <a:ext cx="2074545" cy="49530"/>
                    </a:xfrm>
                    <a:prstGeom prst="rect">
                      <a:avLst/>
                    </a:prstGeom>
                    <a:noFill/>
                  </pic:spPr>
                </pic:pic>
              </a:graphicData>
            </a:graphic>
          </wp:anchor>
        </w:drawing>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880" w:h="15480" w:orient="portrait"/>
          <w:cols w:equalWidth="0" w:num="1">
            <w:col w:w="10000"/>
          </w:cols>
          <w:pgMar w:left="940" w:top="352" w:right="940" w:bottom="0" w:gutter="0" w:footer="0" w:header="0"/>
          <w:type w:val="continuous"/>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firstLine="483"/>
        <w:spacing w:after="0" w:line="256" w:lineRule="auto"/>
        <w:rPr>
          <w:sz w:val="20"/>
          <w:szCs w:val="20"/>
          <w:color w:val="auto"/>
        </w:rPr>
      </w:pPr>
      <w:r>
        <w:rPr>
          <w:rFonts w:ascii="Times New Roman" w:cs="Times New Roman" w:eastAsia="Times New Roman" w:hAnsi="Times New Roman"/>
          <w:sz w:val="20"/>
          <w:szCs w:val="20"/>
          <w:color w:val="auto"/>
        </w:rPr>
        <w:t>As of December 31, 2025, unamortized stock-based compensation related to unvested stock options, restricted stock awards, and RSUs was $636.7 million. The weighted-average period over which such compensation expense will be recognized if the requisite service is provided is approximately 2.8 years as of December 31, 2025.</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Co-Founder Grant</w:t>
      </w:r>
    </w:p>
    <w:p>
      <w:pPr>
        <w:spacing w:after="0" w:line="129" w:lineRule="exact"/>
        <w:rPr>
          <w:sz w:val="20"/>
          <w:szCs w:val="20"/>
          <w:color w:val="auto"/>
        </w:rPr>
      </w:pPr>
    </w:p>
    <w:p>
      <w:pPr>
        <w:ind w:firstLine="439"/>
        <w:spacing w:after="0" w:line="289" w:lineRule="auto"/>
        <w:rPr>
          <w:sz w:val="20"/>
          <w:szCs w:val="20"/>
          <w:color w:val="auto"/>
        </w:rPr>
      </w:pPr>
      <w:r>
        <w:rPr>
          <w:rFonts w:ascii="Times New Roman" w:cs="Times New Roman" w:eastAsia="Times New Roman" w:hAnsi="Times New Roman"/>
          <w:sz w:val="18"/>
          <w:szCs w:val="18"/>
          <w:color w:val="auto"/>
        </w:rPr>
        <w:t>In December 2017, the Board of Directors approved the Co-Founder Grant, consisting of 10.3 million shares of Class A common stock in the form of RSAs granted to Drew Houston, the Company’s co-founder and Chief Executive Officer. The Co-Founder Grant is subject to service-, market-, and performance-based vesting conditions and is excluded from issued and outstanding shares until vesting. Mr. Houston holds voting rights and rights to cumulative declared dividends prior to vesting.</w:t>
      </w:r>
    </w:p>
    <w:p>
      <w:pPr>
        <w:spacing w:after="0" w:line="290" w:lineRule="exact"/>
        <w:rPr>
          <w:sz w:val="20"/>
          <w:szCs w:val="20"/>
          <w:color w:val="auto"/>
        </w:rPr>
      </w:pPr>
    </w:p>
    <w:p>
      <w:pPr>
        <w:ind w:firstLine="439"/>
        <w:spacing w:after="0" w:line="269" w:lineRule="auto"/>
        <w:rPr>
          <w:sz w:val="20"/>
          <w:szCs w:val="20"/>
          <w:color w:val="auto"/>
        </w:rPr>
      </w:pPr>
      <w:r>
        <w:rPr>
          <w:rFonts w:ascii="Times New Roman" w:cs="Times New Roman" w:eastAsia="Times New Roman" w:hAnsi="Times New Roman"/>
          <w:sz w:val="20"/>
          <w:szCs w:val="20"/>
          <w:color w:val="auto"/>
        </w:rPr>
        <w:t>The Co-Founder Grant vests over ten years following the Company’s IPO, based on the achievement of stock price targets during a consecutive thirty-day trading period within the Performance Period, which began on January 1, 2019.</w:t>
      </w:r>
    </w:p>
    <w:p>
      <w:pPr>
        <w:spacing w:after="0" w:line="187" w:lineRule="exact"/>
        <w:rPr>
          <w:sz w:val="20"/>
          <w:szCs w:val="20"/>
          <w:color w:val="auto"/>
        </w:rPr>
      </w:pPr>
    </w:p>
    <w:p>
      <w:pPr>
        <w:jc w:val="both"/>
        <w:ind w:right="480" w:firstLine="439"/>
        <w:spacing w:after="0" w:line="256" w:lineRule="auto"/>
        <w:rPr>
          <w:sz w:val="20"/>
          <w:szCs w:val="20"/>
          <w:color w:val="auto"/>
        </w:rPr>
      </w:pPr>
      <w:r>
        <w:rPr>
          <w:rFonts w:ascii="Times New Roman" w:cs="Times New Roman" w:eastAsia="Times New Roman" w:hAnsi="Times New Roman"/>
          <w:sz w:val="20"/>
          <w:szCs w:val="20"/>
          <w:color w:val="auto"/>
        </w:rPr>
        <w:t>The first tranche, or 2.1 million shares, vested in the fourth quarter of 2021. Stock-based compensation expense was recognized over the derived service period using the accelerated attribution method and will not be reversed if the market conditions are not met for the remaining tranches.</w:t>
      </w:r>
    </w:p>
    <w:p>
      <w:pPr>
        <w:spacing w:after="0" w:line="200" w:lineRule="exact"/>
        <w:rPr>
          <w:sz w:val="20"/>
          <w:szCs w:val="20"/>
          <w:color w:val="auto"/>
        </w:rPr>
      </w:pPr>
    </w:p>
    <w:p>
      <w:pPr>
        <w:jc w:val="both"/>
        <w:ind w:right="140" w:firstLine="439"/>
        <w:spacing w:after="0" w:line="246" w:lineRule="auto"/>
        <w:rPr>
          <w:sz w:val="20"/>
          <w:szCs w:val="20"/>
          <w:color w:val="auto"/>
        </w:rPr>
      </w:pPr>
      <w:r>
        <w:rPr>
          <w:rFonts w:ascii="Times New Roman" w:cs="Times New Roman" w:eastAsia="Times New Roman" w:hAnsi="Times New Roman"/>
          <w:sz w:val="20"/>
          <w:szCs w:val="20"/>
          <w:color w:val="auto"/>
        </w:rPr>
        <w:t>The Company recognized stock-based compensation expense related to the Co-Founder Grant of $2.4 million during the year ended December 31, 2024. The stock-based compensation expense related to the Co-Founder Grant was fully recognized as of the fourth quarter of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Net Income Per Share</w:t>
      </w:r>
    </w:p>
    <w:p>
      <w:pPr>
        <w:spacing w:after="0" w:line="245" w:lineRule="exact"/>
        <w:rPr>
          <w:sz w:val="20"/>
          <w:szCs w:val="20"/>
          <w:color w:val="auto"/>
        </w:rPr>
      </w:pPr>
    </w:p>
    <w:p>
      <w:pPr>
        <w:ind w:right="40" w:firstLine="483"/>
        <w:spacing w:after="0" w:line="252" w:lineRule="auto"/>
        <w:rPr>
          <w:sz w:val="20"/>
          <w:szCs w:val="20"/>
          <w:color w:val="auto"/>
        </w:rPr>
      </w:pPr>
      <w:r>
        <w:rPr>
          <w:rFonts w:ascii="Times New Roman" w:cs="Times New Roman" w:eastAsia="Times New Roman" w:hAnsi="Times New Roman"/>
          <w:sz w:val="20"/>
          <w:szCs w:val="20"/>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204" w:lineRule="exact"/>
        <w:rPr>
          <w:sz w:val="20"/>
          <w:szCs w:val="20"/>
          <w:color w:val="auto"/>
        </w:rPr>
      </w:pPr>
    </w:p>
    <w:p>
      <w:pPr>
        <w:ind w:right="300" w:firstLine="483"/>
        <w:spacing w:after="0" w:line="269" w:lineRule="auto"/>
        <w:rPr>
          <w:sz w:val="20"/>
          <w:szCs w:val="20"/>
          <w:color w:val="auto"/>
        </w:rPr>
      </w:pPr>
      <w:r>
        <w:rPr>
          <w:rFonts w:ascii="Times New Roman" w:cs="Times New Roman" w:eastAsia="Times New Roman" w:hAnsi="Times New Roman"/>
          <w:sz w:val="20"/>
          <w:szCs w:val="20"/>
          <w:color w:val="auto"/>
        </w:rPr>
        <w:t>Basic net income per share is computed by dividing net income attributable to common stockholders by the weighted-average number of shares of the Class A and Class B common stock outstanding.</w:t>
      </w:r>
    </w:p>
    <w:p>
      <w:pPr>
        <w:spacing w:after="0" w:line="187" w:lineRule="exact"/>
        <w:rPr>
          <w:sz w:val="20"/>
          <w:szCs w:val="20"/>
          <w:color w:val="auto"/>
        </w:rPr>
      </w:pPr>
    </w:p>
    <w:p>
      <w:pPr>
        <w:ind w:right="80" w:firstLine="439"/>
        <w:spacing w:after="0" w:line="248" w:lineRule="auto"/>
        <w:rPr>
          <w:sz w:val="20"/>
          <w:szCs w:val="20"/>
          <w:color w:val="auto"/>
        </w:rPr>
      </w:pPr>
      <w:r>
        <w:rPr>
          <w:rFonts w:ascii="Times New Roman" w:cs="Times New Roman" w:eastAsia="Times New Roman" w:hAnsi="Times New Roman"/>
          <w:sz w:val="20"/>
          <w:szCs w:val="20"/>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209" w:lineRule="exact"/>
        <w:rPr>
          <w:sz w:val="20"/>
          <w:szCs w:val="20"/>
          <w:color w:val="auto"/>
        </w:rPr>
      </w:pPr>
    </w:p>
    <w:p>
      <w:pPr>
        <w:ind w:right="560" w:firstLine="439"/>
        <w:spacing w:after="0" w:line="269" w:lineRule="auto"/>
        <w:rPr>
          <w:sz w:val="20"/>
          <w:szCs w:val="20"/>
          <w:color w:val="auto"/>
        </w:rPr>
      </w:pPr>
      <w:r>
        <w:rPr>
          <w:rFonts w:ascii="Times New Roman" w:cs="Times New Roman" w:eastAsia="Times New Roman" w:hAnsi="Times New Roman"/>
          <w:sz w:val="20"/>
          <w:szCs w:val="20"/>
          <w:color w:val="auto"/>
        </w:rPr>
        <w:t>The numerators and denominators of the basic and diluted EPS computations for the Company's common stock are calculated as follows (in millions, except for per share amounts):</w:t>
      </w:r>
    </w:p>
    <w:p>
      <w:pPr>
        <w:sectPr>
          <w:pgSz w:w="11880" w:h="15480" w:orient="portrait"/>
          <w:cols w:equalWidth="0" w:num="1">
            <w:col w:w="9980"/>
          </w:cols>
          <w:pgMar w:left="940" w:top="35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880" w:h="15480" w:orient="portrait"/>
          <w:cols w:equalWidth="0" w:num="1">
            <w:col w:w="9980"/>
          </w:cols>
          <w:pgMar w:left="940" w:top="352" w:right="960" w:bottom="0" w:gutter="0" w:footer="0" w:header="0"/>
          <w:type w:val="continuous"/>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2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57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5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9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9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9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58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color w:val="auto"/>
              </w:rPr>
              <w:t>Class A</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Class B</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color w:val="auto"/>
              </w:rPr>
              <w:t>Class A</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Class B</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Class A</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Class B</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Basic net income per share:</w:t>
            </w:r>
          </w:p>
        </w:tc>
        <w:tc>
          <w:tcPr>
            <w:tcW w:w="220" w:type="dxa"/>
            <w:vAlign w:val="bottom"/>
            <w:tcBorders>
              <w:bottom w:val="single" w:sz="8" w:color="E6E6E6"/>
            </w:tcBorders>
            <w:shd w:val="clear" w:color="auto" w:fill="E6E6E6"/>
          </w:tcPr>
          <w:p>
            <w:pPr>
              <w:spacing w:after="0"/>
              <w:rPr>
                <w:sz w:val="21"/>
                <w:szCs w:val="21"/>
                <w:color w:val="auto"/>
              </w:rPr>
            </w:pPr>
          </w:p>
        </w:tc>
        <w:tc>
          <w:tcPr>
            <w:tcW w:w="98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E6E6E6"/>
            </w:tcBorders>
            <w:shd w:val="clear" w:color="auto" w:fill="E6E6E6"/>
          </w:tcPr>
          <w:p>
            <w:pPr>
              <w:spacing w:after="0"/>
              <w:rPr>
                <w:sz w:val="21"/>
                <w:szCs w:val="21"/>
                <w:color w:val="auto"/>
              </w:rPr>
            </w:pPr>
          </w:p>
        </w:tc>
        <w:tc>
          <w:tcPr>
            <w:tcW w:w="96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E6E6E6"/>
            </w:tcBorders>
            <w:shd w:val="clear" w:color="auto" w:fill="E6E6E6"/>
          </w:tcPr>
          <w:p>
            <w:pPr>
              <w:spacing w:after="0"/>
              <w:rPr>
                <w:sz w:val="21"/>
                <w:szCs w:val="21"/>
                <w:color w:val="auto"/>
              </w:rPr>
            </w:pPr>
          </w:p>
        </w:tc>
        <w:tc>
          <w:tcPr>
            <w:tcW w:w="98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E6E6E6"/>
            </w:tcBorders>
            <w:shd w:val="clear" w:color="auto" w:fill="E6E6E6"/>
          </w:tcPr>
          <w:p>
            <w:pPr>
              <w:spacing w:after="0"/>
              <w:rPr>
                <w:sz w:val="21"/>
                <w:szCs w:val="21"/>
                <w:color w:val="auto"/>
              </w:rPr>
            </w:pPr>
          </w:p>
        </w:tc>
        <w:tc>
          <w:tcPr>
            <w:tcW w:w="96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E6E6E6"/>
            </w:tcBorders>
            <w:shd w:val="clear" w:color="auto" w:fill="E6E6E6"/>
          </w:tcPr>
          <w:p>
            <w:pPr>
              <w:spacing w:after="0"/>
              <w:rPr>
                <w:sz w:val="21"/>
                <w:szCs w:val="21"/>
                <w:color w:val="auto"/>
              </w:rPr>
            </w:pPr>
          </w:p>
        </w:tc>
        <w:tc>
          <w:tcPr>
            <w:tcW w:w="96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E6E6E6"/>
            </w:tcBorders>
            <w:shd w:val="clear" w:color="auto" w:fill="E6E6E6"/>
          </w:tcPr>
          <w:p>
            <w:pPr>
              <w:spacing w:after="0"/>
              <w:rPr>
                <w:sz w:val="21"/>
                <w:szCs w:val="21"/>
                <w:color w:val="auto"/>
              </w:rPr>
            </w:pPr>
          </w:p>
        </w:tc>
        <w:tc>
          <w:tcPr>
            <w:tcW w:w="96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580" w:type="dxa"/>
            <w:vAlign w:val="bottom"/>
            <w:shd w:val="clear" w:color="auto" w:fill="E6E6E6"/>
          </w:tcPr>
          <w:p>
            <w:pPr>
              <w:ind w:left="180"/>
              <w:spacing w:after="0" w:line="186" w:lineRule="exact"/>
              <w:rPr>
                <w:sz w:val="20"/>
                <w:szCs w:val="20"/>
                <w:color w:val="auto"/>
              </w:rPr>
            </w:pPr>
            <w:r>
              <w:rPr>
                <w:rFonts w:ascii="Times New Roman" w:cs="Times New Roman" w:eastAsia="Times New Roman" w:hAnsi="Times New Roman"/>
                <w:sz w:val="20"/>
                <w:szCs w:val="20"/>
                <w:color w:val="auto"/>
              </w:rPr>
              <w:t>Net income attributable to</w:t>
            </w:r>
          </w:p>
        </w:tc>
        <w:tc>
          <w:tcPr>
            <w:tcW w:w="2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363.4</w:t>
            </w:r>
          </w:p>
        </w:tc>
        <w:tc>
          <w:tcPr>
            <w:tcW w:w="280" w:type="dxa"/>
            <w:vAlign w:val="bottom"/>
            <w:gridSpan w:val="2"/>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145.0</w:t>
            </w:r>
          </w:p>
        </w:tc>
        <w:tc>
          <w:tcPr>
            <w:tcW w:w="280" w:type="dxa"/>
            <w:vAlign w:val="bottom"/>
            <w:gridSpan w:val="2"/>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339.3</w:t>
            </w:r>
          </w:p>
        </w:tc>
        <w:tc>
          <w:tcPr>
            <w:tcW w:w="280" w:type="dxa"/>
            <w:vAlign w:val="bottom"/>
            <w:gridSpan w:val="2"/>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113.0</w:t>
            </w:r>
          </w:p>
        </w:tc>
        <w:tc>
          <w:tcPr>
            <w:tcW w:w="280" w:type="dxa"/>
            <w:vAlign w:val="bottom"/>
            <w:gridSpan w:val="2"/>
            <w:vMerge w:val="restart"/>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345.7</w:t>
            </w:r>
          </w:p>
        </w:tc>
        <w:tc>
          <w:tcPr>
            <w:tcW w:w="280" w:type="dxa"/>
            <w:vAlign w:val="bottom"/>
            <w:gridSpan w:val="2"/>
            <w:vMerge w:val="restart"/>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107.9</w:t>
            </w:r>
          </w:p>
        </w:tc>
        <w:tc>
          <w:tcPr>
            <w:tcW w:w="0" w:type="dxa"/>
            <w:vAlign w:val="bottom"/>
          </w:tcPr>
          <w:p>
            <w:pPr>
              <w:spacing w:after="0"/>
              <w:rPr>
                <w:sz w:val="1"/>
                <w:szCs w:val="1"/>
                <w:color w:val="auto"/>
              </w:rPr>
            </w:pPr>
          </w:p>
        </w:tc>
      </w:tr>
      <w:tr>
        <w:trPr>
          <w:trHeight w:val="276"/>
        </w:trPr>
        <w:tc>
          <w:tcPr>
            <w:tcW w:w="25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common stockholders</w:t>
            </w:r>
          </w:p>
        </w:tc>
        <w:tc>
          <w:tcPr>
            <w:tcW w:w="220" w:type="dxa"/>
            <w:vAlign w:val="bottom"/>
            <w:vMerge w:val="continue"/>
            <w:shd w:val="clear" w:color="auto" w:fill="E6E6E6"/>
          </w:tcPr>
          <w:p>
            <w:pPr>
              <w:spacing w:after="0"/>
              <w:rPr>
                <w:sz w:val="24"/>
                <w:szCs w:val="24"/>
                <w:color w:val="auto"/>
              </w:rPr>
            </w:pPr>
          </w:p>
        </w:tc>
        <w:tc>
          <w:tcPr>
            <w:tcW w:w="980" w:type="dxa"/>
            <w:vAlign w:val="bottom"/>
            <w:vMerge w:val="continue"/>
            <w:shd w:val="clear" w:color="auto" w:fill="E6E6E6"/>
          </w:tcPr>
          <w:p>
            <w:pPr>
              <w:spacing w:after="0"/>
              <w:rPr>
                <w:sz w:val="24"/>
                <w:szCs w:val="24"/>
                <w:color w:val="auto"/>
              </w:rPr>
            </w:pPr>
          </w:p>
        </w:tc>
        <w:tc>
          <w:tcPr>
            <w:tcW w:w="280" w:type="dxa"/>
            <w:vAlign w:val="bottom"/>
            <w:gridSpan w:val="2"/>
            <w:vMerge w:val="continue"/>
            <w:shd w:val="clear" w:color="auto" w:fill="E6E6E6"/>
          </w:tcPr>
          <w:p>
            <w:pPr>
              <w:spacing w:after="0"/>
              <w:rPr>
                <w:sz w:val="24"/>
                <w:szCs w:val="24"/>
                <w:color w:val="auto"/>
              </w:rPr>
            </w:pPr>
          </w:p>
        </w:tc>
        <w:tc>
          <w:tcPr>
            <w:tcW w:w="960" w:type="dxa"/>
            <w:vAlign w:val="bottom"/>
            <w:vMerge w:val="continue"/>
            <w:shd w:val="clear" w:color="auto" w:fill="E6E6E6"/>
          </w:tcPr>
          <w:p>
            <w:pPr>
              <w:spacing w:after="0"/>
              <w:rPr>
                <w:sz w:val="24"/>
                <w:szCs w:val="24"/>
                <w:color w:val="auto"/>
              </w:rPr>
            </w:pPr>
          </w:p>
        </w:tc>
        <w:tc>
          <w:tcPr>
            <w:tcW w:w="280" w:type="dxa"/>
            <w:vAlign w:val="bottom"/>
            <w:gridSpan w:val="2"/>
            <w:vMerge w:val="continue"/>
            <w:shd w:val="clear" w:color="auto" w:fill="E6E6E6"/>
          </w:tcPr>
          <w:p>
            <w:pPr>
              <w:spacing w:after="0"/>
              <w:rPr>
                <w:sz w:val="24"/>
                <w:szCs w:val="24"/>
                <w:color w:val="auto"/>
              </w:rPr>
            </w:pPr>
          </w:p>
        </w:tc>
        <w:tc>
          <w:tcPr>
            <w:tcW w:w="980" w:type="dxa"/>
            <w:vAlign w:val="bottom"/>
            <w:vMerge w:val="continue"/>
            <w:shd w:val="clear" w:color="auto" w:fill="E6E6E6"/>
          </w:tcPr>
          <w:p>
            <w:pPr>
              <w:spacing w:after="0"/>
              <w:rPr>
                <w:sz w:val="24"/>
                <w:szCs w:val="24"/>
                <w:color w:val="auto"/>
              </w:rPr>
            </w:pPr>
          </w:p>
        </w:tc>
        <w:tc>
          <w:tcPr>
            <w:tcW w:w="280" w:type="dxa"/>
            <w:vAlign w:val="bottom"/>
            <w:gridSpan w:val="2"/>
            <w:vMerge w:val="continue"/>
            <w:shd w:val="clear" w:color="auto" w:fill="E6E6E6"/>
          </w:tcPr>
          <w:p>
            <w:pPr>
              <w:spacing w:after="0"/>
              <w:rPr>
                <w:sz w:val="24"/>
                <w:szCs w:val="24"/>
                <w:color w:val="auto"/>
              </w:rPr>
            </w:pPr>
          </w:p>
        </w:tc>
        <w:tc>
          <w:tcPr>
            <w:tcW w:w="960" w:type="dxa"/>
            <w:vAlign w:val="bottom"/>
            <w:vMerge w:val="continue"/>
            <w:shd w:val="clear" w:color="auto" w:fill="E6E6E6"/>
          </w:tcPr>
          <w:p>
            <w:pPr>
              <w:spacing w:after="0"/>
              <w:rPr>
                <w:sz w:val="24"/>
                <w:szCs w:val="24"/>
                <w:color w:val="auto"/>
              </w:rPr>
            </w:pPr>
          </w:p>
        </w:tc>
        <w:tc>
          <w:tcPr>
            <w:tcW w:w="280" w:type="dxa"/>
            <w:vAlign w:val="bottom"/>
            <w:gridSpan w:val="2"/>
            <w:vMerge w:val="continue"/>
            <w:shd w:val="clear" w:color="auto" w:fill="E6E6E6"/>
          </w:tcPr>
          <w:p>
            <w:pPr>
              <w:spacing w:after="0"/>
              <w:rPr>
                <w:sz w:val="24"/>
                <w:szCs w:val="24"/>
                <w:color w:val="auto"/>
              </w:rPr>
            </w:pPr>
          </w:p>
        </w:tc>
        <w:tc>
          <w:tcPr>
            <w:tcW w:w="960" w:type="dxa"/>
            <w:vAlign w:val="bottom"/>
            <w:vMerge w:val="continue"/>
            <w:shd w:val="clear" w:color="auto" w:fill="E6E6E6"/>
          </w:tcPr>
          <w:p>
            <w:pPr>
              <w:spacing w:after="0"/>
              <w:rPr>
                <w:sz w:val="24"/>
                <w:szCs w:val="24"/>
                <w:color w:val="auto"/>
              </w:rPr>
            </w:pPr>
          </w:p>
        </w:tc>
        <w:tc>
          <w:tcPr>
            <w:tcW w:w="280" w:type="dxa"/>
            <w:vAlign w:val="bottom"/>
            <w:gridSpan w:val="2"/>
            <w:vMerge w:val="continue"/>
            <w:shd w:val="clear" w:color="auto" w:fill="E6E6E6"/>
          </w:tcPr>
          <w:p>
            <w:pPr>
              <w:spacing w:after="0"/>
              <w:rPr>
                <w:sz w:val="24"/>
                <w:szCs w:val="24"/>
                <w:color w:val="auto"/>
              </w:rPr>
            </w:pPr>
          </w:p>
        </w:tc>
        <w:tc>
          <w:tcPr>
            <w:tcW w:w="960" w:type="dxa"/>
            <w:vAlign w:val="bottom"/>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580" w:type="dxa"/>
            <w:vAlign w:val="bottom"/>
            <w:tcBorders>
              <w:top w:val="single" w:sz="8" w:color="E6E6E6"/>
            </w:tcBorders>
          </w:tcPr>
          <w:p>
            <w:pPr>
              <w:ind w:left="40"/>
              <w:spacing w:after="0" w:line="225" w:lineRule="exact"/>
              <w:rPr>
                <w:sz w:val="20"/>
                <w:szCs w:val="20"/>
                <w:color w:val="auto"/>
              </w:rPr>
            </w:pPr>
            <w:r>
              <w:rPr>
                <w:rFonts w:ascii="Times New Roman" w:cs="Times New Roman" w:eastAsia="Times New Roman" w:hAnsi="Times New Roman"/>
                <w:sz w:val="20"/>
                <w:szCs w:val="20"/>
                <w:color w:val="auto"/>
              </w:rPr>
              <w:t>Denominator</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580" w:type="dxa"/>
            <w:vAlign w:val="bottom"/>
            <w:shd w:val="clear" w:color="auto" w:fill="E6E6E6"/>
          </w:tcPr>
          <w:p>
            <w:pPr>
              <w:ind w:left="180"/>
              <w:spacing w:after="0" w:line="186" w:lineRule="exact"/>
              <w:rPr>
                <w:sz w:val="20"/>
                <w:szCs w:val="20"/>
                <w:color w:val="auto"/>
              </w:rPr>
            </w:pPr>
            <w:r>
              <w:rPr>
                <w:rFonts w:ascii="Times New Roman" w:cs="Times New Roman" w:eastAsia="Times New Roman" w:hAnsi="Times New Roman"/>
                <w:sz w:val="20"/>
                <w:szCs w:val="20"/>
                <w:color w:val="auto"/>
              </w:rPr>
              <w:t>Weighted-average number of</w:t>
            </w: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E6E6E6"/>
          </w:tcPr>
          <w:p>
            <w:pPr>
              <w:ind w:left="180"/>
              <w:spacing w:after="0" w:line="195" w:lineRule="exact"/>
              <w:rPr>
                <w:sz w:val="20"/>
                <w:szCs w:val="20"/>
                <w:color w:val="auto"/>
              </w:rPr>
            </w:pPr>
            <w:r>
              <w:rPr>
                <w:rFonts w:ascii="Times New Roman" w:cs="Times New Roman" w:eastAsia="Times New Roman" w:hAnsi="Times New Roman"/>
                <w:sz w:val="20"/>
                <w:szCs w:val="20"/>
                <w:color w:val="auto"/>
              </w:rPr>
              <w:t>common shares outstanding</w:t>
            </w: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E6E6E6"/>
          </w:tcPr>
          <w:p>
            <w:pPr>
              <w:ind w:left="180"/>
              <w:spacing w:after="0" w:line="195" w:lineRule="exact"/>
              <w:rPr>
                <w:sz w:val="20"/>
                <w:szCs w:val="20"/>
                <w:color w:val="auto"/>
              </w:rPr>
            </w:pPr>
            <w:r>
              <w:rPr>
                <w:rFonts w:ascii="Times New Roman" w:cs="Times New Roman" w:eastAsia="Times New Roman" w:hAnsi="Times New Roman"/>
                <w:sz w:val="20"/>
                <w:szCs w:val="20"/>
                <w:color w:val="auto"/>
              </w:rPr>
              <w:t>used in computing basic net</w:t>
            </w: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5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income per share</w:t>
            </w:r>
          </w:p>
        </w:tc>
        <w:tc>
          <w:tcPr>
            <w:tcW w:w="2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191.8</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238.7</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260.1</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0" w:type="dxa"/>
            <w:vAlign w:val="bottom"/>
          </w:tcPr>
          <w:p>
            <w:pPr>
              <w:spacing w:after="0"/>
              <w:rPr>
                <w:sz w:val="1"/>
                <w:szCs w:val="1"/>
                <w:color w:val="auto"/>
              </w:rPr>
            </w:pPr>
          </w:p>
        </w:tc>
      </w:tr>
      <w:tr>
        <w:trPr>
          <w:trHeight w:val="157"/>
        </w:trPr>
        <w:tc>
          <w:tcPr>
            <w:tcW w:w="2580" w:type="dxa"/>
            <w:vAlign w:val="bottom"/>
          </w:tcPr>
          <w:p>
            <w:pPr>
              <w:ind w:left="40"/>
              <w:spacing w:after="0" w:line="157" w:lineRule="exact"/>
              <w:rPr>
                <w:sz w:val="20"/>
                <w:szCs w:val="20"/>
                <w:color w:val="auto"/>
              </w:rPr>
            </w:pPr>
            <w:r>
              <w:rPr>
                <w:rFonts w:ascii="Times New Roman" w:cs="Times New Roman" w:eastAsia="Times New Roman" w:hAnsi="Times New Roman"/>
                <w:sz w:val="18"/>
                <w:szCs w:val="18"/>
                <w:color w:val="auto"/>
              </w:rPr>
              <w:t>Net income per common share,</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61"/>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basic</w:t>
            </w:r>
          </w:p>
        </w:tc>
        <w:tc>
          <w:tcPr>
            <w:tcW w:w="22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Diluted net income per share:</w:t>
            </w:r>
          </w:p>
        </w:tc>
        <w:tc>
          <w:tcPr>
            <w:tcW w:w="220" w:type="dxa"/>
            <w:vAlign w:val="bottom"/>
            <w:tcBorders>
              <w:bottom w:val="single" w:sz="8" w:color="E6E6E6"/>
            </w:tcBorders>
            <w:shd w:val="clear" w:color="auto" w:fill="E6E6E6"/>
          </w:tcPr>
          <w:p>
            <w:pPr>
              <w:spacing w:after="0"/>
              <w:rPr>
                <w:sz w:val="22"/>
                <w:szCs w:val="22"/>
                <w:color w:val="auto"/>
              </w:rPr>
            </w:pPr>
          </w:p>
        </w:tc>
        <w:tc>
          <w:tcPr>
            <w:tcW w:w="98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96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98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96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96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96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580" w:type="dxa"/>
            <w:vAlign w:val="bottom"/>
            <w:shd w:val="clear" w:color="auto" w:fill="E6E6E6"/>
          </w:tcPr>
          <w:p>
            <w:pPr>
              <w:ind w:left="180"/>
              <w:spacing w:after="0" w:line="186" w:lineRule="exact"/>
              <w:rPr>
                <w:sz w:val="20"/>
                <w:szCs w:val="20"/>
                <w:color w:val="auto"/>
              </w:rPr>
            </w:pPr>
            <w:r>
              <w:rPr>
                <w:rFonts w:ascii="Times New Roman" w:cs="Times New Roman" w:eastAsia="Times New Roman" w:hAnsi="Times New Roman"/>
                <w:sz w:val="20"/>
                <w:szCs w:val="20"/>
                <w:color w:val="auto"/>
              </w:rPr>
              <w:t>Net income attributable to</w:t>
            </w:r>
          </w:p>
        </w:tc>
        <w:tc>
          <w:tcPr>
            <w:tcW w:w="2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363.4</w:t>
            </w:r>
          </w:p>
        </w:tc>
        <w:tc>
          <w:tcPr>
            <w:tcW w:w="280" w:type="dxa"/>
            <w:vAlign w:val="bottom"/>
            <w:gridSpan w:val="2"/>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145.0</w:t>
            </w:r>
          </w:p>
        </w:tc>
        <w:tc>
          <w:tcPr>
            <w:tcW w:w="280" w:type="dxa"/>
            <w:vAlign w:val="bottom"/>
            <w:gridSpan w:val="2"/>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339.3</w:t>
            </w:r>
          </w:p>
        </w:tc>
        <w:tc>
          <w:tcPr>
            <w:tcW w:w="280" w:type="dxa"/>
            <w:vAlign w:val="bottom"/>
            <w:gridSpan w:val="2"/>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113.0</w:t>
            </w:r>
          </w:p>
        </w:tc>
        <w:tc>
          <w:tcPr>
            <w:tcW w:w="280" w:type="dxa"/>
            <w:vAlign w:val="bottom"/>
            <w:gridSpan w:val="2"/>
            <w:vMerge w:val="restart"/>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345.7</w:t>
            </w:r>
          </w:p>
        </w:tc>
        <w:tc>
          <w:tcPr>
            <w:tcW w:w="280" w:type="dxa"/>
            <w:vAlign w:val="bottom"/>
            <w:gridSpan w:val="2"/>
            <w:vMerge w:val="restart"/>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107.9</w:t>
            </w:r>
          </w:p>
        </w:tc>
        <w:tc>
          <w:tcPr>
            <w:tcW w:w="0" w:type="dxa"/>
            <w:vAlign w:val="bottom"/>
          </w:tcPr>
          <w:p>
            <w:pPr>
              <w:spacing w:after="0"/>
              <w:rPr>
                <w:sz w:val="1"/>
                <w:szCs w:val="1"/>
                <w:color w:val="auto"/>
              </w:rPr>
            </w:pPr>
          </w:p>
        </w:tc>
      </w:tr>
      <w:tr>
        <w:trPr>
          <w:trHeight w:val="267"/>
        </w:trPr>
        <w:tc>
          <w:tcPr>
            <w:tcW w:w="25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common stockholders</w:t>
            </w:r>
          </w:p>
        </w:tc>
        <w:tc>
          <w:tcPr>
            <w:tcW w:w="220" w:type="dxa"/>
            <w:vAlign w:val="bottom"/>
            <w:vMerge w:val="continue"/>
            <w:shd w:val="clear" w:color="auto" w:fill="E6E6E6"/>
          </w:tcPr>
          <w:p>
            <w:pPr>
              <w:spacing w:after="0"/>
              <w:rPr>
                <w:sz w:val="23"/>
                <w:szCs w:val="23"/>
                <w:color w:val="auto"/>
              </w:rPr>
            </w:pPr>
          </w:p>
        </w:tc>
        <w:tc>
          <w:tcPr>
            <w:tcW w:w="980" w:type="dxa"/>
            <w:vAlign w:val="bottom"/>
            <w:vMerge w:val="continue"/>
            <w:shd w:val="clear" w:color="auto" w:fill="E6E6E6"/>
          </w:tcPr>
          <w:p>
            <w:pPr>
              <w:spacing w:after="0"/>
              <w:rPr>
                <w:sz w:val="23"/>
                <w:szCs w:val="23"/>
                <w:color w:val="auto"/>
              </w:rPr>
            </w:pPr>
          </w:p>
        </w:tc>
        <w:tc>
          <w:tcPr>
            <w:tcW w:w="28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280" w:type="dxa"/>
            <w:vAlign w:val="bottom"/>
            <w:gridSpan w:val="2"/>
            <w:vMerge w:val="continue"/>
            <w:shd w:val="clear" w:color="auto" w:fill="E6E6E6"/>
          </w:tcPr>
          <w:p>
            <w:pPr>
              <w:spacing w:after="0"/>
              <w:rPr>
                <w:sz w:val="23"/>
                <w:szCs w:val="23"/>
                <w:color w:val="auto"/>
              </w:rPr>
            </w:pPr>
          </w:p>
        </w:tc>
        <w:tc>
          <w:tcPr>
            <w:tcW w:w="980" w:type="dxa"/>
            <w:vAlign w:val="bottom"/>
            <w:vMerge w:val="continue"/>
            <w:shd w:val="clear" w:color="auto" w:fill="E6E6E6"/>
          </w:tcPr>
          <w:p>
            <w:pPr>
              <w:spacing w:after="0"/>
              <w:rPr>
                <w:sz w:val="23"/>
                <w:szCs w:val="23"/>
                <w:color w:val="auto"/>
              </w:rPr>
            </w:pPr>
          </w:p>
        </w:tc>
        <w:tc>
          <w:tcPr>
            <w:tcW w:w="28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28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28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180"/>
              <w:spacing w:after="0" w:line="186" w:lineRule="exact"/>
              <w:rPr>
                <w:sz w:val="20"/>
                <w:szCs w:val="20"/>
                <w:color w:val="auto"/>
              </w:rPr>
            </w:pPr>
            <w:r>
              <w:rPr>
                <w:rFonts w:ascii="Times New Roman" w:cs="Times New Roman" w:eastAsia="Times New Roman" w:hAnsi="Times New Roman"/>
                <w:sz w:val="20"/>
                <w:szCs w:val="20"/>
                <w:color w:val="auto"/>
              </w:rPr>
              <w:t>Reallocation of net income as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80"/>
              <w:spacing w:after="0" w:line="195" w:lineRule="exact"/>
              <w:rPr>
                <w:sz w:val="20"/>
                <w:szCs w:val="20"/>
                <w:color w:val="auto"/>
              </w:rPr>
            </w:pPr>
            <w:r>
              <w:rPr>
                <w:rFonts w:ascii="Times New Roman" w:cs="Times New Roman" w:eastAsia="Times New Roman" w:hAnsi="Times New Roman"/>
                <w:sz w:val="20"/>
                <w:szCs w:val="20"/>
                <w:color w:val="auto"/>
              </w:rPr>
              <w:t>a result of conversion of</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80"/>
              <w:spacing w:after="0" w:line="195" w:lineRule="exact"/>
              <w:rPr>
                <w:sz w:val="20"/>
                <w:szCs w:val="20"/>
                <w:color w:val="auto"/>
              </w:rPr>
            </w:pPr>
            <w:r>
              <w:rPr>
                <w:rFonts w:ascii="Times New Roman" w:cs="Times New Roman" w:eastAsia="Times New Roman" w:hAnsi="Times New Roman"/>
                <w:sz w:val="20"/>
                <w:szCs w:val="20"/>
                <w:color w:val="auto"/>
              </w:rPr>
              <w:t>Class B to Class A common</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3"/>
        </w:trPr>
        <w:tc>
          <w:tcPr>
            <w:tcW w:w="2580" w:type="dxa"/>
            <w:vAlign w:val="bottom"/>
            <w:shd w:val="clear" w:color="auto" w:fill="E6E6E6"/>
          </w:tcPr>
          <w:p>
            <w:pPr>
              <w:ind w:left="180"/>
              <w:spacing w:after="0" w:line="193" w:lineRule="exact"/>
              <w:rPr>
                <w:sz w:val="20"/>
                <w:szCs w:val="20"/>
                <w:color w:val="auto"/>
              </w:rPr>
            </w:pPr>
            <w:r>
              <w:rPr>
                <w:rFonts w:ascii="Times New Roman" w:cs="Times New Roman" w:eastAsia="Times New Roman" w:hAnsi="Times New Roman"/>
                <w:sz w:val="20"/>
                <w:szCs w:val="20"/>
                <w:color w:val="auto"/>
              </w:rPr>
              <w:t>Reallocation of net income to</w:t>
            </w:r>
          </w:p>
        </w:tc>
        <w:tc>
          <w:tcPr>
            <w:tcW w:w="220" w:type="dxa"/>
            <w:vAlign w:val="bottom"/>
            <w:shd w:val="clear" w:color="auto" w:fill="E6E6E6"/>
          </w:tcPr>
          <w:p>
            <w:pPr>
              <w:spacing w:after="0"/>
              <w:rPr>
                <w:sz w:val="16"/>
                <w:szCs w:val="16"/>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76"/>
        </w:trPr>
        <w:tc>
          <w:tcPr>
            <w:tcW w:w="25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Class B common stock</w:t>
            </w:r>
          </w:p>
        </w:tc>
        <w:tc>
          <w:tcPr>
            <w:tcW w:w="2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8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Net income attributable to</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80"/>
              <w:spacing w:after="0" w:line="195" w:lineRule="exact"/>
              <w:rPr>
                <w:sz w:val="20"/>
                <w:szCs w:val="20"/>
                <w:color w:val="auto"/>
              </w:rPr>
            </w:pPr>
            <w:r>
              <w:rPr>
                <w:rFonts w:ascii="Times New Roman" w:cs="Times New Roman" w:eastAsia="Times New Roman" w:hAnsi="Times New Roman"/>
                <w:sz w:val="20"/>
                <w:szCs w:val="20"/>
                <w:color w:val="auto"/>
              </w:rPr>
              <w:t>common stockholders for</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diluted EPS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w:t>
            </w:r>
          </w:p>
        </w:tc>
        <w:tc>
          <w:tcPr>
            <w:tcW w:w="0" w:type="dxa"/>
            <w:vAlign w:val="bottom"/>
          </w:tcPr>
          <w:p>
            <w:pPr>
              <w:spacing w:after="0"/>
              <w:rPr>
                <w:sz w:val="1"/>
                <w:szCs w:val="1"/>
                <w:color w:val="auto"/>
              </w:rPr>
            </w:pPr>
          </w:p>
        </w:tc>
      </w:tr>
      <w:tr>
        <w:trPr>
          <w:trHeight w:val="264"/>
        </w:trPr>
        <w:tc>
          <w:tcPr>
            <w:tcW w:w="25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220" w:type="dxa"/>
            <w:vAlign w:val="bottom"/>
            <w:tcBorders>
              <w:bottom w:val="single" w:sz="8" w:color="E6E6E6"/>
            </w:tcBorders>
            <w:shd w:val="clear" w:color="auto" w:fill="E6E6E6"/>
          </w:tcPr>
          <w:p>
            <w:pPr>
              <w:spacing w:after="0"/>
              <w:rPr>
                <w:sz w:val="23"/>
                <w:szCs w:val="23"/>
                <w:color w:val="auto"/>
              </w:rPr>
            </w:pPr>
          </w:p>
        </w:tc>
        <w:tc>
          <w:tcPr>
            <w:tcW w:w="98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96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98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96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96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96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180"/>
              <w:spacing w:after="0" w:line="197" w:lineRule="exact"/>
              <w:rPr>
                <w:sz w:val="20"/>
                <w:szCs w:val="20"/>
                <w:color w:val="auto"/>
              </w:rPr>
            </w:pPr>
            <w:r>
              <w:rPr>
                <w:rFonts w:ascii="Times New Roman" w:cs="Times New Roman" w:eastAsia="Times New Roman" w:hAnsi="Times New Roman"/>
                <w:sz w:val="20"/>
                <w:szCs w:val="20"/>
                <w:color w:val="auto"/>
              </w:rPr>
              <w:t>Weighted-average number of</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80"/>
              <w:spacing w:after="0" w:line="195" w:lineRule="exact"/>
              <w:rPr>
                <w:sz w:val="20"/>
                <w:szCs w:val="20"/>
                <w:color w:val="auto"/>
              </w:rPr>
            </w:pPr>
            <w:r>
              <w:rPr>
                <w:rFonts w:ascii="Times New Roman" w:cs="Times New Roman" w:eastAsia="Times New Roman" w:hAnsi="Times New Roman"/>
                <w:sz w:val="20"/>
                <w:szCs w:val="20"/>
                <w:color w:val="auto"/>
              </w:rPr>
              <w:t>common shares outstanding</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80"/>
              <w:spacing w:after="0" w:line="195" w:lineRule="exact"/>
              <w:rPr>
                <w:sz w:val="20"/>
                <w:szCs w:val="20"/>
                <w:color w:val="auto"/>
              </w:rPr>
            </w:pPr>
            <w:r>
              <w:rPr>
                <w:rFonts w:ascii="Times New Roman" w:cs="Times New Roman" w:eastAsia="Times New Roman" w:hAnsi="Times New Roman"/>
                <w:sz w:val="20"/>
                <w:szCs w:val="20"/>
                <w:color w:val="auto"/>
              </w:rPr>
              <w:t>used in computing basic net</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income per share</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238.7</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0" w:type="dxa"/>
            <w:vAlign w:val="bottom"/>
          </w:tcPr>
          <w:p>
            <w:pPr>
              <w:spacing w:after="0"/>
              <w:rPr>
                <w:sz w:val="1"/>
                <w:szCs w:val="1"/>
                <w:color w:val="auto"/>
              </w:rPr>
            </w:pPr>
          </w:p>
        </w:tc>
      </w:tr>
      <w:tr>
        <w:trPr>
          <w:trHeight w:val="193"/>
        </w:trPr>
        <w:tc>
          <w:tcPr>
            <w:tcW w:w="2580" w:type="dxa"/>
            <w:vAlign w:val="bottom"/>
            <w:shd w:val="clear" w:color="auto" w:fill="E6E6E6"/>
          </w:tcPr>
          <w:p>
            <w:pPr>
              <w:ind w:left="180"/>
              <w:spacing w:after="0" w:line="193" w:lineRule="exact"/>
              <w:rPr>
                <w:sz w:val="20"/>
                <w:szCs w:val="20"/>
                <w:color w:val="auto"/>
              </w:rPr>
            </w:pPr>
            <w:r>
              <w:rPr>
                <w:rFonts w:ascii="Times New Roman" w:cs="Times New Roman" w:eastAsia="Times New Roman" w:hAnsi="Times New Roman"/>
                <w:sz w:val="20"/>
                <w:szCs w:val="20"/>
                <w:color w:val="auto"/>
              </w:rPr>
              <w:t>Weighted-average effect of</w:t>
            </w: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E6E6E6"/>
          </w:tcPr>
          <w:p>
            <w:pPr>
              <w:ind w:left="180"/>
              <w:spacing w:after="0" w:line="195" w:lineRule="exact"/>
              <w:rPr>
                <w:sz w:val="20"/>
                <w:szCs w:val="20"/>
                <w:color w:val="auto"/>
              </w:rPr>
            </w:pPr>
            <w:r>
              <w:rPr>
                <w:rFonts w:ascii="Times New Roman" w:cs="Times New Roman" w:eastAsia="Times New Roman" w:hAnsi="Times New Roman"/>
                <w:sz w:val="20"/>
                <w:szCs w:val="20"/>
                <w:color w:val="auto"/>
              </w:rPr>
              <w:t>dilutive restricted stock units</w:t>
            </w: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E6E6E6"/>
          </w:tcPr>
          <w:p>
            <w:pPr>
              <w:ind w:left="180"/>
              <w:spacing w:after="0" w:line="195" w:lineRule="exact"/>
              <w:rPr>
                <w:sz w:val="20"/>
                <w:szCs w:val="20"/>
                <w:color w:val="auto"/>
              </w:rPr>
            </w:pPr>
            <w:r>
              <w:rPr>
                <w:rFonts w:ascii="Times New Roman" w:cs="Times New Roman" w:eastAsia="Times New Roman" w:hAnsi="Times New Roman"/>
                <w:sz w:val="20"/>
                <w:szCs w:val="20"/>
                <w:color w:val="auto"/>
              </w:rPr>
              <w:t>and awards and employee</w:t>
            </w: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5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stock options</w:t>
            </w:r>
          </w:p>
        </w:tc>
        <w:tc>
          <w:tcPr>
            <w:tcW w:w="2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180"/>
              <w:spacing w:after="0" w:line="186" w:lineRule="exact"/>
              <w:rPr>
                <w:sz w:val="20"/>
                <w:szCs w:val="20"/>
                <w:color w:val="auto"/>
              </w:rPr>
            </w:pPr>
            <w:r>
              <w:rPr>
                <w:rFonts w:ascii="Times New Roman" w:cs="Times New Roman" w:eastAsia="Times New Roman" w:hAnsi="Times New Roman"/>
                <w:sz w:val="20"/>
                <w:szCs w:val="20"/>
                <w:color w:val="auto"/>
              </w:rPr>
              <w:t>Conversion of Class B to</w:t>
            </w:r>
          </w:p>
        </w:tc>
        <w:tc>
          <w:tcPr>
            <w:tcW w:w="2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6"/>
        </w:trPr>
        <w:tc>
          <w:tcPr>
            <w:tcW w:w="258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Class A common stock</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80" w:type="dxa"/>
            <w:vAlign w:val="bottom"/>
            <w:shd w:val="clear" w:color="auto" w:fill="E6E6E6"/>
          </w:tcPr>
          <w:p>
            <w:pPr>
              <w:ind w:left="180"/>
              <w:spacing w:after="0" w:line="157" w:lineRule="exact"/>
              <w:rPr>
                <w:sz w:val="20"/>
                <w:szCs w:val="20"/>
                <w:color w:val="auto"/>
              </w:rPr>
            </w:pPr>
            <w:r>
              <w:rPr>
                <w:rFonts w:ascii="Times New Roman" w:cs="Times New Roman" w:eastAsia="Times New Roman" w:hAnsi="Times New Roman"/>
                <w:sz w:val="18"/>
                <w:szCs w:val="18"/>
                <w:color w:val="auto"/>
              </w:rPr>
              <w:t>Weighted-average number of</w:t>
            </w:r>
          </w:p>
        </w:tc>
        <w:tc>
          <w:tcPr>
            <w:tcW w:w="22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E6E6E6"/>
          </w:tcPr>
          <w:p>
            <w:pPr>
              <w:ind w:left="180"/>
              <w:spacing w:after="0" w:line="195" w:lineRule="exact"/>
              <w:rPr>
                <w:sz w:val="20"/>
                <w:szCs w:val="20"/>
                <w:color w:val="auto"/>
              </w:rPr>
            </w:pPr>
            <w:r>
              <w:rPr>
                <w:rFonts w:ascii="Times New Roman" w:cs="Times New Roman" w:eastAsia="Times New Roman" w:hAnsi="Times New Roman"/>
                <w:sz w:val="20"/>
                <w:szCs w:val="20"/>
                <w:color w:val="auto"/>
              </w:rPr>
              <w:t>common shares outstanding</w:t>
            </w: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E6E6E6"/>
          </w:tcPr>
          <w:p>
            <w:pPr>
              <w:ind w:left="180"/>
              <w:spacing w:after="0" w:line="195" w:lineRule="exact"/>
              <w:rPr>
                <w:sz w:val="20"/>
                <w:szCs w:val="20"/>
                <w:color w:val="auto"/>
              </w:rPr>
            </w:pPr>
            <w:r>
              <w:rPr>
                <w:rFonts w:ascii="Times New Roman" w:cs="Times New Roman" w:eastAsia="Times New Roman" w:hAnsi="Times New Roman"/>
                <w:sz w:val="20"/>
                <w:szCs w:val="20"/>
                <w:color w:val="auto"/>
              </w:rPr>
              <w:t>used in computing diluted net</w:t>
            </w: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5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income per share</w:t>
            </w:r>
          </w:p>
        </w:tc>
        <w:tc>
          <w:tcPr>
            <w:tcW w:w="2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272.8</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323.4</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345.6</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0" w:type="dxa"/>
            <w:vAlign w:val="bottom"/>
          </w:tcPr>
          <w:p>
            <w:pPr>
              <w:spacing w:after="0"/>
              <w:rPr>
                <w:sz w:val="1"/>
                <w:szCs w:val="1"/>
                <w:color w:val="auto"/>
              </w:rPr>
            </w:pPr>
          </w:p>
        </w:tc>
      </w:tr>
      <w:tr>
        <w:trPr>
          <w:trHeight w:val="157"/>
        </w:trPr>
        <w:tc>
          <w:tcPr>
            <w:tcW w:w="258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Net income per common</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38"/>
        </w:trPr>
        <w:tc>
          <w:tcPr>
            <w:tcW w:w="2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 diluted</w:t>
            </w:r>
          </w:p>
        </w:tc>
        <w:tc>
          <w:tcPr>
            <w:tcW w:w="2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-5986780</wp:posOffset>
            </wp:positionV>
            <wp:extent cx="4758690" cy="4953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218">
                      <a:extLst>
                        <a:ext uri="{28A0092B-C50C-407E-A947-70E740481C1C}"/>
                      </a:extLst>
                    </a:blip>
                    <a:srcRect/>
                    <a:stretch>
                      <a:fillRect/>
                    </a:stretch>
                  </pic:blipFill>
                  <pic:spPr bwMode="auto">
                    <a:xfrm>
                      <a:off x="0" y="0"/>
                      <a:ext cx="4758690" cy="4953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-5358130</wp:posOffset>
            </wp:positionV>
            <wp:extent cx="4758690" cy="7429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219">
                      <a:extLst>
                        <a:ext uri="{28A0092B-C50C-407E-A947-70E740481C1C}"/>
                      </a:extLst>
                    </a:blip>
                    <a:srcRect/>
                    <a:stretch>
                      <a:fillRect/>
                    </a:stretch>
                  </pic:blipFill>
                  <pic:spPr bwMode="auto">
                    <a:xfrm>
                      <a:off x="0" y="0"/>
                      <a:ext cx="4758690" cy="7429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-4634230</wp:posOffset>
            </wp:positionV>
            <wp:extent cx="4758690" cy="7429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220">
                      <a:extLst>
                        <a:ext uri="{28A0092B-C50C-407E-A947-70E740481C1C}"/>
                      </a:extLst>
                    </a:blip>
                    <a:srcRect/>
                    <a:stretch>
                      <a:fillRect/>
                    </a:stretch>
                  </pic:blipFill>
                  <pic:spPr bwMode="auto">
                    <a:xfrm>
                      <a:off x="0" y="0"/>
                      <a:ext cx="4758690" cy="7429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-2869565</wp:posOffset>
            </wp:positionV>
            <wp:extent cx="4758690" cy="7429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221">
                      <a:extLst>
                        <a:ext uri="{28A0092B-C50C-407E-A947-70E740481C1C}"/>
                      </a:extLst>
                    </a:blip>
                    <a:srcRect/>
                    <a:stretch>
                      <a:fillRect/>
                    </a:stretch>
                  </pic:blipFill>
                  <pic:spPr bwMode="auto">
                    <a:xfrm>
                      <a:off x="0" y="0"/>
                      <a:ext cx="4758690" cy="7429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-890905</wp:posOffset>
            </wp:positionV>
            <wp:extent cx="4758690" cy="742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222">
                      <a:extLst>
                        <a:ext uri="{28A0092B-C50C-407E-A947-70E740481C1C}"/>
                      </a:extLst>
                    </a:blip>
                    <a:srcRect/>
                    <a:stretch>
                      <a:fillRect/>
                    </a:stretch>
                  </pic:blipFill>
                  <pic:spPr bwMode="auto">
                    <a:xfrm>
                      <a:off x="0" y="0"/>
                      <a:ext cx="4758690" cy="7429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-342900</wp:posOffset>
            </wp:positionV>
            <wp:extent cx="4758690" cy="7429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223">
                      <a:extLst>
                        <a:ext uri="{28A0092B-C50C-407E-A947-70E740481C1C}"/>
                      </a:extLst>
                    </a:blip>
                    <a:srcRect/>
                    <a:stretch>
                      <a:fillRect/>
                    </a:stretch>
                  </pic:blipFill>
                  <pic:spPr bwMode="auto">
                    <a:xfrm>
                      <a:off x="0" y="0"/>
                      <a:ext cx="4758690" cy="7429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-55245</wp:posOffset>
            </wp:positionV>
            <wp:extent cx="3959860" cy="7429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224">
                      <a:extLst>
                        <a:ext uri="{28A0092B-C50C-407E-A947-70E740481C1C}"/>
                      </a:extLst>
                    </a:blip>
                    <a:srcRect/>
                    <a:stretch>
                      <a:fillRect/>
                    </a:stretch>
                  </pic:blipFill>
                  <pic:spPr bwMode="auto">
                    <a:xfrm>
                      <a:off x="0" y="0"/>
                      <a:ext cx="3959860" cy="74295"/>
                    </a:xfrm>
                    <a:prstGeom prst="rect">
                      <a:avLst/>
                    </a:prstGeom>
                    <a:noFill/>
                  </pic:spPr>
                </pic:pic>
              </a:graphicData>
            </a:graphic>
          </wp:anchor>
        </w:drawing>
      </w:r>
    </w:p>
    <w:p>
      <w:pPr>
        <w:sectPr>
          <w:pgSz w:w="11880" w:h="15480" w:orient="portrait"/>
          <w:cols w:equalWidth="0" w:num="1">
            <w:col w:w="10000"/>
          </w:cols>
          <w:pgMar w:left="940"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880" w:h="15480" w:orient="portrait"/>
          <w:cols w:equalWidth="0" w:num="1">
            <w:col w:w="10000"/>
          </w:cols>
          <w:pgMar w:left="940" w:top="352" w:right="940" w:bottom="0" w:gutter="0" w:footer="0" w:header="0"/>
          <w:type w:val="continuous"/>
        </w:sectPr>
      </w:pPr>
    </w:p>
    <w:bookmarkStart w:id="205" w:name="page206"/>
    <w:bookmarkEnd w:id="20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right="60" w:firstLine="483"/>
        <w:spacing w:after="0" w:line="269" w:lineRule="auto"/>
        <w:rPr>
          <w:sz w:val="20"/>
          <w:szCs w:val="20"/>
          <w:color w:val="auto"/>
        </w:rPr>
      </w:pPr>
      <w:r>
        <w:rPr>
          <w:rFonts w:ascii="Times New Roman" w:cs="Times New Roman" w:eastAsia="Times New Roman" w:hAnsi="Times New Roman"/>
          <w:sz w:val="20"/>
          <w:szCs w:val="20"/>
          <w:color w:val="auto"/>
        </w:rPr>
        <w:t>The weighted-average impact of potentially dilutive securities that were not included in the diluted per share calculations because they would be anti-dilutive was as follows:</w:t>
      </w:r>
    </w:p>
    <w:p>
      <w:pPr>
        <w:spacing w:after="0" w:line="21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0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140" w:type="dxa"/>
            <w:vAlign w:val="bottom"/>
            <w:tcBorders>
              <w:bottom w:val="single" w:sz="8" w:color="E6E6E6"/>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E6E6E6"/>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E6E6E6"/>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8"/>
        </w:trPr>
        <w:tc>
          <w:tcPr>
            <w:tcW w:w="51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Restricted stock units and awards</w:t>
            </w:r>
          </w:p>
        </w:tc>
        <w:tc>
          <w:tcPr>
            <w:tcW w:w="1060" w:type="dxa"/>
            <w:vAlign w:val="bottom"/>
            <w:shd w:val="clear" w:color="auto" w:fill="E6E6E6"/>
          </w:tcPr>
          <w:p>
            <w:pPr>
              <w:spacing w:after="0"/>
              <w:rPr>
                <w:sz w:val="23"/>
                <w:szCs w:val="23"/>
                <w:color w:val="auto"/>
              </w:rPr>
            </w:pP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shd w:val="clear" w:color="auto" w:fill="E6E6E6"/>
          </w:tcPr>
          <w:p>
            <w:pPr>
              <w:spacing w:after="0"/>
              <w:rPr>
                <w:sz w:val="23"/>
                <w:szCs w:val="23"/>
                <w:color w:val="auto"/>
              </w:rPr>
            </w:pPr>
          </w:p>
        </w:tc>
        <w:tc>
          <w:tcPr>
            <w:tcW w:w="1060" w:type="dxa"/>
            <w:vAlign w:val="bottom"/>
            <w:shd w:val="clear" w:color="auto" w:fill="E6E6E6"/>
          </w:tcPr>
          <w:p>
            <w:pPr>
              <w:spacing w:after="0"/>
              <w:rPr>
                <w:sz w:val="23"/>
                <w:szCs w:val="23"/>
                <w:color w:val="auto"/>
              </w:rPr>
            </w:pP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71"/>
        </w:trPr>
        <w:tc>
          <w:tcPr>
            <w:tcW w:w="6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Co-Founder Grant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84"/>
        </w:trPr>
        <w:tc>
          <w:tcPr>
            <w:tcW w:w="62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Convertible Senior Notes</w:t>
            </w: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6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w:t>
            </w:r>
          </w:p>
        </w:tc>
      </w:tr>
      <w:tr>
        <w:trPr>
          <w:trHeight w:val="268"/>
        </w:trPr>
        <w:tc>
          <w:tcPr>
            <w:tcW w:w="514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Warrants</w:t>
            </w:r>
          </w:p>
        </w:tc>
        <w:tc>
          <w:tcPr>
            <w:tcW w:w="10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60" w:type="dxa"/>
            <w:vAlign w:val="bottom"/>
            <w:tcBorders>
              <w:bottom w:val="single" w:sz="8" w:color="E6E6E6"/>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60" w:type="dxa"/>
            <w:vAlign w:val="bottom"/>
            <w:tcBorders>
              <w:bottom w:val="single" w:sz="8" w:color="E6E6E6"/>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w:t>
            </w:r>
          </w:p>
        </w:tc>
      </w:tr>
      <w:tr>
        <w:trPr>
          <w:trHeight w:val="277"/>
        </w:trPr>
        <w:tc>
          <w:tcPr>
            <w:tcW w:w="514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060" w:type="dxa"/>
            <w:vAlign w:val="bottom"/>
            <w:tcBorders>
              <w:bottom w:val="single" w:sz="8" w:color="auto"/>
            </w:tcBorders>
            <w:shd w:val="clear" w:color="auto" w:fill="E6E6E6"/>
          </w:tcPr>
          <w:p>
            <w:pPr>
              <w:spacing w:after="0"/>
              <w:rPr>
                <w:sz w:val="24"/>
                <w:szCs w:val="24"/>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86.9</w:t>
            </w:r>
          </w:p>
        </w:tc>
        <w:tc>
          <w:tcPr>
            <w:tcW w:w="6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spacing w:after="0"/>
              <w:rPr>
                <w:sz w:val="24"/>
                <w:szCs w:val="24"/>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-925195</wp:posOffset>
            </wp:positionV>
            <wp:extent cx="3105150" cy="4953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225">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-219075</wp:posOffset>
            </wp:positionV>
            <wp:extent cx="3105150" cy="4953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226">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-55245</wp:posOffset>
            </wp:positionV>
            <wp:extent cx="3105150" cy="742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27">
                      <a:extLst>
                        <a:ext uri="{28A0092B-C50C-407E-A947-70E740481C1C}"/>
                      </a:extLst>
                    </a:blip>
                    <a:srcRect/>
                    <a:stretch>
                      <a:fillRect/>
                    </a:stretch>
                  </pic:blipFill>
                  <pic:spPr bwMode="auto">
                    <a:xfrm>
                      <a:off x="0" y="0"/>
                      <a:ext cx="3105150" cy="7429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Income Taxes</w:t>
      </w:r>
    </w:p>
    <w:p>
      <w:pPr>
        <w:spacing w:after="0" w:line="362" w:lineRule="exact"/>
        <w:rPr>
          <w:sz w:val="20"/>
          <w:szCs w:val="20"/>
          <w:color w:val="auto"/>
        </w:rPr>
      </w:pPr>
    </w:p>
    <w:p>
      <w:pPr>
        <w:ind w:right="460" w:firstLine="483"/>
        <w:spacing w:after="0" w:line="269" w:lineRule="auto"/>
        <w:rPr>
          <w:sz w:val="20"/>
          <w:szCs w:val="20"/>
          <w:color w:val="auto"/>
        </w:rPr>
      </w:pPr>
      <w:r>
        <w:rPr>
          <w:rFonts w:ascii="Times New Roman" w:cs="Times New Roman" w:eastAsia="Times New Roman" w:hAnsi="Times New Roman"/>
          <w:sz w:val="20"/>
          <w:szCs w:val="20"/>
          <w:color w:val="auto"/>
        </w:rPr>
        <w:t>For the years ended December 31, 2025, 2024, and 2023, the Company’s income from continuing operations before provision for income taxes was as follows:</w:t>
      </w:r>
    </w:p>
    <w:p>
      <w:pPr>
        <w:spacing w:after="0" w:line="29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69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50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E6E6E6"/>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E6E6E6"/>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2"/>
        </w:trPr>
        <w:tc>
          <w:tcPr>
            <w:tcW w:w="50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Domestic</w:t>
            </w:r>
          </w:p>
        </w:tc>
        <w:tc>
          <w:tcPr>
            <w:tcW w:w="1020" w:type="dxa"/>
            <w:vAlign w:val="bottom"/>
            <w:tcBorders>
              <w:bottom w:val="single" w:sz="8" w:color="E6E6E6"/>
            </w:tcBorders>
            <w:gridSpan w:val="2"/>
            <w:shd w:val="clear" w:color="auto" w:fill="E6E6E6"/>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7"/>
              </w:rPr>
              <w:t>352.9</w:t>
            </w:r>
          </w:p>
        </w:tc>
        <w:tc>
          <w:tcPr>
            <w:tcW w:w="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7"/>
              </w:rPr>
              <w:t>280.4</w:t>
            </w:r>
          </w:p>
        </w:tc>
        <w:tc>
          <w:tcPr>
            <w:tcW w:w="440" w:type="dxa"/>
            <w:vAlign w:val="bottom"/>
            <w:tcBorders>
              <w:bottom w:val="single" w:sz="8" w:color="E6E6E6"/>
            </w:tcBorders>
            <w:gridSpan w:val="2"/>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385.8</w:t>
            </w:r>
          </w:p>
        </w:tc>
      </w:tr>
      <w:tr>
        <w:trPr>
          <w:trHeight w:val="262"/>
        </w:trPr>
        <w:tc>
          <w:tcPr>
            <w:tcW w:w="508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E6E6E6"/>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264.7</w:t>
            </w:r>
          </w:p>
        </w:tc>
        <w:tc>
          <w:tcPr>
            <w:tcW w:w="80" w:type="dxa"/>
            <w:vAlign w:val="bottom"/>
            <w:tcBorders>
              <w:bottom w:val="single" w:sz="8" w:color="E6E6E6"/>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229.4</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168.6</w:t>
            </w:r>
          </w:p>
        </w:tc>
      </w:tr>
      <w:tr>
        <w:trPr>
          <w:trHeight w:val="292"/>
        </w:trPr>
        <w:tc>
          <w:tcPr>
            <w:tcW w:w="50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7"/>
              </w:rPr>
              <w:t>617.6</w:t>
            </w:r>
          </w:p>
        </w:tc>
        <w:tc>
          <w:tcPr>
            <w:tcW w:w="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7"/>
              </w:rPr>
              <w:t>509.8</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-600075</wp:posOffset>
            </wp:positionV>
            <wp:extent cx="3123565" cy="4953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228">
                      <a:extLst>
                        <a:ext uri="{28A0092B-C50C-407E-A947-70E740481C1C}"/>
                      </a:extLst>
                    </a:blip>
                    <a:srcRect/>
                    <a:stretch>
                      <a:fillRect/>
                    </a:stretch>
                  </pic:blipFill>
                  <pic:spPr bwMode="auto">
                    <a:xfrm>
                      <a:off x="0" y="0"/>
                      <a:ext cx="3123565" cy="4953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-228600</wp:posOffset>
            </wp:positionV>
            <wp:extent cx="3123565" cy="4953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229">
                      <a:extLst>
                        <a:ext uri="{28A0092B-C50C-407E-A947-70E740481C1C}"/>
                      </a:extLst>
                    </a:blip>
                    <a:srcRect/>
                    <a:stretch>
                      <a:fillRect/>
                    </a:stretch>
                  </pic:blipFill>
                  <pic:spPr bwMode="auto">
                    <a:xfrm>
                      <a:off x="0" y="0"/>
                      <a:ext cx="3123565" cy="4953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-55245</wp:posOffset>
            </wp:positionV>
            <wp:extent cx="3123565" cy="7429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230">
                      <a:extLst>
                        <a:ext uri="{28A0092B-C50C-407E-A947-70E740481C1C}"/>
                      </a:extLst>
                    </a:blip>
                    <a:srcRect/>
                    <a:stretch>
                      <a:fillRect/>
                    </a:stretch>
                  </pic:blipFill>
                  <pic:spPr bwMode="auto">
                    <a:xfrm>
                      <a:off x="0" y="0"/>
                      <a:ext cx="3123565" cy="74295"/>
                    </a:xfrm>
                    <a:prstGeom prst="rect">
                      <a:avLst/>
                    </a:prstGeom>
                    <a:noFill/>
                  </pic:spPr>
                </pic:pic>
              </a:graphicData>
            </a:graphic>
          </wp:anchor>
        </w:drawing>
      </w:r>
    </w:p>
    <w:p>
      <w:pPr>
        <w:spacing w:after="0" w:line="221" w:lineRule="exact"/>
        <w:rPr>
          <w:sz w:val="20"/>
          <w:szCs w:val="20"/>
          <w:color w:val="auto"/>
        </w:rPr>
      </w:pPr>
    </w:p>
    <w:p>
      <w:pPr>
        <w:ind w:right="540" w:firstLine="483"/>
        <w:spacing w:after="0" w:line="269" w:lineRule="auto"/>
        <w:rPr>
          <w:sz w:val="20"/>
          <w:szCs w:val="20"/>
          <w:color w:val="auto"/>
        </w:rPr>
      </w:pPr>
      <w:r>
        <w:rPr>
          <w:rFonts w:ascii="Times New Roman" w:cs="Times New Roman" w:eastAsia="Times New Roman" w:hAnsi="Times New Roman"/>
          <w:sz w:val="20"/>
          <w:szCs w:val="20"/>
          <w:color w:val="auto"/>
        </w:rPr>
        <w:t>The components of the provision for income taxes in the years ended December 31, 2025, 2024, and 2023, were as follows:</w:t>
      </w:r>
    </w:p>
    <w:p>
      <w:pPr>
        <w:spacing w:after="0" w:line="29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6980"/>
        <w:spacing w:after="0"/>
        <w:rPr>
          <w:sz w:val="20"/>
          <w:szCs w:val="20"/>
          <w:color w:val="auto"/>
        </w:rPr>
      </w:pPr>
      <w:r>
        <w:rPr>
          <w:rFonts w:ascii="Times New Roman" w:cs="Times New Roman" w:eastAsia="Times New Roman" w:hAnsi="Times New Roman"/>
          <w:sz w:val="20"/>
          <w:szCs w:val="20"/>
          <w:b w:val="1"/>
          <w:bCs w:val="1"/>
          <w:color w:val="auto"/>
        </w:rPr>
        <w:t>December 31,</w:t>
      </w:r>
    </w:p>
    <w:tbl>
      <w:tblPr>
        <w:tblLayout w:type="fixed"/>
        <w:tblInd w:w="40" w:type="dxa"/>
        <w:tblCellMar>
          <w:top w:w="0" w:type="dxa"/>
          <w:left w:w="0" w:type="dxa"/>
          <w:bottom w:w="0" w:type="dxa"/>
          <w:right w:w="0" w:type="dxa"/>
        </w:tblCellMar>
      </w:tblPr>
      <w:tr>
        <w:trPr>
          <w:trHeight w:val="260"/>
        </w:trPr>
        <w:tc>
          <w:tcPr>
            <w:tcW w:w="5080" w:type="dxa"/>
            <w:vAlign w:val="bottom"/>
            <w:tcBorders>
              <w:bottom w:val="single" w:sz="8" w:color="E6E6E6"/>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E6E6E6"/>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E6E6E6"/>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50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Current:</w:t>
            </w:r>
          </w:p>
        </w:tc>
        <w:tc>
          <w:tcPr>
            <w:tcW w:w="980" w:type="dxa"/>
            <w:vAlign w:val="bottom"/>
            <w:tcBorders>
              <w:bottom w:val="single" w:sz="8" w:color="E6E6E6"/>
            </w:tcBorders>
            <w:shd w:val="clear" w:color="auto" w:fill="E6E6E6"/>
          </w:tcPr>
          <w:p>
            <w:pPr>
              <w:spacing w:after="0"/>
              <w:rPr>
                <w:sz w:val="22"/>
                <w:szCs w:val="22"/>
                <w:color w:val="auto"/>
              </w:rPr>
            </w:pPr>
          </w:p>
        </w:tc>
        <w:tc>
          <w:tcPr>
            <w:tcW w:w="580" w:type="dxa"/>
            <w:vAlign w:val="bottom"/>
            <w:tcBorders>
              <w:bottom w:val="single" w:sz="8" w:color="E6E6E6"/>
            </w:tcBorders>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10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E6E6E6"/>
            </w:tcBorders>
            <w:shd w:val="clear" w:color="auto" w:fill="E6E6E6"/>
          </w:tcPr>
          <w:p>
            <w:pPr>
              <w:spacing w:after="0"/>
              <w:rPr>
                <w:sz w:val="22"/>
                <w:szCs w:val="22"/>
                <w:color w:val="auto"/>
              </w:rPr>
            </w:pPr>
          </w:p>
        </w:tc>
        <w:tc>
          <w:tcPr>
            <w:tcW w:w="1200" w:type="dxa"/>
            <w:vAlign w:val="bottom"/>
            <w:tcBorders>
              <w:bottom w:val="single" w:sz="8" w:color="E6E6E6"/>
            </w:tcBorders>
            <w:shd w:val="clear" w:color="auto" w:fill="E6E6E6"/>
          </w:tcPr>
          <w:p>
            <w:pPr>
              <w:spacing w:after="0"/>
              <w:rPr>
                <w:sz w:val="22"/>
                <w:szCs w:val="22"/>
                <w:color w:val="auto"/>
              </w:rPr>
            </w:pPr>
          </w:p>
        </w:tc>
      </w:tr>
      <w:tr>
        <w:trPr>
          <w:trHeight w:val="286"/>
        </w:trPr>
        <w:tc>
          <w:tcPr>
            <w:tcW w:w="5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Federal</w:t>
            </w:r>
          </w:p>
        </w:tc>
        <w:tc>
          <w:tcPr>
            <w:tcW w:w="980" w:type="dxa"/>
            <w:vAlign w:val="bottom"/>
          </w:tcPr>
          <w:p>
            <w:pPr>
              <w:jc w:val="right"/>
              <w:ind w:right="722"/>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4"/>
                <w:szCs w:val="24"/>
                <w:color w:val="auto"/>
              </w:rPr>
            </w:pPr>
          </w:p>
        </w:tc>
        <w:tc>
          <w:tcPr>
            <w:tcW w:w="1040" w:type="dxa"/>
            <w:vAlign w:val="bottom"/>
          </w:tcPr>
          <w:p>
            <w:pPr>
              <w:jc w:val="right"/>
              <w:ind w:right="78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440" w:type="dxa"/>
            <w:vAlign w:val="bottom"/>
            <w:gridSpan w:val="2"/>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r>
      <w:tr>
        <w:trPr>
          <w:trHeight w:val="299"/>
        </w:trPr>
        <w:tc>
          <w:tcPr>
            <w:tcW w:w="50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State</w:t>
            </w:r>
          </w:p>
        </w:tc>
        <w:tc>
          <w:tcPr>
            <w:tcW w:w="98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8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86"/>
        </w:trPr>
        <w:tc>
          <w:tcPr>
            <w:tcW w:w="5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Foreign</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79"/>
        </w:trPr>
        <w:tc>
          <w:tcPr>
            <w:tcW w:w="50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Deferred:</w:t>
            </w:r>
          </w:p>
        </w:tc>
        <w:tc>
          <w:tcPr>
            <w:tcW w:w="980" w:type="dxa"/>
            <w:vAlign w:val="bottom"/>
            <w:tcBorders>
              <w:bottom w:val="single" w:sz="8" w:color="E6E6E6"/>
            </w:tcBorders>
            <w:shd w:val="clear" w:color="auto" w:fill="E6E6E6"/>
          </w:tcPr>
          <w:p>
            <w:pPr>
              <w:spacing w:after="0"/>
              <w:rPr>
                <w:sz w:val="24"/>
                <w:szCs w:val="24"/>
                <w:color w:val="auto"/>
              </w:rPr>
            </w:pPr>
          </w:p>
        </w:tc>
        <w:tc>
          <w:tcPr>
            <w:tcW w:w="5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1200" w:type="dxa"/>
            <w:vAlign w:val="bottom"/>
            <w:tcBorders>
              <w:bottom w:val="single" w:sz="8" w:color="E6E6E6"/>
            </w:tcBorders>
            <w:shd w:val="clear" w:color="auto" w:fill="E6E6E6"/>
          </w:tcPr>
          <w:p>
            <w:pPr>
              <w:spacing w:after="0"/>
              <w:rPr>
                <w:sz w:val="24"/>
                <w:szCs w:val="24"/>
                <w:color w:val="auto"/>
              </w:rPr>
            </w:pPr>
          </w:p>
        </w:tc>
      </w:tr>
      <w:tr>
        <w:trPr>
          <w:trHeight w:val="286"/>
        </w:trPr>
        <w:tc>
          <w:tcPr>
            <w:tcW w:w="5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Federal</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r>
      <w:tr>
        <w:trPr>
          <w:trHeight w:val="299"/>
        </w:trPr>
        <w:tc>
          <w:tcPr>
            <w:tcW w:w="50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State</w:t>
            </w:r>
          </w:p>
        </w:tc>
        <w:tc>
          <w:tcPr>
            <w:tcW w:w="98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2"/>
        </w:trPr>
        <w:tc>
          <w:tcPr>
            <w:tcW w:w="508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20"/>
                <w:szCs w:val="20"/>
                <w:color w:val="auto"/>
              </w:rPr>
              <w:t>Foreign</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Borders>
              <w:bottom w:val="single" w:sz="8" w:color="E6E6E6"/>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92"/>
        </w:trPr>
        <w:tc>
          <w:tcPr>
            <w:tcW w:w="50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980" w:type="dxa"/>
            <w:vAlign w:val="bottom"/>
            <w:tcBorders>
              <w:bottom w:val="single" w:sz="8" w:color="auto"/>
            </w:tcBorders>
            <w:shd w:val="clear" w:color="auto" w:fill="E6E6E6"/>
          </w:tcPr>
          <w:p>
            <w:pPr>
              <w:jc w:val="right"/>
              <w:ind w:right="722"/>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5"/>
              </w:rPr>
              <w:t>(109.2)</w:t>
            </w:r>
          </w:p>
        </w:tc>
        <w:tc>
          <w:tcPr>
            <w:tcW w:w="8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ind w:right="78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-1714500</wp:posOffset>
            </wp:positionV>
            <wp:extent cx="3123565" cy="4953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31">
                      <a:extLst>
                        <a:ext uri="{28A0092B-C50C-407E-A947-70E740481C1C}"/>
                      </a:extLst>
                    </a:blip>
                    <a:srcRect/>
                    <a:stretch>
                      <a:fillRect/>
                    </a:stretch>
                  </pic:blipFill>
                  <pic:spPr bwMode="auto">
                    <a:xfrm>
                      <a:off x="0" y="0"/>
                      <a:ext cx="3123565" cy="4953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-228600</wp:posOffset>
            </wp:positionV>
            <wp:extent cx="3123565" cy="4953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32">
                      <a:extLst>
                        <a:ext uri="{28A0092B-C50C-407E-A947-70E740481C1C}"/>
                      </a:extLst>
                    </a:blip>
                    <a:srcRect/>
                    <a:stretch>
                      <a:fillRect/>
                    </a:stretch>
                  </pic:blipFill>
                  <pic:spPr bwMode="auto">
                    <a:xfrm>
                      <a:off x="0" y="0"/>
                      <a:ext cx="3123565" cy="4953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-55245</wp:posOffset>
            </wp:positionV>
            <wp:extent cx="3123565" cy="7429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33">
                      <a:extLst>
                        <a:ext uri="{28A0092B-C50C-407E-A947-70E740481C1C}"/>
                      </a:extLst>
                    </a:blip>
                    <a:srcRect/>
                    <a:stretch>
                      <a:fillRect/>
                    </a:stretch>
                  </pic:blipFill>
                  <pic:spPr bwMode="auto">
                    <a:xfrm>
                      <a:off x="0" y="0"/>
                      <a:ext cx="3123565" cy="74295"/>
                    </a:xfrm>
                    <a:prstGeom prst="rect">
                      <a:avLst/>
                    </a:prstGeom>
                    <a:noFill/>
                  </pic:spPr>
                </pic:pic>
              </a:graphicData>
            </a:graphic>
          </wp:anchor>
        </w:drawing>
      </w:r>
    </w:p>
    <w:p>
      <w:pPr>
        <w:spacing w:after="0" w:line="221" w:lineRule="exact"/>
        <w:rPr>
          <w:sz w:val="20"/>
          <w:szCs w:val="20"/>
          <w:color w:val="auto"/>
        </w:rPr>
      </w:pPr>
    </w:p>
    <w:p>
      <w:pPr>
        <w:ind w:right="20" w:firstLine="702"/>
        <w:spacing w:after="0" w:line="249" w:lineRule="auto"/>
        <w:rPr>
          <w:sz w:val="20"/>
          <w:szCs w:val="20"/>
          <w:color w:val="auto"/>
        </w:rPr>
      </w:pPr>
      <w:r>
        <w:rPr>
          <w:rFonts w:ascii="Times New Roman" w:cs="Times New Roman" w:eastAsia="Times New Roman" w:hAnsi="Times New Roman"/>
          <w:sz w:val="20"/>
          <w:szCs w:val="20"/>
          <w:color w:val="auto"/>
        </w:rPr>
        <w:t>On July 4, 2025, the OBBBA was enacted in the U.S. The OBBBA includes significant provisions, such as the permanent extension of certain expiring provisions of the TCJA, modifications to the international tax framework, and the restoration of favorable tax treatment for certain business provisions. The legislation reduced U.S. cash tax payments in 2025, but increased tax expense, primarily due to the reinstatement of immediate expensing for U.S. research expenditures, which decreased GILTI, eliminated the foreign-derived intangible income ("FDII") benefit, and lowered taxable income which limited the availability of certain credits.</w:t>
      </w:r>
    </w:p>
    <w:p>
      <w:pPr>
        <w:sectPr>
          <w:pgSz w:w="11880" w:h="15480" w:orient="portrait"/>
          <w:cols w:equalWidth="0" w:num="1">
            <w:col w:w="9980"/>
          </w:cols>
          <w:pgMar w:left="940" w:top="35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880" w:h="15480" w:orient="portrait"/>
          <w:cols w:equalWidth="0" w:num="1">
            <w:col w:w="9980"/>
          </w:cols>
          <w:pgMar w:left="940" w:top="352" w:right="960" w:bottom="0" w:gutter="0" w:footer="0" w:header="0"/>
          <w:type w:val="continuous"/>
        </w:sectPr>
      </w:pPr>
    </w:p>
    <w:bookmarkStart w:id="206" w:name="page207"/>
    <w:bookmarkEnd w:id="206"/>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00" w:lineRule="exact"/>
        <w:rPr>
          <w:sz w:val="20"/>
          <w:szCs w:val="20"/>
          <w:color w:val="auto"/>
        </w:rPr>
      </w:pPr>
    </w:p>
    <w:p>
      <w:pPr>
        <w:spacing w:after="0" w:line="217" w:lineRule="exact"/>
        <w:rPr>
          <w:sz w:val="20"/>
          <w:szCs w:val="20"/>
          <w:color w:val="auto"/>
        </w:rPr>
      </w:pPr>
    </w:p>
    <w:p>
      <w:pPr>
        <w:ind w:left="2" w:right="60" w:firstLine="526"/>
        <w:spacing w:after="0" w:line="269" w:lineRule="auto"/>
        <w:rPr>
          <w:sz w:val="20"/>
          <w:szCs w:val="20"/>
          <w:color w:val="auto"/>
        </w:rPr>
      </w:pPr>
      <w:r>
        <w:rPr>
          <w:rFonts w:ascii="Times New Roman" w:cs="Times New Roman" w:eastAsia="Times New Roman" w:hAnsi="Times New Roman"/>
          <w:sz w:val="20"/>
          <w:szCs w:val="20"/>
          <w:color w:val="auto"/>
        </w:rPr>
        <w:t>A reconciliation of income taxes at the statutory federal income tax rate to the provision for income taxes included in the accompanying consolidated statements of operations is as follows:</w:t>
      </w:r>
    </w:p>
    <w:p>
      <w:pPr>
        <w:spacing w:after="0" w:line="258" w:lineRule="exact"/>
        <w:rPr>
          <w:sz w:val="20"/>
          <w:szCs w:val="20"/>
          <w:color w:val="auto"/>
        </w:rPr>
      </w:pPr>
    </w:p>
    <w:p>
      <w:pPr>
        <w:ind w:left="6942"/>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6882"/>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3101975</wp:posOffset>
                </wp:positionH>
                <wp:positionV relativeFrom="paragraph">
                  <wp:posOffset>26035</wp:posOffset>
                </wp:positionV>
                <wp:extent cx="3250565" cy="0"/>
                <wp:wrapNone/>
                <wp:docPr id="685" name="Shape 6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056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685" o:spid="_x0000_s17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25pt,2.05pt" to="500.2pt,2.05pt" o:allowincell="f" strokecolor="#000000" strokeweight="0.975pt"/>
            </w:pict>
          </mc:Fallback>
        </mc:AlternateContent>
      </w:r>
    </w:p>
    <w:p>
      <w:pPr>
        <w:spacing w:after="0" w:line="57" w:lineRule="exact"/>
        <w:rPr>
          <w:sz w:val="20"/>
          <w:szCs w:val="20"/>
          <w:color w:val="auto"/>
        </w:rPr>
      </w:pPr>
    </w:p>
    <w:tbl>
      <w:tblPr>
        <w:tblLayout w:type="fixed"/>
        <w:tblInd w:w="2" w:type="dxa"/>
        <w:tblCellMar>
          <w:top w:w="0" w:type="dxa"/>
          <w:left w:w="0" w:type="dxa"/>
          <w:bottom w:w="0" w:type="dxa"/>
          <w:right w:w="0" w:type="dxa"/>
        </w:tblCellMar>
      </w:tblPr>
      <w:tr>
        <w:trPr>
          <w:trHeight w:val="261"/>
        </w:trPr>
        <w:tc>
          <w:tcPr>
            <w:tcW w:w="4880" w:type="dxa"/>
            <w:vAlign w:val="bottom"/>
          </w:tcPr>
          <w:p>
            <w:pPr>
              <w:spacing w:after="0"/>
              <w:rPr>
                <w:sz w:val="22"/>
                <w:szCs w:val="22"/>
                <w:color w:val="auto"/>
              </w:rPr>
            </w:pPr>
          </w:p>
        </w:tc>
        <w:tc>
          <w:tcPr>
            <w:tcW w:w="1460" w:type="dxa"/>
            <w:vAlign w:val="bottom"/>
            <w:gridSpan w:val="3"/>
          </w:tcPr>
          <w:p>
            <w:pPr>
              <w:jc w:val="right"/>
              <w:ind w:right="322"/>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3"/>
          </w:tcPr>
          <w:p>
            <w:pPr>
              <w:jc w:val="right"/>
              <w:ind w:right="5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720" w:type="dxa"/>
            <w:vAlign w:val="bottom"/>
            <w:gridSpan w:val="4"/>
          </w:tcPr>
          <w:p>
            <w:pPr>
              <w:jc w:val="right"/>
              <w:ind w:right="542"/>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87"/>
        </w:trPr>
        <w:tc>
          <w:tcPr>
            <w:tcW w:w="4880" w:type="dxa"/>
            <w:vAlign w:val="bottom"/>
            <w:tcBorders>
              <w:bottom w:val="single" w:sz="8" w:color="E6E6E6"/>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40" w:type="dxa"/>
            <w:vAlign w:val="bottom"/>
            <w:tcBorders>
              <w:bottom w:val="single" w:sz="8" w:color="E6E6E6"/>
            </w:tcBorders>
          </w:tcPr>
          <w:p>
            <w:pPr>
              <w:spacing w:after="0"/>
              <w:rPr>
                <w:sz w:val="24"/>
                <w:szCs w:val="24"/>
                <w:color w:val="auto"/>
              </w:rPr>
            </w:pPr>
          </w:p>
        </w:tc>
        <w:tc>
          <w:tcPr>
            <w:tcW w:w="8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60" w:type="dxa"/>
            <w:vAlign w:val="bottom"/>
            <w:tcBorders>
              <w:bottom w:val="single" w:sz="8" w:color="E6E6E6"/>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0" w:type="dxa"/>
            <w:vAlign w:val="bottom"/>
          </w:tcPr>
          <w:p>
            <w:pPr>
              <w:spacing w:after="0"/>
              <w:rPr>
                <w:sz w:val="1"/>
                <w:szCs w:val="1"/>
                <w:color w:val="auto"/>
              </w:rPr>
            </w:pPr>
          </w:p>
        </w:tc>
      </w:tr>
      <w:tr>
        <w:trPr>
          <w:trHeight w:val="268"/>
        </w:trPr>
        <w:tc>
          <w:tcPr>
            <w:tcW w:w="48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 (129.7)</w:t>
            </w:r>
          </w:p>
        </w:tc>
        <w:tc>
          <w:tcPr>
            <w:tcW w:w="6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(107.1)</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 (116.4)</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271"/>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State and local income taxes, net of federal benefit </w:t>
            </w:r>
            <w:r>
              <w:rPr>
                <w:rFonts w:ascii="Times New Roman" w:cs="Times New Roman" w:eastAsia="Times New Roman" w:hAnsi="Times New Roman"/>
                <w:sz w:val="12"/>
                <w:szCs w:val="12"/>
                <w:color w:val="auto"/>
              </w:rPr>
              <w:t>(1)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0" w:type="dxa"/>
            <w:vAlign w:val="bottom"/>
          </w:tcPr>
          <w:p>
            <w:pPr>
              <w:spacing w:after="0"/>
              <w:rPr>
                <w:sz w:val="1"/>
                <w:szCs w:val="1"/>
                <w:color w:val="auto"/>
              </w:rPr>
            </w:pPr>
          </w:p>
        </w:tc>
      </w:tr>
      <w:tr>
        <w:trPr>
          <w:trHeight w:val="284"/>
        </w:trPr>
        <w:tc>
          <w:tcPr>
            <w:tcW w:w="48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Foreign tax effects</w:t>
            </w: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Ireland</w:t>
            </w: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880" w:type="dxa"/>
            <w:vAlign w:val="bottom"/>
            <w:shd w:val="clear" w:color="auto" w:fill="E6E6E6"/>
          </w:tcPr>
          <w:p>
            <w:pPr>
              <w:ind w:left="640"/>
              <w:spacing w:after="0" w:line="194" w:lineRule="exact"/>
              <w:rPr>
                <w:sz w:val="20"/>
                <w:szCs w:val="20"/>
                <w:color w:val="auto"/>
              </w:rPr>
            </w:pPr>
            <w:r>
              <w:rPr>
                <w:rFonts w:ascii="Times New Roman" w:cs="Times New Roman" w:eastAsia="Times New Roman" w:hAnsi="Times New Roman"/>
                <w:sz w:val="20"/>
                <w:szCs w:val="20"/>
                <w:color w:val="auto"/>
              </w:rPr>
              <w:t>Statutory tax rate difference between Ireland and</w:t>
            </w:r>
          </w:p>
        </w:tc>
        <w:tc>
          <w:tcPr>
            <w:tcW w:w="8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880" w:type="dxa"/>
            <w:vAlign w:val="bottom"/>
            <w:gridSpan w:val="3"/>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6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86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6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86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66"/>
        </w:trPr>
        <w:tc>
          <w:tcPr>
            <w:tcW w:w="4880" w:type="dxa"/>
            <w:vAlign w:val="bottom"/>
            <w:shd w:val="clear" w:color="auto" w:fill="E6E6E6"/>
          </w:tcPr>
          <w:p>
            <w:pPr>
              <w:ind w:left="640"/>
              <w:spacing w:after="0"/>
              <w:rPr>
                <w:sz w:val="20"/>
                <w:szCs w:val="20"/>
                <w:color w:val="auto"/>
              </w:rPr>
            </w:pPr>
            <w:r>
              <w:rPr>
                <w:rFonts w:ascii="Times New Roman" w:cs="Times New Roman" w:eastAsia="Times New Roman" w:hAnsi="Times New Roman"/>
                <w:sz w:val="20"/>
                <w:szCs w:val="20"/>
                <w:color w:val="auto"/>
              </w:rPr>
              <w:t>the U.S.</w:t>
            </w:r>
          </w:p>
        </w:tc>
        <w:tc>
          <w:tcPr>
            <w:tcW w:w="800" w:type="dxa"/>
            <w:vAlign w:val="bottom"/>
            <w:vMerge w:val="continue"/>
            <w:shd w:val="clear" w:color="auto" w:fill="E6E6E6"/>
          </w:tcPr>
          <w:p>
            <w:pPr>
              <w:spacing w:after="0"/>
              <w:rPr>
                <w:sz w:val="23"/>
                <w:szCs w:val="23"/>
                <w:color w:val="auto"/>
              </w:rPr>
            </w:pPr>
          </w:p>
        </w:tc>
        <w:tc>
          <w:tcPr>
            <w:tcW w:w="880" w:type="dxa"/>
            <w:vAlign w:val="bottom"/>
            <w:gridSpan w:val="3"/>
            <w:vMerge w:val="continue"/>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620" w:type="dxa"/>
            <w:vAlign w:val="bottom"/>
            <w:vMerge w:val="continue"/>
            <w:shd w:val="clear" w:color="auto" w:fill="E6E6E6"/>
          </w:tcPr>
          <w:p>
            <w:pPr>
              <w:spacing w:after="0"/>
              <w:rPr>
                <w:sz w:val="23"/>
                <w:szCs w:val="23"/>
                <w:color w:val="auto"/>
              </w:rPr>
            </w:pPr>
          </w:p>
        </w:tc>
        <w:tc>
          <w:tcPr>
            <w:tcW w:w="860" w:type="dxa"/>
            <w:vAlign w:val="bottom"/>
            <w:gridSpan w:val="2"/>
            <w:vMerge w:val="continue"/>
            <w:shd w:val="clear" w:color="auto" w:fill="E6E6E6"/>
          </w:tcPr>
          <w:p>
            <w:pPr>
              <w:spacing w:after="0"/>
              <w:rPr>
                <w:sz w:val="23"/>
                <w:szCs w:val="23"/>
                <w:color w:val="auto"/>
              </w:rPr>
            </w:pPr>
          </w:p>
        </w:tc>
        <w:tc>
          <w:tcPr>
            <w:tcW w:w="860" w:type="dxa"/>
            <w:vAlign w:val="bottom"/>
            <w:gridSpan w:val="2"/>
            <w:vMerge w:val="continue"/>
            <w:shd w:val="clear" w:color="auto" w:fill="E6E6E6"/>
          </w:tcPr>
          <w:p>
            <w:pPr>
              <w:spacing w:after="0"/>
              <w:rPr>
                <w:sz w:val="23"/>
                <w:szCs w:val="23"/>
                <w:color w:val="auto"/>
              </w:rPr>
            </w:pPr>
          </w:p>
        </w:tc>
        <w:tc>
          <w:tcPr>
            <w:tcW w:w="860" w:type="dxa"/>
            <w:vAlign w:val="bottom"/>
            <w:gridSpan w:val="2"/>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8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Other</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0" w:type="dxa"/>
            <w:vAlign w:val="bottom"/>
          </w:tcPr>
          <w:p>
            <w:pPr>
              <w:spacing w:after="0"/>
              <w:rPr>
                <w:sz w:val="1"/>
                <w:szCs w:val="1"/>
                <w:color w:val="auto"/>
              </w:rPr>
            </w:pPr>
          </w:p>
        </w:tc>
      </w:tr>
      <w:tr>
        <w:trPr>
          <w:trHeight w:val="284"/>
        </w:trPr>
        <w:tc>
          <w:tcPr>
            <w:tcW w:w="48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6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0.8 %</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71"/>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8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Global intangible low-taxed income</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6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2.8 %</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6.9 %</w:t>
            </w:r>
          </w:p>
        </w:tc>
        <w:tc>
          <w:tcPr>
            <w:tcW w:w="0" w:type="dxa"/>
            <w:vAlign w:val="bottom"/>
          </w:tcPr>
          <w:p>
            <w:pPr>
              <w:spacing w:after="0"/>
              <w:rPr>
                <w:sz w:val="1"/>
                <w:szCs w:val="1"/>
                <w:color w:val="auto"/>
              </w:rPr>
            </w:pPr>
          </w:p>
        </w:tc>
      </w:tr>
      <w:tr>
        <w:trPr>
          <w:trHeight w:val="271"/>
        </w:trPr>
        <w:tc>
          <w:tcPr>
            <w:tcW w:w="4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Foreign-derived intangible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84"/>
        </w:trPr>
        <w:tc>
          <w:tcPr>
            <w:tcW w:w="48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71"/>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84"/>
        </w:trPr>
        <w:tc>
          <w:tcPr>
            <w:tcW w:w="48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84"/>
        </w:trPr>
        <w:tc>
          <w:tcPr>
            <w:tcW w:w="48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Non-deductible compensation</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71"/>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0.3 %</w:t>
            </w:r>
          </w:p>
        </w:tc>
        <w:tc>
          <w:tcPr>
            <w:tcW w:w="0" w:type="dxa"/>
            <w:vAlign w:val="bottom"/>
          </w:tcPr>
          <w:p>
            <w:pPr>
              <w:spacing w:after="0"/>
              <w:rPr>
                <w:sz w:val="1"/>
                <w:szCs w:val="1"/>
                <w:color w:val="auto"/>
              </w:rPr>
            </w:pPr>
          </w:p>
        </w:tc>
      </w:tr>
      <w:tr>
        <w:trPr>
          <w:trHeight w:val="293"/>
        </w:trPr>
        <w:tc>
          <w:tcPr>
            <w:tcW w:w="48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Other adjustments</w:t>
            </w: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4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20"/>
        </w:trPr>
        <w:tc>
          <w:tcPr>
            <w:tcW w:w="488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auto"/>
              </w:rPr>
              <w:t>Provision for income taxes</w:t>
            </w: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 (109.2)</w:t>
            </w:r>
          </w:p>
        </w:tc>
        <w:tc>
          <w:tcPr>
            <w:tcW w:w="88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17.7 %</w:t>
            </w:r>
          </w:p>
        </w:tc>
        <w:tc>
          <w:tcPr>
            <w:tcW w:w="24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(57.5)</w:t>
            </w:r>
          </w:p>
        </w:tc>
        <w:tc>
          <w:tcPr>
            <w:tcW w:w="8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11.3 %</w:t>
            </w:r>
          </w:p>
        </w:tc>
        <w:tc>
          <w:tcPr>
            <w:tcW w:w="8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 (100.8)</w:t>
            </w:r>
          </w:p>
        </w:tc>
        <w:tc>
          <w:tcPr>
            <w:tcW w:w="8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18.2 %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-3330575</wp:posOffset>
            </wp:positionV>
            <wp:extent cx="3300095" cy="4953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34">
                      <a:extLst>
                        <a:ext uri="{28A0092B-C50C-407E-A947-70E740481C1C}"/>
                      </a:extLst>
                    </a:blip>
                    <a:srcRect/>
                    <a:stretch>
                      <a:fillRect/>
                    </a:stretch>
                  </pic:blipFill>
                  <pic:spPr bwMode="auto">
                    <a:xfrm>
                      <a:off x="0" y="0"/>
                      <a:ext cx="3300095" cy="49530"/>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-219075</wp:posOffset>
            </wp:positionV>
            <wp:extent cx="3300095" cy="4953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235">
                      <a:extLst>
                        <a:ext uri="{28A0092B-C50C-407E-A947-70E740481C1C}"/>
                      </a:extLst>
                    </a:blip>
                    <a:srcRect/>
                    <a:stretch>
                      <a:fillRect/>
                    </a:stretch>
                  </pic:blipFill>
                  <pic:spPr bwMode="auto">
                    <a:xfrm>
                      <a:off x="0" y="0"/>
                      <a:ext cx="3300095" cy="4953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-55245</wp:posOffset>
            </wp:positionV>
            <wp:extent cx="2752090" cy="7429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36">
                      <a:extLst>
                        <a:ext uri="{28A0092B-C50C-407E-A947-70E740481C1C}"/>
                      </a:extLst>
                    </a:blip>
                    <a:srcRect/>
                    <a:stretch>
                      <a:fillRect/>
                    </a:stretch>
                  </pic:blipFill>
                  <pic:spPr bwMode="auto">
                    <a:xfrm>
                      <a:off x="0" y="0"/>
                      <a:ext cx="2752090" cy="74295"/>
                    </a:xfrm>
                    <a:prstGeom prst="rect">
                      <a:avLst/>
                    </a:prstGeom>
                    <a:noFill/>
                  </pic:spPr>
                </pic:pic>
              </a:graphicData>
            </a:graphic>
          </wp:anchor>
        </w:drawing>
      </w:r>
    </w:p>
    <w:p>
      <w:pPr>
        <w:ind w:left="2" w:right="220" w:hanging="2"/>
        <w:spacing w:after="0" w:line="298" w:lineRule="auto"/>
        <w:tabs>
          <w:tab w:leader="none" w:pos="181"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states that contribute to the majority (greater than 50%) of the tax effect in this category include Georgia, Illinois, New Jersey, New York, Tennessee, Wisconsin for 2025, Florida, Georgia, Illinois, Maryland, New Jersey, New York, New York City, Virginia for 2024, and Florida, Georgia, Massachusetts, New York, New York City, Pennsylvania, Virginia for 2023.</w:t>
      </w:r>
    </w:p>
    <w:p>
      <w:pPr>
        <w:spacing w:after="0" w:line="165"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20"/>
          <w:szCs w:val="20"/>
          <w:color w:val="auto"/>
        </w:rPr>
        <w:t>Cash paid for income taxes (net of refunds) consisted of the following:</w:t>
      </w:r>
    </w:p>
    <w:p>
      <w:pPr>
        <w:spacing w:after="0" w:line="101" w:lineRule="exact"/>
        <w:rPr>
          <w:sz w:val="20"/>
          <w:szCs w:val="20"/>
          <w:color w:val="auto"/>
        </w:rPr>
      </w:pPr>
    </w:p>
    <w:tbl>
      <w:tblPr>
        <w:tblLayout w:type="fixed"/>
        <w:tblInd w:w="2" w:type="dxa"/>
        <w:tblCellMar>
          <w:top w:w="0" w:type="dxa"/>
          <w:left w:w="0" w:type="dxa"/>
          <w:bottom w:w="0" w:type="dxa"/>
          <w:right w:w="0" w:type="dxa"/>
        </w:tblCellMar>
      </w:tblPr>
      <w:tr>
        <w:trPr>
          <w:trHeight w:val="261"/>
        </w:trPr>
        <w:tc>
          <w:tcPr>
            <w:tcW w:w="55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20"/>
                <w:szCs w:val="20"/>
                <w:b w:val="1"/>
                <w:bCs w:val="1"/>
                <w:color w:val="auto"/>
                <w:w w:val="96"/>
              </w:rPr>
              <w:t>As of December 31,</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87"/>
        </w:trPr>
        <w:tc>
          <w:tcPr>
            <w:tcW w:w="5520" w:type="dxa"/>
            <w:vAlign w:val="bottom"/>
            <w:tcBorders>
              <w:bottom w:val="single" w:sz="8" w:color="E6E6E6"/>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97"/>
        </w:trPr>
        <w:tc>
          <w:tcPr>
            <w:tcW w:w="552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960" w:type="dxa"/>
            <w:vAlign w:val="bottom"/>
            <w:shd w:val="clear" w:color="auto" w:fill="E6E6E6"/>
          </w:tcPr>
          <w:p>
            <w:pPr>
              <w:jc w:val="right"/>
              <w:ind w:right="722"/>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440" w:type="dxa"/>
            <w:vAlign w:val="bottom"/>
            <w:gridSpan w:val="3"/>
            <w:shd w:val="clear" w:color="auto" w:fill="E6E6E6"/>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102"/>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39.9</w:t>
            </w:r>
          </w:p>
        </w:tc>
      </w:tr>
      <w:tr>
        <w:trPr>
          <w:trHeight w:val="301"/>
        </w:trPr>
        <w:tc>
          <w:tcPr>
            <w:tcW w:w="5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9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r>
      <w:tr>
        <w:trPr>
          <w:trHeight w:val="314"/>
        </w:trPr>
        <w:tc>
          <w:tcPr>
            <w:tcW w:w="552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Foreign</w:t>
            </w:r>
          </w:p>
        </w:tc>
        <w:tc>
          <w:tcPr>
            <w:tcW w:w="96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r>
      <w:tr>
        <w:trPr>
          <w:trHeight w:val="301"/>
        </w:trPr>
        <w:tc>
          <w:tcPr>
            <w:tcW w:w="5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Ireland</w:t>
            </w:r>
          </w:p>
        </w:tc>
        <w:tc>
          <w:tcPr>
            <w:tcW w:w="9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03"/>
        </w:trPr>
        <w:tc>
          <w:tcPr>
            <w:tcW w:w="5520" w:type="dxa"/>
            <w:vAlign w:val="bottom"/>
            <w:tcBorders>
              <w:bottom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 Foreign</w:t>
            </w:r>
          </w:p>
        </w:tc>
        <w:tc>
          <w:tcPr>
            <w:tcW w:w="960" w:type="dxa"/>
            <w:vAlign w:val="bottom"/>
            <w:tcBorders>
              <w:bottom w:val="single" w:sz="8" w:color="auto"/>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4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07"/>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paid for income taxes (net of refunds)</w:t>
            </w:r>
          </w:p>
        </w:tc>
        <w:tc>
          <w:tcPr>
            <w:tcW w:w="96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-1212850</wp:posOffset>
            </wp:positionV>
            <wp:extent cx="2900680" cy="4953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237">
                      <a:extLst>
                        <a:ext uri="{28A0092B-C50C-407E-A947-70E740481C1C}"/>
                      </a:extLst>
                    </a:blip>
                    <a:srcRect/>
                    <a:stretch>
                      <a:fillRect/>
                    </a:stretch>
                  </pic:blipFill>
                  <pic:spPr bwMode="auto">
                    <a:xfrm>
                      <a:off x="0" y="0"/>
                      <a:ext cx="2900680" cy="4953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-237490</wp:posOffset>
            </wp:positionV>
            <wp:extent cx="2900680" cy="4953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38">
                      <a:extLst>
                        <a:ext uri="{28A0092B-C50C-407E-A947-70E740481C1C}"/>
                      </a:extLst>
                    </a:blip>
                    <a:srcRect/>
                    <a:stretch>
                      <a:fillRect/>
                    </a:stretch>
                  </pic:blipFill>
                  <pic:spPr bwMode="auto">
                    <a:xfrm>
                      <a:off x="0" y="0"/>
                      <a:ext cx="2900680" cy="4953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-55245</wp:posOffset>
            </wp:positionV>
            <wp:extent cx="2900680" cy="7429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39">
                      <a:extLst>
                        <a:ext uri="{28A0092B-C50C-407E-A947-70E740481C1C}"/>
                      </a:extLst>
                    </a:blip>
                    <a:srcRect/>
                    <a:stretch>
                      <a:fillRect/>
                    </a:stretch>
                  </pic:blipFill>
                  <pic:spPr bwMode="auto">
                    <a:xfrm>
                      <a:off x="0" y="0"/>
                      <a:ext cx="2900680" cy="74295"/>
                    </a:xfrm>
                    <a:prstGeom prst="rect">
                      <a:avLst/>
                    </a:prstGeom>
                    <a:noFill/>
                  </pic:spPr>
                </pic:pic>
              </a:graphicData>
            </a:graphic>
          </wp:anchor>
        </w:drawing>
      </w:r>
    </w:p>
    <w:p>
      <w:pPr>
        <w:sectPr>
          <w:pgSz w:w="11880" w:h="15480" w:orient="portrait"/>
          <w:cols w:equalWidth="0" w:num="1">
            <w:col w:w="10002"/>
          </w:cols>
          <w:pgMar w:left="938"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105</w:t>
      </w:r>
    </w:p>
    <w:p>
      <w:pPr>
        <w:sectPr>
          <w:pgSz w:w="11880" w:h="15480" w:orient="portrait"/>
          <w:cols w:equalWidth="0" w:num="1">
            <w:col w:w="10002"/>
          </w:cols>
          <w:pgMar w:left="938" w:top="352" w:right="940" w:bottom="0" w:gutter="0" w:footer="0" w:header="0"/>
          <w:type w:val="continuous"/>
        </w:sectPr>
      </w:pPr>
    </w:p>
    <w:bookmarkStart w:id="207" w:name="page208"/>
    <w:bookmarkEnd w:id="20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182" w:lineRule="exact"/>
        <w:rPr>
          <w:sz w:val="20"/>
          <w:szCs w:val="20"/>
          <w:color w:val="auto"/>
        </w:rPr>
      </w:pPr>
    </w:p>
    <w:p>
      <w:pPr>
        <w:ind w:right="80" w:firstLine="483"/>
        <w:spacing w:after="0" w:line="269" w:lineRule="auto"/>
        <w:rPr>
          <w:sz w:val="20"/>
          <w:szCs w:val="20"/>
          <w:color w:val="auto"/>
        </w:rPr>
      </w:pPr>
      <w:r>
        <w:rPr>
          <w:rFonts w:ascii="Times New Roman" w:cs="Times New Roman" w:eastAsia="Times New Roman" w:hAnsi="Times New Roman"/>
          <w:sz w:val="20"/>
          <w:szCs w:val="20"/>
          <w:color w:val="auto"/>
        </w:rPr>
        <w:t>The significant components of the Company’s deferred tax assets and liabilities as of December 31, 2025 and 2024 were as follows: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6520" w:type="dxa"/>
            <w:vAlign w:val="bottom"/>
          </w:tcPr>
          <w:p>
            <w:pPr>
              <w:spacing w:after="0"/>
              <w:rPr>
                <w:sz w:val="22"/>
                <w:szCs w:val="22"/>
                <w:color w:val="auto"/>
              </w:rPr>
            </w:pPr>
          </w:p>
        </w:tc>
        <w:tc>
          <w:tcPr>
            <w:tcW w:w="28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600" w:type="dxa"/>
            <w:vAlign w:val="bottom"/>
            <w:tcBorders>
              <w:bottom w:val="single" w:sz="8" w:color="auto"/>
            </w:tcBorders>
          </w:tcPr>
          <w:p>
            <w:pPr>
              <w:spacing w:after="0"/>
              <w:rPr>
                <w:sz w:val="22"/>
                <w:szCs w:val="22"/>
                <w:color w:val="auto"/>
              </w:rPr>
            </w:pPr>
          </w:p>
        </w:tc>
      </w:tr>
      <w:tr>
        <w:trPr>
          <w:trHeight w:val="229"/>
        </w:trPr>
        <w:tc>
          <w:tcPr>
            <w:tcW w:w="6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0" w:type="dxa"/>
            <w:vAlign w:val="bottom"/>
          </w:tcPr>
          <w:p>
            <w:pPr>
              <w:spacing w:after="0"/>
              <w:rPr>
                <w:sz w:val="19"/>
                <w:szCs w:val="19"/>
                <w:color w:val="auto"/>
              </w:rPr>
            </w:pPr>
          </w:p>
        </w:tc>
      </w:tr>
      <w:tr>
        <w:trPr>
          <w:trHeight w:val="262"/>
        </w:trPr>
        <w:tc>
          <w:tcPr>
            <w:tcW w:w="6520" w:type="dxa"/>
            <w:vAlign w:val="bottom"/>
            <w:tcBorders>
              <w:top w:val="single" w:sz="8" w:color="E6E6E6"/>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Deferred tax assets:</w:t>
            </w:r>
          </w:p>
        </w:tc>
        <w:tc>
          <w:tcPr>
            <w:tcW w:w="1040" w:type="dxa"/>
            <w:vAlign w:val="bottom"/>
            <w:tcBorders>
              <w:top w:val="single" w:sz="8" w:color="auto"/>
              <w:bottom w:val="single" w:sz="8" w:color="E6E6E6"/>
            </w:tcBorders>
            <w:shd w:val="clear" w:color="auto" w:fill="E6E6E6"/>
          </w:tcPr>
          <w:p>
            <w:pPr>
              <w:spacing w:after="0"/>
              <w:rPr>
                <w:sz w:val="22"/>
                <w:szCs w:val="22"/>
                <w:color w:val="auto"/>
              </w:rPr>
            </w:pPr>
          </w:p>
        </w:tc>
        <w:tc>
          <w:tcPr>
            <w:tcW w:w="62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080" w:type="dxa"/>
            <w:vAlign w:val="bottom"/>
            <w:tcBorders>
              <w:top w:val="single" w:sz="8" w:color="auto"/>
              <w:bottom w:val="single" w:sz="8" w:color="E6E6E6"/>
            </w:tcBorders>
            <w:shd w:val="clear" w:color="auto" w:fill="E6E6E6"/>
          </w:tcPr>
          <w:p>
            <w:pPr>
              <w:spacing w:after="0"/>
              <w:rPr>
                <w:sz w:val="22"/>
                <w:szCs w:val="22"/>
                <w:color w:val="auto"/>
              </w:rPr>
            </w:pPr>
          </w:p>
        </w:tc>
        <w:tc>
          <w:tcPr>
            <w:tcW w:w="600" w:type="dxa"/>
            <w:vAlign w:val="bottom"/>
            <w:tcBorders>
              <w:top w:val="single" w:sz="8" w:color="auto"/>
              <w:bottom w:val="single" w:sz="8" w:color="E6E6E6"/>
            </w:tcBorders>
            <w:shd w:val="clear" w:color="auto" w:fill="E6E6E6"/>
          </w:tcPr>
          <w:p>
            <w:pPr>
              <w:spacing w:after="0"/>
              <w:rPr>
                <w:sz w:val="22"/>
                <w:szCs w:val="22"/>
                <w:color w:val="auto"/>
              </w:rPr>
            </w:pPr>
          </w:p>
        </w:tc>
      </w:tr>
      <w:tr>
        <w:trPr>
          <w:trHeight w:val="286"/>
        </w:trPr>
        <w:tc>
          <w:tcPr>
            <w:tcW w:w="6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040" w:type="dxa"/>
            <w:vAlign w:val="bottom"/>
          </w:tcPr>
          <w:p>
            <w:pPr>
              <w:jc w:val="right"/>
              <w:ind w:right="80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114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r>
      <w:tr>
        <w:trPr>
          <w:trHeight w:val="299"/>
        </w:trPr>
        <w:tc>
          <w:tcPr>
            <w:tcW w:w="65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Research credit carryforwards</w:t>
            </w:r>
          </w:p>
        </w:tc>
        <w:tc>
          <w:tcPr>
            <w:tcW w:w="104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220.1</w:t>
            </w:r>
          </w:p>
        </w:tc>
        <w:tc>
          <w:tcPr>
            <w:tcW w:w="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194.9</w:t>
            </w:r>
          </w:p>
        </w:tc>
      </w:tr>
      <w:tr>
        <w:trPr>
          <w:trHeight w:val="286"/>
        </w:trPr>
        <w:tc>
          <w:tcPr>
            <w:tcW w:w="6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0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r>
      <w:tr>
        <w:trPr>
          <w:trHeight w:val="299"/>
        </w:trPr>
        <w:tc>
          <w:tcPr>
            <w:tcW w:w="65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Accruals and reserves</w:t>
            </w:r>
          </w:p>
        </w:tc>
        <w:tc>
          <w:tcPr>
            <w:tcW w:w="104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25.9</w:t>
            </w:r>
          </w:p>
        </w:tc>
      </w:tr>
      <w:tr>
        <w:trPr>
          <w:trHeight w:val="286"/>
        </w:trPr>
        <w:tc>
          <w:tcPr>
            <w:tcW w:w="6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Lease liability</w:t>
            </w:r>
          </w:p>
        </w:tc>
        <w:tc>
          <w:tcPr>
            <w:tcW w:w="10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r>
      <w:tr>
        <w:trPr>
          <w:trHeight w:val="299"/>
        </w:trPr>
        <w:tc>
          <w:tcPr>
            <w:tcW w:w="65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Convertible senior notes</w:t>
            </w:r>
          </w:p>
        </w:tc>
        <w:tc>
          <w:tcPr>
            <w:tcW w:w="104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26.5</w:t>
            </w:r>
          </w:p>
        </w:tc>
      </w:tr>
      <w:tr>
        <w:trPr>
          <w:trHeight w:val="286"/>
        </w:trPr>
        <w:tc>
          <w:tcPr>
            <w:tcW w:w="6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Capitalized research expenditures</w:t>
            </w:r>
          </w:p>
        </w:tc>
        <w:tc>
          <w:tcPr>
            <w:tcW w:w="10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216.4</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289.3</w:t>
            </w:r>
          </w:p>
        </w:tc>
      </w:tr>
      <w:tr>
        <w:trPr>
          <w:trHeight w:val="308"/>
        </w:trPr>
        <w:tc>
          <w:tcPr>
            <w:tcW w:w="6520" w:type="dxa"/>
            <w:vAlign w:val="bottom"/>
            <w:tcBorders>
              <w:bottom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104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w:t>
            </w:r>
          </w:p>
        </w:tc>
      </w:tr>
      <w:tr>
        <w:trPr>
          <w:trHeight w:val="257"/>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deferred tax assets</w:t>
            </w:r>
          </w:p>
        </w:tc>
        <w:tc>
          <w:tcPr>
            <w:tcW w:w="10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614.3</w:t>
            </w: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644.0</w:t>
            </w:r>
          </w:p>
        </w:tc>
      </w:tr>
      <w:tr>
        <w:trPr>
          <w:trHeight w:val="308"/>
        </w:trPr>
        <w:tc>
          <w:tcPr>
            <w:tcW w:w="6520" w:type="dxa"/>
            <w:vAlign w:val="bottom"/>
            <w:tcBorders>
              <w:bottom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Valuation allowance</w:t>
            </w:r>
          </w:p>
        </w:tc>
        <w:tc>
          <w:tcPr>
            <w:tcW w:w="104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(127.2)</w:t>
            </w:r>
          </w:p>
        </w:tc>
        <w:tc>
          <w:tcPr>
            <w:tcW w:w="6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(122.8)</w:t>
            </w:r>
          </w:p>
        </w:tc>
      </w:tr>
      <w:tr>
        <w:trPr>
          <w:trHeight w:val="257"/>
        </w:trPr>
        <w:tc>
          <w:tcPr>
            <w:tcW w:w="6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10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487.1</w:t>
            </w: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521.2</w:t>
            </w:r>
          </w:p>
        </w:tc>
      </w:tr>
      <w:tr>
        <w:trPr>
          <w:trHeight w:val="279"/>
        </w:trPr>
        <w:tc>
          <w:tcPr>
            <w:tcW w:w="652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Deferred tax liabilities:</w:t>
            </w:r>
          </w:p>
        </w:tc>
        <w:tc>
          <w:tcPr>
            <w:tcW w:w="1040" w:type="dxa"/>
            <w:vAlign w:val="bottom"/>
            <w:tcBorders>
              <w:bottom w:val="single" w:sz="8" w:color="E6E6E6"/>
            </w:tcBorders>
            <w:shd w:val="clear" w:color="auto" w:fill="E6E6E6"/>
          </w:tcPr>
          <w:p>
            <w:pPr>
              <w:spacing w:after="0"/>
              <w:rPr>
                <w:sz w:val="24"/>
                <w:szCs w:val="24"/>
                <w:color w:val="auto"/>
              </w:rPr>
            </w:pPr>
          </w:p>
        </w:tc>
        <w:tc>
          <w:tcPr>
            <w:tcW w:w="6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spacing w:after="0"/>
              <w:rPr>
                <w:sz w:val="24"/>
                <w:szCs w:val="24"/>
                <w:color w:val="auto"/>
              </w:rPr>
            </w:pPr>
          </w:p>
        </w:tc>
        <w:tc>
          <w:tcPr>
            <w:tcW w:w="600" w:type="dxa"/>
            <w:vAlign w:val="bottom"/>
            <w:tcBorders>
              <w:bottom w:val="single" w:sz="8" w:color="E6E6E6"/>
            </w:tcBorders>
            <w:shd w:val="clear" w:color="auto" w:fill="E6E6E6"/>
          </w:tcPr>
          <w:p>
            <w:pPr>
              <w:spacing w:after="0"/>
              <w:rPr>
                <w:sz w:val="24"/>
                <w:szCs w:val="24"/>
                <w:color w:val="auto"/>
              </w:rPr>
            </w:pPr>
          </w:p>
        </w:tc>
      </w:tr>
      <w:tr>
        <w:trPr>
          <w:trHeight w:val="286"/>
        </w:trPr>
        <w:tc>
          <w:tcPr>
            <w:tcW w:w="6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Fixed assets and intangible assets</w:t>
            </w:r>
          </w:p>
        </w:tc>
        <w:tc>
          <w:tcPr>
            <w:tcW w:w="10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r>
      <w:tr>
        <w:trPr>
          <w:trHeight w:val="299"/>
        </w:trPr>
        <w:tc>
          <w:tcPr>
            <w:tcW w:w="65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Right-of-use assets</w:t>
            </w:r>
          </w:p>
        </w:tc>
        <w:tc>
          <w:tcPr>
            <w:tcW w:w="104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24.7</w:t>
            </w:r>
          </w:p>
        </w:tc>
      </w:tr>
      <w:tr>
        <w:trPr>
          <w:trHeight w:val="282"/>
        </w:trPr>
        <w:tc>
          <w:tcPr>
            <w:tcW w:w="652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60" w:type="dxa"/>
            <w:vAlign w:val="bottom"/>
            <w:tcBorders>
              <w:bottom w:val="single" w:sz="8" w:color="E6E6E6"/>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91"/>
        </w:trPr>
        <w:tc>
          <w:tcPr>
            <w:tcW w:w="6520" w:type="dxa"/>
            <w:vAlign w:val="bottom"/>
            <w:tcBorders>
              <w:bottom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Total deferred tax liability</w:t>
            </w:r>
          </w:p>
        </w:tc>
        <w:tc>
          <w:tcPr>
            <w:tcW w:w="104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6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54.5</w:t>
            </w:r>
          </w:p>
        </w:tc>
      </w:tr>
      <w:tr>
        <w:trPr>
          <w:trHeight w:val="235"/>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deferred tax assets</w:t>
            </w:r>
          </w:p>
        </w:tc>
        <w:tc>
          <w:tcPr>
            <w:tcW w:w="1040" w:type="dxa"/>
            <w:vAlign w:val="bottom"/>
          </w:tcPr>
          <w:p>
            <w:pPr>
              <w:jc w:val="right"/>
              <w:ind w:right="80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415.7</w:t>
            </w:r>
          </w:p>
        </w:tc>
        <w:tc>
          <w:tcPr>
            <w:tcW w:w="114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466.7</w:t>
            </w:r>
          </w:p>
        </w:tc>
      </w:tr>
      <w:tr>
        <w:trPr>
          <w:trHeight w:val="20"/>
        </w:trPr>
        <w:tc>
          <w:tcPr>
            <w:tcW w:w="6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-3386455</wp:posOffset>
            </wp:positionV>
            <wp:extent cx="2213610" cy="4953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40">
                      <a:extLst>
                        <a:ext uri="{28A0092B-C50C-407E-A947-70E740481C1C}"/>
                      </a:extLst>
                    </a:blip>
                    <a:srcRect/>
                    <a:stretch>
                      <a:fillRect/>
                    </a:stretch>
                  </pic:blipFill>
                  <pic:spPr bwMode="auto">
                    <a:xfrm>
                      <a:off x="0" y="0"/>
                      <a:ext cx="2213610" cy="4953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-1714500</wp:posOffset>
            </wp:positionV>
            <wp:extent cx="2213610" cy="4953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41">
                      <a:extLst>
                        <a:ext uri="{28A0092B-C50C-407E-A947-70E740481C1C}"/>
                      </a:extLst>
                    </a:blip>
                    <a:srcRect/>
                    <a:stretch>
                      <a:fillRect/>
                    </a:stretch>
                  </pic:blipFill>
                  <pic:spPr bwMode="auto">
                    <a:xfrm>
                      <a:off x="0" y="0"/>
                      <a:ext cx="2213610" cy="4953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-1343025</wp:posOffset>
            </wp:positionV>
            <wp:extent cx="2213610" cy="4953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242">
                      <a:extLst>
                        <a:ext uri="{28A0092B-C50C-407E-A947-70E740481C1C}"/>
                      </a:extLst>
                    </a:blip>
                    <a:srcRect/>
                    <a:stretch>
                      <a:fillRect/>
                    </a:stretch>
                  </pic:blipFill>
                  <pic:spPr bwMode="auto">
                    <a:xfrm>
                      <a:off x="0" y="0"/>
                      <a:ext cx="2213610" cy="4953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-414020</wp:posOffset>
            </wp:positionV>
            <wp:extent cx="2213610" cy="4953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243">
                      <a:extLst>
                        <a:ext uri="{28A0092B-C50C-407E-A947-70E740481C1C}"/>
                      </a:extLst>
                    </a:blip>
                    <a:srcRect/>
                    <a:stretch>
                      <a:fillRect/>
                    </a:stretch>
                  </pic:blipFill>
                  <pic:spPr bwMode="auto">
                    <a:xfrm>
                      <a:off x="0" y="0"/>
                      <a:ext cx="2213610" cy="4953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-228600</wp:posOffset>
            </wp:positionV>
            <wp:extent cx="2213610" cy="4953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244">
                      <a:extLst>
                        <a:ext uri="{28A0092B-C50C-407E-A947-70E740481C1C}"/>
                      </a:extLst>
                    </a:blip>
                    <a:srcRect/>
                    <a:stretch>
                      <a:fillRect/>
                    </a:stretch>
                  </pic:blipFill>
                  <pic:spPr bwMode="auto">
                    <a:xfrm>
                      <a:off x="0" y="0"/>
                      <a:ext cx="2213610" cy="49530"/>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-55245</wp:posOffset>
            </wp:positionV>
            <wp:extent cx="1117600" cy="7429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245">
                      <a:extLst>
                        <a:ext uri="{28A0092B-C50C-407E-A947-70E740481C1C}"/>
                      </a:extLst>
                    </a:blip>
                    <a:srcRect/>
                    <a:stretch>
                      <a:fillRect/>
                    </a:stretch>
                  </pic:blipFill>
                  <pic:spPr bwMode="auto">
                    <a:xfrm>
                      <a:off x="0" y="0"/>
                      <a:ext cx="1117600" cy="74295"/>
                    </a:xfrm>
                    <a:prstGeom prst="rect">
                      <a:avLst/>
                    </a:prstGeom>
                    <a:noFill/>
                  </pic:spPr>
                </pic:pic>
              </a:graphicData>
            </a:graphic>
          </wp:anchor>
        </w:drawing>
      </w:r>
    </w:p>
    <w:p>
      <w:pPr>
        <w:spacing w:after="0" w:line="205" w:lineRule="exact"/>
        <w:rPr>
          <w:sz w:val="20"/>
          <w:szCs w:val="20"/>
          <w:color w:val="auto"/>
        </w:rPr>
      </w:pPr>
    </w:p>
    <w:p>
      <w:pPr>
        <w:ind w:right="160" w:firstLine="483"/>
        <w:spacing w:after="0" w:line="250" w:lineRule="auto"/>
        <w:rPr>
          <w:sz w:val="20"/>
          <w:szCs w:val="20"/>
          <w:color w:val="auto"/>
        </w:rPr>
      </w:pPr>
      <w:r>
        <w:rPr>
          <w:rFonts w:ascii="Times New Roman" w:cs="Times New Roman" w:eastAsia="Times New Roman" w:hAnsi="Times New Roman"/>
          <w:sz w:val="20"/>
          <w:szCs w:val="20"/>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December 31, 2025, the Company continues to maintain valuation allowances against its deferred tax assets in certain states and one foreign jurisdiction.</w:t>
      </w:r>
    </w:p>
    <w:p>
      <w:pPr>
        <w:spacing w:after="0" w:line="206" w:lineRule="exact"/>
        <w:rPr>
          <w:sz w:val="20"/>
          <w:szCs w:val="20"/>
          <w:color w:val="auto"/>
        </w:rPr>
      </w:pPr>
    </w:p>
    <w:p>
      <w:pPr>
        <w:ind w:firstLine="483"/>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 had $13.1 million of federal, $70.3 million of state, and $28.1 million of foreign net operating loss carryforwards available to reduce future taxable income. Of the federal net operating loss carryforwards, $2.2 million will begin to expire in 2032 and $10.9 million will carryforward indefinitely, while state net operating losses begin to expire in 2032. The foreign net operating loss carryforwards will carryforward indefinitely.</w:t>
      </w:r>
    </w:p>
    <w:p>
      <w:pPr>
        <w:spacing w:after="0" w:line="204" w:lineRule="exact"/>
        <w:rPr>
          <w:sz w:val="20"/>
          <w:szCs w:val="20"/>
          <w:color w:val="auto"/>
        </w:rPr>
      </w:pPr>
    </w:p>
    <w:p>
      <w:pPr>
        <w:ind w:firstLine="483"/>
        <w:spacing w:after="0" w:line="250" w:lineRule="auto"/>
        <w:rPr>
          <w:sz w:val="20"/>
          <w:szCs w:val="20"/>
          <w:color w:val="auto"/>
        </w:rPr>
      </w:pPr>
      <w:r>
        <w:rPr>
          <w:rFonts w:ascii="Times New Roman" w:cs="Times New Roman" w:eastAsia="Times New Roman" w:hAnsi="Times New Roman"/>
          <w:sz w:val="20"/>
          <w:szCs w:val="20"/>
          <w:color w:val="auto"/>
        </w:rPr>
        <w:t>As of December 31, 2025, the Company had research credit carryforwards of $218.7 million and $191.4 million for federal and state income tax purposes, respectively, of which $109.3 million and $53.4 million is the unrecognized tax benefit portion related to the research credit carryforwards for federal and state, respectively. The federal and state credit carryforwards will begin to expire in 2041 and 2030, respectively. The Company also had $2.7 million of foreign tax credit carryforwards which will begin to expire in 2035.</w:t>
      </w:r>
    </w:p>
    <w:p>
      <w:pPr>
        <w:spacing w:after="0" w:line="206" w:lineRule="exact"/>
        <w:rPr>
          <w:sz w:val="20"/>
          <w:szCs w:val="20"/>
          <w:color w:val="auto"/>
        </w:rPr>
      </w:pPr>
    </w:p>
    <w:p>
      <w:pPr>
        <w:ind w:right="60" w:firstLine="483"/>
        <w:spacing w:after="0" w:line="279" w:lineRule="auto"/>
        <w:rPr>
          <w:sz w:val="20"/>
          <w:szCs w:val="20"/>
          <w:color w:val="auto"/>
        </w:rPr>
      </w:pPr>
      <w:r>
        <w:rPr>
          <w:rFonts w:ascii="Times New Roman" w:cs="Times New Roman" w:eastAsia="Times New Roman" w:hAnsi="Times New Roman"/>
          <w:sz w:val="18"/>
          <w:szCs w:val="18"/>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w:t>
      </w:r>
    </w:p>
    <w:p>
      <w:pPr>
        <w:sectPr>
          <w:pgSz w:w="11880" w:h="15480" w:orient="portrait"/>
          <w:cols w:equalWidth="0" w:num="1">
            <w:col w:w="9960"/>
          </w:cols>
          <w:pgMar w:left="940" w:top="35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880" w:h="15480" w:orient="portrait"/>
          <w:cols w:equalWidth="0" w:num="1">
            <w:col w:w="9960"/>
          </w:cols>
          <w:pgMar w:left="940" w:top="352" w:right="980" w:bottom="0" w:gutter="0" w:footer="0" w:header="0"/>
          <w:type w:val="continuous"/>
        </w:sectPr>
      </w:pPr>
    </w:p>
    <w:bookmarkStart w:id="208" w:name="page209"/>
    <w:bookmarkEnd w:id="20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(Amounts in tables are in millions except per share data, or as otherwise noted)</w:t>
      </w:r>
    </w:p>
    <w:p>
      <w:pPr>
        <w:spacing w:after="0" w:line="200" w:lineRule="exact"/>
        <w:rPr>
          <w:sz w:val="20"/>
          <w:szCs w:val="20"/>
          <w:color w:val="auto"/>
        </w:rPr>
      </w:pPr>
    </w:p>
    <w:p>
      <w:pPr>
        <w:spacing w:after="0" w:line="217" w:lineRule="exact"/>
        <w:rPr>
          <w:sz w:val="20"/>
          <w:szCs w:val="20"/>
          <w:color w:val="auto"/>
        </w:rPr>
      </w:pPr>
    </w:p>
    <w:p>
      <w:pPr>
        <w:ind w:right="540" w:firstLine="483"/>
        <w:spacing w:after="0" w:line="269" w:lineRule="auto"/>
        <w:rPr>
          <w:sz w:val="20"/>
          <w:szCs w:val="20"/>
          <w:color w:val="auto"/>
        </w:rPr>
      </w:pPr>
      <w:r>
        <w:rPr>
          <w:rFonts w:ascii="Times New Roman" w:cs="Times New Roman" w:eastAsia="Times New Roman" w:hAnsi="Times New Roman"/>
          <w:sz w:val="20"/>
          <w:szCs w:val="20"/>
          <w:color w:val="auto"/>
        </w:rPr>
        <w:t>As of December 31, 2025, the balance of unrecognized tax benefits was $178.3 million of which $118.2 million, if recognized, would affect the effective tax rate.</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 is as follows:</w:t>
      </w:r>
    </w:p>
    <w:p>
      <w:pPr>
        <w:spacing w:after="0" w:line="34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1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5440" w:type="dxa"/>
            <w:vAlign w:val="bottom"/>
            <w:tcBorders>
              <w:bottom w:val="single" w:sz="8" w:color="E6E6E6"/>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E6E6E6"/>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top w:val="single" w:sz="8" w:color="auto"/>
              <w:bottom w:val="single" w:sz="8" w:color="E6E6E6"/>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176"/>
        </w:trPr>
        <w:tc>
          <w:tcPr>
            <w:tcW w:w="5440" w:type="dxa"/>
            <w:vAlign w:val="bottom"/>
            <w:shd w:val="clear" w:color="auto" w:fill="E6E6E6"/>
          </w:tcPr>
          <w:p>
            <w:pPr>
              <w:ind w:left="40"/>
              <w:spacing w:after="0" w:line="177" w:lineRule="exact"/>
              <w:rPr>
                <w:sz w:val="20"/>
                <w:szCs w:val="20"/>
                <w:color w:val="auto"/>
              </w:rPr>
            </w:pPr>
            <w:r>
              <w:rPr>
                <w:rFonts w:ascii="Times New Roman" w:cs="Times New Roman" w:eastAsia="Times New Roman" w:hAnsi="Times New Roman"/>
                <w:sz w:val="20"/>
                <w:szCs w:val="20"/>
                <w:color w:val="auto"/>
              </w:rPr>
              <w:t>Balance of gross unrecognized tax benefits at the beginning of the</w:t>
            </w:r>
          </w:p>
        </w:tc>
        <w:tc>
          <w:tcPr>
            <w:tcW w:w="920" w:type="dxa"/>
            <w:vAlign w:val="bottom"/>
            <w:vMerge w:val="restart"/>
            <w:shd w:val="clear" w:color="auto" w:fill="E6E6E6"/>
          </w:tcPr>
          <w:p>
            <w:pPr>
              <w:jc w:val="right"/>
              <w:ind w:right="68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3"/>
              </w:rPr>
              <w:t>162.7</w:t>
            </w:r>
          </w:p>
        </w:tc>
        <w:tc>
          <w:tcPr>
            <w:tcW w:w="420" w:type="dxa"/>
            <w:vAlign w:val="bottom"/>
            <w:gridSpan w:val="2"/>
            <w:vMerge w:val="restart"/>
            <w:shd w:val="clear" w:color="auto" w:fill="E6E6E6"/>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149.8</w:t>
            </w:r>
          </w:p>
        </w:tc>
        <w:tc>
          <w:tcPr>
            <w:tcW w:w="80" w:type="dxa"/>
            <w:vAlign w:val="bottom"/>
            <w:shd w:val="clear" w:color="auto" w:fill="E6E6E6"/>
          </w:tcPr>
          <w:p>
            <w:pPr>
              <w:spacing w:after="0"/>
              <w:rPr>
                <w:sz w:val="15"/>
                <w:szCs w:val="15"/>
                <w:color w:val="auto"/>
              </w:rPr>
            </w:pPr>
          </w:p>
        </w:tc>
        <w:tc>
          <w:tcPr>
            <w:tcW w:w="340" w:type="dxa"/>
            <w:vAlign w:val="bottom"/>
            <w:vMerge w:val="restart"/>
            <w:shd w:val="clear" w:color="auto" w:fill="E6E6E6"/>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127.2</w:t>
            </w:r>
          </w:p>
        </w:tc>
        <w:tc>
          <w:tcPr>
            <w:tcW w:w="0" w:type="dxa"/>
            <w:vAlign w:val="bottom"/>
          </w:tcPr>
          <w:p>
            <w:pPr>
              <w:spacing w:after="0"/>
              <w:rPr>
                <w:sz w:val="1"/>
                <w:szCs w:val="1"/>
                <w:color w:val="auto"/>
              </w:rPr>
            </w:pPr>
          </w:p>
        </w:tc>
      </w:tr>
      <w:tr>
        <w:trPr>
          <w:trHeight w:val="267"/>
        </w:trPr>
        <w:tc>
          <w:tcPr>
            <w:tcW w:w="54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fiscal year</w:t>
            </w:r>
          </w:p>
        </w:tc>
        <w:tc>
          <w:tcPr>
            <w:tcW w:w="920" w:type="dxa"/>
            <w:vAlign w:val="bottom"/>
            <w:vMerge w:val="continue"/>
            <w:shd w:val="clear" w:color="auto" w:fill="E6E6E6"/>
          </w:tcPr>
          <w:p>
            <w:pPr>
              <w:spacing w:after="0"/>
              <w:rPr>
                <w:sz w:val="23"/>
                <w:szCs w:val="23"/>
                <w:color w:val="auto"/>
              </w:rPr>
            </w:pPr>
          </w:p>
        </w:tc>
        <w:tc>
          <w:tcPr>
            <w:tcW w:w="520" w:type="dxa"/>
            <w:vAlign w:val="bottom"/>
            <w:vMerge w:val="continue"/>
            <w:shd w:val="clear" w:color="auto" w:fill="E6E6E6"/>
          </w:tcPr>
          <w:p>
            <w:pPr>
              <w:spacing w:after="0"/>
              <w:rPr>
                <w:sz w:val="23"/>
                <w:szCs w:val="23"/>
                <w:color w:val="auto"/>
              </w:rPr>
            </w:pPr>
          </w:p>
        </w:tc>
        <w:tc>
          <w:tcPr>
            <w:tcW w:w="420" w:type="dxa"/>
            <w:vAlign w:val="bottom"/>
            <w:gridSpan w:val="2"/>
            <w:vMerge w:val="continue"/>
            <w:shd w:val="clear" w:color="auto" w:fill="E6E6E6"/>
          </w:tcPr>
          <w:p>
            <w:pPr>
              <w:spacing w:after="0"/>
              <w:rPr>
                <w:sz w:val="23"/>
                <w:szCs w:val="23"/>
                <w:color w:val="auto"/>
              </w:rPr>
            </w:pPr>
          </w:p>
        </w:tc>
        <w:tc>
          <w:tcPr>
            <w:tcW w:w="11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40" w:type="dxa"/>
            <w:vAlign w:val="bottom"/>
            <w:vMerge w:val="continue"/>
            <w:shd w:val="clear" w:color="auto" w:fill="E6E6E6"/>
          </w:tcPr>
          <w:p>
            <w:pPr>
              <w:spacing w:after="0"/>
              <w:rPr>
                <w:sz w:val="23"/>
                <w:szCs w:val="23"/>
                <w:color w:val="auto"/>
              </w:rPr>
            </w:pPr>
          </w:p>
        </w:tc>
        <w:tc>
          <w:tcPr>
            <w:tcW w:w="11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increases related to prior period tax positions</w:t>
            </w: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84"/>
        </w:trPr>
        <w:tc>
          <w:tcPr>
            <w:tcW w:w="54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Gross decreases related to prior period tax positions</w:t>
            </w:r>
          </w:p>
        </w:tc>
        <w:tc>
          <w:tcPr>
            <w:tcW w:w="92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71"/>
        </w:trPr>
        <w:tc>
          <w:tcPr>
            <w:tcW w:w="5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increases related to current period tax positions</w:t>
            </w: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0" w:type="dxa"/>
            <w:vAlign w:val="bottom"/>
          </w:tcPr>
          <w:p>
            <w:pPr>
              <w:spacing w:after="0"/>
              <w:rPr>
                <w:sz w:val="1"/>
                <w:szCs w:val="1"/>
                <w:color w:val="auto"/>
              </w:rPr>
            </w:pPr>
          </w:p>
        </w:tc>
      </w:tr>
      <w:tr>
        <w:trPr>
          <w:trHeight w:val="284"/>
        </w:trPr>
        <w:tc>
          <w:tcPr>
            <w:tcW w:w="54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Reductions due to lapse in statute of limitations</w:t>
            </w:r>
          </w:p>
        </w:tc>
        <w:tc>
          <w:tcPr>
            <w:tcW w:w="92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68"/>
        </w:trPr>
        <w:tc>
          <w:tcPr>
            <w:tcW w:w="544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Reductions due to settlements with taxing authorities</w:t>
            </w:r>
          </w:p>
        </w:tc>
        <w:tc>
          <w:tcPr>
            <w:tcW w:w="9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5440" w:type="dxa"/>
            <w:vAlign w:val="bottom"/>
            <w:shd w:val="clear" w:color="auto" w:fill="E6E6E6"/>
          </w:tcPr>
          <w:p>
            <w:pPr>
              <w:ind w:left="40"/>
              <w:spacing w:after="0" w:line="177" w:lineRule="exact"/>
              <w:rPr>
                <w:sz w:val="20"/>
                <w:szCs w:val="20"/>
                <w:color w:val="auto"/>
              </w:rPr>
            </w:pPr>
            <w:r>
              <w:rPr>
                <w:rFonts w:ascii="Times New Roman" w:cs="Times New Roman" w:eastAsia="Times New Roman" w:hAnsi="Times New Roman"/>
                <w:sz w:val="20"/>
                <w:szCs w:val="20"/>
                <w:color w:val="auto"/>
              </w:rPr>
              <w:t>Balance of gross unrecognized tax benefits at the end of the fiscal</w:t>
            </w:r>
          </w:p>
        </w:tc>
        <w:tc>
          <w:tcPr>
            <w:tcW w:w="920" w:type="dxa"/>
            <w:vAlign w:val="bottom"/>
            <w:vMerge w:val="restart"/>
            <w:shd w:val="clear" w:color="auto" w:fill="E6E6E6"/>
          </w:tcPr>
          <w:p>
            <w:pPr>
              <w:jc w:val="right"/>
              <w:ind w:right="68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3"/>
              </w:rPr>
              <w:t>178.3</w:t>
            </w:r>
          </w:p>
        </w:tc>
        <w:tc>
          <w:tcPr>
            <w:tcW w:w="80" w:type="dxa"/>
            <w:vAlign w:val="bottom"/>
            <w:vMerge w:val="restart"/>
            <w:shd w:val="clear" w:color="auto" w:fill="E6E6E6"/>
          </w:tcPr>
          <w:p>
            <w:pPr>
              <w:spacing w:after="0"/>
              <w:rPr>
                <w:sz w:val="15"/>
                <w:szCs w:val="15"/>
                <w:color w:val="auto"/>
              </w:rPr>
            </w:pPr>
          </w:p>
        </w:tc>
        <w:tc>
          <w:tcPr>
            <w:tcW w:w="340" w:type="dxa"/>
            <w:vAlign w:val="bottom"/>
            <w:vMerge w:val="restart"/>
            <w:shd w:val="clear" w:color="auto" w:fill="E6E6E6"/>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162.7</w:t>
            </w:r>
          </w:p>
        </w:tc>
        <w:tc>
          <w:tcPr>
            <w:tcW w:w="80" w:type="dxa"/>
            <w:vAlign w:val="bottom"/>
            <w:shd w:val="clear" w:color="auto" w:fill="E6E6E6"/>
          </w:tcPr>
          <w:p>
            <w:pPr>
              <w:spacing w:after="0"/>
              <w:rPr>
                <w:sz w:val="15"/>
                <w:szCs w:val="15"/>
                <w:color w:val="auto"/>
              </w:rPr>
            </w:pPr>
          </w:p>
        </w:tc>
        <w:tc>
          <w:tcPr>
            <w:tcW w:w="340" w:type="dxa"/>
            <w:vAlign w:val="bottom"/>
            <w:vMerge w:val="restart"/>
            <w:shd w:val="clear" w:color="auto" w:fill="E6E6E6"/>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149.8</w:t>
            </w:r>
          </w:p>
        </w:tc>
        <w:tc>
          <w:tcPr>
            <w:tcW w:w="0" w:type="dxa"/>
            <w:vAlign w:val="bottom"/>
          </w:tcPr>
          <w:p>
            <w:pPr>
              <w:spacing w:after="0"/>
              <w:rPr>
                <w:sz w:val="1"/>
                <w:szCs w:val="1"/>
                <w:color w:val="auto"/>
              </w:rPr>
            </w:pPr>
          </w:p>
        </w:tc>
      </w:tr>
      <w:tr>
        <w:trPr>
          <w:trHeight w:val="276"/>
        </w:trPr>
        <w:tc>
          <w:tcPr>
            <w:tcW w:w="544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year</w:t>
            </w:r>
          </w:p>
        </w:tc>
        <w:tc>
          <w:tcPr>
            <w:tcW w:w="920" w:type="dxa"/>
            <w:vAlign w:val="bottom"/>
            <w:tcBorders>
              <w:bottom w:val="single" w:sz="8" w:color="auto"/>
            </w:tcBorders>
            <w:vMerge w:val="continue"/>
            <w:shd w:val="clear" w:color="auto" w:fill="E6E6E6"/>
          </w:tcPr>
          <w:p>
            <w:pPr>
              <w:spacing w:after="0"/>
              <w:rPr>
                <w:sz w:val="24"/>
                <w:szCs w:val="24"/>
                <w:color w:val="auto"/>
              </w:rPr>
            </w:pPr>
          </w:p>
        </w:tc>
        <w:tc>
          <w:tcPr>
            <w:tcW w:w="52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vMerge w:val="continue"/>
            <w:shd w:val="clear" w:color="auto" w:fill="E6E6E6"/>
          </w:tcPr>
          <w:p>
            <w:pPr>
              <w:spacing w:after="0"/>
              <w:rPr>
                <w:sz w:val="24"/>
                <w:szCs w:val="24"/>
                <w:color w:val="auto"/>
              </w:rPr>
            </w:pPr>
          </w:p>
        </w:tc>
        <w:tc>
          <w:tcPr>
            <w:tcW w:w="340" w:type="dxa"/>
            <w:vAlign w:val="bottom"/>
            <w:tcBorders>
              <w:bottom w:val="single" w:sz="8" w:color="auto"/>
            </w:tcBorders>
            <w:vMerge w:val="continue"/>
            <w:shd w:val="clear" w:color="auto" w:fill="E6E6E6"/>
          </w:tcPr>
          <w:p>
            <w:pPr>
              <w:spacing w:after="0"/>
              <w:rPr>
                <w:sz w:val="24"/>
                <w:szCs w:val="24"/>
                <w:color w:val="auto"/>
              </w:rPr>
            </w:pPr>
          </w:p>
        </w:tc>
        <w:tc>
          <w:tcPr>
            <w:tcW w:w="110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vMerge w:val="continue"/>
            <w:shd w:val="clear" w:color="auto" w:fill="E6E6E6"/>
          </w:tcPr>
          <w:p>
            <w:pPr>
              <w:spacing w:after="0"/>
              <w:rPr>
                <w:sz w:val="24"/>
                <w:szCs w:val="24"/>
                <w:color w:val="auto"/>
              </w:rPr>
            </w:pPr>
          </w:p>
        </w:tc>
        <w:tc>
          <w:tcPr>
            <w:tcW w:w="1100" w:type="dxa"/>
            <w:vAlign w:val="bottom"/>
            <w:tcBorders>
              <w:bottom w:val="single" w:sz="8" w:color="auto"/>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-1501140</wp:posOffset>
            </wp:positionV>
            <wp:extent cx="2900680" cy="4953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246">
                      <a:extLst>
                        <a:ext uri="{28A0092B-C50C-407E-A947-70E740481C1C}"/>
                      </a:extLst>
                    </a:blip>
                    <a:srcRect/>
                    <a:stretch>
                      <a:fillRect/>
                    </a:stretch>
                  </pic:blipFill>
                  <pic:spPr bwMode="auto">
                    <a:xfrm>
                      <a:off x="0" y="0"/>
                      <a:ext cx="2900680" cy="4953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-330835</wp:posOffset>
            </wp:positionV>
            <wp:extent cx="2900680" cy="4953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247">
                      <a:extLst>
                        <a:ext uri="{28A0092B-C50C-407E-A947-70E740481C1C}"/>
                      </a:extLst>
                    </a:blip>
                    <a:srcRect/>
                    <a:stretch>
                      <a:fillRect/>
                    </a:stretch>
                  </pic:blipFill>
                  <pic:spPr bwMode="auto">
                    <a:xfrm>
                      <a:off x="0" y="0"/>
                      <a:ext cx="2900680" cy="4953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-55245</wp:posOffset>
            </wp:positionV>
            <wp:extent cx="2900680" cy="7429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248">
                      <a:extLst>
                        <a:ext uri="{28A0092B-C50C-407E-A947-70E740481C1C}"/>
                      </a:extLst>
                    </a:blip>
                    <a:srcRect/>
                    <a:stretch>
                      <a:fillRect/>
                    </a:stretch>
                  </pic:blipFill>
                  <pic:spPr bwMode="auto">
                    <a:xfrm>
                      <a:off x="0" y="0"/>
                      <a:ext cx="2900680" cy="74295"/>
                    </a:xfrm>
                    <a:prstGeom prst="rect">
                      <a:avLst/>
                    </a:prstGeom>
                    <a:noFill/>
                  </pic:spPr>
                </pic:pic>
              </a:graphicData>
            </a:graphic>
          </wp:anchor>
        </w:drawing>
      </w:r>
    </w:p>
    <w:p>
      <w:pPr>
        <w:spacing w:after="0" w:line="221" w:lineRule="exact"/>
        <w:rPr>
          <w:sz w:val="20"/>
          <w:szCs w:val="20"/>
          <w:color w:val="auto"/>
        </w:rPr>
      </w:pPr>
    </w:p>
    <w:p>
      <w:pPr>
        <w:ind w:right="120" w:firstLine="483"/>
        <w:spacing w:after="0" w:line="252" w:lineRule="auto"/>
        <w:rPr>
          <w:sz w:val="20"/>
          <w:szCs w:val="20"/>
          <w:color w:val="auto"/>
        </w:rPr>
      </w:pPr>
      <w:r>
        <w:rPr>
          <w:rFonts w:ascii="Times New Roman" w:cs="Times New Roman" w:eastAsia="Times New Roman" w:hAnsi="Times New Roman"/>
          <w:sz w:val="20"/>
          <w:szCs w:val="20"/>
          <w:color w:val="auto"/>
        </w:rPr>
        <w:t>The Company recognizes interest and penalties related to income tax matters as a component of income tax expense. As of December 31, 2025, the amount of accrued interest and penalties related to uncertain tax positions was $8.6 million. Net interest and penalties recognized/(released) for the years ended December 31, 2025, 2024, and 2023 was $3.6 million, $(1.6) million, and $1.3 million, respectively.</w:t>
      </w:r>
    </w:p>
    <w:p>
      <w:pPr>
        <w:spacing w:after="0" w:line="204" w:lineRule="exact"/>
        <w:rPr>
          <w:sz w:val="20"/>
          <w:szCs w:val="20"/>
          <w:color w:val="auto"/>
        </w:rPr>
      </w:pPr>
    </w:p>
    <w:p>
      <w:pPr>
        <w:ind w:firstLine="483"/>
        <w:spacing w:after="0" w:line="234" w:lineRule="auto"/>
        <w:rPr>
          <w:sz w:val="20"/>
          <w:szCs w:val="20"/>
          <w:color w:val="auto"/>
        </w:rPr>
      </w:pPr>
      <w:r>
        <w:rPr>
          <w:rFonts w:ascii="Times New Roman" w:cs="Times New Roman" w:eastAsia="Times New Roman" w:hAnsi="Times New Roman"/>
          <w:sz w:val="20"/>
          <w:szCs w:val="20"/>
          <w:color w:val="auto"/>
        </w:rPr>
        <w:t>The Company is routinely under audit by federal, state, local, and foreign tax authorities, which may include examinations of the timing and amount of income and deductions and the allocation of income and deductions among various tax jurisdictions. The Internal Revenue Service (IRS) is currently examining the Company’s U.S. consolidated federal income tax returns for the tax years ending December 31, 2022 through December 31, 2024. Tax years 2010 and forward remain subject to examination by state taxing authorities. Ireland is the Company’s material foreign tax jurisdiction, and tax years 2016 and forward remain subject to examination by the Irish Revenue Commissioners.</w:t>
      </w:r>
    </w:p>
    <w:p>
      <w:pPr>
        <w:spacing w:after="0" w:line="199" w:lineRule="exact"/>
        <w:rPr>
          <w:sz w:val="20"/>
          <w:szCs w:val="20"/>
          <w:color w:val="auto"/>
        </w:rPr>
      </w:pPr>
    </w:p>
    <w:p>
      <w:pPr>
        <w:ind w:right="300" w:firstLine="483"/>
        <w:spacing w:after="0" w:line="256" w:lineRule="auto"/>
        <w:rPr>
          <w:sz w:val="20"/>
          <w:szCs w:val="20"/>
          <w:color w:val="auto"/>
        </w:rPr>
      </w:pPr>
      <w:r>
        <w:rPr>
          <w:rFonts w:ascii="Times New Roman" w:cs="Times New Roman" w:eastAsia="Times New Roman" w:hAnsi="Times New Roman"/>
          <w:sz w:val="20"/>
          <w:szCs w:val="20"/>
          <w:color w:val="auto"/>
        </w:rPr>
        <w:t>During the fourth quarter of 2025, we changed our assertion regarding our intent to indefinitely reinvest undistributed earnings of our Irish subsidiary and determined that those earnings are no longer considered permanently reinvested. The deferred income tax impact of this change is not material.</w:t>
      </w:r>
    </w:p>
    <w:p>
      <w:pPr>
        <w:sectPr>
          <w:pgSz w:w="11880" w:h="15480" w:orient="portrait"/>
          <w:cols w:equalWidth="0" w:num="1">
            <w:col w:w="9960"/>
          </w:cols>
          <w:pgMar w:left="940" w:top="35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880" w:h="15480" w:orient="portrait"/>
          <w:cols w:equalWidth="0" w:num="1">
            <w:col w:w="9960"/>
          </w:cols>
          <w:pgMar w:left="940" w:top="352" w:right="980" w:bottom="0" w:gutter="0" w:footer="0" w:header="0"/>
          <w:type w:val="continuous"/>
        </w:sectPr>
      </w:pPr>
    </w:p>
    <w:bookmarkStart w:id="209" w:name="page210"/>
    <w:bookmarkEnd w:id="209"/>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left="2" w:right="1880" w:firstLine="1890"/>
        <w:spacing w:after="0" w:line="4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(Amounts in tables are in millions except per share data, or as otherwise noted) </w:t>
      </w:r>
      <w:r>
        <w:rPr>
          <w:rFonts w:ascii="Times New Roman" w:cs="Times New Roman" w:eastAsia="Times New Roman" w:hAnsi="Times New Roman"/>
          <w:sz w:val="20"/>
          <w:szCs w:val="20"/>
          <w:b w:val="1"/>
          <w:bCs w:val="1"/>
          <w:color w:val="auto"/>
        </w:rPr>
        <w:t>Note 15. Segment Information and Geographic Areas</w:t>
      </w:r>
    </w:p>
    <w:p>
      <w:pPr>
        <w:spacing w:after="0" w:line="6"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29" w:lineRule="exact"/>
        <w:rPr>
          <w:sz w:val="20"/>
          <w:szCs w:val="20"/>
          <w:color w:val="auto"/>
        </w:rPr>
      </w:pPr>
    </w:p>
    <w:p>
      <w:pPr>
        <w:ind w:left="2" w:right="320" w:firstLine="483"/>
        <w:spacing w:after="0" w:line="250" w:lineRule="auto"/>
        <w:rPr>
          <w:sz w:val="20"/>
          <w:szCs w:val="20"/>
          <w:color w:val="auto"/>
        </w:rPr>
      </w:pPr>
      <w:r>
        <w:rPr>
          <w:rFonts w:ascii="Times New Roman" w:cs="Times New Roman" w:eastAsia="Times New Roman" w:hAnsi="Times New Roman"/>
          <w:sz w:val="20"/>
          <w:szCs w:val="20"/>
          <w:color w:val="auto"/>
        </w:rPr>
        <w:t>The Company’s chief operating decision-maker (“CODM”), the Chief Executive Officer, manages the Company's business activities as a single operating and reportable segment at the consolidated level. Accordingly, the CODM uses consolidated net income, as reported on the consolidated statements of operations, to allocate resources as part of the annual planning process and to assess the performance of the Company's single reportable segment, primarily by monitoring actual results versus the annual plan.</w:t>
      </w:r>
    </w:p>
    <w:p>
      <w:pPr>
        <w:spacing w:after="0" w:line="206" w:lineRule="exact"/>
        <w:rPr>
          <w:sz w:val="20"/>
          <w:szCs w:val="20"/>
          <w:color w:val="auto"/>
        </w:rPr>
      </w:pPr>
    </w:p>
    <w:p>
      <w:pPr>
        <w:ind w:left="2" w:right="160" w:firstLine="483"/>
        <w:spacing w:after="0" w:line="249" w:lineRule="auto"/>
        <w:rPr>
          <w:sz w:val="20"/>
          <w:szCs w:val="20"/>
          <w:color w:val="auto"/>
        </w:rPr>
      </w:pPr>
      <w:r>
        <w:rPr>
          <w:rFonts w:ascii="Times New Roman" w:cs="Times New Roman" w:eastAsia="Times New Roman" w:hAnsi="Times New Roman"/>
          <w:sz w:val="20"/>
          <w:szCs w:val="20"/>
          <w:color w:val="auto"/>
        </w:rPr>
        <w:t>The significant expenses reviewed by the CODM are cost of revenue, research and development, sales and marketing, general and administrative, and stock-based compensation, as presented in the consolidated statements of operations. Cost of revenue, research and development, sales and marketing, and general and administrative expenses include depreciation and amortization expenses, which are disclosed in Note 4 "Property and Equipment, Net" and Note 6 "Intangible Assets", respectively. Other segment items consist of interest (expense) income, net, other income (loss), net, and provision for income taxes, as presented in the consolidated statements of operations.</w:t>
      </w:r>
    </w:p>
    <w:p>
      <w:pPr>
        <w:spacing w:after="0" w:line="207"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color w:val="auto"/>
        </w:rPr>
        <w:t>The CODM does not evaluate segment performance using balance sheet information.</w:t>
      </w:r>
    </w:p>
    <w:p>
      <w:pPr>
        <w:spacing w:after="0" w:line="230"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b w:val="1"/>
          <w:bCs w:val="1"/>
          <w:i w:val="1"/>
          <w:iCs w:val="1"/>
          <w:color w:val="auto"/>
        </w:rPr>
        <w:t>Geographic Areas</w:t>
      </w:r>
    </w:p>
    <w:p>
      <w:pPr>
        <w:spacing w:after="0" w:line="129" w:lineRule="exact"/>
        <w:rPr>
          <w:sz w:val="20"/>
          <w:szCs w:val="20"/>
          <w:color w:val="auto"/>
        </w:rPr>
      </w:pPr>
    </w:p>
    <w:p>
      <w:pPr>
        <w:ind w:left="2" w:right="140" w:firstLine="483"/>
        <w:spacing w:after="0" w:line="269" w:lineRule="auto"/>
        <w:rPr>
          <w:sz w:val="20"/>
          <w:szCs w:val="20"/>
          <w:color w:val="auto"/>
        </w:rPr>
      </w:pPr>
      <w:r>
        <w:rPr>
          <w:rFonts w:ascii="Times New Roman" w:cs="Times New Roman" w:eastAsia="Times New Roman" w:hAnsi="Times New Roman"/>
          <w:sz w:val="20"/>
          <w:szCs w:val="20"/>
          <w:color w:val="auto"/>
        </w:rPr>
        <w:t>Long-lived assets and revenue by geographic region, based on the physical location of the operations recording the asset or the sale, are as follows:</w:t>
      </w:r>
    </w:p>
    <w:p>
      <w:pPr>
        <w:spacing w:after="0" w:line="179"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w:t>
      </w:r>
    </w:p>
    <w:p>
      <w:pPr>
        <w:spacing w:after="0" w:line="129"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color w:val="auto"/>
        </w:rPr>
        <w:t>The following table sets forth long-lived assets by geographic area:</w:t>
      </w:r>
    </w:p>
    <w:p>
      <w:pPr>
        <w:spacing w:after="0" w:line="306" w:lineRule="exact"/>
        <w:rPr>
          <w:sz w:val="20"/>
          <w:szCs w:val="20"/>
          <w:color w:val="auto"/>
        </w:rPr>
      </w:pPr>
    </w:p>
    <w:tbl>
      <w:tblPr>
        <w:tblLayout w:type="fixed"/>
        <w:tblInd w:w="2" w:type="dxa"/>
        <w:tblCellMar>
          <w:top w:w="0" w:type="dxa"/>
          <w:left w:w="0" w:type="dxa"/>
          <w:bottom w:w="0" w:type="dxa"/>
          <w:right w:w="0" w:type="dxa"/>
        </w:tblCellMar>
      </w:tblPr>
      <w:tr>
        <w:trPr>
          <w:trHeight w:val="261"/>
        </w:trPr>
        <w:tc>
          <w:tcPr>
            <w:tcW w:w="6380" w:type="dxa"/>
            <w:vAlign w:val="bottom"/>
          </w:tcPr>
          <w:p>
            <w:pPr>
              <w:spacing w:after="0"/>
              <w:rPr>
                <w:sz w:val="22"/>
                <w:szCs w:val="22"/>
                <w:color w:val="auto"/>
              </w:rPr>
            </w:pPr>
          </w:p>
        </w:tc>
        <w:tc>
          <w:tcPr>
            <w:tcW w:w="3020" w:type="dxa"/>
            <w:vAlign w:val="bottom"/>
            <w:gridSpan w:val="4"/>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600" w:type="dxa"/>
            <w:vAlign w:val="bottom"/>
          </w:tcPr>
          <w:p>
            <w:pPr>
              <w:spacing w:after="0"/>
              <w:rPr>
                <w:sz w:val="22"/>
                <w:szCs w:val="22"/>
                <w:color w:val="auto"/>
              </w:rPr>
            </w:pPr>
          </w:p>
        </w:tc>
      </w:tr>
      <w:tr>
        <w:trPr>
          <w:trHeight w:val="258"/>
        </w:trPr>
        <w:tc>
          <w:tcPr>
            <w:tcW w:w="6380" w:type="dxa"/>
            <w:vAlign w:val="bottom"/>
            <w:tcBorders>
              <w:bottom w:val="single" w:sz="8" w:color="E6E6E6"/>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0" w:type="dxa"/>
            <w:vAlign w:val="bottom"/>
            <w:tcBorders>
              <w:top w:val="single" w:sz="8" w:color="auto"/>
              <w:bottom w:val="single" w:sz="8" w:color="auto"/>
            </w:tcBorders>
          </w:tcPr>
          <w:p>
            <w:pPr>
              <w:spacing w:after="0"/>
              <w:rPr>
                <w:sz w:val="22"/>
                <w:szCs w:val="22"/>
                <w:color w:val="auto"/>
              </w:rPr>
            </w:pPr>
          </w:p>
        </w:tc>
      </w:tr>
      <w:tr>
        <w:trPr>
          <w:trHeight w:val="282"/>
        </w:trPr>
        <w:tc>
          <w:tcPr>
            <w:tcW w:w="63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1180" w:type="dxa"/>
            <w:vAlign w:val="bottom"/>
            <w:shd w:val="clear" w:color="auto" w:fill="E6E6E6"/>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357.2</w:t>
            </w:r>
          </w:p>
        </w:tc>
        <w:tc>
          <w:tcPr>
            <w:tcW w:w="1240" w:type="dxa"/>
            <w:vAlign w:val="bottom"/>
            <w:gridSpan w:val="2"/>
            <w:shd w:val="clear" w:color="auto" w:fill="E6E6E6"/>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353.1</w:t>
            </w:r>
          </w:p>
        </w:tc>
      </w:tr>
      <w:tr>
        <w:trPr>
          <w:trHeight w:val="282"/>
        </w:trPr>
        <w:tc>
          <w:tcPr>
            <w:tcW w:w="638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 xml:space="preserve">International </w:t>
            </w:r>
            <w:r>
              <w:rPr>
                <w:rFonts w:ascii="Times New Roman" w:cs="Times New Roman" w:eastAsia="Times New Roman" w:hAnsi="Times New Roman"/>
                <w:sz w:val="12"/>
                <w:szCs w:val="12"/>
                <w:color w:val="auto"/>
              </w:rPr>
              <w:t>(1)</w:t>
            </w: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80" w:type="dxa"/>
            <w:vAlign w:val="bottom"/>
            <w:tcBorders>
              <w:bottom w:val="single" w:sz="8" w:color="E6E6E6"/>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92"/>
        </w:trPr>
        <w:tc>
          <w:tcPr>
            <w:tcW w:w="63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1180" w:type="dxa"/>
            <w:vAlign w:val="bottom"/>
            <w:tcBorders>
              <w:bottom w:val="single" w:sz="8" w:color="auto"/>
            </w:tcBorders>
            <w:shd w:val="clear" w:color="auto" w:fill="E6E6E6"/>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378.4</w:t>
            </w:r>
          </w:p>
        </w:tc>
        <w:tc>
          <w:tcPr>
            <w:tcW w:w="80" w:type="dxa"/>
            <w:vAlign w:val="bottom"/>
            <w:tcBorders>
              <w:bottom w:val="single" w:sz="8" w:color="E6E6E6"/>
            </w:tcBorders>
            <w:shd w:val="clear" w:color="auto" w:fill="E6E6E6"/>
          </w:tcPr>
          <w:p>
            <w:pPr>
              <w:spacing w:after="0"/>
              <w:rPr>
                <w:sz w:val="24"/>
                <w:szCs w:val="24"/>
                <w:color w:val="auto"/>
              </w:rPr>
            </w:pPr>
          </w:p>
        </w:tc>
        <w:tc>
          <w:tcPr>
            <w:tcW w:w="1160" w:type="dxa"/>
            <w:vAlign w:val="bottom"/>
            <w:tcBorders>
              <w:bottom w:val="single" w:sz="8" w:color="auto"/>
            </w:tcBorders>
            <w:shd w:val="clear" w:color="auto" w:fill="E6E6E6"/>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-600075</wp:posOffset>
            </wp:positionV>
            <wp:extent cx="2343785" cy="4953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249">
                      <a:extLst>
                        <a:ext uri="{28A0092B-C50C-407E-A947-70E740481C1C}"/>
                      </a:extLst>
                    </a:blip>
                    <a:srcRect/>
                    <a:stretch>
                      <a:fillRect/>
                    </a:stretch>
                  </pic:blipFill>
                  <pic:spPr bwMode="auto">
                    <a:xfrm>
                      <a:off x="0" y="0"/>
                      <a:ext cx="2343785" cy="495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-228600</wp:posOffset>
            </wp:positionV>
            <wp:extent cx="2343785" cy="4953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250">
                      <a:extLst>
                        <a:ext uri="{28A0092B-C50C-407E-A947-70E740481C1C}"/>
                      </a:extLst>
                    </a:blip>
                    <a:srcRect/>
                    <a:stretch>
                      <a:fillRect/>
                    </a:stretch>
                  </pic:blipFill>
                  <pic:spPr bwMode="auto">
                    <a:xfrm>
                      <a:off x="0" y="0"/>
                      <a:ext cx="2343785" cy="495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-55245</wp:posOffset>
            </wp:positionV>
            <wp:extent cx="2343785" cy="7429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251">
                      <a:extLst>
                        <a:ext uri="{28A0092B-C50C-407E-A947-70E740481C1C}"/>
                      </a:extLst>
                    </a:blip>
                    <a:srcRect/>
                    <a:stretch>
                      <a:fillRect/>
                    </a:stretch>
                  </pic:blipFill>
                  <pic:spPr bwMode="auto">
                    <a:xfrm>
                      <a:off x="0" y="0"/>
                      <a:ext cx="2343785" cy="74295"/>
                    </a:xfrm>
                    <a:prstGeom prst="rect">
                      <a:avLst/>
                    </a:prstGeom>
                    <a:noFill/>
                  </pic:spPr>
                </pic:pic>
              </a:graphicData>
            </a:graphic>
          </wp:anchor>
        </w:drawing>
      </w:r>
    </w:p>
    <w:p>
      <w:pPr>
        <w:spacing w:after="0" w:line="346" w:lineRule="exact"/>
        <w:rPr>
          <w:sz w:val="20"/>
          <w:szCs w:val="20"/>
          <w:color w:val="auto"/>
        </w:rPr>
      </w:pPr>
    </w:p>
    <w:p>
      <w:pPr>
        <w:ind w:left="2" w:hanging="2"/>
        <w:spacing w:after="0" w:line="241" w:lineRule="auto"/>
        <w:tabs>
          <w:tab w:leader="none" w:pos="181" w:val="left"/>
        </w:tabs>
        <w:numPr>
          <w:ilvl w:val="0"/>
          <w:numId w:val="1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No single country other than the United States had a property and equipment balance greater than 10% of total property and equipment, net, as of December 31, 2025 and 2024.</w:t>
      </w:r>
    </w:p>
    <w:p>
      <w:pPr>
        <w:spacing w:after="0" w:line="200" w:lineRule="exact"/>
        <w:rPr>
          <w:sz w:val="20"/>
          <w:szCs w:val="20"/>
          <w:color w:val="auto"/>
        </w:rPr>
      </w:pPr>
    </w:p>
    <w:p>
      <w:pPr>
        <w:spacing w:after="0" w:line="211"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9" w:lineRule="exact"/>
        <w:rPr>
          <w:sz w:val="20"/>
          <w:szCs w:val="20"/>
          <w:color w:val="auto"/>
        </w:rPr>
      </w:pPr>
    </w:p>
    <w:p>
      <w:pPr>
        <w:ind w:left="2" w:right="160" w:firstLine="483"/>
        <w:spacing w:after="0" w:line="326" w:lineRule="auto"/>
        <w:rPr>
          <w:sz w:val="20"/>
          <w:szCs w:val="20"/>
          <w:color w:val="auto"/>
        </w:rPr>
      </w:pPr>
      <w:r>
        <w:rPr>
          <w:rFonts w:ascii="Times New Roman" w:cs="Times New Roman" w:eastAsia="Times New Roman" w:hAnsi="Times New Roman"/>
          <w:sz w:val="18"/>
          <w:szCs w:val="18"/>
          <w:color w:val="auto"/>
        </w:rPr>
        <w:t>Revenue by geography is generally based on the address of the customer as defined in the Company’s subscription agreement. The following table sets forth revenue by geographic area for the years ended December 31, 2025, 2024 and 2023.</w:t>
      </w:r>
    </w:p>
    <w:p>
      <w:pPr>
        <w:spacing w:after="0" w:line="182" w:lineRule="exact"/>
        <w:rPr>
          <w:sz w:val="20"/>
          <w:szCs w:val="20"/>
          <w:color w:val="auto"/>
        </w:rPr>
      </w:pPr>
    </w:p>
    <w:p>
      <w:pPr>
        <w:ind w:left="7082"/>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022"/>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8" w:lineRule="exact"/>
        <w:rPr>
          <w:sz w:val="20"/>
          <w:szCs w:val="20"/>
          <w:color w:val="auto"/>
        </w:rPr>
      </w:pPr>
    </w:p>
    <w:tbl>
      <w:tblPr>
        <w:tblLayout w:type="fixed"/>
        <w:tblInd w:w="2" w:type="dxa"/>
        <w:tblCellMar>
          <w:top w:w="0" w:type="dxa"/>
          <w:left w:w="0" w:type="dxa"/>
          <w:bottom w:w="0" w:type="dxa"/>
          <w:right w:w="0" w:type="dxa"/>
        </w:tblCellMar>
      </w:tblPr>
      <w:tr>
        <w:trPr>
          <w:trHeight w:val="261"/>
        </w:trPr>
        <w:tc>
          <w:tcPr>
            <w:tcW w:w="5180" w:type="dxa"/>
            <w:vAlign w:val="bottom"/>
            <w:tcBorders>
              <w:bottom w:val="single" w:sz="8" w:color="E6E6E6"/>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top w:val="single" w:sz="8" w:color="auto"/>
              <w:bottom w:val="single" w:sz="8" w:color="E6E6E6"/>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Borders>
              <w:top w:val="single" w:sz="8" w:color="auto"/>
              <w:bottom w:val="single" w:sz="8" w:color="E6E6E6"/>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8"/>
        </w:trPr>
        <w:tc>
          <w:tcPr>
            <w:tcW w:w="51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380" w:type="dxa"/>
            <w:vAlign w:val="bottom"/>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1,421.4</w:t>
            </w:r>
          </w:p>
        </w:tc>
        <w:tc>
          <w:tcPr>
            <w:tcW w:w="440" w:type="dxa"/>
            <w:vAlign w:val="bottom"/>
            <w:gridSpan w:val="2"/>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1,448.5</w:t>
            </w:r>
          </w:p>
        </w:tc>
        <w:tc>
          <w:tcPr>
            <w:tcW w:w="420" w:type="dxa"/>
            <w:vAlign w:val="bottom"/>
            <w:gridSpan w:val="2"/>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1,419.4</w:t>
            </w:r>
          </w:p>
        </w:tc>
      </w:tr>
      <w:tr>
        <w:trPr>
          <w:trHeight w:val="268"/>
        </w:trPr>
        <w:tc>
          <w:tcPr>
            <w:tcW w:w="518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 xml:space="preserve">International </w:t>
            </w:r>
            <w:r>
              <w:rPr>
                <w:rFonts w:ascii="Times New Roman" w:cs="Times New Roman" w:eastAsia="Times New Roman" w:hAnsi="Times New Roman"/>
                <w:sz w:val="12"/>
                <w:szCs w:val="12"/>
                <w:color w:val="auto"/>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1,099.6</w:t>
            </w:r>
          </w:p>
        </w:tc>
        <w:tc>
          <w:tcPr>
            <w:tcW w:w="6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1,099.7</w:t>
            </w:r>
          </w:p>
        </w:tc>
        <w:tc>
          <w:tcPr>
            <w:tcW w:w="4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1,082.2</w:t>
            </w:r>
          </w:p>
        </w:tc>
      </w:tr>
      <w:tr>
        <w:trPr>
          <w:trHeight w:val="277"/>
        </w:trPr>
        <w:tc>
          <w:tcPr>
            <w:tcW w:w="518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revenue</w:t>
            </w:r>
          </w:p>
        </w:tc>
        <w:tc>
          <w:tcPr>
            <w:tcW w:w="38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2,521.0</w:t>
            </w: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2,548.2</w:t>
            </w:r>
          </w:p>
        </w:tc>
        <w:tc>
          <w:tcPr>
            <w:tcW w:w="4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-572135</wp:posOffset>
            </wp:positionV>
            <wp:extent cx="3105150" cy="4953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252">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-219075</wp:posOffset>
            </wp:positionV>
            <wp:extent cx="3105150" cy="4953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253">
                      <a:extLst>
                        <a:ext uri="{28A0092B-C50C-407E-A947-70E740481C1C}"/>
                      </a:extLst>
                    </a:blip>
                    <a:srcRect/>
                    <a:stretch>
                      <a:fillRect/>
                    </a:stretch>
                  </pic:blipFill>
                  <pic:spPr bwMode="auto">
                    <a:xfrm>
                      <a:off x="0" y="0"/>
                      <a:ext cx="3105150" cy="49530"/>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-55245</wp:posOffset>
            </wp:positionV>
            <wp:extent cx="3105150" cy="7429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254">
                      <a:extLst>
                        <a:ext uri="{28A0092B-C50C-407E-A947-70E740481C1C}"/>
                      </a:extLst>
                    </a:blip>
                    <a:srcRect/>
                    <a:stretch>
                      <a:fillRect/>
                    </a:stretch>
                  </pic:blipFill>
                  <pic:spPr bwMode="auto">
                    <a:xfrm>
                      <a:off x="0" y="0"/>
                      <a:ext cx="3105150" cy="74295"/>
                    </a:xfrm>
                    <a:prstGeom prst="rect">
                      <a:avLst/>
                    </a:prstGeom>
                    <a:noFill/>
                  </pic:spPr>
                </pic:pic>
              </a:graphicData>
            </a:graphic>
          </wp:anchor>
        </w:drawing>
      </w:r>
    </w:p>
    <w:p>
      <w:pPr>
        <w:spacing w:after="0" w:line="299" w:lineRule="exact"/>
        <w:rPr>
          <w:sz w:val="20"/>
          <w:szCs w:val="20"/>
          <w:color w:val="auto"/>
        </w:rPr>
      </w:pPr>
    </w:p>
    <w:p>
      <w:pPr>
        <w:ind w:left="2" w:right="220" w:hanging="2"/>
        <w:spacing w:after="0" w:line="241" w:lineRule="auto"/>
        <w:tabs>
          <w:tab w:leader="none" w:pos="181" w:val="left"/>
        </w:tabs>
        <w:numPr>
          <w:ilvl w:val="0"/>
          <w:numId w:val="1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No single country outside of the United States accounted for more than 10% of total revenue during the years ended December 31, 2025, 2024 and 2023 respectively.</w:t>
      </w:r>
    </w:p>
    <w:p>
      <w:pPr>
        <w:sectPr>
          <w:pgSz w:w="11880" w:h="15480" w:orient="portrait"/>
          <w:cols w:equalWidth="0" w:num="1">
            <w:col w:w="10002"/>
          </w:cols>
          <w:pgMar w:left="938" w:top="3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108</w:t>
      </w:r>
    </w:p>
    <w:p>
      <w:pPr>
        <w:sectPr>
          <w:pgSz w:w="11880" w:h="15480" w:orient="portrait"/>
          <w:cols w:equalWidth="0" w:num="1">
            <w:col w:w="10002"/>
          </w:cols>
          <w:pgMar w:left="938" w:top="352" w:right="940" w:bottom="0" w:gutter="0" w:footer="0" w:header="0"/>
          <w:type w:val="continuous"/>
        </w:sectPr>
      </w:pPr>
    </w:p>
    <w:bookmarkStart w:id="210" w:name="page211"/>
    <w:bookmarkEnd w:id="210"/>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5" w:lineRule="exact"/>
        <w:rPr>
          <w:sz w:val="20"/>
          <w:szCs w:val="20"/>
          <w:color w:val="auto"/>
        </w:rPr>
      </w:pPr>
    </w:p>
    <w:p>
      <w:pPr>
        <w:ind w:right="1760" w:firstLine="1890"/>
        <w:spacing w:after="0" w:line="4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(Amounts in tables are in millions except per share data, or as otherwise noted) </w:t>
      </w:r>
      <w:r>
        <w:rPr>
          <w:rFonts w:ascii="Times New Roman" w:cs="Times New Roman" w:eastAsia="Times New Roman" w:hAnsi="Times New Roman"/>
          <w:sz w:val="20"/>
          <w:szCs w:val="20"/>
          <w:b w:val="1"/>
          <w:bCs w:val="1"/>
          <w:color w:val="auto"/>
        </w:rPr>
        <w:t>Note 16. Subsequent Events</w:t>
      </w:r>
    </w:p>
    <w:p>
      <w:pPr>
        <w:spacing w:after="0" w:line="49" w:lineRule="exact"/>
        <w:rPr>
          <w:sz w:val="20"/>
          <w:szCs w:val="20"/>
          <w:color w:val="auto"/>
        </w:rPr>
      </w:pPr>
    </w:p>
    <w:p>
      <w:pPr>
        <w:ind w:firstLine="483"/>
        <w:spacing w:after="0" w:line="238" w:lineRule="auto"/>
        <w:rPr>
          <w:sz w:val="20"/>
          <w:szCs w:val="20"/>
          <w:color w:val="auto"/>
        </w:rPr>
      </w:pPr>
      <w:r>
        <w:rPr>
          <w:rFonts w:ascii="Times New Roman" w:cs="Times New Roman" w:eastAsia="Times New Roman" w:hAnsi="Times New Roman"/>
          <w:sz w:val="20"/>
          <w:szCs w:val="20"/>
          <w:color w:val="auto"/>
        </w:rPr>
        <w:t>On January 23, 2026, the Company entered into a sublease for approximately 282,000 square feet of its San Francisco, California corporate headquarters. The sublease term is for approximately 3 years, is estimated to commence in February 2026 and will expire in June 2029, with an option to extend for an additional 4 years. Further, on January 29, 2026, the Company entered into an amendment for one of its San Francisco, California corporate headquarter subleases, for approximately 95,000 square feet with staggered commencements between 2026 and 2029 and expiration in August 2033. As a result of these sublease agreements, the Company is entitled to receive approximately $118.7 million in total future cash payments related to rent and common area maintenance fees over the terms of the subleases.</w:t>
      </w:r>
    </w:p>
    <w:p>
      <w:pPr>
        <w:sectPr>
          <w:pgSz w:w="11880" w:h="15480" w:orient="portrait"/>
          <w:cols w:equalWidth="0" w:num="1">
            <w:col w:w="9880"/>
          </w:cols>
          <w:pgMar w:left="940" w:top="35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880" w:h="15480" w:orient="portrait"/>
          <w:cols w:equalWidth="0" w:num="1">
            <w:col w:w="9880"/>
          </w:cols>
          <w:pgMar w:left="940" w:top="352" w:right="1060" w:bottom="0" w:gutter="0" w:footer="0" w:header="0"/>
          <w:type w:val="continuous"/>
        </w:sectPr>
      </w:pPr>
    </w:p>
    <w:bookmarkStart w:id="211" w:name="page212"/>
    <w:bookmarkEnd w:id="211"/>
    <w:p>
      <w:pPr>
        <w:ind w:right="260"/>
        <w:spacing w:after="0" w:line="296" w:lineRule="auto"/>
        <w:rPr>
          <w:sz w:val="20"/>
          <w:szCs w:val="20"/>
          <w:color w:val="auto"/>
        </w:rPr>
      </w:pPr>
      <w:r>
        <w:rPr>
          <w:rFonts w:ascii="Times New Roman" w:cs="Times New Roman" w:eastAsia="Times New Roman" w:hAnsi="Times New Roman"/>
          <w:sz w:val="23"/>
          <w:szCs w:val="23"/>
          <w:b w:val="1"/>
          <w:bCs w:val="1"/>
          <w:color w:val="auto"/>
        </w:rPr>
        <w:t>ITEM 9. CHANGES IN AND DISAGREEMENTS WITH ACCOUNTANTS ON ACCOUNTING AND FINANCIAL DISCLOSURE</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9A. CONTROLS AND PROCEDURES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5" w:lineRule="exact"/>
        <w:rPr>
          <w:sz w:val="20"/>
          <w:szCs w:val="20"/>
          <w:color w:val="auto"/>
        </w:rPr>
      </w:pPr>
    </w:p>
    <w:p>
      <w:pPr>
        <w:ind w:right="160" w:firstLine="483"/>
        <w:spacing w:after="0" w:line="250"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5" w:lineRule="exact"/>
        <w:rPr>
          <w:sz w:val="20"/>
          <w:szCs w:val="20"/>
          <w:color w:val="auto"/>
        </w:rPr>
      </w:pPr>
    </w:p>
    <w:p>
      <w:pPr>
        <w:ind w:right="200" w:firstLine="483"/>
        <w:spacing w:after="0" w:line="252"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204" w:lineRule="exact"/>
        <w:rPr>
          <w:sz w:val="20"/>
          <w:szCs w:val="20"/>
          <w:color w:val="auto"/>
        </w:rPr>
      </w:pPr>
    </w:p>
    <w:p>
      <w:pPr>
        <w:ind w:firstLine="483"/>
        <w:spacing w:after="0" w:line="289" w:lineRule="auto"/>
        <w:rPr>
          <w:sz w:val="20"/>
          <w:szCs w:val="20"/>
          <w:color w:val="auto"/>
        </w:rPr>
      </w:pPr>
      <w:r>
        <w:rPr>
          <w:rFonts w:ascii="Times New Roman" w:cs="Times New Roman" w:eastAsia="Times New Roman" w:hAnsi="Times New Roman"/>
          <w:sz w:val="18"/>
          <w:szCs w:val="18"/>
          <w:color w:val="auto"/>
        </w:rPr>
        <w:t>Our management, under the supervision of our Chief Financial Officer and Chief Executive Officer, conducted an evaluation of the effectiveness of our internal control over financial reporting based on the framework in Internal Control— Integrated Framework (2013), issued by the Committee of Sponsoring Organizations of the Treadway Commission. Based on this evaluation, management concluded that our internal control over financial reporting was effective as of December 31, 2025.</w:t>
      </w:r>
    </w:p>
    <w:p>
      <w:pPr>
        <w:spacing w:after="0" w:line="173" w:lineRule="exact"/>
        <w:rPr>
          <w:sz w:val="20"/>
          <w:szCs w:val="20"/>
          <w:color w:val="auto"/>
        </w:rPr>
      </w:pPr>
    </w:p>
    <w:p>
      <w:pPr>
        <w:ind w:right="240" w:firstLine="483"/>
        <w:spacing w:after="0" w:line="256"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Ernst &amp; Young LLP, an independent registered public accounting firm, as stated in their report, which is included in Item 8 of this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5" w:lineRule="exact"/>
        <w:rPr>
          <w:sz w:val="20"/>
          <w:szCs w:val="20"/>
          <w:color w:val="auto"/>
        </w:rPr>
      </w:pPr>
    </w:p>
    <w:p>
      <w:pPr>
        <w:ind w:right="160" w:firstLine="483"/>
        <w:spacing w:after="0" w:line="256" w:lineRule="auto"/>
        <w:rPr>
          <w:sz w:val="20"/>
          <w:szCs w:val="20"/>
          <w:color w:val="auto"/>
        </w:rPr>
      </w:pPr>
      <w:r>
        <w:rPr>
          <w:rFonts w:ascii="Times New Roman" w:cs="Times New Roman" w:eastAsia="Times New Roman" w:hAnsi="Times New Roman"/>
          <w:sz w:val="20"/>
          <w:szCs w:val="20"/>
          <w:color w:val="auto"/>
        </w:rPr>
        <w:t>There was no change in our internal control over financial reporting (as defined in Rules 13a-15(d) and 15d-15(d) under the Exchange Act) that occurred during the quarter ended December 31, 2025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Disclosure Controls and Procedures</w:t>
      </w:r>
    </w:p>
    <w:p>
      <w:pPr>
        <w:spacing w:after="0" w:line="245" w:lineRule="exact"/>
        <w:rPr>
          <w:sz w:val="20"/>
          <w:szCs w:val="20"/>
          <w:color w:val="auto"/>
        </w:rPr>
      </w:pPr>
    </w:p>
    <w:p>
      <w:pPr>
        <w:ind w:firstLine="483"/>
        <w:spacing w:after="0" w:line="27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pgSz w:w="11880" w:h="15480" w:orient="portrait"/>
          <w:cols w:equalWidth="0" w:num="1">
            <w:col w:w="10000"/>
          </w:cols>
          <w:pgMar w:left="940" w:top="6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880" w:h="15480" w:orient="portrait"/>
          <w:cols w:equalWidth="0" w:num="1">
            <w:col w:w="10000"/>
          </w:cols>
          <w:pgMar w:left="940" w:top="675" w:right="940" w:bottom="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23"/>
          <w:szCs w:val="23"/>
          <w:b w:val="1"/>
          <w:bCs w:val="1"/>
          <w:color w:val="auto"/>
        </w:rPr>
        <w:t>ITEM 9B. OTHER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Trading Plans of Directors and Executive Officers</w:t>
      </w:r>
    </w:p>
    <w:p>
      <w:pPr>
        <w:spacing w:after="0" w:line="220" w:lineRule="exact"/>
        <w:rPr>
          <w:sz w:val="20"/>
          <w:szCs w:val="20"/>
          <w:color w:val="auto"/>
        </w:rPr>
      </w:pPr>
    </w:p>
    <w:p>
      <w:pPr>
        <w:ind w:right="860" w:firstLine="439"/>
        <w:spacing w:after="0" w:line="269" w:lineRule="auto"/>
        <w:rPr>
          <w:sz w:val="20"/>
          <w:szCs w:val="20"/>
          <w:color w:val="auto"/>
        </w:rPr>
      </w:pPr>
      <w:r>
        <w:rPr>
          <w:rFonts w:ascii="Times New Roman" w:cs="Times New Roman" w:eastAsia="Times New Roman" w:hAnsi="Times New Roman"/>
          <w:sz w:val="20"/>
          <w:szCs w:val="20"/>
          <w:color w:val="auto"/>
        </w:rPr>
        <w:t>During our last fiscal quarter, the following officer, as defined in Rule 16a-1(f), adopted a “Rule 10b5-1 trading arrangement” as defined in Regulation S-K Item 408, as follows:</w:t>
      </w:r>
    </w:p>
    <w:p>
      <w:pPr>
        <w:spacing w:after="0" w:line="187" w:lineRule="exact"/>
        <w:rPr>
          <w:sz w:val="20"/>
          <w:szCs w:val="20"/>
          <w:color w:val="auto"/>
        </w:rPr>
      </w:pPr>
    </w:p>
    <w:p>
      <w:pPr>
        <w:ind w:right="160" w:firstLine="439"/>
        <w:spacing w:after="0" w:line="250" w:lineRule="auto"/>
        <w:rPr>
          <w:sz w:val="20"/>
          <w:szCs w:val="20"/>
          <w:color w:val="auto"/>
        </w:rPr>
      </w:pPr>
      <w:r>
        <w:rPr>
          <w:rFonts w:ascii="Times New Roman" w:cs="Times New Roman" w:eastAsia="Times New Roman" w:hAnsi="Times New Roman"/>
          <w:sz w:val="20"/>
          <w:szCs w:val="20"/>
          <w:color w:val="auto"/>
        </w:rPr>
        <w:t>On December 10th, 2025, Will Yoon, our Chief Legal Officer, adopted a Rule 10b5-1 trading arrangement providing for the sale from time-to-time of an aggregate of up to 29,027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May 31, 2026, or earlier if all transactions under the trading arrangement are completed.</w:t>
      </w:r>
    </w:p>
    <w:p>
      <w:pPr>
        <w:spacing w:after="0" w:line="206" w:lineRule="exact"/>
        <w:rPr>
          <w:sz w:val="20"/>
          <w:szCs w:val="20"/>
          <w:color w:val="auto"/>
        </w:rPr>
      </w:pPr>
    </w:p>
    <w:p>
      <w:pPr>
        <w:ind w:firstLine="439"/>
        <w:spacing w:after="0" w:line="269" w:lineRule="auto"/>
        <w:rPr>
          <w:sz w:val="20"/>
          <w:szCs w:val="20"/>
          <w:color w:val="auto"/>
        </w:rPr>
      </w:pPr>
      <w:r>
        <w:rPr>
          <w:rFonts w:ascii="Times New Roman" w:cs="Times New Roman" w:eastAsia="Times New Roman" w:hAnsi="Times New Roman"/>
          <w:sz w:val="20"/>
          <w:szCs w:val="20"/>
          <w:color w:val="auto"/>
        </w:rPr>
        <w:t>No other officers, as defined in Rule 16a-1(f), or directors adopted or terminated a "Rule 10b5-1 trading arrangement" or a "non-Rule 10b5-1 trading arrangement," as defined in Regulation S-K Item 408.</w:t>
      </w:r>
    </w:p>
    <w:p>
      <w:pPr>
        <w:spacing w:after="0" w:line="166" w:lineRule="exact"/>
        <w:rPr>
          <w:sz w:val="20"/>
          <w:szCs w:val="20"/>
          <w:color w:val="auto"/>
        </w:rPr>
      </w:pPr>
    </w:p>
    <w:p>
      <w:pPr>
        <w:ind w:right="940"/>
        <w:spacing w:after="0" w:line="296" w:lineRule="auto"/>
        <w:rPr>
          <w:sz w:val="20"/>
          <w:szCs w:val="20"/>
          <w:color w:val="auto"/>
        </w:rPr>
      </w:pPr>
      <w:r>
        <w:rPr>
          <w:rFonts w:ascii="Times New Roman" w:cs="Times New Roman" w:eastAsia="Times New Roman" w:hAnsi="Times New Roman"/>
          <w:sz w:val="23"/>
          <w:szCs w:val="23"/>
          <w:b w:val="1"/>
          <w:bCs w:val="1"/>
          <w:color w:val="auto"/>
        </w:rPr>
        <w:t>ITEM 9C. DISCLOSURE REGARDING FOREIGN JURISDICTIONS THAT PREVENT INSPECTIONS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t>
      </w:r>
    </w:p>
    <w:p>
      <w:pPr>
        <w:sectPr>
          <w:pgSz w:w="11880" w:h="15480" w:orient="portrait"/>
          <w:cols w:equalWidth="0" w:num="1">
            <w:col w:w="10000"/>
          </w:cols>
          <w:pgMar w:left="940" w:top="6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880" w:h="15480" w:orient="portrait"/>
          <w:cols w:equalWidth="0" w:num="1">
            <w:col w:w="10000"/>
          </w:cols>
          <w:pgMar w:left="940" w:top="675" w:right="940" w:bottom="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27"/>
          <w:szCs w:val="27"/>
          <w:b w:val="1"/>
          <w:bCs w:val="1"/>
          <w:color w:val="auto"/>
        </w:rPr>
        <w:t>PART III</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10. DIRECTORS, EXECUTIVE OFFICERS AND CORPORATE GOVERNANCE</w:t>
      </w:r>
    </w:p>
    <w:p>
      <w:pPr>
        <w:spacing w:after="0" w:line="271"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w:t>
      </w:r>
    </w:p>
    <w:p>
      <w:pPr>
        <w:spacing w:after="0" w:line="200" w:lineRule="exact"/>
        <w:rPr>
          <w:sz w:val="20"/>
          <w:szCs w:val="20"/>
          <w:color w:val="auto"/>
        </w:rPr>
      </w:pPr>
    </w:p>
    <w:p>
      <w:pPr>
        <w:ind w:right="100" w:firstLine="439"/>
        <w:spacing w:after="0" w:line="250"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 other dispositions of our securities that applies to all personnel of Dropbox and of our subsidiaries, including directors, officers, and employees, to certain other covered persons. We believe that our insider trading policy is reasonably designed to promote compliance with insider trading laws, rules, and regulations, as well as applicable listing standards. A copy of our insider trading policy is filed as Exhibit 19.1 to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11. EXECUTIVE COMPENSATION</w:t>
      </w:r>
    </w:p>
    <w:p>
      <w:pPr>
        <w:spacing w:after="0" w:line="271"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w:t>
      </w:r>
    </w:p>
    <w:p>
      <w:pPr>
        <w:spacing w:after="0" w:line="297" w:lineRule="exact"/>
        <w:rPr>
          <w:sz w:val="20"/>
          <w:szCs w:val="20"/>
          <w:color w:val="auto"/>
        </w:rPr>
      </w:pPr>
    </w:p>
    <w:p>
      <w:pPr>
        <w:ind w:right="1500"/>
        <w:spacing w:after="0" w:line="296" w:lineRule="auto"/>
        <w:rPr>
          <w:sz w:val="20"/>
          <w:szCs w:val="20"/>
          <w:color w:val="auto"/>
        </w:rPr>
      </w:pPr>
      <w:r>
        <w:rPr>
          <w:rFonts w:ascii="Times New Roman" w:cs="Times New Roman" w:eastAsia="Times New Roman" w:hAnsi="Times New Roman"/>
          <w:sz w:val="23"/>
          <w:szCs w:val="23"/>
          <w:b w:val="1"/>
          <w:bCs w:val="1"/>
          <w:color w:val="auto"/>
        </w:rPr>
        <w:t>ITEM 12. SECURITY OWNERSHIP OF CERTAIN BENEFICIAL OWNERS AND MANAGEMENT AND RELATED STOCKHOLDER MATTERS</w:t>
      </w:r>
    </w:p>
    <w:p>
      <w:pPr>
        <w:spacing w:after="0" w:line="164"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w:t>
      </w:r>
    </w:p>
    <w:p>
      <w:pPr>
        <w:spacing w:after="0" w:line="200" w:lineRule="exact"/>
        <w:rPr>
          <w:sz w:val="20"/>
          <w:szCs w:val="20"/>
          <w:color w:val="auto"/>
        </w:rPr>
      </w:pPr>
    </w:p>
    <w:p>
      <w:pPr>
        <w:spacing w:after="0" w:line="214" w:lineRule="exact"/>
        <w:rPr>
          <w:sz w:val="20"/>
          <w:szCs w:val="20"/>
          <w:color w:val="auto"/>
        </w:rPr>
      </w:pPr>
    </w:p>
    <w:p>
      <w:pPr>
        <w:ind w:right="700"/>
        <w:spacing w:after="0" w:line="296" w:lineRule="auto"/>
        <w:rPr>
          <w:sz w:val="20"/>
          <w:szCs w:val="20"/>
          <w:color w:val="auto"/>
        </w:rPr>
      </w:pPr>
      <w:r>
        <w:rPr>
          <w:rFonts w:ascii="Times New Roman" w:cs="Times New Roman" w:eastAsia="Times New Roman" w:hAnsi="Times New Roman"/>
          <w:sz w:val="23"/>
          <w:szCs w:val="23"/>
          <w:b w:val="1"/>
          <w:bCs w:val="1"/>
          <w:color w:val="auto"/>
        </w:rPr>
        <w:t>ITEM 13. CERTAIN RELATIONSHIPS AND RELATED PARTY TRANSACTIONS, AND DIRECTOR INDEPENDENCE</w:t>
      </w:r>
    </w:p>
    <w:p>
      <w:pPr>
        <w:spacing w:after="0" w:line="164"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14. PRINCIPAL ACCOUNTING FEES AND SERVICES</w:t>
      </w:r>
    </w:p>
    <w:p>
      <w:pPr>
        <w:spacing w:after="0" w:line="271"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w:t>
      </w:r>
    </w:p>
    <w:p>
      <w:pPr>
        <w:sectPr>
          <w:pgSz w:w="11880" w:h="15480" w:orient="portrait"/>
          <w:cols w:equalWidth="0" w:num="1">
            <w:col w:w="9960"/>
          </w:cols>
          <w:pgMar w:left="940" w:top="66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880" w:h="15480" w:orient="portrait"/>
          <w:cols w:equalWidth="0" w:num="1">
            <w:col w:w="9960"/>
          </w:cols>
          <w:pgMar w:left="940" w:top="662" w:right="980" w:bottom="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27"/>
          <w:szCs w:val="27"/>
          <w:b w:val="1"/>
          <w:bCs w:val="1"/>
          <w:color w:val="auto"/>
        </w:rPr>
        <w:t>PART IV</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15. EXHIBITS AND FINANCIAL STATEMENT SCHEDULES.</w:t>
      </w:r>
    </w:p>
    <w:p>
      <w:pPr>
        <w:spacing w:after="0" w:line="388" w:lineRule="exact"/>
        <w:rPr>
          <w:sz w:val="20"/>
          <w:szCs w:val="20"/>
          <w:color w:val="auto"/>
        </w:rPr>
      </w:pPr>
    </w:p>
    <w:p>
      <w:pPr>
        <w:ind w:left="260" w:right="3180" w:firstLine="176"/>
        <w:spacing w:after="0" w:line="427" w:lineRule="auto"/>
        <w:rPr>
          <w:sz w:val="20"/>
          <w:szCs w:val="20"/>
          <w:color w:val="auto"/>
        </w:rPr>
      </w:pPr>
      <w:r>
        <w:rPr>
          <w:rFonts w:ascii="Times New Roman" w:cs="Times New Roman" w:eastAsia="Times New Roman" w:hAnsi="Times New Roman"/>
          <w:sz w:val="20"/>
          <w:szCs w:val="20"/>
          <w:color w:val="auto"/>
        </w:rPr>
        <w:t>The following documents are filed as a part of this Annual Report on Form 10-K (a) Financial statements</w:t>
      </w:r>
    </w:p>
    <w:p>
      <w:pPr>
        <w:spacing w:after="0" w:line="1" w:lineRule="exact"/>
        <w:rPr>
          <w:sz w:val="20"/>
          <w:szCs w:val="20"/>
          <w:color w:val="auto"/>
        </w:rPr>
      </w:pPr>
    </w:p>
    <w:p>
      <w:pPr>
        <w:ind w:right="40" w:firstLine="483"/>
        <w:spacing w:after="0" w:line="269" w:lineRule="auto"/>
        <w:rPr>
          <w:sz w:val="20"/>
          <w:szCs w:val="20"/>
          <w:color w:val="auto"/>
        </w:rPr>
      </w:pPr>
      <w:r>
        <w:rPr>
          <w:rFonts w:ascii="Times New Roman" w:cs="Times New Roman" w:eastAsia="Times New Roman" w:hAnsi="Times New Roman"/>
          <w:sz w:val="20"/>
          <w:szCs w:val="20"/>
          <w:color w:val="auto"/>
        </w:rPr>
        <w:t>Our Consolidated Financial Statements are listed in the “Index to Consolidated Financial Statements” under Part II, Item 8 of this Annual Report on Form 10-K.</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(b) Financial statement schedules.</w:t>
      </w:r>
    </w:p>
    <w:p>
      <w:pPr>
        <w:spacing w:after="0" w:line="121" w:lineRule="exact"/>
        <w:rPr>
          <w:sz w:val="20"/>
          <w:szCs w:val="20"/>
          <w:color w:val="auto"/>
        </w:rPr>
      </w:pPr>
    </w:p>
    <w:p>
      <w:pPr>
        <w:jc w:val="both"/>
        <w:ind w:firstLine="483"/>
        <w:spacing w:after="0" w:line="269" w:lineRule="auto"/>
        <w:rPr>
          <w:sz w:val="20"/>
          <w:szCs w:val="20"/>
          <w:color w:val="auto"/>
        </w:rPr>
      </w:pPr>
      <w:r>
        <w:rPr>
          <w:rFonts w:ascii="Times New Roman" w:cs="Times New Roman" w:eastAsia="Times New Roman" w:hAnsi="Times New Roman"/>
          <w:sz w:val="20"/>
          <w:szCs w:val="20"/>
          <w:color w:val="auto"/>
        </w:rPr>
        <w:t>All financial statement schedules not listed above have been omitted because the information called for is not required or is shown either in the consolidated financial statements or in the notes thereto.</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(c)  Exhibits</w:t>
      </w:r>
    </w:p>
    <w:p>
      <w:pPr>
        <w:spacing w:after="0" w:line="121" w:lineRule="exact"/>
        <w:rPr>
          <w:sz w:val="20"/>
          <w:szCs w:val="20"/>
          <w:color w:val="auto"/>
        </w:rPr>
      </w:pPr>
    </w:p>
    <w:p>
      <w:pPr>
        <w:jc w:val="both"/>
        <w:ind w:firstLine="483"/>
        <w:spacing w:after="0" w:line="256" w:lineRule="auto"/>
        <w:rPr>
          <w:sz w:val="20"/>
          <w:szCs w:val="20"/>
          <w:color w:val="auto"/>
        </w:rPr>
      </w:pPr>
      <w:r>
        <w:rPr>
          <w:rFonts w:ascii="Times New Roman" w:cs="Times New Roman" w:eastAsia="Times New Roman" w:hAnsi="Times New Roman"/>
          <w:sz w:val="20"/>
          <w:szCs w:val="20"/>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ectPr>
          <w:pgSz w:w="11880" w:h="15480" w:orient="portrait"/>
          <w:cols w:equalWidth="0" w:num="1">
            <w:col w:w="9920"/>
          </w:cols>
          <w:pgMar w:left="940" w:top="89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113</w:t>
      </w:r>
    </w:p>
    <w:p>
      <w:pPr>
        <w:sectPr>
          <w:pgSz w:w="11880" w:h="15480" w:orient="portrait"/>
          <w:cols w:equalWidth="0" w:num="1">
            <w:col w:w="9920"/>
          </w:cols>
          <w:pgMar w:left="940" w:top="896" w:right="1020" w:bottom="0" w:gutter="0" w:footer="0" w:header="0"/>
          <w:type w:val="continuous"/>
        </w:sectPr>
      </w:pPr>
    </w:p>
    <w:bookmarkStart w:id="215" w:name="page216"/>
    <w:bookmarkEnd w:id="215"/>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5540"/>
        <w:spacing w:after="0"/>
        <w:tabs>
          <w:tab w:leader="none" w:pos="6280" w:val="left"/>
          <w:tab w:leader="none" w:pos="7500" w:val="left"/>
          <w:tab w:leader="none" w:pos="854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File Number</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Filed with SEC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jc w:val="center"/>
              <w:ind w:right="942"/>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800" w:type="dxa"/>
            <w:vAlign w:val="bottom"/>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w w:val="96"/>
              </w:rPr>
              <w:t>Description</w:t>
            </w:r>
          </w:p>
        </w:tc>
        <w:tc>
          <w:tcPr>
            <w:tcW w:w="0" w:type="dxa"/>
            <w:vAlign w:val="bottom"/>
          </w:tcPr>
          <w:p>
            <w:pPr>
              <w:spacing w:after="0"/>
              <w:rPr>
                <w:sz w:val="1"/>
                <w:szCs w:val="1"/>
                <w:color w:val="auto"/>
              </w:rPr>
            </w:pPr>
          </w:p>
        </w:tc>
      </w:tr>
      <w:tr>
        <w:trPr>
          <w:trHeight w:val="206"/>
        </w:trPr>
        <w:tc>
          <w:tcPr>
            <w:tcW w:w="1600" w:type="dxa"/>
            <w:vAlign w:val="bottom"/>
          </w:tcPr>
          <w:p>
            <w:pPr>
              <w:jc w:val="center"/>
              <w:ind w:right="962"/>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473710</wp:posOffset>
                </wp:positionH>
                <wp:positionV relativeFrom="paragraph">
                  <wp:posOffset>7620</wp:posOffset>
                </wp:positionV>
                <wp:extent cx="2869565" cy="0"/>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956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707" o:spid="_x0000_s17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pt,0.6pt" to="263.25pt,0.6pt" o:allowincell="f" strokecolor="#000000" strokeweight="0.975pt"/>
            </w:pict>
          </mc:Fallback>
        </mc:AlternateContent>
      </w:r>
    </w:p>
    <w:p>
      <w:pPr>
        <w:sectPr>
          <w:pgSz w:w="11880" w:h="15480" w:orient="portrait"/>
          <w:cols w:equalWidth="0" w:num="1">
            <w:col w:w="9700"/>
          </w:cols>
          <w:pgMar w:left="1040" w:top="689" w:right="1140" w:bottom="0" w:gutter="0" w:footer="0" w:header="0"/>
        </w:sectPr>
      </w:pPr>
    </w:p>
    <w:p>
      <w:pPr>
        <w:spacing w:after="0" w:line="354"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2.1</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of Conversion.</w:t>
            </w:r>
          </w:p>
        </w:tc>
        <w:tc>
          <w:tcPr>
            <w:tcW w:w="0" w:type="dxa"/>
            <w:vAlign w:val="bottom"/>
          </w:tcPr>
          <w:p>
            <w:pPr>
              <w:spacing w:after="0"/>
              <w:rPr>
                <w:sz w:val="1"/>
                <w:szCs w:val="1"/>
                <w:color w:val="auto"/>
              </w:rPr>
            </w:pPr>
          </w:p>
        </w:tc>
      </w:tr>
      <w:tr>
        <w:trPr>
          <w:trHeight w:val="551"/>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3.1</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Articles of Incorporation of the Registrant.</w:t>
            </w:r>
          </w:p>
        </w:tc>
        <w:tc>
          <w:tcPr>
            <w:tcW w:w="0" w:type="dxa"/>
            <w:vAlign w:val="bottom"/>
          </w:tcPr>
          <w:p>
            <w:pPr>
              <w:spacing w:after="0"/>
              <w:rPr>
                <w:sz w:val="1"/>
                <w:szCs w:val="1"/>
                <w:color w:val="auto"/>
              </w:rPr>
            </w:pPr>
          </w:p>
        </w:tc>
      </w:tr>
      <w:tr>
        <w:trPr>
          <w:trHeight w:val="570"/>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3.2</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Bylaws of the Registrant.</w:t>
            </w:r>
          </w:p>
        </w:tc>
        <w:tc>
          <w:tcPr>
            <w:tcW w:w="0" w:type="dxa"/>
            <w:vAlign w:val="bottom"/>
          </w:tcPr>
          <w:p>
            <w:pPr>
              <w:spacing w:after="0"/>
              <w:rPr>
                <w:sz w:val="1"/>
                <w:szCs w:val="1"/>
                <w:color w:val="auto"/>
              </w:rPr>
            </w:pPr>
          </w:p>
        </w:tc>
      </w:tr>
      <w:tr>
        <w:trPr>
          <w:trHeight w:val="570"/>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4.1</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Class A common stock certificate of the Registrant.</w:t>
            </w:r>
          </w:p>
        </w:tc>
        <w:tc>
          <w:tcPr>
            <w:tcW w:w="0" w:type="dxa"/>
            <w:vAlign w:val="bottom"/>
          </w:tcPr>
          <w:p>
            <w:pPr>
              <w:spacing w:after="0"/>
              <w:rPr>
                <w:sz w:val="1"/>
                <w:szCs w:val="1"/>
                <w:color w:val="auto"/>
              </w:rPr>
            </w:pPr>
          </w:p>
        </w:tc>
      </w:tr>
      <w:tr>
        <w:trPr>
          <w:trHeight w:val="518"/>
        </w:trPr>
        <w:tc>
          <w:tcPr>
            <w:tcW w:w="48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w w:val="97"/>
              </w:rPr>
              <w:t>4.2</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 and Restated Investors’ Rights Agreement among</w:t>
            </w:r>
          </w:p>
        </w:tc>
        <w:tc>
          <w:tcPr>
            <w:tcW w:w="0" w:type="dxa"/>
            <w:vAlign w:val="bottom"/>
          </w:tcPr>
          <w:p>
            <w:pPr>
              <w:spacing w:after="0"/>
              <w:rPr>
                <w:sz w:val="1"/>
                <w:szCs w:val="1"/>
                <w:color w:val="auto"/>
              </w:rPr>
            </w:pPr>
          </w:p>
        </w:tc>
      </w:tr>
      <w:tr>
        <w:trPr>
          <w:trHeight w:val="176"/>
        </w:trPr>
        <w:tc>
          <w:tcPr>
            <w:tcW w:w="480" w:type="dxa"/>
            <w:vAlign w:val="bottom"/>
            <w:vMerge w:val="continue"/>
          </w:tcPr>
          <w:p>
            <w:pPr>
              <w:spacing w:after="0"/>
              <w:rPr>
                <w:sz w:val="15"/>
                <w:szCs w:val="15"/>
                <w:color w:val="auto"/>
              </w:rPr>
            </w:pPr>
          </w:p>
        </w:tc>
        <w:tc>
          <w:tcPr>
            <w:tcW w:w="4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w w:val="98"/>
              </w:rPr>
              <w:t>the Registrant and certain holders of its capital stock, dated as</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January 30, 2014, as amended.</w:t>
            </w:r>
          </w:p>
        </w:tc>
        <w:tc>
          <w:tcPr>
            <w:tcW w:w="0" w:type="dxa"/>
            <w:vAlign w:val="bottom"/>
          </w:tcPr>
          <w:p>
            <w:pPr>
              <w:spacing w:after="0"/>
              <w:rPr>
                <w:sz w:val="1"/>
                <w:szCs w:val="1"/>
                <w:color w:val="auto"/>
              </w:rPr>
            </w:pPr>
          </w:p>
        </w:tc>
      </w:tr>
      <w:tr>
        <w:trPr>
          <w:trHeight w:val="517"/>
        </w:trPr>
        <w:tc>
          <w:tcPr>
            <w:tcW w:w="48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w w:val="97"/>
              </w:rPr>
              <w:t>4.3</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No. 2 to the Amended and Restated Investors’</w:t>
            </w:r>
          </w:p>
        </w:tc>
        <w:tc>
          <w:tcPr>
            <w:tcW w:w="0" w:type="dxa"/>
            <w:vAlign w:val="bottom"/>
          </w:tcPr>
          <w:p>
            <w:pPr>
              <w:spacing w:after="0"/>
              <w:rPr>
                <w:sz w:val="1"/>
                <w:szCs w:val="1"/>
                <w:color w:val="auto"/>
              </w:rPr>
            </w:pPr>
          </w:p>
        </w:tc>
      </w:tr>
      <w:tr>
        <w:trPr>
          <w:trHeight w:val="176"/>
        </w:trPr>
        <w:tc>
          <w:tcPr>
            <w:tcW w:w="480" w:type="dxa"/>
            <w:vAlign w:val="bottom"/>
            <w:vMerge w:val="continue"/>
          </w:tcPr>
          <w:p>
            <w:pPr>
              <w:spacing w:after="0"/>
              <w:rPr>
                <w:sz w:val="15"/>
                <w:szCs w:val="15"/>
                <w:color w:val="auto"/>
              </w:rPr>
            </w:pPr>
          </w:p>
        </w:tc>
        <w:tc>
          <w:tcPr>
            <w:tcW w:w="4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w w:val="97"/>
              </w:rPr>
              <w:t>Rights Agreement among the Registrant and certain holders of</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its capital stock, dated as of March 27, 2018.</w:t>
            </w:r>
          </w:p>
        </w:tc>
        <w:tc>
          <w:tcPr>
            <w:tcW w:w="0" w:type="dxa"/>
            <w:vAlign w:val="bottom"/>
          </w:tcPr>
          <w:p>
            <w:pPr>
              <w:spacing w:after="0"/>
              <w:rPr>
                <w:sz w:val="1"/>
                <w:szCs w:val="1"/>
                <w:color w:val="auto"/>
              </w:rPr>
            </w:pPr>
          </w:p>
        </w:tc>
      </w:tr>
      <w:tr>
        <w:trPr>
          <w:trHeight w:val="502"/>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4.4</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Indenture, dated February 26, 2021, between the Registrant</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and U.S. Bank Trust Company, National Association (as</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w w:val="97"/>
              </w:rPr>
              <w:t>successor in interest to U.S. Bank National Association) (2026</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0" w:type="dxa"/>
            <w:vAlign w:val="bottom"/>
          </w:tcPr>
          <w:p>
            <w:pPr>
              <w:spacing w:after="0"/>
              <w:rPr>
                <w:sz w:val="1"/>
                <w:szCs w:val="1"/>
                <w:color w:val="auto"/>
              </w:rPr>
            </w:pPr>
          </w:p>
        </w:tc>
      </w:tr>
      <w:tr>
        <w:trPr>
          <w:trHeight w:val="492"/>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4.5</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Indenture, dated February 26, 2021, between the Registrant</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and U.S. Bank Trust Company, National Association (as</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w w:val="97"/>
              </w:rPr>
              <w:t>successor in interest to U.S. Bank National Association) (2028</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0" w:type="dxa"/>
            <w:vAlign w:val="bottom"/>
          </w:tcPr>
          <w:p>
            <w:pPr>
              <w:spacing w:after="0"/>
              <w:rPr>
                <w:sz w:val="1"/>
                <w:szCs w:val="1"/>
                <w:color w:val="auto"/>
              </w:rPr>
            </w:pPr>
          </w:p>
        </w:tc>
      </w:tr>
      <w:tr>
        <w:trPr>
          <w:trHeight w:val="484"/>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4.6</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0% Convertible Senior Note due 2026 (included in</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 4.4).</w:t>
            </w:r>
          </w:p>
        </w:tc>
        <w:tc>
          <w:tcPr>
            <w:tcW w:w="0" w:type="dxa"/>
            <w:vAlign w:val="bottom"/>
          </w:tcPr>
          <w:p>
            <w:pPr>
              <w:spacing w:after="0"/>
              <w:rPr>
                <w:sz w:val="1"/>
                <w:szCs w:val="1"/>
                <w:color w:val="auto"/>
              </w:rPr>
            </w:pPr>
          </w:p>
        </w:tc>
      </w:tr>
      <w:tr>
        <w:trPr>
          <w:trHeight w:val="488"/>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4.7</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0% Convertible Senior Note due 2028 (included in</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 4.5).</w:t>
            </w:r>
          </w:p>
        </w:tc>
        <w:tc>
          <w:tcPr>
            <w:tcW w:w="0" w:type="dxa"/>
            <w:vAlign w:val="bottom"/>
          </w:tcPr>
          <w:p>
            <w:pPr>
              <w:spacing w:after="0"/>
              <w:rPr>
                <w:sz w:val="1"/>
                <w:szCs w:val="1"/>
                <w:color w:val="auto"/>
              </w:rPr>
            </w:pPr>
          </w:p>
        </w:tc>
      </w:tr>
      <w:tr>
        <w:trPr>
          <w:trHeight w:val="562"/>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5"/>
              </w:rPr>
              <w:t>4.8*</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0" w:type="dxa"/>
            <w:vAlign w:val="bottom"/>
          </w:tcPr>
          <w:p>
            <w:pPr>
              <w:spacing w:after="0"/>
              <w:rPr>
                <w:sz w:val="1"/>
                <w:szCs w:val="1"/>
                <w:color w:val="auto"/>
              </w:rPr>
            </w:pPr>
          </w:p>
        </w:tc>
      </w:tr>
      <w:tr>
        <w:trPr>
          <w:trHeight w:val="504"/>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4.9</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Indenture dated March 3, 2025 between the</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Company and U.S. Bank Trust Company, National</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Association (2026 Notes).</w:t>
            </w:r>
          </w:p>
        </w:tc>
        <w:tc>
          <w:tcPr>
            <w:tcW w:w="0" w:type="dxa"/>
            <w:vAlign w:val="bottom"/>
          </w:tcPr>
          <w:p>
            <w:pPr>
              <w:spacing w:after="0"/>
              <w:rPr>
                <w:sz w:val="1"/>
                <w:szCs w:val="1"/>
                <w:color w:val="auto"/>
              </w:rPr>
            </w:pPr>
          </w:p>
        </w:tc>
      </w:tr>
      <w:tr>
        <w:trPr>
          <w:trHeight w:val="473"/>
        </w:trPr>
        <w:tc>
          <w:tcPr>
            <w:tcW w:w="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5"/>
              </w:rPr>
              <w:t>4.10</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Indenture dated March 3, 2025 between the</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Company and U.S. Bank Trust Company, National</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Association (2028 Notes).</w:t>
            </w: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5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91"/>
              </w:rPr>
              <w:t>10.1+</w:t>
            </w: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Form of Indemnification Agreement between the Registrant</w:t>
            </w:r>
          </w:p>
        </w:tc>
        <w:tc>
          <w:tcPr>
            <w:tcW w:w="0" w:type="dxa"/>
            <w:vAlign w:val="bottom"/>
          </w:tcPr>
          <w:p>
            <w:pPr>
              <w:spacing w:after="0"/>
              <w:rPr>
                <w:sz w:val="1"/>
                <w:szCs w:val="1"/>
                <w:color w:val="auto"/>
              </w:rPr>
            </w:pPr>
          </w:p>
        </w:tc>
      </w:tr>
      <w:tr>
        <w:trPr>
          <w:trHeight w:val="140"/>
        </w:trPr>
        <w:tc>
          <w:tcPr>
            <w:tcW w:w="560" w:type="dxa"/>
            <w:vAlign w:val="bottom"/>
            <w:vMerge w:val="continue"/>
          </w:tcPr>
          <w:p>
            <w:pPr>
              <w:spacing w:after="0"/>
              <w:rPr>
                <w:sz w:val="12"/>
                <w:szCs w:val="12"/>
                <w:color w:val="auto"/>
              </w:rPr>
            </w:pPr>
          </w:p>
        </w:tc>
        <w:tc>
          <w:tcPr>
            <w:tcW w:w="4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and certain of its directors and executive officers.</w:t>
            </w:r>
          </w:p>
        </w:tc>
        <w:tc>
          <w:tcPr>
            <w:tcW w:w="0" w:type="dxa"/>
            <w:vAlign w:val="bottom"/>
          </w:tcPr>
          <w:p>
            <w:pPr>
              <w:spacing w:after="0"/>
              <w:rPr>
                <w:sz w:val="1"/>
                <w:szCs w:val="1"/>
                <w:color w:val="auto"/>
              </w:rPr>
            </w:pPr>
          </w:p>
        </w:tc>
      </w:tr>
      <w:tr>
        <w:trPr>
          <w:trHeight w:val="89"/>
        </w:trPr>
        <w:tc>
          <w:tcPr>
            <w:tcW w:w="56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7"/>
        </w:trPr>
        <w:tc>
          <w:tcPr>
            <w:tcW w:w="5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91"/>
              </w:rPr>
              <w:t>10.2+</w:t>
            </w: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Dropbox, Inc. 2018 Equity Incentive Plan and related form</w:t>
            </w:r>
          </w:p>
        </w:tc>
        <w:tc>
          <w:tcPr>
            <w:tcW w:w="0" w:type="dxa"/>
            <w:vAlign w:val="bottom"/>
          </w:tcPr>
          <w:p>
            <w:pPr>
              <w:spacing w:after="0"/>
              <w:rPr>
                <w:sz w:val="1"/>
                <w:szCs w:val="1"/>
                <w:color w:val="auto"/>
              </w:rPr>
            </w:pPr>
          </w:p>
        </w:tc>
      </w:tr>
      <w:tr>
        <w:trPr>
          <w:trHeight w:val="140"/>
        </w:trPr>
        <w:tc>
          <w:tcPr>
            <w:tcW w:w="560" w:type="dxa"/>
            <w:vAlign w:val="bottom"/>
            <w:vMerge w:val="continue"/>
          </w:tcPr>
          <w:p>
            <w:pPr>
              <w:spacing w:after="0"/>
              <w:rPr>
                <w:sz w:val="12"/>
                <w:szCs w:val="12"/>
                <w:color w:val="auto"/>
              </w:rPr>
            </w:pPr>
          </w:p>
        </w:tc>
        <w:tc>
          <w:tcPr>
            <w:tcW w:w="4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agreements, as amended.</w:t>
            </w:r>
          </w:p>
        </w:tc>
        <w:tc>
          <w:tcPr>
            <w:tcW w:w="0" w:type="dxa"/>
            <w:vAlign w:val="bottom"/>
          </w:tcPr>
          <w:p>
            <w:pPr>
              <w:spacing w:after="0"/>
              <w:rPr>
                <w:sz w:val="1"/>
                <w:szCs w:val="1"/>
                <w:color w:val="auto"/>
              </w:rPr>
            </w:pPr>
          </w:p>
        </w:tc>
      </w:tr>
      <w:tr>
        <w:trPr>
          <w:trHeight w:val="89"/>
        </w:trPr>
        <w:tc>
          <w:tcPr>
            <w:tcW w:w="56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7"/>
        </w:trPr>
        <w:tc>
          <w:tcPr>
            <w:tcW w:w="5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91"/>
              </w:rPr>
              <w:t>10.3+</w:t>
            </w: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Dropbox, Inc. 2018 Employee Stock Purchase Plan and</w:t>
            </w:r>
          </w:p>
        </w:tc>
        <w:tc>
          <w:tcPr>
            <w:tcW w:w="0" w:type="dxa"/>
            <w:vAlign w:val="bottom"/>
          </w:tcPr>
          <w:p>
            <w:pPr>
              <w:spacing w:after="0"/>
              <w:rPr>
                <w:sz w:val="1"/>
                <w:szCs w:val="1"/>
                <w:color w:val="auto"/>
              </w:rPr>
            </w:pPr>
          </w:p>
        </w:tc>
      </w:tr>
      <w:tr>
        <w:trPr>
          <w:trHeight w:val="140"/>
        </w:trPr>
        <w:tc>
          <w:tcPr>
            <w:tcW w:w="560" w:type="dxa"/>
            <w:vAlign w:val="bottom"/>
            <w:vMerge w:val="continue"/>
          </w:tcPr>
          <w:p>
            <w:pPr>
              <w:spacing w:after="0"/>
              <w:rPr>
                <w:sz w:val="12"/>
                <w:szCs w:val="12"/>
                <w:color w:val="auto"/>
              </w:rPr>
            </w:pPr>
          </w:p>
        </w:tc>
        <w:tc>
          <w:tcPr>
            <w:tcW w:w="4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related form agreements.</w:t>
            </w:r>
          </w:p>
        </w:tc>
        <w:tc>
          <w:tcPr>
            <w:tcW w:w="0" w:type="dxa"/>
            <w:vAlign w:val="bottom"/>
          </w:tcPr>
          <w:p>
            <w:pPr>
              <w:spacing w:after="0"/>
              <w:rPr>
                <w:sz w:val="1"/>
                <w:szCs w:val="1"/>
                <w:color w:val="auto"/>
              </w:rPr>
            </w:pPr>
          </w:p>
        </w:tc>
      </w:tr>
      <w:tr>
        <w:trPr>
          <w:trHeight w:val="89"/>
        </w:trPr>
        <w:tc>
          <w:tcPr>
            <w:tcW w:w="56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001-38484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March 10, 2025</w:t>
            </w:r>
          </w:p>
        </w:tc>
      </w:tr>
      <w:tr>
        <w:trPr>
          <w:trHeight w:val="551"/>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March 10, 2025</w:t>
            </w:r>
          </w:p>
        </w:tc>
      </w:tr>
      <w:tr>
        <w:trPr>
          <w:trHeight w:val="570"/>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March 10, 2025</w:t>
            </w:r>
          </w:p>
        </w:tc>
      </w:tr>
      <w:tr>
        <w:trPr>
          <w:trHeight w:val="570"/>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March 12, 2018</w:t>
            </w:r>
          </w:p>
        </w:tc>
      </w:tr>
      <w:tr>
        <w:trPr>
          <w:trHeight w:val="746"/>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6"/>
              </w:rPr>
              <w:t>February 23, 2018</w:t>
            </w:r>
          </w:p>
        </w:tc>
      </w:tr>
      <w:tr>
        <w:trPr>
          <w:trHeight w:val="921"/>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5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7"/>
              </w:rPr>
              <w:t>May 11, 2018</w:t>
            </w:r>
          </w:p>
        </w:tc>
      </w:tr>
      <w:tr>
        <w:trPr>
          <w:trHeight w:val="994"/>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6"/>
              </w:rPr>
              <w:t>February 26, 2021</w:t>
            </w:r>
          </w:p>
        </w:tc>
      </w:tr>
      <w:tr>
        <w:trPr>
          <w:trHeight w:val="1068"/>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6"/>
              </w:rPr>
              <w:t>February 26, 2021</w:t>
            </w:r>
          </w:p>
        </w:tc>
      </w:tr>
      <w:tr>
        <w:trPr>
          <w:trHeight w:val="892"/>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6"/>
              </w:rPr>
              <w:t>February 26, 2021</w:t>
            </w:r>
          </w:p>
        </w:tc>
      </w:tr>
      <w:tr>
        <w:trPr>
          <w:trHeight w:val="717"/>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6"/>
              </w:rPr>
              <w:t>February 26, 2021</w:t>
            </w:r>
          </w:p>
        </w:tc>
      </w:tr>
      <w:tr>
        <w:trPr>
          <w:trHeight w:val="1382"/>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March 10, 2025</w:t>
            </w:r>
          </w:p>
        </w:tc>
      </w:tr>
      <w:tr>
        <w:trPr>
          <w:trHeight w:val="878"/>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March 10, 2025</w:t>
            </w:r>
          </w:p>
        </w:tc>
      </w:tr>
      <w:tr>
        <w:trPr>
          <w:trHeight w:val="812"/>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6"/>
              </w:rPr>
              <w:t>February 23, 2018</w:t>
            </w:r>
          </w:p>
        </w:tc>
      </w:tr>
      <w:tr>
        <w:trPr>
          <w:trHeight w:val="746"/>
        </w:trPr>
        <w:tc>
          <w:tcPr>
            <w:tcW w:w="6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6"/>
              </w:rPr>
              <w:t>February 21, 2025</w:t>
            </w:r>
          </w:p>
        </w:tc>
      </w:tr>
      <w:tr>
        <w:trPr>
          <w:trHeight w:val="746"/>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March 21, 2018</w:t>
            </w:r>
          </w:p>
        </w:tc>
      </w:tr>
    </w:tbl>
    <w:p>
      <w:pPr>
        <w:spacing w:after="0" w:line="288" w:lineRule="exact"/>
        <w:rPr>
          <w:sz w:val="20"/>
          <w:szCs w:val="20"/>
          <w:color w:val="auto"/>
        </w:rPr>
      </w:pPr>
    </w:p>
    <w:p>
      <w:pPr>
        <w:sectPr>
          <w:pgSz w:w="11880" w:h="15480" w:orient="portrait"/>
          <w:cols w:equalWidth="0" w:num="2">
            <w:col w:w="5200" w:space="300"/>
            <w:col w:w="4200"/>
          </w:cols>
          <w:pgMar w:left="1040" w:top="689" w:right="1140" w:bottom="0" w:gutter="0" w:footer="0" w:header="0"/>
          <w:type w:val="continuous"/>
        </w:sectPr>
      </w:pP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ectPr>
          <w:pgSz w:w="11880" w:h="15480" w:orient="portrait"/>
          <w:cols w:equalWidth="0" w:num="1">
            <w:col w:w="9700"/>
          </w:cols>
          <w:pgMar w:left="1040" w:top="689" w:right="1140" w:bottom="0" w:gutter="0" w:footer="0" w:header="0"/>
          <w:type w:val="continuous"/>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10.11+</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10.13+</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10.17</w:t>
      </w: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10.18</w:t>
      </w: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10.19</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Dropbox, Inc. 2018 Class C Stock Incentive Plan and related form agreements.</w:t>
      </w:r>
    </w:p>
    <w:p>
      <w:pPr>
        <w:spacing w:after="0" w:line="342"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Dropbox, Inc. 2018 Class C Employee Stock Purchase Plan and related form agreements.</w:t>
      </w:r>
    </w:p>
    <w:p>
      <w:pPr>
        <w:spacing w:after="0" w:line="342"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8"/>
          <w:szCs w:val="18"/>
          <w:color w:val="auto"/>
        </w:rPr>
        <w:t>Dropbox, Inc. 2017 Equity Incentive Plan and related form agreements.</w:t>
      </w:r>
    </w:p>
    <w:p>
      <w:pPr>
        <w:spacing w:after="0" w:line="342"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Dropbox, Inc. 2008 Equity Incentive Plan, as amended, and related form agreements.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Dropbox, Inc. Amended and Restated Cash Bonus Plan.</w:t>
      </w:r>
    </w:p>
    <w:p>
      <w:pPr>
        <w:spacing w:after="0" w:line="363"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8"/>
          <w:szCs w:val="18"/>
          <w:color w:val="auto"/>
        </w:rPr>
        <w:t>Restricted Stock Agreement between the Registrant and Andrew W. Houston.</w:t>
      </w:r>
    </w:p>
    <w:p>
      <w:pPr>
        <w:spacing w:after="0" w:line="328"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Revised Form of Change of Control and Severance Agreement as of February 2024 between the Registrant and certain executive officers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Letter between the Registrant and Andrew W.</w:t>
      </w:r>
    </w:p>
    <w:p>
      <w:pPr>
        <w:spacing w:after="0"/>
        <w:rPr>
          <w:sz w:val="20"/>
          <w:szCs w:val="20"/>
          <w:color w:val="auto"/>
        </w:rPr>
      </w:pPr>
      <w:r>
        <w:rPr>
          <w:rFonts w:ascii="Times New Roman" w:cs="Times New Roman" w:eastAsia="Times New Roman" w:hAnsi="Times New Roman"/>
          <w:sz w:val="18"/>
          <w:szCs w:val="18"/>
          <w:color w:val="auto"/>
        </w:rPr>
        <w:t>Houston.</w:t>
      </w:r>
    </w:p>
    <w:p>
      <w:pPr>
        <w:spacing w:after="0" w:line="363"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8"/>
          <w:szCs w:val="18"/>
          <w:color w:val="auto"/>
        </w:rPr>
        <w:t>Form of Restricted Stock Agreement between the Registrant and certain executive officers.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Letter between the Registrant and Timothy Regan</w:t>
      </w:r>
    </w:p>
    <w:p>
      <w:pPr>
        <w:spacing w:after="0" w:line="349"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8"/>
          <w:szCs w:val="18"/>
          <w:color w:val="auto"/>
        </w:rPr>
        <w:t>Office Lease between the Registrant and KR Mission Bay, LLC, dated as of October 6, 2017.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Amendment to Office Lease between Dropbox, Inc.</w:t>
      </w:r>
    </w:p>
    <w:p>
      <w:pPr>
        <w:spacing w:after="0"/>
        <w:rPr>
          <w:sz w:val="20"/>
          <w:szCs w:val="20"/>
          <w:color w:val="auto"/>
        </w:rPr>
      </w:pPr>
      <w:r>
        <w:rPr>
          <w:rFonts w:ascii="Times New Roman" w:cs="Times New Roman" w:eastAsia="Times New Roman" w:hAnsi="Times New Roman"/>
          <w:sz w:val="18"/>
          <w:szCs w:val="18"/>
          <w:color w:val="auto"/>
        </w:rPr>
        <w:t>and KR Mission Bay, LLC, dated as of May 25, 2018.</w:t>
      </w:r>
    </w:p>
    <w:p>
      <w:pPr>
        <w:spacing w:after="0" w:line="349"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Purchase Agreement, dated February 23, 2021, by and among the Registrant and J.P. Morgan Securities LLC and Goldman Sachs &amp; Co. LLC, as representatives of the several initial purchasers listed in Schedule I thereto.</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Convertible Note Hedge Confirmation (2026 Notes).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Convertible Note Hedge Confirmation (2028 Notes).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2026 Warrant Confirmation.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2028 Warrant Confirmation.</w:t>
      </w:r>
    </w:p>
    <w:p>
      <w:pPr>
        <w:spacing w:after="0" w:line="363" w:lineRule="exact"/>
        <w:rPr>
          <w:sz w:val="20"/>
          <w:szCs w:val="20"/>
          <w:color w:val="auto"/>
        </w:rPr>
      </w:pPr>
    </w:p>
    <w:p>
      <w:pPr>
        <w:ind w:right="380"/>
        <w:spacing w:after="0" w:line="234" w:lineRule="auto"/>
        <w:rPr>
          <w:sz w:val="20"/>
          <w:szCs w:val="20"/>
          <w:color w:val="auto"/>
        </w:rPr>
      </w:pPr>
      <w:r>
        <w:rPr>
          <w:rFonts w:ascii="Times New Roman" w:cs="Times New Roman" w:eastAsia="Times New Roman" w:hAnsi="Times New Roman"/>
          <w:sz w:val="18"/>
          <w:szCs w:val="18"/>
          <w:color w:val="auto"/>
        </w:rPr>
        <w:t>Dropbox, Inc. Outside Director Compensation Policy and related form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2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6"/>
                <w:szCs w:val="16"/>
                <w:b w:val="1"/>
                <w:bCs w:val="1"/>
                <w:color w:val="auto"/>
                <w:w w:val="96"/>
              </w:rPr>
              <w:t>Filed with SEC</w:t>
            </w:r>
          </w:p>
        </w:tc>
      </w:tr>
      <w:tr>
        <w:trPr>
          <w:trHeight w:val="641"/>
        </w:trPr>
        <w:tc>
          <w:tcPr>
            <w:tcW w:w="6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7"/>
              </w:rPr>
              <w:t>March 21, 2018</w:t>
            </w:r>
          </w:p>
        </w:tc>
      </w:tr>
      <w:tr>
        <w:trPr>
          <w:trHeight w:val="746"/>
        </w:trPr>
        <w:tc>
          <w:tcPr>
            <w:tcW w:w="6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7"/>
              </w:rPr>
              <w:t>March 21, 2018</w:t>
            </w:r>
          </w:p>
        </w:tc>
      </w:tr>
      <w:tr>
        <w:trPr>
          <w:trHeight w:val="746"/>
        </w:trPr>
        <w:tc>
          <w:tcPr>
            <w:tcW w:w="6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7"/>
              </w:rPr>
              <w:t>March 21, 2018</w:t>
            </w:r>
          </w:p>
        </w:tc>
      </w:tr>
      <w:tr>
        <w:trPr>
          <w:trHeight w:val="746"/>
        </w:trPr>
        <w:tc>
          <w:tcPr>
            <w:tcW w:w="6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7"/>
              </w:rPr>
              <w:t>March 21, 2018</w:t>
            </w:r>
          </w:p>
        </w:tc>
      </w:tr>
      <w:tr>
        <w:trPr>
          <w:trHeight w:val="658"/>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19, 2021</w:t>
            </w:r>
          </w:p>
        </w:tc>
      </w:tr>
      <w:tr>
        <w:trPr>
          <w:trHeight w:val="658"/>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23, 2018</w:t>
            </w:r>
          </w:p>
        </w:tc>
      </w:tr>
      <w:tr>
        <w:trPr>
          <w:trHeight w:val="819"/>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16, 2024</w:t>
            </w:r>
          </w:p>
        </w:tc>
      </w:tr>
      <w:tr>
        <w:trPr>
          <w:trHeight w:val="819"/>
        </w:trPr>
        <w:tc>
          <w:tcPr>
            <w:tcW w:w="6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7"/>
              </w:rPr>
              <w:t>March 12, 2018</w:t>
            </w:r>
          </w:p>
        </w:tc>
      </w:tr>
      <w:tr>
        <w:trPr>
          <w:trHeight w:val="746"/>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21, 2020</w:t>
            </w:r>
          </w:p>
        </w:tc>
      </w:tr>
      <w:tr>
        <w:trPr>
          <w:trHeight w:val="644"/>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7"/>
              </w:rPr>
              <w:t>August 7, 2020</w:t>
            </w:r>
          </w:p>
        </w:tc>
      </w:tr>
      <w:tr>
        <w:trPr>
          <w:trHeight w:val="644"/>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333-223182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23, 2018</w:t>
            </w:r>
          </w:p>
        </w:tc>
      </w:tr>
      <w:tr>
        <w:trPr>
          <w:trHeight w:val="746"/>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7"/>
              </w:rPr>
              <w:t>August 10, 2018</w:t>
            </w:r>
          </w:p>
        </w:tc>
      </w:tr>
      <w:tr>
        <w:trPr>
          <w:trHeight w:val="907"/>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26, 2021</w:t>
            </w:r>
          </w:p>
        </w:tc>
      </w:tr>
      <w:tr>
        <w:trPr>
          <w:trHeight w:val="819"/>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26, 2021</w:t>
            </w:r>
          </w:p>
        </w:tc>
      </w:tr>
      <w:tr>
        <w:trPr>
          <w:trHeight w:val="556"/>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26, 2021</w:t>
            </w:r>
          </w:p>
        </w:tc>
      </w:tr>
      <w:tr>
        <w:trPr>
          <w:trHeight w:val="541"/>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26, 2021</w:t>
            </w:r>
          </w:p>
        </w:tc>
      </w:tr>
      <w:tr>
        <w:trPr>
          <w:trHeight w:val="570"/>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26, 2021</w:t>
            </w:r>
          </w:p>
        </w:tc>
      </w:tr>
      <w:tr>
        <w:trPr>
          <w:trHeight w:val="658"/>
        </w:trPr>
        <w:tc>
          <w:tcPr>
            <w:tcW w:w="6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4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February 21, 2020</w:t>
            </w:r>
          </w:p>
        </w:tc>
      </w:tr>
    </w:tbl>
    <w:p>
      <w:pPr>
        <w:spacing w:after="0" w:line="287" w:lineRule="exact"/>
        <w:rPr>
          <w:sz w:val="20"/>
          <w:szCs w:val="20"/>
          <w:color w:val="auto"/>
        </w:rPr>
      </w:pPr>
    </w:p>
    <w:p>
      <w:pPr>
        <w:sectPr>
          <w:pgSz w:w="11880" w:h="15480" w:orient="portrait"/>
          <w:cols w:equalWidth="0" w:num="3">
            <w:col w:w="500" w:space="260"/>
            <w:col w:w="4420" w:space="280"/>
            <w:col w:w="4200"/>
          </w:cols>
          <w:pgMar w:left="1080" w:top="1104"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ectPr>
          <w:pgSz w:w="11880" w:h="15480" w:orient="portrait"/>
          <w:cols w:equalWidth="0" w:num="1">
            <w:col w:w="9660"/>
          </w:cols>
          <w:pgMar w:left="1080" w:top="1104" w:right="1140" w:bottom="0" w:gutter="0" w:footer="0" w:header="0"/>
          <w:type w:val="continuous"/>
        </w:sectPr>
      </w:pPr>
    </w:p>
    <w:bookmarkStart w:id="217" w:name="page218"/>
    <w:bookmarkEnd w:id="217"/>
    <w:p>
      <w:pPr>
        <w:spacing w:after="0" w:line="3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10.28</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10.29+*</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10.30*+</w:t>
      </w:r>
    </w:p>
    <w:p>
      <w:pPr>
        <w:spacing w:after="0" w:line="3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19.1*</w:t>
      </w:r>
    </w:p>
    <w:p>
      <w:pPr>
        <w:spacing w:after="0" w:line="3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21.1*</w:t>
      </w:r>
    </w:p>
    <w:p>
      <w:pPr>
        <w:spacing w:after="0" w:line="3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23.1*</w:t>
      </w:r>
    </w:p>
    <w:p>
      <w:pPr>
        <w:spacing w:after="0" w:line="3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24.1*</w:t>
      </w: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97.1</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8"/>
          <w:szCs w:val="18"/>
          <w:color w:val="auto"/>
        </w:rPr>
        <w:t>Eighth Amendment to Office Lease, dated November 1, 2021 and executed on December 16, 2021, by and between the Registrant and KRE Exchange Owner LLC</w:t>
      </w:r>
    </w:p>
    <w:p>
      <w:pPr>
        <w:spacing w:after="0" w:line="313"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8"/>
          <w:szCs w:val="18"/>
          <w:color w:val="auto"/>
        </w:rPr>
        <w:t>Eleventh Amendment to Office Lease, dated October 1, 2023 and executed on October 17, 2023, by and between the Registrant and KRE Exchange Owner LLC</w:t>
      </w:r>
    </w:p>
    <w:p>
      <w:pPr>
        <w:spacing w:after="0" w:line="298"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color w:val="auto"/>
        </w:rPr>
        <w:t>Credit and Guaranty Agreement, dated as of December 11, 2024, by and among the Registrant, the guarantors party thereto, the lenders party thereto, including Blackstone Private Credit Fund and certain of its affiliates, the issuing bank, and the administrative agent and collateral agent.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Letter between the Registrant and Ashraf Alkarmi.</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Letter between the Registrant and Ali Dasdan.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Letter between the Registrant and William Yoon.</w:t>
      </w:r>
    </w:p>
    <w:p>
      <w:pPr>
        <w:spacing w:after="0" w:line="34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auto"/>
        </w:rPr>
        <w:t>Amendment No. 1 to Credit and Guaranty Agreement, dated as of September 9, 2025, by and among the Company, the guarantors party thereto, the lenders party thereto, the issuing bank and the administrative agent and collateral agent.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Letter between the Registrant and Ross Tennenbaum.</w:t>
      </w:r>
    </w:p>
    <w:p>
      <w:pPr>
        <w:spacing w:after="0" w:line="35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6"/>
          <w:szCs w:val="16"/>
          <w:color w:val="auto"/>
        </w:rPr>
        <w:t>Form of Indemnification Agreement between the Registrant and certain of its directors and executive officers.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subsidiaries of the Registrant.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 (included in signature pages hereto).</w:t>
      </w:r>
    </w:p>
    <w:p>
      <w:pPr>
        <w:spacing w:after="0" w:line="34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Certification of Principal Executive Officer pursuant to Exchange Act Rules 13a-14(a) and 15d-14(a), as adopted pursuant to Section 302 of the Sarbanes-Oxley Act of 2002.</w:t>
      </w:r>
    </w:p>
    <w:p>
      <w:pPr>
        <w:spacing w:after="0" w:line="3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Certification of Principal Financial Officer pursuant to Exchange Act Rules 13a-14(a) and 15d-14(a), as adopted pursuant to Section 302 of the Sarbanes-Oxley Act of 2002.</w:t>
      </w:r>
    </w:p>
    <w:p>
      <w:pPr>
        <w:spacing w:after="0" w:line="299"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 pursuant to 18 U.S.C. Section 1350 as adopted pursuant to Section 906 of the Sarbanes-Oxley Act of 2002.</w:t>
      </w:r>
    </w:p>
    <w:p>
      <w:pPr>
        <w:spacing w:after="0" w:line="301" w:lineRule="exact"/>
        <w:rPr>
          <w:sz w:val="20"/>
          <w:szCs w:val="20"/>
          <w:color w:val="auto"/>
        </w:rPr>
      </w:pPr>
    </w:p>
    <w:p>
      <w:pPr>
        <w:ind w:right="400"/>
        <w:spacing w:after="0" w:line="234" w:lineRule="auto"/>
        <w:rPr>
          <w:sz w:val="20"/>
          <w:szCs w:val="20"/>
          <w:color w:val="auto"/>
        </w:rPr>
      </w:pPr>
      <w:r>
        <w:rPr>
          <w:rFonts w:ascii="Times New Roman" w:cs="Times New Roman" w:eastAsia="Times New Roman" w:hAnsi="Times New Roman"/>
          <w:sz w:val="18"/>
          <w:szCs w:val="18"/>
          <w:color w:val="auto"/>
        </w:rPr>
        <w:t>Dropbox, Inc. Incentive- Based Compensation Recovery Policy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60" w:type="dxa"/>
            <w:vAlign w:val="bottom"/>
          </w:tcPr>
          <w:p>
            <w:pPr>
              <w:jc w:val="center"/>
              <w:ind w:left="73"/>
              <w:spacing w:after="0"/>
              <w:rPr>
                <w:sz w:val="20"/>
                <w:szCs w:val="20"/>
                <w:color w:val="auto"/>
              </w:rPr>
            </w:pPr>
            <w:r>
              <w:rPr>
                <w:rFonts w:ascii="Times New Roman" w:cs="Times New Roman" w:eastAsia="Times New Roman" w:hAnsi="Times New Roman"/>
                <w:sz w:val="16"/>
                <w:szCs w:val="16"/>
                <w:b w:val="1"/>
                <w:bCs w:val="1"/>
                <w:color w:val="auto"/>
                <w:w w:val="96"/>
              </w:rPr>
              <w:t>Filed with SEC</w:t>
            </w:r>
          </w:p>
        </w:tc>
      </w:tr>
      <w:tr>
        <w:trPr>
          <w:trHeight w:val="422"/>
        </w:trPr>
        <w:tc>
          <w:tcPr>
            <w:tcW w:w="5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5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6"/>
              </w:rPr>
              <w:t>February 18, 2022</w:t>
            </w:r>
          </w:p>
        </w:tc>
      </w:tr>
      <w:tr>
        <w:trPr>
          <w:trHeight w:val="892"/>
        </w:trPr>
        <w:tc>
          <w:tcPr>
            <w:tcW w:w="5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5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6"/>
              </w:rPr>
              <w:t>February 16, 2024</w:t>
            </w:r>
          </w:p>
        </w:tc>
      </w:tr>
      <w:tr>
        <w:trPr>
          <w:trHeight w:val="1053"/>
        </w:trPr>
        <w:tc>
          <w:tcPr>
            <w:tcW w:w="5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1016"/>
        </w:trPr>
        <w:tc>
          <w:tcPr>
            <w:tcW w:w="5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6"/>
              </w:rPr>
              <w:t>May 9, 2025</w:t>
            </w:r>
          </w:p>
        </w:tc>
      </w:tr>
      <w:tr>
        <w:trPr>
          <w:trHeight w:val="688"/>
        </w:trPr>
        <w:tc>
          <w:tcPr>
            <w:tcW w:w="5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5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6"/>
              </w:rPr>
              <w:t>May 9, 2025</w:t>
            </w:r>
          </w:p>
        </w:tc>
      </w:tr>
      <w:tr>
        <w:trPr>
          <w:trHeight w:val="622"/>
        </w:trPr>
        <w:tc>
          <w:tcPr>
            <w:tcW w:w="5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5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6"/>
              </w:rPr>
              <w:t>May 9, 2025</w:t>
            </w:r>
          </w:p>
        </w:tc>
      </w:tr>
      <w:tr>
        <w:trPr>
          <w:trHeight w:val="819"/>
        </w:trPr>
        <w:tc>
          <w:tcPr>
            <w:tcW w:w="5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001-38434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7"/>
              </w:rPr>
              <w:t>September 9,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780" w:val="left"/>
          <w:tab w:leader="none" w:pos="2060" w:val="left"/>
          <w:tab w:leader="none" w:pos="28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001-38434</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6"/>
          <w:szCs w:val="16"/>
          <w:color w:val="auto"/>
        </w:rPr>
        <w:t>February 16, 2024</w:t>
      </w:r>
    </w:p>
    <w:p>
      <w:pPr>
        <w:spacing w:after="0" w:line="308" w:lineRule="exact"/>
        <w:rPr>
          <w:sz w:val="20"/>
          <w:szCs w:val="20"/>
          <w:color w:val="auto"/>
        </w:rPr>
      </w:pPr>
    </w:p>
    <w:p>
      <w:pPr>
        <w:sectPr>
          <w:pgSz w:w="11880" w:h="15480" w:orient="portrait"/>
          <w:cols w:equalWidth="0" w:num="3">
            <w:col w:w="580" w:space="220"/>
            <w:col w:w="4380" w:space="360"/>
            <w:col w:w="4220"/>
          </w:cols>
          <w:pgMar w:left="1040" w:top="1104" w:right="108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880" w:h="15480" w:orient="portrait"/>
          <w:cols w:equalWidth="0" w:num="1">
            <w:col w:w="9760"/>
          </w:cols>
          <w:pgMar w:left="1040" w:top="1104" w:right="1080" w:bottom="0" w:gutter="0" w:footer="0" w:header="0"/>
          <w:type w:val="continuous"/>
        </w:sectPr>
      </w:pPr>
    </w:p>
    <w:bookmarkStart w:id="218" w:name="page219"/>
    <w:bookmarkEnd w:id="218"/>
    <w:p>
      <w:pPr>
        <w:ind w:left="5640"/>
        <w:spacing w:after="0"/>
        <w:tabs>
          <w:tab w:leader="none" w:pos="6380" w:val="left"/>
          <w:tab w:leader="none" w:pos="7600" w:val="left"/>
          <w:tab w:leader="none" w:pos="864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File Number</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Filed with SEC</w:t>
      </w:r>
    </w:p>
    <w:p>
      <w:pPr>
        <w:spacing w:after="0" w:line="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financial statements from the Company's</w:t>
      </w:r>
    </w:p>
    <w:p>
      <w:pPr>
        <w:ind w:left="900"/>
        <w:spacing w:after="0" w:line="203" w:lineRule="auto"/>
        <w:rPr>
          <w:sz w:val="20"/>
          <w:szCs w:val="20"/>
          <w:color w:val="auto"/>
        </w:rPr>
      </w:pPr>
      <w:r>
        <w:rPr>
          <w:rFonts w:ascii="Times New Roman" w:cs="Times New Roman" w:eastAsia="Times New Roman" w:hAnsi="Times New Roman"/>
          <w:sz w:val="18"/>
          <w:szCs w:val="18"/>
          <w:color w:val="auto"/>
        </w:rPr>
        <w:t>Annual Report on Form 10-K for the fiscal year ended</w:t>
      </w:r>
    </w:p>
    <w:p>
      <w:pPr>
        <w:ind w:left="900"/>
        <w:spacing w:after="0" w:line="204" w:lineRule="auto"/>
        <w:rPr>
          <w:sz w:val="20"/>
          <w:szCs w:val="20"/>
          <w:color w:val="auto"/>
        </w:rPr>
      </w:pPr>
      <w:r>
        <w:rPr>
          <w:rFonts w:ascii="Times New Roman" w:cs="Times New Roman" w:eastAsia="Times New Roman" w:hAnsi="Times New Roman"/>
          <w:sz w:val="18"/>
          <w:szCs w:val="18"/>
          <w:color w:val="auto"/>
        </w:rPr>
        <w:t>December 31, 2025, formatted in Inline XBRL: (i)</w:t>
      </w:r>
    </w:p>
    <w:p>
      <w:pPr>
        <w:ind w:left="260"/>
        <w:spacing w:after="0" w:line="203" w:lineRule="auto"/>
        <w:tabs>
          <w:tab w:leader="none" w:pos="8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Consolidated Balance Sheets, (ii) Consolidated Statement of</w:t>
      </w:r>
    </w:p>
    <w:p>
      <w:pPr>
        <w:ind w:left="900"/>
        <w:spacing w:after="0" w:line="204" w:lineRule="auto"/>
        <w:rPr>
          <w:sz w:val="20"/>
          <w:szCs w:val="20"/>
          <w:color w:val="auto"/>
        </w:rPr>
      </w:pPr>
      <w:r>
        <w:rPr>
          <w:rFonts w:ascii="Times New Roman" w:cs="Times New Roman" w:eastAsia="Times New Roman" w:hAnsi="Times New Roman"/>
          <w:sz w:val="18"/>
          <w:szCs w:val="18"/>
          <w:color w:val="auto"/>
        </w:rPr>
        <w:t>Operations, (iii) Consolidated Statements of Comprehensive</w:t>
      </w:r>
    </w:p>
    <w:p>
      <w:pPr>
        <w:ind w:left="900"/>
        <w:spacing w:after="0" w:line="203" w:lineRule="auto"/>
        <w:rPr>
          <w:sz w:val="20"/>
          <w:szCs w:val="20"/>
          <w:color w:val="auto"/>
        </w:rPr>
      </w:pPr>
      <w:r>
        <w:rPr>
          <w:rFonts w:ascii="Times New Roman" w:cs="Times New Roman" w:eastAsia="Times New Roman" w:hAnsi="Times New Roman"/>
          <w:sz w:val="18"/>
          <w:szCs w:val="18"/>
          <w:color w:val="auto"/>
        </w:rPr>
        <w:t>Income, (iv) Consolidated Statement of Cash Flows, (v)</w:t>
      </w:r>
    </w:p>
    <w:p>
      <w:pPr>
        <w:ind w:left="900"/>
        <w:spacing w:after="0" w:line="204" w:lineRule="auto"/>
        <w:rPr>
          <w:sz w:val="20"/>
          <w:szCs w:val="20"/>
          <w:color w:val="auto"/>
        </w:rPr>
      </w:pPr>
      <w:r>
        <w:rPr>
          <w:rFonts w:ascii="Times New Roman" w:cs="Times New Roman" w:eastAsia="Times New Roman" w:hAnsi="Times New Roman"/>
          <w:sz w:val="18"/>
          <w:szCs w:val="18"/>
          <w:color w:val="auto"/>
        </w:rPr>
        <w:t>Consolidated Statements of Stockholders' Deficit, and (vi)</w:t>
      </w:r>
    </w:p>
    <w:p>
      <w:pPr>
        <w:ind w:left="9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34" w:lineRule="exact"/>
        <w:rPr>
          <w:sz w:val="20"/>
          <w:szCs w:val="20"/>
          <w:color w:val="auto"/>
        </w:rPr>
      </w:pPr>
    </w:p>
    <w:p>
      <w:pPr>
        <w:ind w:left="900" w:right="4780" w:hanging="646"/>
        <w:spacing w:after="0" w:line="183" w:lineRule="auto"/>
        <w:tabs>
          <w:tab w:leader="none" w:pos="900" w:val="left"/>
        </w:tabs>
        <w:numPr>
          <w:ilvl w:val="1"/>
          <w:numId w:val="166"/>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356" w:lineRule="exact"/>
        <w:rPr>
          <w:rFonts w:ascii="Times New Roman" w:cs="Times New Roman" w:eastAsia="Times New Roman" w:hAnsi="Times New Roman"/>
          <w:sz w:val="30"/>
          <w:szCs w:val="30"/>
          <w:color w:val="auto"/>
          <w:vertAlign w:val="subscript"/>
        </w:rPr>
      </w:pPr>
    </w:p>
    <w:p>
      <w:pPr>
        <w:ind w:left="40"/>
        <w:spacing w:after="0"/>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Filed herewith.</w:t>
      </w:r>
    </w:p>
    <w:p>
      <w:pPr>
        <w:spacing w:after="0" w:line="53" w:lineRule="exact"/>
        <w:rPr>
          <w:sz w:val="20"/>
          <w:szCs w:val="20"/>
          <w:color w:val="auto"/>
        </w:rPr>
      </w:pPr>
    </w:p>
    <w:p>
      <w:pPr>
        <w:ind w:left="440" w:hanging="391"/>
        <w:spacing w:after="0"/>
        <w:tabs>
          <w:tab w:leader="none" w:pos="4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Indicates management contract or compensatory plan.</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certifications attached as Exhibit 32.1 that accompany this Annual Report on Form 10-K are deemed furnished and not filed with</w:t>
      </w:r>
    </w:p>
    <w:p>
      <w:pPr>
        <w:ind w:left="440" w:hanging="399"/>
        <w:spacing w:after="0" w:line="224" w:lineRule="auto"/>
        <w:tabs>
          <w:tab w:leader="none" w:pos="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Securities and Exchange 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ITEM 16. FORM 10-K SUMMARY</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900"/>
          </w:cols>
          <w:pgMar w:left="940" w:top="110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880" w:h="15480" w:orient="portrait"/>
          <w:cols w:equalWidth="0" w:num="1">
            <w:col w:w="9900"/>
          </w:cols>
          <w:pgMar w:left="940" w:top="1104" w:right="1040" w:bottom="0" w:gutter="0" w:footer="0" w:header="0"/>
          <w:type w:val="continuous"/>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5" w:lineRule="exact"/>
        <w:rPr>
          <w:sz w:val="20"/>
          <w:szCs w:val="20"/>
          <w:color w:val="auto"/>
        </w:rPr>
      </w:pPr>
    </w:p>
    <w:p>
      <w:pPr>
        <w:jc w:val="both"/>
        <w:ind w:right="180" w:firstLine="483"/>
        <w:spacing w:after="0" w:line="256"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20, 2026.</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18"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Andrew W. Houston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704215</wp:posOffset>
                </wp:positionH>
                <wp:positionV relativeFrom="paragraph">
                  <wp:posOffset>36195</wp:posOffset>
                </wp:positionV>
                <wp:extent cx="5637530" cy="0"/>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753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45pt,2.85pt" to="499.35pt,2.85pt" o:allowincell="f" strokecolor="#000000" strokeweight="0.975pt"/>
            </w:pict>
          </mc:Fallback>
        </mc:AlternateConten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Andrew W. Houston</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50" w:lineRule="exact"/>
        <w:rPr>
          <w:sz w:val="20"/>
          <w:szCs w:val="20"/>
          <w:color w:val="auto"/>
        </w:rPr>
      </w:pPr>
    </w:p>
    <w:p>
      <w:pPr>
        <w:ind w:firstLine="483"/>
        <w:spacing w:after="0" w:line="279"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Andrew W. Houston and Ross Tennenbaum,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81" w:lineRule="exact"/>
        <w:rPr>
          <w:sz w:val="20"/>
          <w:szCs w:val="20"/>
          <w:color w:val="auto"/>
        </w:rPr>
      </w:pPr>
    </w:p>
    <w:p>
      <w:pPr>
        <w:ind w:right="460" w:firstLine="483"/>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by the following persons on behalf of the Company and in the capacities and on the dates indicated.</w:t>
      </w:r>
    </w:p>
    <w:p>
      <w:pPr>
        <w:sectPr>
          <w:pgSz w:w="11880" w:h="15480" w:orient="portrait"/>
          <w:cols w:equalWidth="0" w:num="1">
            <w:col w:w="10000"/>
          </w:cols>
          <w:pgMar w:left="940" w:top="6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880" w:h="15480" w:orient="portrait"/>
          <w:cols w:equalWidth="0" w:num="1">
            <w:col w:w="10000"/>
          </w:cols>
          <w:pgMar w:left="940" w:top="689" w:right="940" w:bottom="0" w:gutter="0" w:footer="0" w:header="0"/>
          <w:type w:val="continuous"/>
        </w:sectPr>
      </w:pPr>
    </w:p>
    <w:bookmarkStart w:id="220" w:name="page221"/>
    <w:bookmarkEnd w:id="220"/>
    <w:p>
      <w:pPr>
        <w:ind w:left="72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-318770</wp:posOffset>
                </wp:positionH>
                <wp:positionV relativeFrom="paragraph">
                  <wp:posOffset>24130</wp:posOffset>
                </wp:positionV>
                <wp:extent cx="1968500" cy="0"/>
                <wp:wrapNone/>
                <wp:docPr id="709" name="Shape 7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0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709" o:spid="_x0000_s17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999pt,1.9pt" to="129.9pt,1.9pt" o:allowincell="f" strokecolor="#000000" strokeweight="0.975pt"/>
            </w:pict>
          </mc:Fallback>
        </mc:AlternateContent>
      </w:r>
    </w:p>
    <w:p>
      <w:pPr>
        <w:spacing w:after="0" w:line="3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Andrew W. Houston</w:t>
      </w:r>
    </w:p>
    <w:p>
      <w:pPr>
        <w:jc w:val="center"/>
        <w:ind w:right="100"/>
        <w:spacing w:after="0"/>
        <w:rPr>
          <w:sz w:val="20"/>
          <w:szCs w:val="20"/>
          <w:color w:val="auto"/>
        </w:rPr>
      </w:pPr>
      <w:r>
        <w:rPr>
          <w:rFonts w:ascii="Times New Roman" w:cs="Times New Roman" w:eastAsia="Times New Roman" w:hAnsi="Times New Roman"/>
          <w:sz w:val="20"/>
          <w:szCs w:val="20"/>
          <w:color w:val="auto"/>
        </w:rPr>
        <w:t>Andrew W. Houston</w:t>
      </w: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 Ross Tennenbaum</w:t>
      </w:r>
    </w:p>
    <w:p>
      <w:pPr>
        <w:jc w:val="center"/>
        <w:ind w:right="100"/>
        <w:spacing w:after="0"/>
        <w:rPr>
          <w:sz w:val="20"/>
          <w:szCs w:val="20"/>
          <w:color w:val="auto"/>
        </w:rPr>
      </w:pPr>
      <w:r>
        <w:rPr>
          <w:rFonts w:ascii="Times New Roman" w:cs="Times New Roman" w:eastAsia="Times New Roman" w:hAnsi="Times New Roman"/>
          <w:sz w:val="20"/>
          <w:szCs w:val="20"/>
          <w:color w:val="auto"/>
        </w:rPr>
        <w:t>Ross Tennenbaum</w:t>
      </w: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 Sarah Schubach</w:t>
      </w:r>
    </w:p>
    <w:p>
      <w:pPr>
        <w:jc w:val="center"/>
        <w:ind w:right="100"/>
        <w:spacing w:after="0"/>
        <w:rPr>
          <w:sz w:val="20"/>
          <w:szCs w:val="20"/>
          <w:color w:val="auto"/>
        </w:rPr>
      </w:pPr>
      <w:r>
        <w:rPr>
          <w:rFonts w:ascii="Times New Roman" w:cs="Times New Roman" w:eastAsia="Times New Roman" w:hAnsi="Times New Roman"/>
          <w:sz w:val="20"/>
          <w:szCs w:val="20"/>
          <w:color w:val="auto"/>
        </w:rPr>
        <w:t>Sarah Schubach</w:t>
      </w:r>
    </w:p>
    <w:p>
      <w:pPr>
        <w:spacing w:after="0" w:line="3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 Andrew Moore</w:t>
      </w:r>
    </w:p>
    <w:p>
      <w:pPr>
        <w:jc w:val="center"/>
        <w:ind w:right="100"/>
        <w:spacing w:after="0"/>
        <w:rPr>
          <w:sz w:val="20"/>
          <w:szCs w:val="20"/>
          <w:color w:val="auto"/>
        </w:rPr>
      </w:pPr>
      <w:r>
        <w:rPr>
          <w:rFonts w:ascii="Times New Roman" w:cs="Times New Roman" w:eastAsia="Times New Roman" w:hAnsi="Times New Roman"/>
          <w:sz w:val="20"/>
          <w:szCs w:val="20"/>
          <w:color w:val="auto"/>
        </w:rPr>
        <w:t>Andrew Moore</w:t>
      </w: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 Abhay Parasnis</w:t>
      </w:r>
    </w:p>
    <w:p>
      <w:pPr>
        <w:jc w:val="center"/>
        <w:ind w:right="100"/>
        <w:spacing w:after="0"/>
        <w:rPr>
          <w:sz w:val="20"/>
          <w:szCs w:val="20"/>
          <w:color w:val="auto"/>
        </w:rPr>
      </w:pPr>
      <w:r>
        <w:rPr>
          <w:rFonts w:ascii="Times New Roman" w:cs="Times New Roman" w:eastAsia="Times New Roman" w:hAnsi="Times New Roman"/>
          <w:sz w:val="20"/>
          <w:szCs w:val="20"/>
          <w:color w:val="auto"/>
        </w:rPr>
        <w:t>Abhay Parasnis</w:t>
      </w: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 Karen A. Peacock</w:t>
      </w:r>
    </w:p>
    <w:p>
      <w:pPr>
        <w:jc w:val="center"/>
        <w:ind w:right="100"/>
        <w:spacing w:after="0"/>
        <w:rPr>
          <w:sz w:val="20"/>
          <w:szCs w:val="20"/>
          <w:color w:val="auto"/>
        </w:rPr>
      </w:pPr>
      <w:r>
        <w:rPr>
          <w:rFonts w:ascii="Times New Roman" w:cs="Times New Roman" w:eastAsia="Times New Roman" w:hAnsi="Times New Roman"/>
          <w:sz w:val="20"/>
          <w:szCs w:val="20"/>
          <w:color w:val="auto"/>
        </w:rPr>
        <w:t>Karen A. Peacock</w:t>
      </w: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 Lisa Campbell</w:t>
      </w:r>
    </w:p>
    <w:p>
      <w:pPr>
        <w:jc w:val="center"/>
        <w:ind w:right="100"/>
        <w:spacing w:after="0"/>
        <w:rPr>
          <w:sz w:val="20"/>
          <w:szCs w:val="20"/>
          <w:color w:val="auto"/>
        </w:rPr>
      </w:pPr>
      <w:r>
        <w:rPr>
          <w:rFonts w:ascii="Times New Roman" w:cs="Times New Roman" w:eastAsia="Times New Roman" w:hAnsi="Times New Roman"/>
          <w:sz w:val="20"/>
          <w:szCs w:val="20"/>
          <w:color w:val="auto"/>
        </w:rPr>
        <w:t>Lisa Campbell</w:t>
      </w: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 Michael Seibel</w:t>
      </w:r>
    </w:p>
    <w:p>
      <w:pPr>
        <w:jc w:val="center"/>
        <w:ind w:right="100"/>
        <w:spacing w:after="0"/>
        <w:rPr>
          <w:sz w:val="20"/>
          <w:szCs w:val="20"/>
          <w:color w:val="auto"/>
        </w:rPr>
      </w:pPr>
      <w:r>
        <w:rPr>
          <w:rFonts w:ascii="Times New Roman" w:cs="Times New Roman" w:eastAsia="Times New Roman" w:hAnsi="Times New Roman"/>
          <w:sz w:val="20"/>
          <w:szCs w:val="20"/>
          <w:color w:val="auto"/>
        </w:rPr>
        <w:t>Michael Seibel</w:t>
      </w: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 Paul E. Jacobs</w:t>
      </w:r>
    </w:p>
    <w:p>
      <w:pPr>
        <w:jc w:val="center"/>
        <w:ind w:right="100"/>
        <w:spacing w:after="0"/>
        <w:rPr>
          <w:sz w:val="20"/>
          <w:szCs w:val="20"/>
          <w:color w:val="auto"/>
        </w:rPr>
      </w:pPr>
      <w:r>
        <w:rPr>
          <w:rFonts w:ascii="Times New Roman" w:cs="Times New Roman" w:eastAsia="Times New Roman" w:hAnsi="Times New Roman"/>
          <w:sz w:val="20"/>
          <w:szCs w:val="20"/>
          <w:color w:val="auto"/>
        </w:rPr>
        <w:t>Paul E. Jacobs</w:t>
      </w: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 Warren Jenson</w:t>
      </w:r>
    </w:p>
    <w:p>
      <w:pPr>
        <w:jc w:val="center"/>
        <w:ind w:right="100"/>
        <w:spacing w:after="0"/>
        <w:rPr>
          <w:sz w:val="20"/>
          <w:szCs w:val="20"/>
          <w:color w:val="auto"/>
        </w:rPr>
      </w:pPr>
      <w:r>
        <w:rPr>
          <w:rFonts w:ascii="Times New Roman" w:cs="Times New Roman" w:eastAsia="Times New Roman" w:hAnsi="Times New Roman"/>
          <w:sz w:val="20"/>
          <w:szCs w:val="20"/>
          <w:color w:val="auto"/>
        </w:rPr>
        <w:t>Warren Jenson</w:t>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Times New Roman" w:cs="Times New Roman" w:eastAsia="Times New Roman" w:hAnsi="Times New Roman"/>
          <w:sz w:val="16"/>
          <w:szCs w:val="16"/>
          <w:b w:val="1"/>
          <w:bCs w:val="1"/>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24130</wp:posOffset>
                </wp:positionV>
                <wp:extent cx="2795270" cy="0"/>
                <wp:wrapNone/>
                <wp:docPr id="710" name="Shape 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527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710" o:spid="_x0000_s17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99pt,1.9pt" to="217.95pt,1.9pt" o:allowincell="f" strokecolor="#000000" strokeweight="0.975pt"/>
            </w:pict>
          </mc:Fallback>
        </mc:AlternateContent>
      </w:r>
    </w:p>
    <w:p>
      <w:pPr>
        <w:spacing w:after="0" w:line="317" w:lineRule="exact"/>
        <w:rPr>
          <w:sz w:val="20"/>
          <w:szCs w:val="20"/>
          <w:color w:val="auto"/>
        </w:rPr>
      </w:pPr>
    </w:p>
    <w:p>
      <w:pPr>
        <w:ind w:right="1180"/>
        <w:spacing w:after="0" w:line="281" w:lineRule="auto"/>
        <w:rPr>
          <w:sz w:val="20"/>
          <w:szCs w:val="20"/>
          <w:color w:val="auto"/>
        </w:rPr>
      </w:pPr>
      <w:r>
        <w:rPr>
          <w:rFonts w:ascii="Times New Roman" w:cs="Times New Roman" w:eastAsia="Times New Roman" w:hAnsi="Times New Roman"/>
          <w:sz w:val="18"/>
          <w:szCs w:val="18"/>
          <w:color w:val="auto"/>
        </w:rPr>
        <w:t xml:space="preserve">Chief Executive Officer and Chairman </w:t>
      </w:r>
      <w:r>
        <w:rPr>
          <w:rFonts w:ascii="Times New Roman" w:cs="Times New Roman" w:eastAsia="Times New Roman" w:hAnsi="Times New Roman"/>
          <w:sz w:val="18"/>
          <w:szCs w:val="18"/>
          <w:b w:val="1"/>
          <w:bCs w:val="1"/>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Accounting Officer</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(Principal Accounting Officer)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-132715</wp:posOffset>
                </wp:positionH>
                <wp:positionV relativeFrom="paragraph">
                  <wp:posOffset>24130</wp:posOffset>
                </wp:positionV>
                <wp:extent cx="1178560" cy="0"/>
                <wp:wrapNone/>
                <wp:docPr id="711" name="Shape 7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856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711" o:spid="_x0000_s17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499pt,1.9pt" to="82.35pt,1.9pt" o:allowincell="f" strokecolor="#000000" strokeweight="0.975pt"/>
            </w:pict>
          </mc:Fallback>
        </mc:AlternateConten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328" w:lineRule="exact"/>
        <w:rPr>
          <w:sz w:val="20"/>
          <w:szCs w:val="20"/>
          <w:color w:val="auto"/>
        </w:rPr>
      </w:pPr>
    </w:p>
    <w:p>
      <w:pPr>
        <w:sectPr>
          <w:pgSz w:w="11880" w:h="15480" w:orient="portrait"/>
          <w:cols w:equalWidth="0" w:num="3">
            <w:col w:w="2200" w:space="720"/>
            <w:col w:w="4200" w:space="720"/>
            <w:col w:w="1440"/>
          </w:cols>
          <w:pgMar w:left="1440" w:top="10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119</w:t>
      </w:r>
    </w:p>
    <w:p>
      <w:pPr>
        <w:sectPr>
          <w:pgSz w:w="11880" w:h="15480" w:orient="portrait"/>
          <w:cols w:equalWidth="0" w:num="1">
            <w:col w:w="9280"/>
          </w:cols>
          <w:pgMar w:left="1440" w:top="1061" w:right="1160" w:bottom="0" w:gutter="0" w:footer="0" w:header="0"/>
          <w:type w:val="continuous"/>
        </w:sectPr>
      </w:pPr>
    </w:p>
    <w:bookmarkStart w:id="221" w:name="page222"/>
    <w:bookmarkEnd w:id="22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23" w:name="page224"/>
    <w:bookmarkEnd w:id="22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decimal"/>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2"/>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4"/>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6"/>
      <w:numFmt w:val="bullet"/>
      <w:start w:val="1"/>
    </w:lvl>
  </w:abstractNum>
  <w:abstractNum w:abstractNumId="11">
    <w:nsid w:val="74DE0EE3"/>
    <w:multiLevelType w:val="hybridMultilevel"/>
    <w:lvl w:ilvl="0">
      <w:lvlJc w:val="left"/>
      <w:lvlText w:val="%1"/>
      <w:numFmt w:val="decimal"/>
      <w:start w:val="8"/>
    </w:lvl>
  </w:abstractNum>
  <w:abstractNum w:abstractNumId="12">
    <w:nsid w:val="68EBC550"/>
    <w:multiLevelType w:val="hybridMultilevel"/>
    <w:lvl w:ilvl="0">
      <w:lvlJc w:val="left"/>
      <w:lvlText w:val="%1"/>
      <w:numFmt w:val="decimal"/>
      <w:start w:val="10"/>
    </w:lvl>
  </w:abstractNum>
  <w:abstractNum w:abstractNumId="13">
    <w:nsid w:val="2DF6D648"/>
    <w:multiLevelType w:val="hybridMultilevel"/>
    <w:lvl w:ilvl="0">
      <w:lvlJc w:val="left"/>
      <w:lvlText w:val="%1"/>
      <w:numFmt w:val="decimal"/>
      <w:start w:val="12"/>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1"/>
      <w:numFmt w:val="decimal"/>
      <w:start w:val="14"/>
    </w:lvl>
  </w:abstractNum>
  <w:abstractNum w:abstractNumId="16">
    <w:nsid w:val="39EE015C"/>
    <w:multiLevelType w:val="hybridMultilevel"/>
    <w:lvl w:ilvl="0">
      <w:lvlJc w:val="left"/>
      <w:lvlText w:val="%1"/>
      <w:numFmt w:val="decimal"/>
      <w:start w:val="16"/>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1"/>
      <w:numFmt w:val="decimal"/>
      <w:start w:val="18"/>
    </w:lvl>
  </w:abstractNum>
  <w:abstractNum w:abstractNumId="21">
    <w:nsid w:val="26F324BA"/>
    <w:multiLevelType w:val="hybridMultilevel"/>
    <w:lvl w:ilvl="0">
      <w:lvlJc w:val="left"/>
      <w:lvlText w:val="%1"/>
      <w:numFmt w:val="decimal"/>
      <w:start w:val="20"/>
    </w:lvl>
  </w:abstractNum>
  <w:abstractNum w:abstractNumId="22">
    <w:nsid w:val="7F01579B"/>
    <w:multiLevelType w:val="hybridMultilevel"/>
    <w:lvl w:ilvl="0">
      <w:lvlJc w:val="left"/>
      <w:lvlText w:val="%1"/>
      <w:numFmt w:val="decimal"/>
      <w:start w:val="22"/>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lvl w:ilvl="1">
      <w:lvlJc w:val="left"/>
      <w:lvlText w:val="•"/>
      <w:numFmt w:val="bullet"/>
      <w:start w:val="1"/>
    </w:lvl>
  </w:abstractNum>
  <w:abstractNum w:abstractNumId="25">
    <w:nsid w:val="5FB8370B"/>
    <w:multiLevelType w:val="hybridMultilevel"/>
    <w:lvl w:ilvl="0">
      <w:lvlJc w:val="left"/>
      <w:lvlText w:val="•"/>
      <w:numFmt w:val="bullet"/>
      <w:start w:val="1"/>
    </w:lvl>
    <w:lvl w:ilvl="1">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1"/>
      <w:numFmt w:val="decimal"/>
      <w:start w:val="24"/>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1"/>
      <w:numFmt w:val="decimal"/>
      <w:start w:val="26"/>
    </w:lvl>
  </w:abstractNum>
  <w:abstractNum w:abstractNumId="33">
    <w:nsid w:val="7D5E18F8"/>
    <w:multiLevelType w:val="hybridMultilevel"/>
    <w:lvl w:ilvl="0">
      <w:lvlJc w:val="left"/>
      <w:lvlText w:val="(%1)"/>
      <w:numFmt w:val="decimal"/>
      <w:start w:val="1"/>
    </w:lvl>
  </w:abstractNum>
  <w:abstractNum w:abstractNumId="34">
    <w:nsid w:val="5F3534A4"/>
    <w:multiLevelType w:val="hybridMultilevel"/>
    <w:lvl w:ilvl="0">
      <w:lvlJc w:val="left"/>
      <w:lvlText w:val="(%1)"/>
      <w:numFmt w:val="decimal"/>
      <w:start w:val="2"/>
    </w:lvl>
  </w:abstractNum>
  <w:abstractNum w:abstractNumId="35">
    <w:nsid w:val="73A1821B"/>
    <w:multiLevelType w:val="hybridMultilevel"/>
    <w:lvl w:ilvl="0">
      <w:lvlJc w:val="left"/>
      <w:lvlText w:val="(%1)"/>
      <w:numFmt w:val="decimal"/>
      <w:start w:val="1"/>
    </w:lvl>
  </w:abstractNum>
  <w:abstractNum w:abstractNumId="36">
    <w:nsid w:val="7DE67713"/>
    <w:multiLevelType w:val="hybridMultilevel"/>
    <w:lvl w:ilvl="0">
      <w:lvlJc w:val="left"/>
      <w:lvlText w:val="%1"/>
      <w:numFmt w:val="decimal"/>
      <w:start w:val="28"/>
    </w:lvl>
  </w:abstractNum>
  <w:abstractNum w:abstractNumId="37">
    <w:nsid w:val="555C55B5"/>
    <w:multiLevelType w:val="hybridMultilevel"/>
    <w:lvl w:ilvl="0">
      <w:lvlJc w:val="left"/>
      <w:lvlText w:val="&amp;"/>
      <w:numFmt w:val="bullet"/>
      <w:start w:val="1"/>
    </w:lvl>
  </w:abstractNum>
  <w:abstractNum w:abstractNumId="38">
    <w:nsid w:val="3FA62ACA"/>
    <w:multiLevelType w:val="hybridMultilevel"/>
    <w:lvl w:ilvl="0">
      <w:lvlJc w:val="left"/>
      <w:lvlText w:val="(%1)"/>
      <w:numFmt w:val="decimal"/>
      <w:start w:val="1"/>
    </w:lvl>
  </w:abstractNum>
  <w:abstractNum w:abstractNumId="39">
    <w:nsid w:val="14FCE74E"/>
    <w:multiLevelType w:val="hybridMultilevel"/>
    <w:lvl w:ilvl="0">
      <w:lvlJc w:val="left"/>
      <w:lvlText w:val="%1"/>
      <w:numFmt w:val="decimal"/>
      <w:start w:val="30"/>
    </w:lvl>
  </w:abstractNum>
  <w:abstractNum w:abstractNumId="40">
    <w:nsid w:val="6A3DD3E8"/>
    <w:multiLevelType w:val="hybridMultilevel"/>
    <w:lvl w:ilvl="0">
      <w:lvlJc w:val="left"/>
      <w:lvlText w:val="•"/>
      <w:numFmt w:val="bullet"/>
      <w:start w:val="1"/>
    </w:lvl>
  </w:abstractNum>
  <w:abstractNum w:abstractNumId="41">
    <w:nsid w:val="71C91298"/>
    <w:multiLevelType w:val="hybridMultilevel"/>
    <w:lvl w:ilvl="0">
      <w:lvlJc w:val="left"/>
      <w:lvlText w:val="%1"/>
      <w:numFmt w:val="decimal"/>
      <w:start w:val="32"/>
    </w:lvl>
  </w:abstractNum>
  <w:abstractNum w:abstractNumId="42">
    <w:nsid w:val="9DAF632"/>
    <w:multiLevelType w:val="hybridMultilevel"/>
    <w:lvl w:ilvl="0">
      <w:lvlJc w:val="left"/>
      <w:lvlText w:val="•"/>
      <w:numFmt w:val="bullet"/>
      <w:start w:val="1"/>
    </w:lvl>
  </w:abstractNum>
  <w:abstractNum w:abstractNumId="43">
    <w:nsid w:val="53299938"/>
    <w:multiLevelType w:val="hybridMultilevel"/>
    <w:lvl w:ilvl="0">
      <w:lvlJc w:val="left"/>
      <w:lvlText w:val="%1"/>
      <w:numFmt w:val="decimal"/>
      <w:start w:val="34"/>
    </w:lvl>
  </w:abstractNum>
  <w:abstractNum w:abstractNumId="44">
    <w:nsid w:val="1FBFE8E0"/>
    <w:multiLevelType w:val="hybridMultilevel"/>
    <w:lvl w:ilvl="0">
      <w:lvlJc w:val="left"/>
      <w:lvlText w:val="%1"/>
      <w:numFmt w:val="decimal"/>
      <w:start w:val="36"/>
    </w:lvl>
  </w:abstractNum>
  <w:abstractNum w:abstractNumId="45">
    <w:nsid w:val="5092CA79"/>
    <w:multiLevelType w:val="hybridMultilevel"/>
    <w:lvl w:ilvl="0">
      <w:lvlJc w:val="left"/>
      <w:lvlText w:val="(%1)"/>
      <w:numFmt w:val="decimal"/>
      <w:start w:val="1"/>
    </w:lvl>
  </w:abstractNum>
  <w:abstractNum w:abstractNumId="46">
    <w:nsid w:val="1D545C4D"/>
    <w:multiLevelType w:val="hybridMultilevel"/>
    <w:lvl w:ilvl="0">
      <w:lvlJc w:val="left"/>
      <w:lvlText w:val="%1"/>
      <w:numFmt w:val="decimal"/>
      <w:start w:val="38"/>
    </w:lvl>
  </w:abstractNum>
  <w:abstractNum w:abstractNumId="47">
    <w:nsid w:val="59ADEA3D"/>
    <w:multiLevelType w:val="hybridMultilevel"/>
    <w:lvl w:ilvl="0">
      <w:lvlJc w:val="left"/>
      <w:lvlText w:val="•"/>
      <w:numFmt w:val="bullet"/>
      <w:start w:val="1"/>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1"/>
      <w:numFmt w:val="decimal"/>
      <w:start w:val="40"/>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
      <w:numFmt w:val="bullet"/>
      <w:start w:val="1"/>
    </w:lvl>
  </w:abstractNum>
  <w:abstractNum w:abstractNumId="54">
    <w:nsid w:val="53584BCB"/>
    <w:multiLevelType w:val="hybridMultilevel"/>
    <w:lvl w:ilvl="0">
      <w:lvlJc w:val="left"/>
      <w:lvlText w:val="%1"/>
      <w:numFmt w:val="decimal"/>
      <w:start w:val="42"/>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1"/>
      <w:numFmt w:val="decimal"/>
      <w:start w:val="44"/>
    </w:lvl>
  </w:abstractNum>
  <w:abstractNum w:abstractNumId="57">
    <w:nsid w:val="23D86AAC"/>
    <w:multiLevelType w:val="hybridMultilevel"/>
    <w:lvl w:ilvl="0">
      <w:lvlJc w:val="left"/>
      <w:lvlText w:val="•"/>
      <w:numFmt w:val="bullet"/>
      <w:start w:val="1"/>
    </w:lvl>
  </w:abstractNum>
  <w:abstractNum w:abstractNumId="58">
    <w:nsid w:val="45E6D486"/>
    <w:multiLevelType w:val="hybridMultilevel"/>
    <w:lvl w:ilvl="0">
      <w:lvlJc w:val="left"/>
      <w:lvlText w:val="•"/>
      <w:numFmt w:val="bullet"/>
      <w:start w:val="1"/>
    </w:lvl>
  </w:abstractNum>
  <w:abstractNum w:abstractNumId="59">
    <w:nsid w:val="5C10FE21"/>
    <w:multiLevelType w:val="hybridMultilevel"/>
    <w:lvl w:ilvl="0">
      <w:lvlJc w:val="left"/>
      <w:lvlText w:val="%1"/>
      <w:numFmt w:val="decimal"/>
      <w:start w:val="46"/>
    </w:lvl>
  </w:abstractNum>
  <w:abstractNum w:abstractNumId="60">
    <w:nsid w:val="E7FFA2B"/>
    <w:multiLevelType w:val="hybridMultilevel"/>
    <w:lvl w:ilvl="0">
      <w:lvlJc w:val="left"/>
      <w:lvlText w:val="(%1)"/>
      <w:numFmt w:val="decimal"/>
      <w:start w:val="1"/>
    </w:lvl>
  </w:abstractNum>
  <w:abstractNum w:abstractNumId="61">
    <w:nsid w:val="3C5991AA"/>
    <w:multiLevelType w:val="hybridMultilevel"/>
    <w:lvl w:ilvl="0">
      <w:lvlJc w:val="left"/>
      <w:lvlText w:val="%1"/>
      <w:numFmt w:val="decimal"/>
      <w:start w:val="48"/>
    </w:lvl>
  </w:abstractNum>
  <w:abstractNum w:abstractNumId="62">
    <w:nsid w:val="4BD8591A"/>
    <w:multiLevelType w:val="hybridMultilevel"/>
    <w:lvl w:ilvl="0">
      <w:lvlJc w:val="left"/>
      <w:lvlText w:val="(%1)"/>
      <w:numFmt w:val="decimal"/>
      <w:start w:val="1"/>
    </w:lvl>
  </w:abstractNum>
  <w:abstractNum w:abstractNumId="63">
    <w:nsid w:val="78DF6A55"/>
    <w:multiLevelType w:val="hybridMultilevel"/>
    <w:lvl w:ilvl="0">
      <w:lvlJc w:val="left"/>
      <w:lvlText w:val="%1"/>
      <w:numFmt w:val="decimal"/>
      <w:start w:val="50"/>
    </w:lvl>
  </w:abstractNum>
  <w:abstractNum w:abstractNumId="64">
    <w:nsid w:val="39B7AAA2"/>
    <w:multiLevelType w:val="hybridMultilevel"/>
    <w:lvl w:ilvl="0">
      <w:lvlJc w:val="left"/>
      <w:lvlText w:val="(%1)"/>
      <w:numFmt w:val="decimal"/>
      <w:start w:val="1"/>
    </w:lvl>
  </w:abstractNum>
  <w:abstractNum w:abstractNumId="65">
    <w:nsid w:val="2B0D8DBE"/>
    <w:multiLevelType w:val="hybridMultilevel"/>
    <w:lvl w:ilvl="0">
      <w:lvlJc w:val="left"/>
      <w:lvlText w:val="(%1)"/>
      <w:numFmt w:val="decimal"/>
      <w:start w:val="1"/>
    </w:lvl>
  </w:abstractNum>
  <w:abstractNum w:abstractNumId="66">
    <w:nsid w:val="6C80EC70"/>
    <w:multiLevelType w:val="hybridMultilevel"/>
    <w:lvl w:ilvl="0">
      <w:lvlJc w:val="left"/>
      <w:lvlText w:val="(%1)"/>
      <w:numFmt w:val="decimal"/>
      <w:start w:val="1"/>
    </w:lvl>
  </w:abstractNum>
  <w:abstractNum w:abstractNumId="67">
    <w:nsid w:val="379E21B5"/>
    <w:multiLevelType w:val="hybridMultilevel"/>
    <w:lvl w:ilvl="0">
      <w:lvlJc w:val="left"/>
      <w:lvlText w:val="%1"/>
      <w:numFmt w:val="decimal"/>
      <w:start w:val="52"/>
    </w:lvl>
  </w:abstractNum>
  <w:abstractNum w:abstractNumId="68">
    <w:nsid w:val="69E373"/>
    <w:multiLevelType w:val="hybridMultilevel"/>
    <w:lvl w:ilvl="0">
      <w:lvlJc w:val="left"/>
      <w:lvlText w:val="(%1)"/>
      <w:numFmt w:val="lowerRoman"/>
      <w:start w:val="3"/>
    </w:lvl>
  </w:abstractNum>
  <w:abstractNum w:abstractNumId="69">
    <w:nsid w:val="2C27173B"/>
    <w:multiLevelType w:val="hybridMultilevel"/>
    <w:lvl w:ilvl="0">
      <w:lvlJc w:val="left"/>
      <w:lvlText w:val="%1"/>
      <w:numFmt w:val="decimal"/>
      <w:start w:val="54"/>
    </w:lvl>
  </w:abstractNum>
  <w:abstractNum w:abstractNumId="70">
    <w:nsid w:val="4C9B0904"/>
    <w:multiLevelType w:val="hybridMultilevel"/>
    <w:lvl w:ilvl="0">
      <w:lvlJc w:val="left"/>
      <w:lvlText w:val="%1"/>
      <w:numFmt w:val="decimal"/>
      <w:start w:val="56"/>
    </w:lvl>
  </w:abstractNum>
  <w:abstractNum w:abstractNumId="71">
    <w:nsid w:val="6AA7B75C"/>
    <w:multiLevelType w:val="hybridMultilevel"/>
    <w:lvl w:ilvl="0">
      <w:lvlJc w:val="left"/>
      <w:lvlText w:val="%1"/>
      <w:numFmt w:val="decimal"/>
      <w:start w:val="58"/>
    </w:lvl>
  </w:abstractNum>
  <w:abstractNum w:abstractNumId="72">
    <w:nsid w:val="1DF029D3"/>
    <w:multiLevelType w:val="hybridMultilevel"/>
    <w:lvl w:ilvl="0">
      <w:lvlJc w:val="left"/>
      <w:lvlText w:val="(%1)"/>
      <w:numFmt w:val="decimal"/>
      <w:start w:val="1"/>
    </w:lvl>
  </w:abstractNum>
  <w:abstractNum w:abstractNumId="73">
    <w:nsid w:val="5675FF36"/>
    <w:multiLevelType w:val="hybridMultilevel"/>
    <w:lvl w:ilvl="0">
      <w:lvlJc w:val="left"/>
      <w:lvlText w:val="(%1)"/>
      <w:numFmt w:val="decimal"/>
      <w:start w:val="1"/>
    </w:lvl>
  </w:abstractNum>
  <w:abstractNum w:abstractNumId="74">
    <w:nsid w:val="3DD15094"/>
    <w:multiLevelType w:val="hybridMultilevel"/>
    <w:lvl w:ilvl="0">
      <w:lvlJc w:val="left"/>
      <w:lvlText w:val="%1"/>
      <w:numFmt w:val="decimal"/>
      <w:start w:val="60"/>
    </w:lvl>
  </w:abstractNum>
  <w:abstractNum w:abstractNumId="75">
    <w:nsid w:val="3DB012B3"/>
    <w:multiLevelType w:val="hybridMultilevel"/>
    <w:lvl w:ilvl="0">
      <w:lvlJc w:val="left"/>
      <w:lvlText w:val="(%1)"/>
      <w:numFmt w:val="decimal"/>
      <w:start w:val="1"/>
    </w:lvl>
  </w:abstractNum>
  <w:abstractNum w:abstractNumId="76">
    <w:nsid w:val="2708C9AF"/>
    <w:multiLevelType w:val="hybridMultilevel"/>
    <w:lvl w:ilvl="0">
      <w:lvlJc w:val="left"/>
      <w:lvlText w:val="(%1)"/>
      <w:numFmt w:val="decimal"/>
      <w:start w:val="1"/>
    </w:lvl>
  </w:abstractNum>
  <w:abstractNum w:abstractNumId="77">
    <w:nsid w:val="5B25ACE2"/>
    <w:multiLevelType w:val="hybridMultilevel"/>
    <w:lvl w:ilvl="0">
      <w:lvlJc w:val="left"/>
      <w:lvlText w:val="•"/>
      <w:numFmt w:val="bullet"/>
      <w:start w:val="1"/>
    </w:lvl>
  </w:abstractNum>
  <w:abstractNum w:abstractNumId="78">
    <w:nsid w:val="175DFCF0"/>
    <w:multiLevelType w:val="hybridMultilevel"/>
    <w:lvl w:ilvl="0">
      <w:lvlJc w:val="left"/>
      <w:lvlText w:val="%1"/>
      <w:numFmt w:val="decimal"/>
      <w:start w:val="62"/>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1)"/>
      <w:numFmt w:val="decimal"/>
      <w:start w:val="1"/>
    </w:lvl>
  </w:abstractNum>
  <w:abstractNum w:abstractNumId="81">
    <w:nsid w:val="34FD6B4F"/>
    <w:multiLevelType w:val="hybridMultilevel"/>
    <w:lvl w:ilvl="0">
      <w:lvlJc w:val="left"/>
      <w:lvlText w:val="%1"/>
      <w:numFmt w:val="decimal"/>
      <w:start w:val="64"/>
    </w:lvl>
  </w:abstractNum>
  <w:abstractNum w:abstractNumId="82">
    <w:nsid w:val="5915FF32"/>
    <w:multiLevelType w:val="hybridMultilevel"/>
    <w:lvl w:ilvl="0">
      <w:lvlJc w:val="left"/>
      <w:lvlText w:val="(%1)"/>
      <w:numFmt w:val="decimal"/>
      <w:start w:val="1"/>
    </w:lvl>
  </w:abstractNum>
  <w:abstractNum w:abstractNumId="83">
    <w:nsid w:val="56438D15"/>
    <w:multiLevelType w:val="hybridMultilevel"/>
    <w:lvl w:ilvl="0">
      <w:lvlJc w:val="left"/>
      <w:lvlText w:val="%1"/>
      <w:numFmt w:val="decimal"/>
      <w:start w:val="66"/>
    </w:lvl>
  </w:abstractNum>
  <w:abstractNum w:abstractNumId="84">
    <w:nsid w:val="519E3149"/>
    <w:multiLevelType w:val="hybridMultilevel"/>
    <w:lvl w:ilvl="0">
      <w:lvlJc w:val="left"/>
      <w:lvlText w:val="(%1)"/>
      <w:numFmt w:val="decimal"/>
      <w:start w:val="1"/>
    </w:lvl>
  </w:abstractNum>
  <w:abstractNum w:abstractNumId="85">
    <w:nsid w:val="2C6E4AFD"/>
    <w:multiLevelType w:val="hybridMultilevel"/>
    <w:lvl w:ilvl="0">
      <w:lvlJc w:val="left"/>
      <w:lvlText w:val="(%1)"/>
      <w:numFmt w:val="lowerLetter"/>
      <w:start w:val="1"/>
    </w:lvl>
  </w:abstractNum>
  <w:abstractNum w:abstractNumId="86">
    <w:nsid w:val="17A1B582"/>
    <w:multiLevelType w:val="hybridMultilevel"/>
    <w:lvl w:ilvl="0">
      <w:lvlJc w:val="left"/>
      <w:lvlText w:val="(%1)"/>
      <w:numFmt w:val="decimal"/>
      <w:start w:val="3"/>
    </w:lvl>
  </w:abstractNum>
  <w:abstractNum w:abstractNumId="87">
    <w:nsid w:val="4DF72E4E"/>
    <w:multiLevelType w:val="hybridMultilevel"/>
    <w:lvl w:ilvl="0">
      <w:lvlJc w:val="left"/>
      <w:lvlText w:val="(%1)"/>
      <w:numFmt w:val="lowerLetter"/>
      <w:start w:val="1"/>
    </w:lvl>
  </w:abstractNum>
  <w:abstractNum w:abstractNumId="88">
    <w:nsid w:val="5046B5A9"/>
    <w:multiLevelType w:val="hybridMultilevel"/>
    <w:lvl w:ilvl="0">
      <w:lvlJc w:val="left"/>
      <w:lvlText w:val="%1"/>
      <w:numFmt w:val="decimal"/>
      <w:start w:val="68"/>
    </w:lvl>
  </w:abstractNum>
  <w:abstractNum w:abstractNumId="89">
    <w:nsid w:val="5D888A08"/>
    <w:multiLevelType w:val="hybridMultilevel"/>
    <w:lvl w:ilvl="0">
      <w:lvlJc w:val="left"/>
      <w:lvlText w:val="%1"/>
      <w:numFmt w:val="decimal"/>
      <w:start w:val="1"/>
    </w:lvl>
    <w:lvl w:ilvl="1">
      <w:lvlJc w:val="left"/>
      <w:lvlText w:val="(%2)"/>
      <w:numFmt w:val="lowerLetter"/>
      <w:start w:val="1"/>
    </w:lvl>
  </w:abstractNum>
  <w:abstractNum w:abstractNumId="90">
    <w:nsid w:val="2A082C70"/>
    <w:multiLevelType w:val="hybridMultilevel"/>
    <w:lvl w:ilvl="0">
      <w:lvlJc w:val="left"/>
      <w:lvlText w:val="(%1)"/>
      <w:numFmt w:val="decimal"/>
      <w:start w:val="5"/>
    </w:lvl>
    <w:lvl w:ilvl="1">
      <w:lvlJc w:val="left"/>
      <w:lvlText w:val="%2"/>
      <w:numFmt w:val="lowerLetter"/>
      <w:start w:val="1"/>
    </w:lvl>
  </w:abstractNum>
  <w:abstractNum w:abstractNumId="91">
    <w:nsid w:val="5EC6AFD4"/>
    <w:multiLevelType w:val="hybridMultilevel"/>
    <w:lvl w:ilvl="0">
      <w:lvlJc w:val="left"/>
      <w:lvlText w:val="•"/>
      <w:numFmt w:val="bullet"/>
      <w:start w:val="1"/>
    </w:lvl>
  </w:abstractNum>
  <w:abstractNum w:abstractNumId="92">
    <w:nsid w:val="19E21BB2"/>
    <w:multiLevelType w:val="hybridMultilevel"/>
    <w:lvl w:ilvl="0">
      <w:lvlJc w:val="left"/>
      <w:lvlText w:val="%1"/>
      <w:numFmt w:val="decimal"/>
      <w:start w:val="70"/>
    </w:lvl>
  </w:abstractNum>
  <w:abstractNum w:abstractNumId="93">
    <w:nsid w:val="75E0858A"/>
    <w:multiLevelType w:val="hybridMultilevel"/>
    <w:lvl w:ilvl="0">
      <w:lvlJc w:val="left"/>
      <w:lvlText w:val="%1"/>
      <w:numFmt w:val="decimal"/>
      <w:start w:val="72"/>
    </w:lvl>
  </w:abstractNum>
  <w:abstractNum w:abstractNumId="94">
    <w:nsid w:val="57A61A29"/>
    <w:multiLevelType w:val="hybridMultilevel"/>
    <w:lvl w:ilvl="0">
      <w:lvlJc w:val="left"/>
      <w:lvlText w:val="(%1)"/>
      <w:numFmt w:val="decimal"/>
      <w:start w:val="1"/>
    </w:lvl>
  </w:abstractNum>
  <w:abstractNum w:abstractNumId="95">
    <w:nsid w:val="5399C654"/>
    <w:multiLevelType w:val="hybridMultilevel"/>
    <w:lvl w:ilvl="0">
      <w:lvlJc w:val="left"/>
      <w:lvlText w:val="•"/>
      <w:numFmt w:val="bullet"/>
      <w:start w:val="1"/>
    </w:lvl>
  </w:abstractNum>
  <w:abstractNum w:abstractNumId="96">
    <w:nsid w:val="20EE1348"/>
    <w:multiLevelType w:val="hybridMultilevel"/>
    <w:lvl w:ilvl="0">
      <w:lvlJc w:val="left"/>
      <w:lvlText w:val="%1"/>
      <w:numFmt w:val="decimal"/>
      <w:start w:val="74"/>
    </w:lvl>
  </w:abstractNum>
  <w:abstractNum w:abstractNumId="97">
    <w:nsid w:val="4427069A"/>
    <w:multiLevelType w:val="hybridMultilevel"/>
    <w:lvl w:ilvl="0">
      <w:lvlJc w:val="left"/>
      <w:lvlText w:val="†"/>
      <w:numFmt w:val="bullet"/>
      <w:start w:val="1"/>
    </w:lvl>
  </w:abstractNum>
  <w:abstractNum w:abstractNumId="98">
    <w:nsid w:val="B37E80A"/>
    <w:multiLevelType w:val="hybridMultilevel"/>
    <w:lvl w:ilvl="0">
      <w:lvlJc w:val="left"/>
      <w:lvlText w:val="#"/>
      <w:numFmt w:val="bullet"/>
      <w:start w:val="1"/>
    </w:lvl>
  </w:abstractNum>
  <w:abstractNum w:abstractNumId="99">
    <w:nsid w:val="2157F6BC"/>
    <w:multiLevelType w:val="hybridMultilevel"/>
    <w:lvl w:ilvl="0">
      <w:lvlJc w:val="left"/>
      <w:lvlText w:val="*"/>
      <w:numFmt w:val="bullet"/>
      <w:start w:val="1"/>
    </w:lvl>
  </w:abstractNum>
  <w:abstractNum w:abstractNumId="100">
    <w:nsid w:val="704E1DD5"/>
    <w:multiLevelType w:val="hybridMultilevel"/>
    <w:lvl w:ilvl="0">
      <w:lvlJc w:val="left"/>
      <w:lvlText w:val="(%1)"/>
      <w:numFmt w:val="decimal"/>
      <w:start w:val="1"/>
    </w:lvl>
  </w:abstractNum>
  <w:abstractNum w:abstractNumId="101">
    <w:nsid w:val="57D2F10E"/>
    <w:multiLevelType w:val="hybridMultilevel"/>
    <w:lvl w:ilvl="0">
      <w:lvlJc w:val="left"/>
      <w:lvlText w:val="%1"/>
      <w:numFmt w:val="decimal"/>
      <w:start w:val="76"/>
    </w:lvl>
  </w:abstractNum>
  <w:abstractNum w:abstractNumId="102">
    <w:nsid w:val="BFFAE18"/>
    <w:multiLevelType w:val="hybridMultilevel"/>
    <w:lvl w:ilvl="0">
      <w:lvlJc w:val="left"/>
      <w:lvlText w:val="%1."/>
      <w:numFmt w:val="decimal"/>
      <w:start w:val="1"/>
    </w:lvl>
  </w:abstractNum>
  <w:abstractNum w:abstractNumId="103">
    <w:nsid w:val="E3E47A8"/>
    <w:multiLevelType w:val="hybridMultilevel"/>
    <w:lvl w:ilvl="0">
      <w:lvlJc w:val="left"/>
      <w:lvlText w:val="(%1)"/>
      <w:numFmt w:val="lowerLetter"/>
      <w:start w:val="1"/>
    </w:lvl>
  </w:abstractNum>
  <w:abstractNum w:abstractNumId="104">
    <w:nsid w:val="2E48F044"/>
    <w:multiLevelType w:val="hybridMultilevel"/>
    <w:lvl w:ilvl="0">
      <w:lvlJc w:val="left"/>
      <w:lvlText w:val="(%1)"/>
      <w:numFmt w:val="lowerLetter"/>
      <w:start w:val="1"/>
    </w:lvl>
    <w:lvl w:ilvl="1">
      <w:lvlJc w:val="left"/>
      <w:lvlText w:val="(%2)"/>
      <w:numFmt w:val="lowerRoman"/>
      <w:start w:val="1"/>
    </w:lvl>
  </w:abstractNum>
  <w:abstractNum w:abstractNumId="105">
    <w:nsid w:val="49D0FEAC"/>
    <w:multiLevelType w:val="hybridMultilevel"/>
    <w:lvl w:ilvl="0">
      <w:lvlJc w:val="left"/>
      <w:lvlText w:val="%1"/>
      <w:numFmt w:val="decimal"/>
      <w:start w:val="1"/>
    </w:lvl>
    <w:lvl w:ilvl="1">
      <w:lvlJc w:val="left"/>
      <w:lvlText w:val="(%2)"/>
      <w:numFmt w:val="lowerRoman"/>
      <w:start w:val="4"/>
    </w:lvl>
  </w:abstractNum>
  <w:abstractNum w:abstractNumId="106">
    <w:nsid w:val="4BEE5A5B"/>
    <w:multiLevelType w:val="hybridMultilevel"/>
    <w:lvl w:ilvl="0">
      <w:lvlJc w:val="left"/>
      <w:lvlText w:val="(%1)"/>
      <w:numFmt w:val="decimal"/>
      <w:start w:val="1"/>
    </w:lvl>
    <w:lvl w:ilvl="1">
      <w:lvlJc w:val="left"/>
      <w:lvlText w:val="(%2)"/>
      <w:numFmt w:val="lowerRoman"/>
      <w:start w:val="5"/>
    </w:lvl>
  </w:abstractNum>
  <w:abstractNum w:abstractNumId="107">
    <w:nsid w:val="5551B9F3"/>
    <w:multiLevelType w:val="hybridMultilevel"/>
    <w:lvl w:ilvl="0">
      <w:lvlJc w:val="left"/>
      <w:lvlText w:val="%1"/>
      <w:numFmt w:val="lowerRoman"/>
      <w:start w:val="1"/>
    </w:lvl>
    <w:lvl w:ilvl="1">
      <w:lvlJc w:val="left"/>
      <w:lvlText w:val="(%2)"/>
      <w:numFmt w:val="lowerLetter"/>
      <w:start w:val="1"/>
    </w:lvl>
  </w:abstractNum>
  <w:abstractNum w:abstractNumId="108">
    <w:nsid w:val="24F6AB8E"/>
    <w:multiLevelType w:val="hybridMultilevel"/>
    <w:lvl w:ilvl="0">
      <w:lvlJc w:val="left"/>
      <w:lvlText w:val="(%1)"/>
      <w:numFmt w:val="lowerRoman"/>
      <w:start w:val="2"/>
    </w:lvl>
    <w:lvl w:ilvl="1">
      <w:lvlJc w:val="left"/>
      <w:lvlText w:val="(%2)"/>
      <w:numFmt w:val="lowerLetter"/>
      <w:start w:val="3"/>
    </w:lvl>
  </w:abstractNum>
  <w:abstractNum w:abstractNumId="109">
    <w:nsid w:val="634C574C"/>
    <w:multiLevelType w:val="hybridMultilevel"/>
    <w:lvl w:ilvl="0">
      <w:lvlJc w:val="left"/>
      <w:lvlText w:val="%1."/>
      <w:numFmt w:val="decimal"/>
      <w:start w:val="2"/>
    </w:lvl>
  </w:abstractNum>
  <w:abstractNum w:abstractNumId="110">
    <w:nsid w:val="24E99DD7"/>
    <w:multiLevelType w:val="hybridMultilevel"/>
    <w:lvl w:ilvl="0">
      <w:lvlJc w:val="left"/>
      <w:lvlText w:val="%1."/>
      <w:numFmt w:val="decimal"/>
      <w:start w:val="3"/>
    </w:lvl>
    <w:lvl w:ilvl="1">
      <w:lvlJc w:val="left"/>
      <w:lvlText w:val="(%2)"/>
      <w:numFmt w:val="lowerLetter"/>
      <w:start w:val="1"/>
    </w:lvl>
  </w:abstractNum>
  <w:abstractNum w:abstractNumId="111">
    <w:nsid w:val="2A31B62D"/>
    <w:multiLevelType w:val="hybridMultilevel"/>
    <w:lvl w:ilvl="0">
      <w:lvlJc w:val="left"/>
      <w:lvlText w:val="(%1)"/>
      <w:numFmt w:val="lowerLetter"/>
      <w:start w:val="2"/>
    </w:lvl>
  </w:abstractNum>
  <w:abstractNum w:abstractNumId="112">
    <w:nsid w:val="1849C29B"/>
    <w:multiLevelType w:val="hybridMultilevel"/>
    <w:lvl w:ilvl="0">
      <w:lvlJc w:val="left"/>
      <w:lvlText w:val="(%1)"/>
      <w:numFmt w:val="lowerRoman"/>
      <w:start w:val="2"/>
    </w:lvl>
    <w:lvl w:ilvl="1">
      <w:lvlJc w:val="left"/>
      <w:lvlText w:val="%2."/>
      <w:numFmt w:val="decimal"/>
      <w:start w:val="4"/>
    </w:lvl>
  </w:abstractNum>
  <w:abstractNum w:abstractNumId="113">
    <w:nsid w:val="7DFF9D09"/>
    <w:multiLevelType w:val="hybridMultilevel"/>
    <w:lvl w:ilvl="0">
      <w:lvlJc w:val="left"/>
      <w:lvlText w:val="%1"/>
      <w:numFmt w:val="decimal"/>
      <w:start w:val="1"/>
    </w:lvl>
    <w:lvl w:ilvl="1">
      <w:lvlJc w:val="left"/>
      <w:lvlText w:val="(%2)"/>
      <w:numFmt w:val="lowerLetter"/>
      <w:start w:val="1"/>
    </w:lvl>
  </w:abstractNum>
  <w:abstractNum w:abstractNumId="114">
    <w:nsid w:val="754342"/>
    <w:multiLevelType w:val="hybridMultilevel"/>
    <w:lvl w:ilvl="0">
      <w:lvlJc w:val="left"/>
      <w:lvlText w:val="%1."/>
      <w:numFmt w:val="decimal"/>
      <w:start w:val="6"/>
    </w:lvl>
    <w:lvl w:ilvl="1">
      <w:lvlJc w:val="left"/>
      <w:lvlText w:val="%2"/>
      <w:numFmt w:val="lowerLetter"/>
      <w:start w:val="1"/>
    </w:lvl>
  </w:abstractNum>
  <w:abstractNum w:abstractNumId="115">
    <w:nsid w:val="69E7F3E5"/>
    <w:multiLevelType w:val="hybridMultilevel"/>
    <w:lvl w:ilvl="0">
      <w:lvlJc w:val="left"/>
      <w:lvlText w:val="%1."/>
      <w:numFmt w:val="decimal"/>
      <w:start w:val="9"/>
    </w:lvl>
  </w:abstractNum>
  <w:abstractNum w:abstractNumId="116">
    <w:nsid w:val="2A6DE806"/>
    <w:multiLevelType w:val="hybridMultilevel"/>
    <w:lvl w:ilvl="0">
      <w:lvlJc w:val="left"/>
      <w:lvlText w:val="%1."/>
      <w:numFmt w:val="decimal"/>
      <w:start w:val="1"/>
    </w:lvl>
  </w:abstractNum>
  <w:abstractNum w:abstractNumId="117">
    <w:nsid w:val="1816F8C4"/>
    <w:multiLevelType w:val="hybridMultilevel"/>
    <w:lvl w:ilvl="0">
      <w:lvlJc w:val="left"/>
      <w:lvlText w:val="%1."/>
      <w:numFmt w:val="decimal"/>
      <w:start w:val="2"/>
    </w:lvl>
  </w:abstractNum>
  <w:abstractNum w:abstractNumId="118">
    <w:nsid w:val="37DF2233"/>
    <w:multiLevelType w:val="hybridMultilevel"/>
    <w:lvl w:ilvl="0">
      <w:lvlJc w:val="left"/>
      <w:lvlText w:val="%1."/>
      <w:numFmt w:val="decimal"/>
      <w:start w:val="1"/>
    </w:lvl>
  </w:abstractNum>
  <w:abstractNum w:abstractNumId="119">
    <w:nsid w:val="7AB49DAF"/>
    <w:multiLevelType w:val="hybridMultilevel"/>
    <w:lvl w:ilvl="0">
      <w:lvlJc w:val="left"/>
      <w:lvlText w:val="%1."/>
      <w:numFmt w:val="decimal"/>
      <w:start w:val="1"/>
    </w:lvl>
  </w:abstractNum>
  <w:abstractNum w:abstractNumId="120">
    <w:nsid w:val="759F82CD"/>
    <w:multiLevelType w:val="hybridMultilevel"/>
    <w:lvl w:ilvl="0">
      <w:lvlJc w:val="left"/>
      <w:lvlText w:val="%1."/>
      <w:numFmt w:val="decimal"/>
      <w:start w:val="1"/>
    </w:lvl>
  </w:abstractNum>
  <w:abstractNum w:abstractNumId="121">
    <w:nsid w:val="61E74EA3"/>
    <w:multiLevelType w:val="hybridMultilevel"/>
    <w:lvl w:ilvl="0">
      <w:lvlJc w:val="left"/>
      <w:lvlText w:val="%1"/>
      <w:numFmt w:val="lowerLetter"/>
      <w:start w:val="1"/>
    </w:lvl>
    <w:lvl w:ilvl="1">
      <w:lvlJc w:val="left"/>
      <w:lvlText w:val="%2."/>
      <w:numFmt w:val="decimal"/>
      <w:start w:val="2"/>
    </w:lvl>
  </w:abstractNum>
  <w:abstractNum w:abstractNumId="122">
    <w:nsid w:val="597B4D84"/>
    <w:multiLevelType w:val="hybridMultilevel"/>
    <w:lvl w:ilvl="0">
      <w:lvlJc w:val="left"/>
      <w:lvlText w:val="(%1)"/>
      <w:numFmt w:val="lowerLetter"/>
      <w:start w:val="1"/>
    </w:lvl>
    <w:lvl w:ilvl="1">
      <w:lvlJc w:val="left"/>
      <w:lvlText w:val="%2"/>
      <w:numFmt w:val="decimal"/>
      <w:start w:val="1"/>
    </w:lvl>
  </w:abstractNum>
  <w:abstractNum w:abstractNumId="123">
    <w:nsid w:val="F819E7F"/>
    <w:multiLevelType w:val="hybridMultilevel"/>
    <w:lvl w:ilvl="0">
      <w:lvlJc w:val="left"/>
      <w:lvlText w:val="☒"/>
      <w:numFmt w:val="bullet"/>
      <w:start w:val="1"/>
    </w:lvl>
  </w:abstractNum>
  <w:abstractNum w:abstractNumId="124">
    <w:nsid w:val="57C7D42D"/>
    <w:multiLevelType w:val="hybridMultilevel"/>
    <w:lvl w:ilvl="0">
      <w:lvlJc w:val="left"/>
      <w:lvlText w:val="☐"/>
      <w:numFmt w:val="bullet"/>
      <w:start w:val="1"/>
    </w:lvl>
  </w:abstractNum>
  <w:abstractNum w:abstractNumId="125">
    <w:nsid w:val="312167AD"/>
    <w:multiLevelType w:val="hybridMultilevel"/>
    <w:lvl w:ilvl="0">
      <w:lvlJc w:val="left"/>
      <w:lvlText w:val="☒"/>
      <w:numFmt w:val="bullet"/>
      <w:start w:val="1"/>
    </w:lvl>
  </w:abstractNum>
  <w:abstractNum w:abstractNumId="126">
    <w:nsid w:val="631B64D4"/>
    <w:multiLevelType w:val="hybridMultilevel"/>
    <w:lvl w:ilvl="0">
      <w:lvlJc w:val="left"/>
      <w:lvlText w:val="•"/>
      <w:numFmt w:val="bullet"/>
      <w:start w:val="1"/>
    </w:lvl>
  </w:abstractNum>
  <w:abstractNum w:abstractNumId="127">
    <w:nsid w:val="78B5E776"/>
    <w:multiLevelType w:val="hybridMultilevel"/>
    <w:lvl w:ilvl="0">
      <w:lvlJc w:val="left"/>
      <w:lvlText w:val="•"/>
      <w:numFmt w:val="bullet"/>
      <w:start w:val="1"/>
    </w:lvl>
  </w:abstractNum>
  <w:abstractNum w:abstractNumId="128">
    <w:nsid w:val="75486E47"/>
    <w:multiLevelType w:val="hybridMultilevel"/>
    <w:lvl w:ilvl="0">
      <w:lvlJc w:val="left"/>
      <w:lvlText w:val="•"/>
      <w:numFmt w:val="bullet"/>
      <w:start w:val="1"/>
    </w:lvl>
  </w:abstractNum>
  <w:abstractNum w:abstractNumId="129">
    <w:nsid w:val="6E534CDE"/>
    <w:multiLevelType w:val="hybridMultilevel"/>
    <w:lvl w:ilvl="0">
      <w:lvlJc w:val="left"/>
      <w:lvlText w:val="•"/>
      <w:numFmt w:val="bullet"/>
      <w:start w:val="1"/>
    </w:lvl>
  </w:abstractNum>
  <w:abstractNum w:abstractNumId="130">
    <w:nsid w:val="1A0DDE32"/>
    <w:multiLevelType w:val="hybridMultilevel"/>
    <w:lvl w:ilvl="0">
      <w:lvlJc w:val="left"/>
      <w:lvlText w:val="•"/>
      <w:numFmt w:val="bullet"/>
      <w:start w:val="1"/>
    </w:lvl>
  </w:abstractNum>
  <w:abstractNum w:abstractNumId="131">
    <w:nsid w:val="65968C1C"/>
    <w:multiLevelType w:val="hybridMultilevel"/>
    <w:lvl w:ilvl="0">
      <w:lvlJc w:val="left"/>
      <w:lvlText w:val="•"/>
      <w:numFmt w:val="bullet"/>
      <w:start w:val="1"/>
    </w:lvl>
  </w:abstractNum>
  <w:abstractNum w:abstractNumId="132">
    <w:nsid w:val="46263DEC"/>
    <w:multiLevelType w:val="hybridMultilevel"/>
    <w:lvl w:ilvl="0">
      <w:lvlJc w:val="left"/>
      <w:lvlText w:val="•"/>
      <w:numFmt w:val="bullet"/>
      <w:start w:val="1"/>
    </w:lvl>
  </w:abstractNum>
  <w:abstractNum w:abstractNumId="133">
    <w:nsid w:val="260D8C4A"/>
    <w:multiLevelType w:val="hybridMultilevel"/>
    <w:lvl w:ilvl="0">
      <w:lvlJc w:val="left"/>
      <w:lvlText w:val="•"/>
      <w:numFmt w:val="bullet"/>
      <w:start w:val="1"/>
    </w:lvl>
  </w:abstractNum>
  <w:abstractNum w:abstractNumId="134">
    <w:nsid w:val="73D4D3C4"/>
    <w:multiLevelType w:val="hybridMultilevel"/>
    <w:lvl w:ilvl="0">
      <w:lvlJc w:val="left"/>
      <w:lvlText w:val="•"/>
      <w:numFmt w:val="bullet"/>
      <w:start w:val="1"/>
    </w:lvl>
  </w:abstractNum>
  <w:abstractNum w:abstractNumId="135">
    <w:nsid w:val="746F2E30"/>
    <w:multiLevelType w:val="hybridMultilevel"/>
    <w:lvl w:ilvl="0">
      <w:lvlJc w:val="left"/>
      <w:lvlText w:val="•"/>
      <w:numFmt w:val="bullet"/>
      <w:start w:val="1"/>
    </w:lvl>
  </w:abstractNum>
  <w:abstractNum w:abstractNumId="136">
    <w:nsid w:val="6FDE8AF6"/>
    <w:multiLevelType w:val="hybridMultilevel"/>
    <w:lvl w:ilvl="0">
      <w:lvlJc w:val="left"/>
      <w:lvlText w:val="•"/>
      <w:numFmt w:val="bullet"/>
      <w:start w:val="1"/>
    </w:lvl>
  </w:abstractNum>
  <w:abstractNum w:abstractNumId="137">
    <w:nsid w:val="3FC32E20"/>
    <w:multiLevelType w:val="hybridMultilevel"/>
    <w:lvl w:ilvl="0">
      <w:lvlJc w:val="left"/>
      <w:lvlText w:val="•"/>
      <w:numFmt w:val="bullet"/>
      <w:start w:val="1"/>
    </w:lvl>
  </w:abstractNum>
  <w:abstractNum w:abstractNumId="138">
    <w:nsid w:val="49C0E823"/>
    <w:multiLevelType w:val="hybridMultilevel"/>
    <w:lvl w:ilvl="0">
      <w:lvlJc w:val="left"/>
      <w:lvlText w:val="•"/>
      <w:numFmt w:val="bullet"/>
      <w:start w:val="1"/>
    </w:lvl>
  </w:abstractNum>
  <w:abstractNum w:abstractNumId="139">
    <w:nsid w:val="14D53685"/>
    <w:multiLevelType w:val="hybridMultilevel"/>
    <w:lvl w:ilvl="0">
      <w:lvlJc w:val="left"/>
      <w:lvlText w:val="•"/>
      <w:numFmt w:val="bullet"/>
      <w:start w:val="1"/>
    </w:lvl>
  </w:abstractNum>
  <w:abstractNum w:abstractNumId="140">
    <w:nsid w:val="230F856C"/>
    <w:multiLevelType w:val="hybridMultilevel"/>
    <w:lvl w:ilvl="0">
      <w:lvlJc w:val="left"/>
      <w:lvlText w:val="•"/>
      <w:numFmt w:val="bullet"/>
      <w:start w:val="1"/>
    </w:lvl>
  </w:abstractNum>
  <w:abstractNum w:abstractNumId="141">
    <w:nsid w:val="6EAA85FB"/>
    <w:multiLevelType w:val="hybridMultilevel"/>
    <w:lvl w:ilvl="0">
      <w:lvlJc w:val="left"/>
      <w:lvlText w:val="•"/>
      <w:numFmt w:val="bullet"/>
      <w:start w:val="1"/>
    </w:lvl>
  </w:abstractNum>
  <w:abstractNum w:abstractNumId="142">
    <w:nsid w:val="3F06ECB2"/>
    <w:multiLevelType w:val="hybridMultilevel"/>
    <w:lvl w:ilvl="0">
      <w:lvlJc w:val="left"/>
      <w:lvlText w:val="•"/>
      <w:numFmt w:val="bullet"/>
      <w:start w:val="1"/>
    </w:lvl>
  </w:abstractNum>
  <w:abstractNum w:abstractNumId="143">
    <w:nsid w:val="3B594807"/>
    <w:multiLevelType w:val="hybridMultilevel"/>
    <w:lvl w:ilvl="0">
      <w:lvlJc w:val="left"/>
      <w:lvlText w:val="•"/>
      <w:numFmt w:val="bullet"/>
      <w:start w:val="1"/>
    </w:lvl>
  </w:abstractNum>
  <w:abstractNum w:abstractNumId="144">
    <w:nsid w:val="6CAA2304"/>
    <w:multiLevelType w:val="hybridMultilevel"/>
    <w:lvl w:ilvl="0">
      <w:lvlJc w:val="left"/>
      <w:lvlText w:val="•"/>
      <w:numFmt w:val="bullet"/>
      <w:start w:val="1"/>
    </w:lvl>
  </w:abstractNum>
  <w:abstractNum w:abstractNumId="145">
    <w:nsid w:val="3F7C2FF4"/>
    <w:multiLevelType w:val="hybridMultilevel"/>
    <w:lvl w:ilvl="0">
      <w:lvlJc w:val="left"/>
      <w:lvlText w:val="•"/>
      <w:numFmt w:val="bullet"/>
      <w:start w:val="1"/>
    </w:lvl>
  </w:abstractNum>
  <w:abstractNum w:abstractNumId="146">
    <w:nsid w:val="25413BEC"/>
    <w:multiLevelType w:val="hybridMultilevel"/>
    <w:lvl w:ilvl="0">
      <w:lvlJc w:val="left"/>
      <w:lvlText w:val="•"/>
      <w:numFmt w:val="bullet"/>
      <w:start w:val="1"/>
    </w:lvl>
  </w:abstractNum>
  <w:abstractNum w:abstractNumId="147">
    <w:nsid w:val="17180B0B"/>
    <w:multiLevelType w:val="hybridMultilevel"/>
    <w:lvl w:ilvl="0">
      <w:lvlJc w:val="left"/>
      <w:lvlText w:val="•"/>
      <w:numFmt w:val="bullet"/>
      <w:start w:val="1"/>
    </w:lvl>
  </w:abstractNum>
  <w:abstractNum w:abstractNumId="148">
    <w:nsid w:val="579328B9"/>
    <w:multiLevelType w:val="hybridMultilevel"/>
    <w:lvl w:ilvl="0">
      <w:lvlJc w:val="left"/>
      <w:lvlText w:val="•"/>
      <w:numFmt w:val="bullet"/>
      <w:start w:val="1"/>
    </w:lvl>
  </w:abstractNum>
  <w:abstractNum w:abstractNumId="149">
    <w:nsid w:val="5D205E20"/>
    <w:multiLevelType w:val="hybridMultilevel"/>
    <w:lvl w:ilvl="0">
      <w:lvlJc w:val="left"/>
      <w:lvlText w:val="•"/>
      <w:numFmt w:val="bullet"/>
      <w:start w:val="1"/>
    </w:lvl>
  </w:abstractNum>
  <w:abstractNum w:abstractNumId="150">
    <w:nsid w:val="11CCA8BA"/>
    <w:multiLevelType w:val="hybridMultilevel"/>
    <w:lvl w:ilvl="0">
      <w:lvlJc w:val="left"/>
      <w:lvlText w:val="(%1)"/>
      <w:numFmt w:val="decimal"/>
      <w:start w:val="5"/>
    </w:lvl>
  </w:abstractNum>
  <w:abstractNum w:abstractNumId="151">
    <w:nsid w:val="4D32AB86"/>
    <w:multiLevelType w:val="hybridMultilevel"/>
    <w:lvl w:ilvl="0">
      <w:lvlJc w:val="left"/>
      <w:lvlText w:val="(%1)"/>
      <w:numFmt w:val="decimal"/>
      <w:start w:val="1"/>
    </w:lvl>
  </w:abstractNum>
  <w:abstractNum w:abstractNumId="152">
    <w:nsid w:val="3F07ACC3"/>
    <w:multiLevelType w:val="hybridMultilevel"/>
    <w:lvl w:ilvl="0">
      <w:lvlJc w:val="left"/>
      <w:lvlText w:val="(%1)"/>
      <w:numFmt w:val="decimal"/>
      <w:start w:val="1"/>
    </w:lvl>
  </w:abstractNum>
  <w:abstractNum w:abstractNumId="153">
    <w:nsid w:val="6B47F63E"/>
    <w:multiLevelType w:val="hybridMultilevel"/>
    <w:lvl w:ilvl="0">
      <w:lvlJc w:val="left"/>
      <w:lvlText w:val="(%1)"/>
      <w:numFmt w:val="decimal"/>
      <w:start w:val="2"/>
    </w:lvl>
  </w:abstractNum>
  <w:abstractNum w:abstractNumId="154">
    <w:nsid w:val="5CB44A05"/>
    <w:multiLevelType w:val="hybridMultilevel"/>
    <w:lvl w:ilvl="0">
      <w:lvlJc w:val="left"/>
      <w:lvlText w:val="(%1)"/>
      <w:numFmt w:val="decimal"/>
      <w:start w:val="1"/>
    </w:lvl>
  </w:abstractNum>
  <w:abstractNum w:abstractNumId="155">
    <w:nsid w:val="16CF80F1"/>
    <w:multiLevelType w:val="hybridMultilevel"/>
    <w:lvl w:ilvl="0">
      <w:lvlJc w:val="left"/>
      <w:lvlText w:val="*"/>
      <w:numFmt w:val="bullet"/>
      <w:start w:val="1"/>
    </w:lvl>
    <w:lvl w:ilvl="1">
      <w:lvlJc w:val="left"/>
      <w:lvlText w:val="(%2)"/>
      <w:numFmt w:val="decimal"/>
      <w:start w:val="2"/>
    </w:lvl>
  </w:abstractNum>
  <w:abstractNum w:abstractNumId="156">
    <w:nsid w:val="1C695DEC"/>
    <w:multiLevelType w:val="hybridMultilevel"/>
    <w:lvl w:ilvl="0">
      <w:lvlJc w:val="left"/>
      <w:lvlText w:val="(%1)"/>
      <w:numFmt w:val="decimal"/>
      <w:start w:val="2"/>
    </w:lvl>
  </w:abstractNum>
  <w:abstractNum w:abstractNumId="157">
    <w:nsid w:val="3FCFAED9"/>
    <w:multiLevelType w:val="hybridMultilevel"/>
    <w:lvl w:ilvl="0">
      <w:lvlJc w:val="left"/>
      <w:lvlText w:val="•"/>
      <w:numFmt w:val="bullet"/>
      <w:start w:val="1"/>
    </w:lvl>
  </w:abstractNum>
  <w:abstractNum w:abstractNumId="158">
    <w:nsid w:val="F856867"/>
    <w:multiLevelType w:val="hybridMultilevel"/>
    <w:lvl w:ilvl="0">
      <w:lvlJc w:val="left"/>
      <w:lvlText w:val="(%1)"/>
      <w:numFmt w:val="decimal"/>
      <w:start w:val="1"/>
    </w:lvl>
  </w:abstractNum>
  <w:abstractNum w:abstractNumId="159">
    <w:nsid w:val="11B1CC33"/>
    <w:multiLevelType w:val="hybridMultilevel"/>
    <w:lvl w:ilvl="0">
      <w:lvlJc w:val="left"/>
      <w:lvlText w:val="(%1)"/>
      <w:numFmt w:val="decimal"/>
      <w:start w:val="1"/>
    </w:lvl>
  </w:abstractNum>
  <w:abstractNum w:abstractNumId="160">
    <w:nsid w:val="2E22FBB7"/>
    <w:multiLevelType w:val="hybridMultilevel"/>
    <w:lvl w:ilvl="0">
      <w:lvlJc w:val="left"/>
      <w:lvlText w:val="(%1)"/>
      <w:numFmt w:val="decimal"/>
      <w:start w:val="1"/>
    </w:lvl>
  </w:abstractNum>
  <w:abstractNum w:abstractNumId="161">
    <w:nsid w:val="29934699"/>
    <w:multiLevelType w:val="hybridMultilevel"/>
    <w:lvl w:ilvl="0">
      <w:lvlJc w:val="left"/>
      <w:lvlText w:val="(%1)"/>
      <w:numFmt w:val="decimal"/>
      <w:start w:val="1"/>
    </w:lvl>
  </w:abstractNum>
  <w:abstractNum w:abstractNumId="162">
    <w:nsid w:val="77485850"/>
    <w:multiLevelType w:val="hybridMultilevel"/>
    <w:lvl w:ilvl="0">
      <w:lvlJc w:val="left"/>
      <w:lvlText w:val="(%1)"/>
      <w:numFmt w:val="decimal"/>
      <w:start w:val="1"/>
    </w:lvl>
  </w:abstractNum>
  <w:abstractNum w:abstractNumId="163">
    <w:nsid w:val="744939A3"/>
    <w:multiLevelType w:val="hybridMultilevel"/>
    <w:lvl w:ilvl="0">
      <w:lvlJc w:val="left"/>
      <w:lvlText w:val="(%1)"/>
      <w:numFmt w:val="decimal"/>
      <w:start w:val="1"/>
    </w:lvl>
  </w:abstractNum>
  <w:abstractNum w:abstractNumId="164">
    <w:nsid w:val="4FA0D2E3"/>
    <w:multiLevelType w:val="hybridMultilevel"/>
    <w:lvl w:ilvl="0">
      <w:lvlJc w:val="left"/>
      <w:lvlText w:val="(%1)"/>
      <w:numFmt w:val="decimal"/>
      <w:start w:val="1"/>
    </w:lvl>
  </w:abstractNum>
  <w:abstractNum w:abstractNumId="165">
    <w:nsid w:val="6B1D2C14"/>
    <w:multiLevelType w:val="hybridMultilevel"/>
    <w:lvl w:ilvl="0">
      <w:lvlJc w:val="left"/>
      <w:lvlText w:val="*"/>
      <w:numFmt w:val="bullet"/>
      <w:start w:val="1"/>
    </w:lvl>
    <w:lvl w:ilvl="1">
      <w:lvlJc w:val="left"/>
      <w:lvlText w:val="%2"/>
      <w:numFmt w:val="decimal"/>
      <w:start w:val="104"/>
    </w:lvl>
  </w:abstractNum>
  <w:abstractNum w:abstractNumId="166">
    <w:nsid w:val="68B867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2026-04-07T19:27:54Z</dcterms:created>
  <dcterms:modified xsi:type="dcterms:W3CDTF">2026-04-07T19:27:54Z</dcterms:modified>
</cp:coreProperties>
</file>