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Regan Timothy</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06/25/2021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65"/>
        <w:spacing w:after="0"/>
        <w:rPr>
          <w:sz w:val="20"/>
          <w:szCs w:val="20"/>
          <w:color w:val="auto"/>
        </w:rPr>
      </w:pPr>
      <w:r>
        <w:rPr>
          <w:rFonts w:ascii="Arial" w:cs="Arial" w:eastAsia="Arial" w:hAnsi="Arial"/>
          <w:sz w:val="17"/>
          <w:szCs w:val="17"/>
          <w:color w:val="0000FF"/>
        </w:rPr>
        <w:t>Chief Financial Officer</w:t>
      </w:r>
    </w:p>
    <w:p>
      <w:pPr>
        <w:spacing w:after="0" w:line="568"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36"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4"/>
          <w:szCs w:val="24"/>
          <w:color w:val="auto"/>
        </w:rPr>
      </w:pPr>
    </w:p>
    <w:p>
      <w:pPr>
        <w:ind w:left="120" w:right="200"/>
        <w:spacing w:after="0"/>
        <w:rPr>
          <w:sz w:val="20"/>
          <w:szCs w:val="20"/>
          <w:color w:val="auto"/>
        </w:rPr>
      </w:pPr>
      <w:r>
        <w:rPr>
          <w:rFonts w:ascii="Arial" w:cs="Arial" w:eastAsia="Arial" w:hAnsi="Arial"/>
          <w:sz w:val="34"/>
          <w:szCs w:val="34"/>
          <w:color w:val="0000FF"/>
          <w:vertAlign w:val="superscript"/>
        </w:rPr>
        <w:t>SAN</w:t>
      </w:r>
      <w:r>
        <w:rPr>
          <w:rFonts w:ascii="Arial" w:cs="Arial" w:eastAsia="Arial" w:hAnsi="Arial"/>
          <w:sz w:val="17"/>
          <w:szCs w:val="17"/>
          <w:color w:val="0000FF"/>
        </w:rPr>
        <w:t xml:space="preserve"> CA 94158 FRANCISCO</w:t>
      </w:r>
    </w:p>
    <w:p>
      <w:pPr>
        <w:spacing w:after="0" w:line="36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498" w:lineRule="exact"/>
        <w:rPr>
          <w:sz w:val="24"/>
          <w:szCs w:val="24"/>
          <w:color w:val="auto"/>
        </w:rPr>
      </w:pPr>
    </w:p>
    <w:p>
      <w:pPr>
        <w:sectPr>
          <w:pgSz w:w="11900" w:h="16838" w:orient="portrait"/>
          <w:cols w:equalWidth="0" w:num="2">
            <w:col w:w="3200" w:space="72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06/25/2021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1,523</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30.08</w:t>
            </w:r>
          </w:p>
        </w:tc>
        <w:tc>
          <w:tcPr>
            <w:tcW w:w="120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0000FF"/>
              </w:rPr>
              <w:t>445,520</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were sold pursuant to a Rule 10b5-1 trading plan entered into by the Reporting Person.</w:t>
      </w:r>
    </w:p>
    <w:p>
      <w:pPr>
        <w:spacing w:after="0" w:line="50" w:lineRule="exact"/>
        <w:rPr>
          <w:rFonts w:ascii="Arial" w:cs="Arial" w:eastAsia="Arial" w:hAnsi="Arial"/>
          <w:sz w:val="13"/>
          <w:szCs w:val="13"/>
          <w:color w:val="008000"/>
        </w:rPr>
      </w:pPr>
    </w:p>
    <w:p>
      <w:pPr>
        <w:jc w:val="both"/>
        <w:ind w:left="40" w:right="1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2025. In the event the Reporting Person ceases to be a Service Provider, the unvested restricted stock awards and restricted stock units will be cancelled by the Issuer.</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06/29/2021</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201"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200"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ind w:right="3659"/>
        <w:spacing w:after="0" w:line="251"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39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 /s/ Timothy Regan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Timothy Regan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1/25/2021</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40"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2021-06-29T16:50:14Z</dcterms:created>
  <dcterms:modified xsi:type="dcterms:W3CDTF">2021-06-29T16:50:14Z</dcterms:modified>
</cp:coreProperties>
</file>