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23, 2018</w:t>
      </w:r>
    </w:p>
    <w:p>
      <w:pPr>
        <w:spacing w:after="0" w:line="27" w:lineRule="exact"/>
        <w:rPr>
          <w:sz w:val="24"/>
          <w:szCs w:val="24"/>
          <w:color w:val="auto"/>
        </w:rPr>
      </w:pPr>
    </w:p>
    <w:p>
      <w:pPr>
        <w:ind w:left="90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DROPBOX,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360" w:type="dxa"/>
        <w:tblCellMar>
          <w:top w:w="0" w:type="dxa"/>
          <w:left w:w="0" w:type="dxa"/>
          <w:bottom w:w="0" w:type="dxa"/>
          <w:right w:w="0" w:type="dxa"/>
        </w:tblCellMar>
      </w:tblPr>
      <w:tr>
        <w:trPr>
          <w:trHeight w:val="212"/>
        </w:trPr>
        <w:tc>
          <w:tcPr>
            <w:tcW w:w="590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93"/>
              </w:rPr>
              <w:t>Delaware</w:t>
            </w:r>
          </w:p>
        </w:tc>
        <w:tc>
          <w:tcPr>
            <w:tcW w:w="2620" w:type="dxa"/>
            <w:vAlign w:val="bottom"/>
          </w:tcPr>
          <w:p>
            <w:pPr>
              <w:jc w:val="right"/>
              <w:ind w:right="714"/>
              <w:spacing w:after="0"/>
              <w:rPr>
                <w:sz w:val="20"/>
                <w:szCs w:val="20"/>
                <w:color w:val="auto"/>
              </w:rPr>
            </w:pPr>
            <w:r>
              <w:rPr>
                <w:rFonts w:ascii="Arial" w:cs="Arial" w:eastAsia="Arial" w:hAnsi="Arial"/>
                <w:sz w:val="18"/>
                <w:szCs w:val="18"/>
                <w:b w:val="1"/>
                <w:bCs w:val="1"/>
                <w:color w:val="auto"/>
              </w:rPr>
              <w:t>26-0138832</w:t>
            </w:r>
          </w:p>
        </w:tc>
      </w:tr>
      <w:tr>
        <w:trPr>
          <w:trHeight w:val="149"/>
        </w:trPr>
        <w:tc>
          <w:tcPr>
            <w:tcW w:w="5900" w:type="dxa"/>
            <w:vAlign w:val="bottom"/>
            <w:gridSpan w:val="3"/>
          </w:tcPr>
          <w:p>
            <w:pPr>
              <w:jc w:val="center"/>
              <w:ind w:right="28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620" w:type="dxa"/>
            <w:vAlign w:val="bottom"/>
          </w:tcPr>
          <w:p>
            <w:pPr>
              <w:jc w:val="center"/>
              <w:ind w:left="9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00" w:type="dxa"/>
            <w:vAlign w:val="bottom"/>
            <w:gridSpan w:val="3"/>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2620" w:type="dxa"/>
            <w:vAlign w:val="bottom"/>
          </w:tcPr>
          <w:p>
            <w:pPr>
              <w:jc w:val="center"/>
              <w:ind w:left="74"/>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160" w:type="dxa"/>
            <w:vAlign w:val="bottom"/>
          </w:tcPr>
          <w:p>
            <w:pPr>
              <w:spacing w:after="0"/>
              <w:rPr>
                <w:sz w:val="24"/>
                <w:szCs w:val="24"/>
                <w:color w:val="auto"/>
              </w:rPr>
            </w:pP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Dropbox, Inc.</w:t>
            </w:r>
          </w:p>
        </w:tc>
        <w:tc>
          <w:tcPr>
            <w:tcW w:w="262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333 Brannan Street</w:t>
            </w:r>
          </w:p>
        </w:tc>
        <w:tc>
          <w:tcPr>
            <w:tcW w:w="2620" w:type="dxa"/>
            <w:vAlign w:val="bottom"/>
          </w:tcPr>
          <w:p>
            <w:pPr>
              <w:spacing w:after="0"/>
              <w:rPr>
                <w:sz w:val="18"/>
                <w:szCs w:val="18"/>
                <w:color w:val="auto"/>
              </w:rPr>
            </w:pPr>
          </w:p>
        </w:tc>
      </w:tr>
      <w:tr>
        <w:trPr>
          <w:trHeight w:val="216"/>
        </w:trPr>
        <w:tc>
          <w:tcPr>
            <w:tcW w:w="5900" w:type="dxa"/>
            <w:vAlign w:val="bottom"/>
            <w:gridSpan w:val="3"/>
          </w:tcPr>
          <w:p>
            <w:pPr>
              <w:jc w:val="center"/>
              <w:ind w:left="2714"/>
              <w:spacing w:after="0"/>
              <w:rPr>
                <w:sz w:val="20"/>
                <w:szCs w:val="20"/>
                <w:color w:val="auto"/>
              </w:rPr>
            </w:pPr>
            <w:r>
              <w:rPr>
                <w:rFonts w:ascii="Arial" w:cs="Arial" w:eastAsia="Arial" w:hAnsi="Arial"/>
                <w:sz w:val="18"/>
                <w:szCs w:val="18"/>
                <w:b w:val="1"/>
                <w:bCs w:val="1"/>
                <w:color w:val="auto"/>
                <w:w w:val="90"/>
              </w:rPr>
              <w:t>San Francisco, California 94107</w:t>
            </w:r>
          </w:p>
        </w:tc>
        <w:tc>
          <w:tcPr>
            <w:tcW w:w="2620" w:type="dxa"/>
            <w:vAlign w:val="bottom"/>
          </w:tcPr>
          <w:p>
            <w:pPr>
              <w:spacing w:after="0"/>
              <w:rPr>
                <w:sz w:val="18"/>
                <w:szCs w:val="18"/>
                <w:color w:val="auto"/>
              </w:rPr>
            </w:pPr>
          </w:p>
        </w:tc>
      </w:tr>
      <w:tr>
        <w:trPr>
          <w:trHeight w:val="212"/>
        </w:trPr>
        <w:tc>
          <w:tcPr>
            <w:tcW w:w="5540" w:type="dxa"/>
            <w:vAlign w:val="bottom"/>
            <w:gridSpan w:val="2"/>
          </w:tcPr>
          <w:p>
            <w:pPr>
              <w:jc w:val="center"/>
              <w:ind w:left="3094"/>
              <w:spacing w:after="0"/>
              <w:rPr>
                <w:sz w:val="20"/>
                <w:szCs w:val="20"/>
                <w:color w:val="auto"/>
              </w:rPr>
            </w:pPr>
            <w:r>
              <w:rPr>
                <w:rFonts w:ascii="Arial" w:cs="Arial" w:eastAsia="Arial" w:hAnsi="Arial"/>
                <w:sz w:val="18"/>
                <w:szCs w:val="18"/>
                <w:b w:val="1"/>
                <w:bCs w:val="1"/>
                <w:color w:val="auto"/>
                <w:w w:val="90"/>
              </w:rPr>
              <w:t>(415) 857-6800</w:t>
            </w:r>
          </w:p>
        </w:tc>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86"/>
        </w:trPr>
        <w:tc>
          <w:tcPr>
            <w:tcW w:w="8520" w:type="dxa"/>
            <w:vAlign w:val="bottom"/>
            <w:gridSpan w:val="4"/>
          </w:tcPr>
          <w:p>
            <w:pPr>
              <w:jc w:val="center"/>
              <w:ind w:left="114"/>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50"/>
        </w:trPr>
        <w:tc>
          <w:tcPr>
            <w:tcW w:w="31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07"/>
        </w:trPr>
        <w:tc>
          <w:tcPr>
            <w:tcW w:w="3160" w:type="dxa"/>
            <w:vAlign w:val="bottom"/>
          </w:tcPr>
          <w:p>
            <w:pPr>
              <w:spacing w:after="0"/>
              <w:rPr>
                <w:sz w:val="24"/>
                <w:szCs w:val="24"/>
                <w:color w:val="auto"/>
              </w:rPr>
            </w:pPr>
          </w:p>
        </w:tc>
        <w:tc>
          <w:tcPr>
            <w:tcW w:w="2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2008 Equity Incentive Plan</w:t>
            </w:r>
          </w:p>
        </w:tc>
        <w:tc>
          <w:tcPr>
            <w:tcW w:w="262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2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2017 Equity Incentive Plan</w:t>
            </w:r>
          </w:p>
        </w:tc>
        <w:tc>
          <w:tcPr>
            <w:tcW w:w="26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2018 Equity Incentive Plan</w:t>
            </w:r>
          </w:p>
        </w:tc>
        <w:tc>
          <w:tcPr>
            <w:tcW w:w="2620" w:type="dxa"/>
            <w:vAlign w:val="bottom"/>
          </w:tcPr>
          <w:p>
            <w:pPr>
              <w:spacing w:after="0"/>
              <w:rPr>
                <w:sz w:val="18"/>
                <w:szCs w:val="18"/>
                <w:color w:val="auto"/>
              </w:rPr>
            </w:pPr>
          </w:p>
        </w:tc>
      </w:tr>
      <w:tr>
        <w:trPr>
          <w:trHeight w:val="212"/>
        </w:trPr>
        <w:tc>
          <w:tcPr>
            <w:tcW w:w="5900" w:type="dxa"/>
            <w:vAlign w:val="bottom"/>
            <w:gridSpan w:val="3"/>
          </w:tcPr>
          <w:p>
            <w:pPr>
              <w:jc w:val="center"/>
              <w:ind w:left="2714"/>
              <w:spacing w:after="0"/>
              <w:rPr>
                <w:sz w:val="20"/>
                <w:szCs w:val="20"/>
                <w:color w:val="auto"/>
              </w:rPr>
            </w:pPr>
            <w:r>
              <w:rPr>
                <w:rFonts w:ascii="Arial" w:cs="Arial" w:eastAsia="Arial" w:hAnsi="Arial"/>
                <w:sz w:val="18"/>
                <w:szCs w:val="18"/>
                <w:b w:val="1"/>
                <w:bCs w:val="1"/>
                <w:color w:val="auto"/>
                <w:w w:val="88"/>
              </w:rPr>
              <w:t>2018 Employee Stock Purchase Plan</w:t>
            </w:r>
          </w:p>
        </w:tc>
        <w:tc>
          <w:tcPr>
            <w:tcW w:w="2620" w:type="dxa"/>
            <w:vAlign w:val="bottom"/>
          </w:tcPr>
          <w:p>
            <w:pPr>
              <w:spacing w:after="0"/>
              <w:rPr>
                <w:sz w:val="18"/>
                <w:szCs w:val="18"/>
                <w:color w:val="auto"/>
              </w:rPr>
            </w:pPr>
          </w:p>
        </w:tc>
      </w:tr>
      <w:tr>
        <w:trPr>
          <w:trHeight w:val="186"/>
        </w:trPr>
        <w:tc>
          <w:tcPr>
            <w:tcW w:w="3160" w:type="dxa"/>
            <w:vAlign w:val="bottom"/>
          </w:tcPr>
          <w:p>
            <w:pPr>
              <w:spacing w:after="0"/>
              <w:rPr>
                <w:sz w:val="16"/>
                <w:szCs w:val="16"/>
                <w:color w:val="auto"/>
              </w:rPr>
            </w:pPr>
          </w:p>
        </w:tc>
        <w:tc>
          <w:tcPr>
            <w:tcW w:w="2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(Full title of the plan)</w:t>
            </w:r>
          </w:p>
        </w:tc>
        <w:tc>
          <w:tcPr>
            <w:tcW w:w="2620" w:type="dxa"/>
            <w:vAlign w:val="bottom"/>
          </w:tcPr>
          <w:p>
            <w:pPr>
              <w:spacing w:after="0"/>
              <w:rPr>
                <w:sz w:val="16"/>
                <w:szCs w:val="16"/>
                <w:color w:val="auto"/>
              </w:rPr>
            </w:pPr>
          </w:p>
        </w:tc>
      </w:tr>
      <w:tr>
        <w:trPr>
          <w:trHeight w:val="336"/>
        </w:trPr>
        <w:tc>
          <w:tcPr>
            <w:tcW w:w="31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07"/>
        </w:trPr>
        <w:tc>
          <w:tcPr>
            <w:tcW w:w="3160" w:type="dxa"/>
            <w:vAlign w:val="bottom"/>
          </w:tcPr>
          <w:p>
            <w:pPr>
              <w:spacing w:after="0"/>
              <w:rPr>
                <w:sz w:val="24"/>
                <w:szCs w:val="24"/>
                <w:color w:val="auto"/>
              </w:rPr>
            </w:pPr>
          </w:p>
        </w:tc>
        <w:tc>
          <w:tcPr>
            <w:tcW w:w="2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Andrew W. Houston</w:t>
            </w:r>
          </w:p>
        </w:tc>
        <w:tc>
          <w:tcPr>
            <w:tcW w:w="262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Chief Executive Officer</w:t>
            </w:r>
          </w:p>
        </w:tc>
        <w:tc>
          <w:tcPr>
            <w:tcW w:w="26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Dropbox, Inc.</w:t>
            </w:r>
          </w:p>
        </w:tc>
        <w:tc>
          <w:tcPr>
            <w:tcW w:w="26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333 Brannan Street</w:t>
            </w:r>
          </w:p>
        </w:tc>
        <w:tc>
          <w:tcPr>
            <w:tcW w:w="2620" w:type="dxa"/>
            <w:vAlign w:val="bottom"/>
          </w:tcPr>
          <w:p>
            <w:pPr>
              <w:spacing w:after="0"/>
              <w:rPr>
                <w:sz w:val="18"/>
                <w:szCs w:val="18"/>
                <w:color w:val="auto"/>
              </w:rPr>
            </w:pPr>
          </w:p>
        </w:tc>
      </w:tr>
      <w:tr>
        <w:trPr>
          <w:trHeight w:val="216"/>
        </w:trPr>
        <w:tc>
          <w:tcPr>
            <w:tcW w:w="5900" w:type="dxa"/>
            <w:vAlign w:val="bottom"/>
            <w:gridSpan w:val="3"/>
          </w:tcPr>
          <w:p>
            <w:pPr>
              <w:jc w:val="center"/>
              <w:ind w:left="2714"/>
              <w:spacing w:after="0"/>
              <w:rPr>
                <w:sz w:val="20"/>
                <w:szCs w:val="20"/>
                <w:color w:val="auto"/>
              </w:rPr>
            </w:pPr>
            <w:r>
              <w:rPr>
                <w:rFonts w:ascii="Arial" w:cs="Arial" w:eastAsia="Arial" w:hAnsi="Arial"/>
                <w:sz w:val="18"/>
                <w:szCs w:val="18"/>
                <w:b w:val="1"/>
                <w:bCs w:val="1"/>
                <w:color w:val="auto"/>
                <w:w w:val="90"/>
              </w:rPr>
              <w:t>San Francisco, California 94107</w:t>
            </w:r>
          </w:p>
        </w:tc>
        <w:tc>
          <w:tcPr>
            <w:tcW w:w="2620" w:type="dxa"/>
            <w:vAlign w:val="bottom"/>
          </w:tcPr>
          <w:p>
            <w:pPr>
              <w:spacing w:after="0"/>
              <w:rPr>
                <w:sz w:val="18"/>
                <w:szCs w:val="18"/>
                <w:color w:val="auto"/>
              </w:rPr>
            </w:pPr>
          </w:p>
        </w:tc>
      </w:tr>
      <w:tr>
        <w:trPr>
          <w:trHeight w:val="212"/>
        </w:trPr>
        <w:tc>
          <w:tcPr>
            <w:tcW w:w="5540" w:type="dxa"/>
            <w:vAlign w:val="bottom"/>
            <w:gridSpan w:val="2"/>
          </w:tcPr>
          <w:p>
            <w:pPr>
              <w:jc w:val="center"/>
              <w:ind w:left="3094"/>
              <w:spacing w:after="0"/>
              <w:rPr>
                <w:sz w:val="20"/>
                <w:szCs w:val="20"/>
                <w:color w:val="auto"/>
              </w:rPr>
            </w:pPr>
            <w:r>
              <w:rPr>
                <w:rFonts w:ascii="Arial" w:cs="Arial" w:eastAsia="Arial" w:hAnsi="Arial"/>
                <w:sz w:val="18"/>
                <w:szCs w:val="18"/>
                <w:b w:val="1"/>
                <w:bCs w:val="1"/>
                <w:color w:val="auto"/>
                <w:w w:val="90"/>
              </w:rPr>
              <w:t>(415) 857-6800</w:t>
            </w:r>
          </w:p>
        </w:tc>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86"/>
        </w:trPr>
        <w:tc>
          <w:tcPr>
            <w:tcW w:w="8520" w:type="dxa"/>
            <w:vAlign w:val="bottom"/>
            <w:gridSpan w:val="4"/>
          </w:tcPr>
          <w:p>
            <w:pPr>
              <w:jc w:val="center"/>
              <w:ind w:left="114"/>
              <w:spacing w:after="0"/>
              <w:rPr>
                <w:sz w:val="20"/>
                <w:szCs w:val="20"/>
                <w:color w:val="auto"/>
              </w:rPr>
            </w:pPr>
            <w:r>
              <w:rPr>
                <w:rFonts w:ascii="Arial" w:cs="Arial" w:eastAsia="Arial" w:hAnsi="Arial"/>
                <w:sz w:val="14"/>
                <w:szCs w:val="14"/>
                <w:b w:val="1"/>
                <w:bCs w:val="1"/>
                <w:color w:val="auto"/>
                <w:w w:val="91"/>
              </w:rPr>
              <w:t>(Name, address and telephone number, including area code, of agent for service)</w:t>
            </w:r>
          </w:p>
        </w:tc>
      </w:tr>
      <w:tr>
        <w:trPr>
          <w:trHeight w:val="336"/>
        </w:trPr>
        <w:tc>
          <w:tcPr>
            <w:tcW w:w="31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26"/>
        </w:trPr>
        <w:tc>
          <w:tcPr>
            <w:tcW w:w="3160" w:type="dxa"/>
            <w:vAlign w:val="bottom"/>
          </w:tcPr>
          <w:p>
            <w:pPr>
              <w:spacing w:after="0"/>
              <w:rPr>
                <w:sz w:val="24"/>
                <w:szCs w:val="24"/>
                <w:color w:val="auto"/>
              </w:rPr>
            </w:pPr>
          </w:p>
        </w:tc>
        <w:tc>
          <w:tcPr>
            <w:tcW w:w="2740" w:type="dxa"/>
            <w:vAlign w:val="bottom"/>
            <w:gridSpan w:val="2"/>
          </w:tcPr>
          <w:p>
            <w:pPr>
              <w:jc w:val="center"/>
              <w:ind w:right="360"/>
              <w:spacing w:after="0"/>
              <w:rPr>
                <w:sz w:val="20"/>
                <w:szCs w:val="20"/>
                <w:color w:val="auto"/>
              </w:rPr>
            </w:pPr>
            <w:r>
              <w:rPr>
                <w:rFonts w:ascii="Arial" w:cs="Arial" w:eastAsia="Arial" w:hAnsi="Arial"/>
                <w:sz w:val="18"/>
                <w:szCs w:val="18"/>
                <w:b w:val="1"/>
                <w:bCs w:val="1"/>
                <w:i w:val="1"/>
                <w:iCs w:val="1"/>
                <w:color w:val="auto"/>
                <w:w w:val="84"/>
              </w:rPr>
              <w:t>Copies to:</w:t>
            </w:r>
          </w:p>
        </w:tc>
        <w:tc>
          <w:tcPr>
            <w:tcW w:w="2620" w:type="dxa"/>
            <w:vAlign w:val="bottom"/>
          </w:tcPr>
          <w:p>
            <w:pPr>
              <w:spacing w:after="0"/>
              <w:rPr>
                <w:sz w:val="24"/>
                <w:szCs w:val="24"/>
                <w:color w:val="auto"/>
              </w:rPr>
            </w:pPr>
          </w:p>
        </w:tc>
      </w:tr>
      <w:tr>
        <w:trPr>
          <w:trHeight w:val="441"/>
        </w:trPr>
        <w:tc>
          <w:tcPr>
            <w:tcW w:w="590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88"/>
              </w:rPr>
              <w:t>Tony Jeffries, Esq.</w:t>
            </w:r>
          </w:p>
        </w:tc>
        <w:tc>
          <w:tcPr>
            <w:tcW w:w="2620" w:type="dxa"/>
            <w:vAlign w:val="bottom"/>
          </w:tcPr>
          <w:p>
            <w:pPr>
              <w:jc w:val="center"/>
              <w:ind w:left="94"/>
              <w:spacing w:after="0"/>
              <w:rPr>
                <w:sz w:val="20"/>
                <w:szCs w:val="20"/>
                <w:color w:val="auto"/>
              </w:rPr>
            </w:pPr>
            <w:r>
              <w:rPr>
                <w:rFonts w:ascii="Arial" w:cs="Arial" w:eastAsia="Arial" w:hAnsi="Arial"/>
                <w:sz w:val="18"/>
                <w:szCs w:val="18"/>
                <w:b w:val="1"/>
                <w:bCs w:val="1"/>
                <w:color w:val="auto"/>
                <w:w w:val="92"/>
              </w:rPr>
              <w:t>Bart E. Volkmer, Esq.</w:t>
            </w:r>
          </w:p>
        </w:tc>
      </w:tr>
      <w:tr>
        <w:trPr>
          <w:trHeight w:val="216"/>
        </w:trPr>
        <w:tc>
          <w:tcPr>
            <w:tcW w:w="5900" w:type="dxa"/>
            <w:vAlign w:val="bottom"/>
            <w:gridSpan w:val="3"/>
          </w:tcPr>
          <w:p>
            <w:pPr>
              <w:jc w:val="center"/>
              <w:ind w:right="2820"/>
              <w:spacing w:after="0"/>
              <w:rPr>
                <w:sz w:val="20"/>
                <w:szCs w:val="20"/>
                <w:color w:val="auto"/>
              </w:rPr>
            </w:pPr>
            <w:r>
              <w:rPr>
                <w:rFonts w:ascii="Arial" w:cs="Arial" w:eastAsia="Arial" w:hAnsi="Arial"/>
                <w:sz w:val="18"/>
                <w:szCs w:val="18"/>
                <w:b w:val="1"/>
                <w:bCs w:val="1"/>
                <w:color w:val="auto"/>
                <w:w w:val="91"/>
              </w:rPr>
              <w:t>Rezwan D. Pavri, Esq.</w:t>
            </w:r>
          </w:p>
        </w:tc>
        <w:tc>
          <w:tcPr>
            <w:tcW w:w="2620" w:type="dxa"/>
            <w:vAlign w:val="bottom"/>
          </w:tcPr>
          <w:p>
            <w:pPr>
              <w:jc w:val="center"/>
              <w:ind w:left="74"/>
              <w:spacing w:after="0"/>
              <w:rPr>
                <w:sz w:val="20"/>
                <w:szCs w:val="20"/>
                <w:color w:val="auto"/>
              </w:rPr>
            </w:pPr>
            <w:r>
              <w:rPr>
                <w:rFonts w:ascii="Arial" w:cs="Arial" w:eastAsia="Arial" w:hAnsi="Arial"/>
                <w:sz w:val="18"/>
                <w:szCs w:val="18"/>
                <w:b w:val="1"/>
                <w:bCs w:val="1"/>
                <w:color w:val="auto"/>
                <w:w w:val="92"/>
              </w:rPr>
              <w:t>Mary Anne Becking, Esq.</w:t>
            </w:r>
          </w:p>
        </w:tc>
      </w:tr>
      <w:tr>
        <w:trPr>
          <w:trHeight w:val="216"/>
        </w:trPr>
        <w:tc>
          <w:tcPr>
            <w:tcW w:w="590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91"/>
              </w:rPr>
              <w:t>Lisa L. Stimmell, Esq.</w:t>
            </w:r>
          </w:p>
        </w:tc>
        <w:tc>
          <w:tcPr>
            <w:tcW w:w="2620" w:type="dxa"/>
            <w:vAlign w:val="bottom"/>
          </w:tcPr>
          <w:p>
            <w:pPr>
              <w:jc w:val="center"/>
              <w:ind w:left="74"/>
              <w:spacing w:after="0"/>
              <w:rPr>
                <w:sz w:val="20"/>
                <w:szCs w:val="20"/>
                <w:color w:val="auto"/>
              </w:rPr>
            </w:pPr>
            <w:r>
              <w:rPr>
                <w:rFonts w:ascii="Arial" w:cs="Arial" w:eastAsia="Arial" w:hAnsi="Arial"/>
                <w:sz w:val="18"/>
                <w:szCs w:val="18"/>
                <w:b w:val="1"/>
                <w:bCs w:val="1"/>
                <w:color w:val="auto"/>
                <w:w w:val="92"/>
              </w:rPr>
              <w:t>Cara M. Angelmar, Esq.</w:t>
            </w:r>
          </w:p>
        </w:tc>
      </w:tr>
      <w:tr>
        <w:trPr>
          <w:trHeight w:val="216"/>
        </w:trPr>
        <w:tc>
          <w:tcPr>
            <w:tcW w:w="5900" w:type="dxa"/>
            <w:vAlign w:val="bottom"/>
            <w:gridSpan w:val="3"/>
          </w:tcPr>
          <w:p>
            <w:pPr>
              <w:jc w:val="center"/>
              <w:ind w:right="2820"/>
              <w:spacing w:after="0"/>
              <w:rPr>
                <w:sz w:val="20"/>
                <w:szCs w:val="20"/>
                <w:color w:val="auto"/>
              </w:rPr>
            </w:pPr>
            <w:r>
              <w:rPr>
                <w:rFonts w:ascii="Arial" w:cs="Arial" w:eastAsia="Arial" w:hAnsi="Arial"/>
                <w:sz w:val="18"/>
                <w:szCs w:val="18"/>
                <w:b w:val="1"/>
                <w:bCs w:val="1"/>
                <w:color w:val="auto"/>
                <w:w w:val="89"/>
              </w:rPr>
              <w:t>Shannon R. Delahaye, Esq.</w:t>
            </w:r>
          </w:p>
        </w:tc>
        <w:tc>
          <w:tcPr>
            <w:tcW w:w="2620" w:type="dxa"/>
            <w:vAlign w:val="bottom"/>
          </w:tcPr>
          <w:p>
            <w:pPr>
              <w:jc w:val="center"/>
              <w:ind w:left="74"/>
              <w:spacing w:after="0"/>
              <w:rPr>
                <w:sz w:val="20"/>
                <w:szCs w:val="20"/>
                <w:color w:val="auto"/>
              </w:rPr>
            </w:pPr>
            <w:r>
              <w:rPr>
                <w:rFonts w:ascii="Arial" w:cs="Arial" w:eastAsia="Arial" w:hAnsi="Arial"/>
                <w:sz w:val="18"/>
                <w:szCs w:val="18"/>
                <w:b w:val="1"/>
                <w:bCs w:val="1"/>
                <w:color w:val="auto"/>
                <w:w w:val="92"/>
              </w:rPr>
              <w:t>Dropbox, Inc.</w:t>
            </w:r>
          </w:p>
        </w:tc>
      </w:tr>
      <w:tr>
        <w:trPr>
          <w:trHeight w:val="216"/>
        </w:trPr>
        <w:tc>
          <w:tcPr>
            <w:tcW w:w="590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2620" w:type="dxa"/>
            <w:vAlign w:val="bottom"/>
          </w:tcPr>
          <w:p>
            <w:pPr>
              <w:jc w:val="center"/>
              <w:ind w:left="74"/>
              <w:spacing w:after="0"/>
              <w:rPr>
                <w:sz w:val="20"/>
                <w:szCs w:val="20"/>
                <w:color w:val="auto"/>
              </w:rPr>
            </w:pPr>
            <w:r>
              <w:rPr>
                <w:rFonts w:ascii="Arial" w:cs="Arial" w:eastAsia="Arial" w:hAnsi="Arial"/>
                <w:sz w:val="18"/>
                <w:szCs w:val="18"/>
                <w:b w:val="1"/>
                <w:bCs w:val="1"/>
                <w:color w:val="auto"/>
                <w:w w:val="91"/>
              </w:rPr>
              <w:t>333 Brannan Street</w:t>
            </w:r>
          </w:p>
        </w:tc>
      </w:tr>
      <w:tr>
        <w:trPr>
          <w:trHeight w:val="216"/>
        </w:trPr>
        <w:tc>
          <w:tcPr>
            <w:tcW w:w="590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91"/>
              </w:rPr>
              <w:t>650 Page Mill Road</w:t>
            </w:r>
          </w:p>
        </w:tc>
        <w:tc>
          <w:tcPr>
            <w:tcW w:w="2620" w:type="dxa"/>
            <w:vAlign w:val="bottom"/>
          </w:tcPr>
          <w:p>
            <w:pPr>
              <w:jc w:val="center"/>
              <w:ind w:left="74"/>
              <w:spacing w:after="0"/>
              <w:rPr>
                <w:sz w:val="20"/>
                <w:szCs w:val="20"/>
                <w:color w:val="auto"/>
              </w:rPr>
            </w:pPr>
            <w:r>
              <w:rPr>
                <w:rFonts w:ascii="Arial" w:cs="Arial" w:eastAsia="Arial" w:hAnsi="Arial"/>
                <w:sz w:val="18"/>
                <w:szCs w:val="18"/>
                <w:b w:val="1"/>
                <w:bCs w:val="1"/>
                <w:color w:val="auto"/>
                <w:w w:val="90"/>
              </w:rPr>
              <w:t>San Francisco, California 94107</w:t>
            </w:r>
          </w:p>
        </w:tc>
      </w:tr>
      <w:tr>
        <w:trPr>
          <w:trHeight w:val="216"/>
        </w:trPr>
        <w:tc>
          <w:tcPr>
            <w:tcW w:w="590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92"/>
              </w:rPr>
              <w:t>Palo Alto, California 94304</w:t>
            </w:r>
          </w:p>
        </w:tc>
        <w:tc>
          <w:tcPr>
            <w:tcW w:w="2620" w:type="dxa"/>
            <w:vAlign w:val="bottom"/>
          </w:tcPr>
          <w:p>
            <w:pPr>
              <w:jc w:val="right"/>
              <w:ind w:right="574"/>
              <w:spacing w:after="0"/>
              <w:rPr>
                <w:sz w:val="20"/>
                <w:szCs w:val="20"/>
                <w:color w:val="auto"/>
              </w:rPr>
            </w:pPr>
            <w:r>
              <w:rPr>
                <w:rFonts w:ascii="Arial" w:cs="Arial" w:eastAsia="Arial" w:hAnsi="Arial"/>
                <w:sz w:val="18"/>
                <w:szCs w:val="18"/>
                <w:b w:val="1"/>
                <w:bCs w:val="1"/>
                <w:color w:val="auto"/>
              </w:rPr>
              <w:t>(415) 857-6800</w:t>
            </w:r>
          </w:p>
        </w:tc>
      </w:tr>
      <w:tr>
        <w:trPr>
          <w:trHeight w:val="234"/>
        </w:trPr>
        <w:tc>
          <w:tcPr>
            <w:tcW w:w="3160" w:type="dxa"/>
            <w:vAlign w:val="bottom"/>
          </w:tcPr>
          <w:p>
            <w:pPr>
              <w:jc w:val="center"/>
              <w:ind w:right="14"/>
              <w:spacing w:after="0"/>
              <w:rPr>
                <w:sz w:val="20"/>
                <w:szCs w:val="20"/>
                <w:color w:val="auto"/>
              </w:rPr>
            </w:pPr>
            <w:r>
              <w:rPr>
                <w:rFonts w:ascii="Arial" w:cs="Arial" w:eastAsia="Arial" w:hAnsi="Arial"/>
                <w:sz w:val="18"/>
                <w:szCs w:val="18"/>
                <w:b w:val="1"/>
                <w:bCs w:val="1"/>
                <w:color w:val="auto"/>
                <w:w w:val="92"/>
              </w:rPr>
              <w:t>(650) 493-9300</w:t>
            </w: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903" w:orient="portrait"/>
          <w:cols w:equalWidth="0" w:num="1">
            <w:col w:w="11420"/>
          </w:cols>
          <w:pgMar w:left="240" w:top="229" w:right="239" w:bottom="0" w:gutter="0" w:footer="0" w:header="0"/>
        </w:sectPr>
      </w:pPr>
    </w:p>
    <w:bookmarkStart w:id="1" w:name="page2"/>
    <w:bookmarkEnd w:id="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252095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t>CALCULATION OF REGISTRATION FEE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18"/>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17"/>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Title of</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tcPr>
          <w:p>
            <w:pPr>
              <w:jc w:val="center"/>
              <w:ind w:left="14"/>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Class A Common Stock, $0.00001 par value per share:</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—2018 Equity Incentive Plan</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53,781,073</w:t>
            </w:r>
            <w:r>
              <w:rPr>
                <w:rFonts w:ascii="Arial" w:cs="Arial" w:eastAsia="Arial" w:hAnsi="Arial"/>
                <w:sz w:val="15"/>
                <w:szCs w:val="15"/>
                <w:color w:val="auto"/>
                <w:w w:val="92"/>
              </w:rPr>
              <w:t>(2)</w:t>
            </w:r>
          </w:p>
        </w:tc>
        <w:tc>
          <w:tcPr>
            <w:tcW w:w="1600" w:type="dxa"/>
            <w:vAlign w:val="bottom"/>
            <w:tcBorders>
              <w:bottom w:val="single" w:sz="8" w:color="auto"/>
              <w:right w:val="single" w:sz="8" w:color="auto"/>
            </w:tcBorders>
          </w:tcPr>
          <w:p>
            <w:pPr>
              <w:jc w:val="center"/>
              <w:ind w:left="18"/>
              <w:spacing w:after="0"/>
              <w:rPr>
                <w:sz w:val="20"/>
                <w:szCs w:val="20"/>
                <w:color w:val="auto"/>
              </w:rPr>
            </w:pPr>
            <w:r>
              <w:rPr>
                <w:rFonts w:ascii="Arial" w:cs="Arial" w:eastAsia="Arial" w:hAnsi="Arial"/>
                <w:sz w:val="18"/>
                <w:szCs w:val="18"/>
                <w:color w:val="auto"/>
                <w:w w:val="90"/>
              </w:rPr>
              <w:t>$21.00</w:t>
            </w:r>
            <w:r>
              <w:rPr>
                <w:rFonts w:ascii="Arial" w:cs="Arial" w:eastAsia="Arial" w:hAnsi="Arial"/>
                <w:sz w:val="15"/>
                <w:szCs w:val="15"/>
                <w:color w:val="auto"/>
                <w:w w:val="90"/>
              </w:rPr>
              <w:t>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$1,129,402,533</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$140,611</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—2018 Employee Stock Purchase Plan</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4,136,832</w:t>
            </w:r>
            <w:r>
              <w:rPr>
                <w:rFonts w:ascii="Arial" w:cs="Arial" w:eastAsia="Arial" w:hAnsi="Arial"/>
                <w:sz w:val="15"/>
                <w:szCs w:val="15"/>
                <w:color w:val="auto"/>
                <w:w w:val="91"/>
              </w:rPr>
              <w:t>(3)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$17.85</w:t>
            </w:r>
            <w:r>
              <w:rPr>
                <w:rFonts w:ascii="Arial" w:cs="Arial" w:eastAsia="Arial" w:hAnsi="Arial"/>
                <w:sz w:val="15"/>
                <w:szCs w:val="15"/>
                <w:color w:val="auto"/>
                <w:w w:val="92"/>
              </w:rPr>
              <w:t>(9)</w:t>
            </w:r>
          </w:p>
        </w:tc>
        <w:tc>
          <w:tcPr>
            <w:tcW w:w="160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89"/>
              </w:rPr>
              <w:t>$73,842,452</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0"/>
              </w:rPr>
              <w:t>$9,194</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—2017 Equity Incentive Plan</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25,828,402</w:t>
            </w:r>
            <w:r>
              <w:rPr>
                <w:rFonts w:ascii="Arial" w:cs="Arial" w:eastAsia="Arial" w:hAnsi="Arial"/>
                <w:sz w:val="15"/>
                <w:szCs w:val="15"/>
                <w:color w:val="auto"/>
                <w:w w:val="92"/>
              </w:rPr>
              <w:t>(4)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$21.00</w:t>
            </w:r>
            <w:r>
              <w:rPr>
                <w:rFonts w:ascii="Arial" w:cs="Arial" w:eastAsia="Arial" w:hAnsi="Arial"/>
                <w:sz w:val="15"/>
                <w:szCs w:val="15"/>
                <w:color w:val="auto"/>
                <w:w w:val="92"/>
              </w:rPr>
              <w:t>(10)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$542,396,442</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9"/>
              </w:rPr>
              <w:t>$67,529</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—2008 Equity Incentive Plan</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13,031,978</w:t>
            </w:r>
            <w:r>
              <w:rPr>
                <w:rFonts w:ascii="Arial" w:cs="Arial" w:eastAsia="Arial" w:hAnsi="Arial"/>
                <w:sz w:val="15"/>
                <w:szCs w:val="15"/>
                <w:color w:val="auto"/>
                <w:w w:val="92"/>
              </w:rPr>
              <w:t>(5)</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(11)</w:t>
            </w:r>
          </w:p>
        </w:tc>
        <w:tc>
          <w:tcPr>
            <w:tcW w:w="160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Class B Common Stock, $0.00001 par value per share:</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—2008 Equity Incentive Plan (Options)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4,890,074</w:t>
            </w:r>
            <w:r>
              <w:rPr>
                <w:rFonts w:ascii="Arial" w:cs="Arial" w:eastAsia="Arial" w:hAnsi="Arial"/>
                <w:sz w:val="15"/>
                <w:szCs w:val="15"/>
                <w:color w:val="auto"/>
                <w:w w:val="91"/>
              </w:rPr>
              <w:t>(6)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$10.55</w:t>
            </w:r>
            <w:r>
              <w:rPr>
                <w:rFonts w:ascii="Arial" w:cs="Arial" w:eastAsia="Arial" w:hAnsi="Arial"/>
                <w:sz w:val="15"/>
                <w:szCs w:val="15"/>
                <w:color w:val="auto"/>
                <w:w w:val="92"/>
              </w:rPr>
              <w:t>(12)</w:t>
            </w:r>
          </w:p>
        </w:tc>
        <w:tc>
          <w:tcPr>
            <w:tcW w:w="160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8"/>
                <w:szCs w:val="18"/>
                <w:color w:val="auto"/>
                <w:w w:val="89"/>
              </w:rPr>
              <w:t>$51,590,281</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0"/>
              </w:rPr>
              <w:t>$6,423</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—2008 Equity Incentive Plan (RSUs)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8,141,904 </w:t>
            </w:r>
            <w:r>
              <w:rPr>
                <w:rFonts w:ascii="Arial" w:cs="Arial" w:eastAsia="Arial" w:hAnsi="Arial"/>
                <w:sz w:val="15"/>
                <w:szCs w:val="15"/>
                <w:color w:val="auto"/>
                <w:w w:val="90"/>
              </w:rPr>
              <w:t>(7)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$21.00</w:t>
            </w:r>
            <w:r>
              <w:rPr>
                <w:rFonts w:ascii="Arial" w:cs="Arial" w:eastAsia="Arial" w:hAnsi="Arial"/>
                <w:sz w:val="15"/>
                <w:szCs w:val="15"/>
                <w:color w:val="auto"/>
                <w:w w:val="92"/>
              </w:rPr>
              <w:t>(13)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$170,979,984</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9"/>
              </w:rPr>
              <w:t>$21,288</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109,810,263</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$1,968,211,692</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$245,045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20" w:hanging="452"/>
        <w:spacing w:after="0" w:line="26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this Registration Statement covers any additional shares of the Registrant’s Class A common stock (“</w:t>
      </w:r>
      <w:r>
        <w:rPr>
          <w:rFonts w:ascii="Arial" w:cs="Arial" w:eastAsia="Arial" w:hAnsi="Arial"/>
          <w:sz w:val="17"/>
          <w:szCs w:val="17"/>
          <w:b w:val="1"/>
          <w:bCs w:val="1"/>
          <w:color w:val="auto"/>
        </w:rPr>
        <w:t>Class A Common Stock</w:t>
      </w:r>
      <w:r>
        <w:rPr>
          <w:rFonts w:ascii="Arial" w:cs="Arial" w:eastAsia="Arial" w:hAnsi="Arial"/>
          <w:sz w:val="17"/>
          <w:szCs w:val="17"/>
          <w:color w:val="auto"/>
        </w:rPr>
        <w:t>”) or the Registrant’s Class B common stock (“</w:t>
      </w:r>
      <w:r>
        <w:rPr>
          <w:rFonts w:ascii="Arial" w:cs="Arial" w:eastAsia="Arial" w:hAnsi="Arial"/>
          <w:sz w:val="17"/>
          <w:szCs w:val="17"/>
          <w:b w:val="1"/>
          <w:bCs w:val="1"/>
          <w:color w:val="auto"/>
        </w:rPr>
        <w:t>Class B Common Stock</w:t>
      </w:r>
      <w:r>
        <w:rPr>
          <w:rFonts w:ascii="Arial" w:cs="Arial" w:eastAsia="Arial" w:hAnsi="Arial"/>
          <w:sz w:val="17"/>
          <w:szCs w:val="17"/>
          <w:color w:val="auto"/>
        </w:rPr>
        <w:t>”) that become issuable under the Registrant’s 2018 Equity Incentive Plan (the “</w:t>
      </w:r>
      <w:r>
        <w:rPr>
          <w:rFonts w:ascii="Arial" w:cs="Arial" w:eastAsia="Arial" w:hAnsi="Arial"/>
          <w:sz w:val="17"/>
          <w:szCs w:val="17"/>
          <w:b w:val="1"/>
          <w:bCs w:val="1"/>
          <w:color w:val="auto"/>
        </w:rPr>
        <w:t>2018 Plan</w:t>
      </w:r>
      <w:r>
        <w:rPr>
          <w:rFonts w:ascii="Arial" w:cs="Arial" w:eastAsia="Arial" w:hAnsi="Arial"/>
          <w:sz w:val="17"/>
          <w:szCs w:val="17"/>
          <w:color w:val="auto"/>
        </w:rPr>
        <w:t>”), the Registrant’s 2018 Employee Stock Purchase Plan (the “</w:t>
      </w:r>
      <w:r>
        <w:rPr>
          <w:rFonts w:ascii="Arial" w:cs="Arial" w:eastAsia="Arial" w:hAnsi="Arial"/>
          <w:sz w:val="17"/>
          <w:szCs w:val="17"/>
          <w:b w:val="1"/>
          <w:bCs w:val="1"/>
          <w:color w:val="auto"/>
        </w:rPr>
        <w:t>2018 ESPP</w:t>
      </w:r>
      <w:r>
        <w:rPr>
          <w:rFonts w:ascii="Arial" w:cs="Arial" w:eastAsia="Arial" w:hAnsi="Arial"/>
          <w:sz w:val="17"/>
          <w:szCs w:val="17"/>
          <w:color w:val="auto"/>
        </w:rPr>
        <w:t>”), the Registrant’s 2017 Equity Incentive Plan (the “</w:t>
      </w:r>
      <w:r>
        <w:rPr>
          <w:rFonts w:ascii="Arial" w:cs="Arial" w:eastAsia="Arial" w:hAnsi="Arial"/>
          <w:sz w:val="17"/>
          <w:szCs w:val="17"/>
          <w:b w:val="1"/>
          <w:bCs w:val="1"/>
          <w:color w:val="auto"/>
        </w:rPr>
        <w:t>2017 Plan</w:t>
      </w:r>
      <w:r>
        <w:rPr>
          <w:rFonts w:ascii="Arial" w:cs="Arial" w:eastAsia="Arial" w:hAnsi="Arial"/>
          <w:sz w:val="17"/>
          <w:szCs w:val="17"/>
          <w:color w:val="auto"/>
        </w:rPr>
        <w:t>”), and the Registrant’s 2008 Equity Incentive Plan, as amended (the “</w:t>
      </w:r>
      <w:r>
        <w:rPr>
          <w:rFonts w:ascii="Arial" w:cs="Arial" w:eastAsia="Arial" w:hAnsi="Arial"/>
          <w:sz w:val="17"/>
          <w:szCs w:val="17"/>
          <w:b w:val="1"/>
          <w:bCs w:val="1"/>
          <w:color w:val="auto"/>
        </w:rPr>
        <w:t>2008 Plan</w:t>
      </w:r>
      <w:r>
        <w:rPr>
          <w:rFonts w:ascii="Arial" w:cs="Arial" w:eastAsia="Arial" w:hAnsi="Arial"/>
          <w:sz w:val="17"/>
          <w:szCs w:val="17"/>
          <w:color w:val="auto"/>
        </w:rPr>
        <w:t>”), by reason of any stock dividend, stock split, recapitalization or other similar transaction effected without the Registrant’s receipt of consideration which results in an increase in the number of the outstanding shares of Class A Common Stock or Class B Common Stock.</w:t>
      </w:r>
    </w:p>
    <w:p>
      <w:pPr>
        <w:ind w:left="46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41,368,326 shares of Class A Common Stock reserved for issuance pursuant to future awards under the 2018 Plan, plus 12,412,747 shares of Class A Common Stock that were reserved but not issued pursuant to any awards granted under the 2017 Plan and are not subject to any awards granted thereunder. The number of shares of Class A Common Stock available for issuance under the 2018 Plan will be increased by (a) any shares of Class A Common Stock subject to awards outstanding under the 2017 Plan that, on or after the effective date of the registration statement relating to the Registrant’s initial public offering (the “</w:t>
      </w:r>
      <w:r>
        <w:rPr>
          <w:rFonts w:ascii="Arial" w:cs="Arial" w:eastAsia="Arial" w:hAnsi="Arial"/>
          <w:sz w:val="16"/>
          <w:szCs w:val="16"/>
          <w:b w:val="1"/>
          <w:bCs w:val="1"/>
          <w:color w:val="auto"/>
        </w:rPr>
        <w:t>Registration Date”)</w:t>
      </w:r>
      <w:r>
        <w:rPr>
          <w:rFonts w:ascii="Arial" w:cs="Arial" w:eastAsia="Arial" w:hAnsi="Arial"/>
          <w:sz w:val="16"/>
          <w:szCs w:val="16"/>
          <w:color w:val="auto"/>
        </w:rPr>
        <w:t>, expire or otherwise terminate without having been exercised in full, are tendered to or withheld by the Registrant for payment of an exercise price or for tax withholding obligations, or are forfeited to or repurchased by the Registrant due to failure to vest and (b) a number of shares of Class A Common Stock equal to the shares of Class B Common Stock subject to awards outstanding under the 2008 Plan that, on or after the Registration Date, expire or otherwise terminate without having been exercised in full, are tendered to or withheld by the Registrant for payment of an exercise price or for tax withholding obligations (including, for the avoidance of doubt, shares withheld on or after the Registration Date to satisfy with respect to restricted stock units vesting on the Registration Date), or are forfeited to or repurchased by the Registrant due to failure to vest. The maximum number of shares of Class A Common Stock that can be added to the 2018 Plan from the 2017 Plan and 2008 Plan, in the aggregate, is 68,824,856. See footnotes 4, 5, 6, and 7 below.</w:t>
      </w:r>
    </w:p>
    <w:p>
      <w:pPr>
        <w:spacing w:after="0" w:line="8"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4,136,832 shares of Class A Common Stock reserved for issuance under the 2018 ESPP.</w:t>
      </w:r>
    </w:p>
    <w:p>
      <w:pPr>
        <w:spacing w:after="0" w:line="9" w:lineRule="exact"/>
        <w:rPr>
          <w:rFonts w:ascii="Arial" w:cs="Arial" w:eastAsia="Arial" w:hAnsi="Arial"/>
          <w:sz w:val="18"/>
          <w:szCs w:val="18"/>
          <w:color w:val="auto"/>
        </w:rPr>
      </w:pPr>
    </w:p>
    <w:p>
      <w:pPr>
        <w:jc w:val="both"/>
        <w:ind w:left="460" w:right="2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25,828,402 shares of Class A Common Stock reserved for issuance pursuant to restricted stock unit awards outstanding under the 2017 Plan as of the date of this Registration Statement. Any shares of Class A Common Stock subject to such awards that, on or after the Registration Date, expire or otherwise terminate, are tendered to or withheld by the Registrant for tax withholding obligations, or are forfeited to or repurchased by the Registrant due to failure to vest, will become available for issuance under the 2018 Plan subject to maximum limit. See footnote 2 above.</w:t>
      </w:r>
    </w:p>
    <w:p>
      <w:pPr>
        <w:spacing w:after="0" w:line="2" w:lineRule="exact"/>
        <w:rPr>
          <w:rFonts w:ascii="Arial" w:cs="Arial" w:eastAsia="Arial" w:hAnsi="Arial"/>
          <w:sz w:val="16"/>
          <w:szCs w:val="16"/>
          <w:color w:val="auto"/>
        </w:rPr>
      </w:pPr>
    </w:p>
    <w:p>
      <w:pPr>
        <w:ind w:left="460" w:right="2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13,031,978 shares of Class A Common Stock issuable upon conversion of shares of Class B Common Stock underlying equity awards outstanding under the 2008 Plan as of the date of this Registration Statement. A number of shares of Class A Common Stock equal to the shares of Class B Common Stock subject to awards outstanding under the 2008 Plan that, on or after the Registration Date, expire or otherwise terminate, are tendered to or withheld by the Registrant for payment of an exercise price or for tax withholding obligations (including, for the avoidance of doubt, shares withheld on or after the Registration Date to satisfy with respect to restricted stock units vesting on the Registration Date), or are forfeited to or repurchased by the Registrant due to failure to vest will become available for issuance as shares of Class A Common Stock under the 2018 Plan, subject to the maximum limit set forth in the 2018 Plan. See footnote 2 above.</w:t>
      </w:r>
    </w:p>
    <w:p>
      <w:pPr>
        <w:spacing w:after="0" w:line="1" w:lineRule="exact"/>
        <w:rPr>
          <w:rFonts w:ascii="Arial" w:cs="Arial" w:eastAsia="Arial" w:hAnsi="Arial"/>
          <w:sz w:val="17"/>
          <w:szCs w:val="17"/>
          <w:color w:val="auto"/>
        </w:rPr>
      </w:pPr>
    </w:p>
    <w:p>
      <w:pPr>
        <w:ind w:left="460" w:right="20" w:hanging="452"/>
        <w:spacing w:after="0" w:line="265"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4,890,074 shares of Class B Common Stock reserved for issuance pursuant to stock option awards outstanding under the 2008 Plan as of the date of this Registration Statement. A number of shares of Class A Common Stock equal to the shares of Class B Common Stock subject to awards outstanding under the 2008 Plan that, on or after the Registration Date, expire or otherwise terminate, are tendered to or withheld by the Registrant for tax withholding obligations, or are forfeited to or repurchased by the Registrant due to failure to vest will become available for issuance under the 2018 Plan, subject to the maximum limit set forth in the 2018 Plan. See footnote 2 above.</w:t>
      </w:r>
    </w:p>
    <w:p>
      <w:pPr>
        <w:spacing w:after="0" w:line="1" w:lineRule="exact"/>
        <w:rPr>
          <w:rFonts w:ascii="Arial" w:cs="Arial" w:eastAsia="Arial" w:hAnsi="Arial"/>
          <w:sz w:val="17"/>
          <w:szCs w:val="17"/>
          <w:color w:val="auto"/>
        </w:rPr>
      </w:pPr>
    </w:p>
    <w:p>
      <w:pPr>
        <w:ind w:left="460" w:right="1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8,141,904 shares of Class B Common Stock reserved for issuance pursuant to restricted stock unit awards outstanding under the 2008 Plan as of the date of this Registration Statement. A number of shares of Class A Common Stock equal to the shares of Class B Common Stock subject to awards outstanding under the 2008 Plan that, on or after the Registration Date, expire or otherwise terminate, are tendered to or withheld by the Registrant for tax withholding obligations (including, for the avoidance of doubt, shares withheld on or after the Registration Date to satisfy with respect to restricted stock units vesting on the Registration Date), or are forfeited to or repurchased by the Registrant due to failure to vest will become available for issuance pursuant to such awards will become available for issuance under the 2018 Plan, subject to the maximum limit set forth in the 2018 Plan. See footnote 2 above.</w:t>
      </w:r>
    </w:p>
    <w:p>
      <w:pPr>
        <w:spacing w:after="0" w:line="3"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$21.00 per share, which is the initial public offering price per share of Class A Common Stock set forth on the cover page of the Registrant’s prospectus dated March 22, 2018 relating to its initial public offering.</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85% of $21.00 per share, which is the initial public offering price per share of Class A Common Stock set forth on the cover page of the Registrant’s prospectus dated March 22, 2018 relating to its initial public offering. Pursuant to the 2018 ESPP, the purchase price of the shares of Class A Common Stock reserved for issuance thereunder will be at least 85% of the lower of the fair market value of Class A Common Stock on the Enrollment Date or the Exercise Date (as such terms are defined in the 2018 ESPP).</w:t>
      </w:r>
    </w:p>
    <w:p>
      <w:pPr>
        <w:spacing w:after="0" w:line="2"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$21.00 per share, which is the initial public offering price per share of Class A Common Stock set forth on the cover page of the Registrant’s prospectus dated March 22, 2018 relating to its initial public offering.</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457(i), there is no fee associated with the registration of shares of Class A Common Stock issuable upon conversion of shares of Class B Common Stock (a convertible security) being registered under this Registration Statement because no additional consideration will be received in connection with the conversion of shares of Class B Common Stock.</w:t>
      </w:r>
    </w:p>
    <w:p>
      <w:pPr>
        <w:spacing w:after="0" w:line="1" w:lineRule="exact"/>
        <w:rPr>
          <w:rFonts w:ascii="Arial" w:cs="Arial" w:eastAsia="Arial" w:hAnsi="Arial"/>
          <w:sz w:val="18"/>
          <w:szCs w:val="18"/>
          <w:color w:val="auto"/>
        </w:rPr>
      </w:pPr>
    </w:p>
    <w:p>
      <w:pPr>
        <w:ind w:left="460" w:right="500" w:hanging="452"/>
        <w:spacing w:after="0" w:line="290"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 457(h) solely for the purpose of calculating the registration fee on the basis of $10.55 per share, the weighted-average exercise price of stock option awards outstanding under the 2008 Plan as of the date of this Registration Statement.</w:t>
      </w:r>
    </w:p>
    <w:p>
      <w:pPr>
        <w:sectPr>
          <w:pgSz w:w="11900" w:h="16838" w:orient="portrait"/>
          <w:cols w:equalWidth="0" w:num="1">
            <w:col w:w="11420"/>
          </w:cols>
          <w:pgMar w:left="240" w:top="607" w:right="239" w:bottom="0" w:gutter="0" w:footer="0" w:header="0"/>
        </w:sectPr>
      </w:pPr>
    </w:p>
    <w:bookmarkStart w:id="3" w:name="page4"/>
    <w:bookmarkEnd w:id="3"/>
    <w:p>
      <w:pPr>
        <w:ind w:left="452" w:hanging="452"/>
        <w:spacing w:after="0" w:line="264" w:lineRule="auto"/>
        <w:tabs>
          <w:tab w:leader="none" w:pos="452"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$21.00 per share, which is the initial public offering price per share of Class A Common Stock set forth on the cover page of the Registrant’s prospectus dated March 22, 2018 relating to its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125" w:right="29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5"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The information specified in Item 1 and Item 2 of Part I of Form S-8 is omitted from this Registration Statement on Form S-8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in accordance with the provisions of Rule 428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introductory note to</w:t>
      </w:r>
      <w:r>
        <w:rPr>
          <w:rFonts w:ascii="Arial" w:cs="Arial" w:eastAsia="Arial" w:hAnsi="Arial"/>
          <w:sz w:val="18"/>
          <w:szCs w:val="18"/>
          <w:b w:val="1"/>
          <w:bCs w:val="1"/>
          <w:color w:val="auto"/>
        </w:rPr>
        <w:t xml:space="preserve"> </w:t>
      </w:r>
      <w:r>
        <w:rPr>
          <w:rFonts w:ascii="Arial" w:cs="Arial" w:eastAsia="Arial" w:hAnsi="Arial"/>
          <w:sz w:val="18"/>
          <w:szCs w:val="18"/>
          <w:color w:val="auto"/>
        </w:rPr>
        <w:t>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3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17" w:lineRule="exact"/>
        <w:rPr>
          <w:sz w:val="20"/>
          <w:szCs w:val="20"/>
          <w:color w:val="auto"/>
        </w:rPr>
      </w:pPr>
    </w:p>
    <w:p>
      <w:pPr>
        <w:ind w:right="320" w:firstLine="913"/>
        <w:spacing w:after="0" w:line="282" w:lineRule="auto"/>
        <w:rPr>
          <w:sz w:val="20"/>
          <w:szCs w:val="20"/>
          <w:color w:val="auto"/>
        </w:rPr>
      </w:pPr>
      <w:r>
        <w:rPr>
          <w:rFonts w:ascii="Arial" w:cs="Arial" w:eastAsia="Arial" w:hAnsi="Arial"/>
          <w:sz w:val="18"/>
          <w:szCs w:val="18"/>
          <w:color w:val="auto"/>
        </w:rPr>
        <w:t>Dropbox, Inc. (the “</w:t>
      </w:r>
      <w:r>
        <w:rPr>
          <w:rFonts w:ascii="Arial" w:cs="Arial" w:eastAsia="Arial" w:hAnsi="Arial"/>
          <w:sz w:val="18"/>
          <w:szCs w:val="18"/>
          <w:b w:val="1"/>
          <w:bCs w:val="1"/>
          <w:color w:val="auto"/>
        </w:rPr>
        <w:t>Registrant</w:t>
      </w:r>
      <w:r>
        <w:rPr>
          <w:rFonts w:ascii="Arial" w:cs="Arial" w:eastAsia="Arial" w:hAnsi="Arial"/>
          <w:sz w:val="18"/>
          <w:szCs w:val="18"/>
          <w:color w:val="auto"/>
        </w:rPr>
        <w:t>”) hereby incorporates by reference into this Registration Statement the following documents previously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w:t>
      </w:r>
    </w:p>
    <w:p>
      <w:pPr>
        <w:spacing w:after="0" w:line="166" w:lineRule="exact"/>
        <w:rPr>
          <w:sz w:val="20"/>
          <w:szCs w:val="20"/>
          <w:color w:val="auto"/>
        </w:rPr>
      </w:pPr>
    </w:p>
    <w:p>
      <w:pPr>
        <w:jc w:val="both"/>
        <w:ind w:right="120" w:firstLine="921"/>
        <w:spacing w:after="0" w:line="264" w:lineRule="auto"/>
        <w:tabs>
          <w:tab w:leader="none" w:pos="11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Prospectus dated March 22, 2018, filed with the Commission pursuant to Rule 424(b) under the Securities Act, as a part of the Registration Statement on Form S-1, as amended (File No. 333-223182), which contains the Registrant’s audited financial statements for the latest fiscal year for which such statements have been filed; and</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description of the Registrant’s Class A Common Stock contained in the Company’s Registration Statement on Form 8-A (File</w:t>
      </w:r>
    </w:p>
    <w:p>
      <w:pPr>
        <w:spacing w:after="0" w:line="35"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No. 001-38434) filed with the Commission on March 19, 2018, pursuant to Section 12(b)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184"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ectPr>
          <w:pgSz w:w="11900" w:h="16838" w:orient="portrait"/>
          <w:cols w:equalWidth="0" w:num="1">
            <w:col w:w="11380"/>
          </w:cols>
          <w:pgMar w:left="240" w:top="270" w:right="279" w:bottom="1440" w:gutter="0" w:footer="0" w:header="0"/>
        </w:sectPr>
      </w:pPr>
    </w:p>
    <w:bookmarkStart w:id="5" w:name="page6"/>
    <w:bookmarkEnd w:id="5"/>
    <w:p>
      <w:pPr>
        <w:jc w:val="both"/>
        <w:ind w:right="64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Registrant’s amended and restated certificate of incorporation contains provisions that limit the liability of its directors for monetary damages to the fullest extent permitted by Delaware law. Consequently, the Registrant’s directors will not be personally liable to the Registrant or its stockholders for monetary damages for any breach of fiduciary duties as directors, except liability for the following:</w:t>
      </w:r>
    </w:p>
    <w:p>
      <w:pPr>
        <w:spacing w:after="0" w:line="7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breach of their duty of loyalty to the Registrant or its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addition, the Registrant’s amended and restated bylaws will indemnify, to the fullest extent permitted by law, any person who is or was a party or is threatened to be made a party to any action, suit, or proceeding by reason of the fact that he or she is or was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will also provide that the Registrant must advance expenses incurred by or on behalf of a director or officer in advance of the final disposition of any action or proceeding, subject to limited exceptions.</w:t>
      </w:r>
    </w:p>
    <w:p>
      <w:pPr>
        <w:spacing w:after="0" w:line="17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Further, the Registrant has entered into indemnification agreements with each of its directors and executive officers that may be broader than the specific indemnification provisions contained in the Delaware General Corporation Law.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The Registrant believes that these agreements are necessary to attract and retain qualified individuals to serve as directors and executive officers.</w:t>
      </w:r>
    </w:p>
    <w:p>
      <w:pPr>
        <w:spacing w:after="0" w:line="19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limitation of liability and indemnification provisions in the Registrant’s amended and restated certificate of incorporation, amended and restated bylaws, and the indemnification agreements that the Registrant has entered into with its directors and executive officers may discourage stockholders from bringing a lawsuit against the Registrant’s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the Registrant’s directors, officers, employees, or other agents or is or was serving at its request as a director, officer, employee, or agent of another corporation, partnership, joint venture, trust, or other enterprise, for which indemnification is sought, and the Registrant is not aware of any threatened litigation that may result in claims for indemnification.</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Registrant has obtained insurance policies under which, subject to the limitations of the policies, coverage is provided to the Registrant’s directors and executive officers against loss arising from claims made by reason of breach of</w:t>
      </w:r>
    </w:p>
    <w:p>
      <w:pPr>
        <w:sectPr>
          <w:pgSz w:w="11900" w:h="16838" w:orient="portrait"/>
          <w:cols w:equalWidth="0" w:num="1">
            <w:col w:w="11400"/>
          </w:cols>
          <w:pgMar w:left="240" w:top="274" w:right="259" w:bottom="1440" w:gutter="0" w:footer="0" w:header="0"/>
        </w:sectPr>
      </w:pPr>
    </w:p>
    <w:bookmarkStart w:id="6" w:name="page7"/>
    <w:bookmarkEnd w:id="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Item 7.</w:t>
            </w:r>
          </w:p>
        </w:tc>
        <w:tc>
          <w:tcPr>
            <w:tcW w:w="7520" w:type="dxa"/>
            <w:vAlign w:val="bottom"/>
            <w:gridSpan w:val="10"/>
          </w:tcPr>
          <w:p>
            <w:pPr>
              <w:ind w:left="400"/>
              <w:spacing w:after="0"/>
              <w:rPr>
                <w:sz w:val="20"/>
                <w:szCs w:val="20"/>
                <w:color w:val="auto"/>
              </w:rPr>
            </w:pPr>
            <w:r>
              <w:rPr>
                <w:rFonts w:ascii="Arial" w:cs="Arial" w:eastAsia="Arial" w:hAnsi="Arial"/>
                <w:sz w:val="18"/>
                <w:szCs w:val="18"/>
                <w:b w:val="1"/>
                <w:bCs w:val="1"/>
                <w:color w:val="auto"/>
              </w:rPr>
              <w:t>Exemption from Registration Claimed.</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20" w:type="dxa"/>
            <w:vAlign w:val="bottom"/>
            <w:gridSpan w:val="10"/>
          </w:tcPr>
          <w:p>
            <w:pPr>
              <w:ind w:left="18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81"/>
        </w:trPr>
        <w:tc>
          <w:tcPr>
            <w:tcW w:w="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Item 8.</w:t>
            </w:r>
          </w:p>
        </w:tc>
        <w:tc>
          <w:tcPr>
            <w:tcW w:w="7520" w:type="dxa"/>
            <w:vAlign w:val="bottom"/>
            <w:gridSpan w:val="10"/>
          </w:tcPr>
          <w:p>
            <w:pPr>
              <w:ind w:left="4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24"/>
                <w:szCs w:val="24"/>
                <w:color w:val="auto"/>
              </w:rPr>
            </w:pPr>
          </w:p>
        </w:tc>
        <w:tc>
          <w:tcPr>
            <w:tcW w:w="710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4"/>
                <w:szCs w:val="14"/>
                <w:color w:val="auto"/>
              </w:rPr>
            </w:pPr>
          </w:p>
        </w:tc>
        <w:tc>
          <w:tcPr>
            <w:tcW w:w="710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jc w:val="right"/>
              <w:spacing w:after="0"/>
              <w:rPr>
                <w:sz w:val="20"/>
                <w:szCs w:val="20"/>
                <w:color w:val="auto"/>
              </w:rPr>
            </w:pPr>
            <w:r>
              <w:rPr>
                <w:rFonts w:ascii="Arial" w:cs="Arial" w:eastAsia="Arial" w:hAnsi="Arial"/>
                <w:sz w:val="18"/>
                <w:szCs w:val="18"/>
                <w:color w:val="auto"/>
              </w:rPr>
              <w:t>4.1</w:t>
            </w:r>
            <w:r>
              <w:rPr>
                <w:rFonts w:ascii="Arial" w:cs="Arial" w:eastAsia="Arial" w:hAnsi="Arial"/>
                <w:sz w:val="15"/>
                <w:szCs w:val="15"/>
                <w:color w:val="auto"/>
              </w:rPr>
              <w:t>(1)</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20" w:type="dxa"/>
            <w:vAlign w:val="bottom"/>
            <w:tcBorders>
              <w:bottom w:val="single" w:sz="8" w:color="0000EE"/>
            </w:tcBorders>
            <w:gridSpan w:val="2"/>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Form of Class A common stock certificate.</w:t>
              </w:r>
            </w:hyperlink>
          </w:p>
        </w:tc>
        <w:tc>
          <w:tcPr>
            <w:tcW w:w="39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4.2</w:t>
            </w:r>
            <w:r>
              <w:rPr>
                <w:rFonts w:ascii="Arial" w:cs="Arial" w:eastAsia="Arial" w:hAnsi="Arial"/>
                <w:sz w:val="15"/>
                <w:szCs w:val="15"/>
                <w:color w:val="auto"/>
              </w:rPr>
              <w:t>(2)</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00" w:type="dxa"/>
            <w:vAlign w:val="bottom"/>
            <w:gridSpan w:val="9"/>
          </w:tcPr>
          <w:p>
            <w:pPr>
              <w:spacing w:after="0"/>
              <w:rPr>
                <w:rFonts w:ascii="Arial" w:cs="Arial" w:eastAsia="Arial" w:hAnsi="Arial"/>
                <w:sz w:val="18"/>
                <w:szCs w:val="18"/>
                <w:color w:val="0000EE"/>
              </w:rPr>
            </w:pPr>
            <w:hyperlink r:id="rId24">
              <w:r>
                <w:rPr>
                  <w:rFonts w:ascii="Arial" w:cs="Arial" w:eastAsia="Arial" w:hAnsi="Arial"/>
                  <w:sz w:val="18"/>
                  <w:szCs w:val="18"/>
                  <w:color w:val="0000EE"/>
                </w:rPr>
                <w:t>Dropbox, Inc. 2018 Equity Incentive Plan and related form agreements.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(3)</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tcBorders>
              <w:bottom w:val="single" w:sz="8" w:color="0000EE"/>
            </w:tcBorders>
            <w:gridSpan w:val="6"/>
          </w:tcPr>
          <w:p>
            <w:pPr>
              <w:spacing w:after="0"/>
              <w:rPr>
                <w:rFonts w:ascii="Arial" w:cs="Arial" w:eastAsia="Arial" w:hAnsi="Arial"/>
                <w:sz w:val="18"/>
                <w:szCs w:val="18"/>
                <w:color w:val="0000EE"/>
                <w:w w:val="89"/>
              </w:rPr>
            </w:pPr>
            <w:hyperlink r:id="rId25">
              <w:r>
                <w:rPr>
                  <w:rFonts w:ascii="Arial" w:cs="Arial" w:eastAsia="Arial" w:hAnsi="Arial"/>
                  <w:sz w:val="18"/>
                  <w:szCs w:val="18"/>
                  <w:color w:val="0000EE"/>
                  <w:w w:val="89"/>
                </w:rPr>
                <w:t>Dropbox, Inc. 2018 Employee Stock Purchase Plan and related form agreements.</w:t>
              </w:r>
            </w:hyperlink>
          </w:p>
        </w:tc>
        <w:tc>
          <w:tcPr>
            <w:tcW w:w="1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4.4</w:t>
            </w:r>
            <w:r>
              <w:rPr>
                <w:rFonts w:ascii="Arial" w:cs="Arial" w:eastAsia="Arial" w:hAnsi="Arial"/>
                <w:sz w:val="15"/>
                <w:szCs w:val="15"/>
                <w:color w:val="auto"/>
              </w:rPr>
              <w:t>(4)</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00" w:type="dxa"/>
            <w:vAlign w:val="bottom"/>
            <w:gridSpan w:val="9"/>
          </w:tcPr>
          <w:p>
            <w:pPr>
              <w:spacing w:after="0"/>
              <w:rPr>
                <w:rFonts w:ascii="Arial" w:cs="Arial" w:eastAsia="Arial" w:hAnsi="Arial"/>
                <w:sz w:val="18"/>
                <w:szCs w:val="18"/>
                <w:color w:val="0000EE"/>
              </w:rPr>
            </w:pPr>
            <w:hyperlink r:id="rId26">
              <w:r>
                <w:rPr>
                  <w:rFonts w:ascii="Arial" w:cs="Arial" w:eastAsia="Arial" w:hAnsi="Arial"/>
                  <w:sz w:val="18"/>
                  <w:szCs w:val="18"/>
                  <w:color w:val="0000EE"/>
                </w:rPr>
                <w:t>Dropbox, Inc. 2017 Equity Incentive Plan and related form agreements.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4.5</w:t>
            </w:r>
            <w:r>
              <w:rPr>
                <w:rFonts w:ascii="Arial" w:cs="Arial" w:eastAsia="Arial" w:hAnsi="Arial"/>
                <w:sz w:val="15"/>
                <w:szCs w:val="15"/>
                <w:color w:val="auto"/>
              </w:rPr>
              <w:t>(5)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00" w:type="dxa"/>
            <w:vAlign w:val="bottom"/>
            <w:gridSpan w:val="9"/>
          </w:tcPr>
          <w:p>
            <w:pPr>
              <w:spacing w:after="0"/>
              <w:rPr>
                <w:rFonts w:ascii="Arial" w:cs="Arial" w:eastAsia="Arial" w:hAnsi="Arial"/>
                <w:sz w:val="18"/>
                <w:szCs w:val="18"/>
                <w:color w:val="0000EE"/>
              </w:rPr>
            </w:pPr>
            <w:hyperlink r:id="rId27">
              <w:r>
                <w:rPr>
                  <w:rFonts w:ascii="Arial" w:cs="Arial" w:eastAsia="Arial" w:hAnsi="Arial"/>
                  <w:sz w:val="18"/>
                  <w:szCs w:val="18"/>
                  <w:color w:val="0000EE"/>
                </w:rPr>
                <w:t>Dropbox, Inc. 2008 Equity Incentive Plan, as amended, and related form agreements.</w:t>
              </w:r>
            </w:hyperlink>
          </w:p>
        </w:tc>
        <w:tc>
          <w:tcPr>
            <w:tcW w:w="0" w:type="dxa"/>
            <w:vAlign w:val="bottom"/>
          </w:tcPr>
          <w:p>
            <w:pPr>
              <w:spacing w:after="0"/>
              <w:rPr>
                <w:sz w:val="1"/>
                <w:szCs w:val="1"/>
                <w:color w:val="auto"/>
              </w:rPr>
            </w:pPr>
          </w:p>
        </w:tc>
      </w:tr>
      <w:tr>
        <w:trPr>
          <w:trHeight w:val="30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Opinion of Wilson Sonsini Goodrich &amp; Rosati, P.C.</w:t>
            </w:r>
          </w:p>
        </w:tc>
        <w:tc>
          <w:tcPr>
            <w:tcW w:w="2400" w:type="dxa"/>
            <w:vAlign w:val="bottom"/>
            <w:tcBorders>
              <w:top w:val="single" w:sz="8" w:color="0000EE"/>
            </w:tcBorders>
            <w:gridSpan w:val="5"/>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23.1</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1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23.2</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2"/>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30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24.1</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00" w:type="dxa"/>
            <w:vAlign w:val="bottom"/>
            <w:gridSpan w:val="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Power of Attorney (contained on signature page hereto).</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60" w:hanging="452"/>
        <w:spacing w:after="0" w:line="258"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Incorporated by reference to Exhibit 4.1 filed with the Registrant’s Registration Statement on Form S-1/A (Registration No. 333-223182), filed with the Commission on March 12, 2018.</w:t>
      </w:r>
    </w:p>
    <w:p>
      <w:pPr>
        <w:spacing w:after="0" w:line="1" w:lineRule="exact"/>
        <w:rPr>
          <w:rFonts w:ascii="Arial" w:cs="Arial" w:eastAsia="Arial" w:hAnsi="Arial"/>
          <w:sz w:val="15"/>
          <w:szCs w:val="15"/>
          <w:color w:val="auto"/>
        </w:rPr>
      </w:pPr>
    </w:p>
    <w:p>
      <w:pPr>
        <w:ind w:left="460" w:right="180" w:hanging="452"/>
        <w:spacing w:after="0" w:line="25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Incorporated by reference to Exhibit 10.2 filed with the Registrant’s Registration Statement on Form S-1/A (Registration No. 333-223182), filed with the Commission on March 21, 2018.</w:t>
      </w:r>
    </w:p>
    <w:p>
      <w:pPr>
        <w:ind w:left="460" w:right="180" w:hanging="452"/>
        <w:spacing w:after="0" w:line="25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Incorporated by reference to Exhibit 10.3 filed with the Registrant’s Registration Statement on Form S-1/A (Registration No. 333-223182), filed with the Commission on March 21, 2018.</w:t>
      </w:r>
    </w:p>
    <w:p>
      <w:pPr>
        <w:ind w:left="460" w:right="180" w:hanging="452"/>
        <w:spacing w:after="0" w:line="25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Incorporated by reference to Exhibit 10.6 filed with the Registrant’s Registration Statement on Form S-1/A (Registration No. 333-223182), filed with the Commission on March 21, 2018.</w:t>
      </w:r>
    </w:p>
    <w:p>
      <w:pPr>
        <w:ind w:left="460" w:right="180" w:hanging="452"/>
        <w:spacing w:after="0" w:line="261"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Incorporated by reference to Exhibit 10.7 filed with the Registrant’s Registration Statement on Form S-1/A (Registration No. 333-223182), filed with the Commission on March 21, 2018.</w:t>
      </w:r>
    </w:p>
    <w:p>
      <w:pPr>
        <w:sectPr>
          <w:pgSz w:w="11900" w:h="16838" w:orient="portrait"/>
          <w:cols w:equalWidth="0" w:num="1">
            <w:col w:w="11400"/>
          </w:cols>
          <w:pgMar w:left="240" w:top="274" w:right="259" w:bottom="1440" w:gutter="0" w:footer="0" w:header="0"/>
        </w:sectPr>
      </w:pPr>
    </w:p>
    <w:bookmarkStart w:id="7" w:name="page8"/>
    <w:bookmarkEnd w:id="7"/>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80" w:right="100" w:hanging="567"/>
        <w:spacing w:after="0" w:line="272" w:lineRule="auto"/>
        <w:tabs>
          <w:tab w:leader="none" w:pos="1480" w:val="left"/>
        </w:tabs>
        <w:numPr>
          <w:ilvl w:val="2"/>
          <w:numId w:val="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3" w:lineRule="exact"/>
        <w:rPr>
          <w:rFonts w:ascii="Arial" w:cs="Arial" w:eastAsia="Arial" w:hAnsi="Arial"/>
          <w:sz w:val="17"/>
          <w:szCs w:val="17"/>
          <w:color w:val="auto"/>
        </w:rPr>
      </w:pPr>
    </w:p>
    <w:p>
      <w:pPr>
        <w:ind w:left="1480" w:right="100" w:hanging="567"/>
        <w:spacing w:after="0" w:line="277" w:lineRule="auto"/>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87" w:lineRule="exact"/>
        <w:rPr>
          <w:sz w:val="20"/>
          <w:szCs w:val="20"/>
          <w:color w:val="auto"/>
        </w:rPr>
      </w:pPr>
    </w:p>
    <w:p>
      <w:pPr>
        <w:ind w:left="900" w:right="36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58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It will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60" w:right="80" w:hanging="452"/>
        <w:spacing w:after="0" w:line="25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00"/>
          </w:cols>
          <w:pgMar w:left="240" w:top="270"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San Francisco, California, on the 23rd day of March, 2018.</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Andrew W. Houston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Andrew W. Houston, Ajay V. Vashee, and Bart E. Volkmer,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 in fact, proxy and agent, or the individual’s substitute, may lawfully do or cause to be done by virtue hereof.</w:t>
      </w:r>
    </w:p>
    <w:p>
      <w:pPr>
        <w:spacing w:after="0" w:line="178"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W. Houston</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Chief Executive Officer and Chairman</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23,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Andrew W. Houston</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Ajay V. Vashee</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23,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Ajay V. Vashee</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Timothy J. Regan</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23,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Timothy J. Regan</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W. Blair</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23,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Donald W. Blair</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Arash Ferdowsi</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23,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Arash Ferdowsi</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E. Jacobs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23,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Paul E. Jacobs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ectPr>
          <w:pgSz w:w="11900" w:h="16838" w:orient="portrait"/>
          <w:cols w:equalWidth="0" w:num="1">
            <w:col w:w="11380"/>
          </w:cols>
          <w:pgMar w:left="240" w:top="270" w:right="27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J. Mylod, Jr.</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23,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Robert J. Mylod, Jr.</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Condoleezza Rice</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23,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Condoleezza Rice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 Bryan Schreier</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23,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R. Bryan Schreier</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Margaret C. Whitman</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89"/>
              </w:rPr>
              <w:t>March 23,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Margaret C. Whitman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ectPr>
          <w:pgSz w:w="11900" w:h="16838" w:orient="portrait"/>
          <w:cols w:equalWidth="0" w:num="1">
            <w:col w:w="10820"/>
          </w:cols>
          <w:pgMar w:left="240" w:top="265" w:right="8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650 Page Mill Road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Palo Alto, CA 94304-1050</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PHONE </w:t>
      </w:r>
      <w:r>
        <w:rPr>
          <w:rFonts w:ascii="Arial" w:cs="Arial" w:eastAsia="Arial" w:hAnsi="Arial"/>
          <w:sz w:val="18"/>
          <w:szCs w:val="18"/>
          <w:color w:val="auto"/>
        </w:rPr>
        <w:t>650.493.9300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2872740"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2872740" cy="28321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FAX </w:t>
      </w:r>
      <w:r>
        <w:rPr>
          <w:rFonts w:ascii="Arial" w:cs="Arial" w:eastAsia="Arial" w:hAnsi="Arial"/>
          <w:sz w:val="18"/>
          <w:szCs w:val="18"/>
          <w:color w:val="auto"/>
        </w:rPr>
        <w:t>650.493.6811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www.wsgr.com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Dropbox,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Brannan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94107</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have examined the Registration Statement on Form S-8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be filed by Dropbox,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with the Securities and Exchange Commission on or about the date hereof, relating to the registration under the Securities Act of 1933, as amended, of (i) 13,031,978 shares of Class A common stock, par value $0.00001 per share (“</w:t>
      </w:r>
      <w:r>
        <w:rPr>
          <w:rFonts w:ascii="Arial" w:cs="Arial" w:eastAsia="Arial" w:hAnsi="Arial"/>
          <w:sz w:val="17"/>
          <w:szCs w:val="17"/>
          <w:b w:val="1"/>
          <w:bCs w:val="1"/>
          <w:color w:val="auto"/>
        </w:rPr>
        <w:t>Class A Common Stock</w:t>
      </w:r>
      <w:r>
        <w:rPr>
          <w:rFonts w:ascii="Arial" w:cs="Arial" w:eastAsia="Arial" w:hAnsi="Arial"/>
          <w:sz w:val="17"/>
          <w:szCs w:val="17"/>
          <w:color w:val="auto"/>
        </w:rPr>
        <w:t>”) and 13,031,978 shares of Class B common stock, par value $0.00001 per share (“</w:t>
      </w:r>
      <w:r>
        <w:rPr>
          <w:rFonts w:ascii="Arial" w:cs="Arial" w:eastAsia="Arial" w:hAnsi="Arial"/>
          <w:sz w:val="17"/>
          <w:szCs w:val="17"/>
          <w:b w:val="1"/>
          <w:bCs w:val="1"/>
          <w:color w:val="auto"/>
        </w:rPr>
        <w:t>Class B Common Stock</w:t>
      </w:r>
      <w:r>
        <w:rPr>
          <w:rFonts w:ascii="Arial" w:cs="Arial" w:eastAsia="Arial" w:hAnsi="Arial"/>
          <w:sz w:val="17"/>
          <w:szCs w:val="17"/>
          <w:color w:val="auto"/>
        </w:rPr>
        <w:t>”) reserved for issuance pursuant to the Company’s 2008 Equity Incentive Plan, (ii) 25,828,402 shares of Class A Common Stock reserved for issuance pursuant to the Company’s 2017 Equity Incentive Plan, (iii) 53,781,073 shares of Class A Common Stock reserved for issuance pursuant to the Company’s 2018 Equity Incentive Plan, and (iv) 4,136,832 shares of Class A Common Stock reserved for issuance pursuant to the Company’s 2018 Employee Stock Purchase Plan (which plans are referred to herein as the “</w:t>
      </w:r>
      <w:r>
        <w:rPr>
          <w:rFonts w:ascii="Arial" w:cs="Arial" w:eastAsia="Arial" w:hAnsi="Arial"/>
          <w:sz w:val="17"/>
          <w:szCs w:val="17"/>
          <w:b w:val="1"/>
          <w:bCs w:val="1"/>
          <w:color w:val="auto"/>
        </w:rPr>
        <w:t>Plans</w:t>
      </w:r>
      <w:r>
        <w:rPr>
          <w:rFonts w:ascii="Arial" w:cs="Arial" w:eastAsia="Arial" w:hAnsi="Arial"/>
          <w:sz w:val="17"/>
          <w:szCs w:val="17"/>
          <w:color w:val="auto"/>
        </w:rPr>
        <w:t>” and which shares of Class A Common Stock and Class B Common Stock are referred to herein as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7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issued and sold in the manner referred to in the Plans and pursuant to the agreements that accompany the Plans, will be validly issued, fully paid, and nonassessable.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Wilson Sonsini Goodrich &amp; Rosati, P.C.</w:t>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 INDEPENDENT REGISTERED PUBLIC ACCOUNTING FIRM</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2008 Equity Incentive Plan, the 2017 Equity Incentive Plan, the 2018 Equity Incentive Plan and the 2018 Employee Stock Purchase Plan of Dropbox, Inc. of our report dated February 23, 2018, (except as to the eleventh paragraph of Note 1, as to which the date is March 7, 2018), in the Registration Statement (Form S-1 No. 333-223182) and related Prospectus of Dropbox, Inc. for the registration of shares of its Class A common stock.</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3"/>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
    <w:nsid w:val="79E2A9E3"/>
    <w:multiLevelType w:val="hybridMultilevel"/>
    <w:lvl w:ilvl="0">
      <w:lvlJc w:val="left"/>
      <w:lvlText w:val="%1"/>
      <w:numFmt w:val="upperLetter"/>
      <w:start w:val="1"/>
    </w:lvl>
    <w:lvl w:ilvl="1">
      <w:lvlJc w:val="left"/>
      <w:lvlText w:val="(%2)"/>
      <w:numFmt w:val="decimal"/>
      <w:start w:val="2"/>
    </w:lvl>
  </w:abstractNum>
  <w:abstractNum w:abstractNumId="7">
    <w:nsid w:val="7545E146"/>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jpeg"/><Relationship Id="rId23" Type="http://schemas.openxmlformats.org/officeDocument/2006/relationships/hyperlink" Target="http://www.sec.gov/Archives/edgar/data/1467623/000119312518078140/d451946dex41.htm" TargetMode="External"/><Relationship Id="rId24" Type="http://schemas.openxmlformats.org/officeDocument/2006/relationships/hyperlink" Target="http://www.sec.gov/Archives/edgar/data/1467623/000119312518089786/d553522dex102.htm" TargetMode="External"/><Relationship Id="rId25" Type="http://schemas.openxmlformats.org/officeDocument/2006/relationships/hyperlink" Target="http://www.sec.gov/Archives/edgar/data/1467623/000119312518089786/d553522dex103.htm" TargetMode="External"/><Relationship Id="rId26" Type="http://schemas.openxmlformats.org/officeDocument/2006/relationships/hyperlink" Target="http://www.sec.gov/Archives/edgar/data/1467623/000119312518089786/d553522dex106.htm" TargetMode="External"/><Relationship Id="rId27" Type="http://schemas.openxmlformats.org/officeDocument/2006/relationships/hyperlink" Target="http://www.sec.gov/Archives/edgar/data/1467623/000119312518089786/d553522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2019-12-07T16:42:58Z</dcterms:created>
  <dcterms:modified xsi:type="dcterms:W3CDTF">2019-12-07T16:42:58Z</dcterms:modified>
</cp:coreProperties>
</file>