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May 18, 2023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5"/>
        <w:gridCol w:w="1237"/>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857-6800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5.07     Submission of Matters to a Vote of Security Holders </w:t>
      </w:r>
    </w:p>
    <w:p>
      <w:pPr>
        <w:pStyle w:val="TextBody"/>
        <w:bidi w:val="0"/>
        <w:spacing w:lineRule="auto" w:line="288" w:before="0" w:after="0"/>
        <w:jc w:val="both"/>
        <w:rPr/>
      </w:pPr>
      <w:r>
        <w:rPr>
          <w:rFonts w:ascii="Times New Roman;sans-serif" w:hAnsi="Times New Roman;sans-serif"/>
          <w:b w:val="false"/>
          <w:color w:val="000000"/>
          <w:sz w:val="20"/>
        </w:rPr>
        <w:t xml:space="preserve">On May 18, 2023, at the 2023 Annual Meeting of Stockholders (the “Annual Meeting”) of Dropbox, Inc. (the “Company”), the Company’s stockholders voted upon the following proposals described in the Company’s definitive proxy statement filed with the Securities and Exchange Commission on April 4, 2023: (1) to elect eight directors to the Board of Directors of the Company </w:t>
      </w:r>
      <w:r>
        <w:rPr>
          <w:rFonts w:ascii="Times New Roman;sans-serif" w:hAnsi="Times New Roman;sans-serif"/>
          <w:b w:val="false"/>
          <w:color w:val="000000"/>
          <w:sz w:val="20"/>
          <w:shd w:fill="FFFFFF" w:val="clear"/>
        </w:rPr>
        <w:t>to serve until the next annual meeting of stockholders and until their successors are duly elected and qualified</w:t>
      </w:r>
      <w:r>
        <w:rPr>
          <w:rFonts w:ascii="Times New Roman;sans-serif" w:hAnsi="Times New Roman;sans-serif"/>
          <w:b w:val="false"/>
          <w:color w:val="000000"/>
          <w:sz w:val="20"/>
        </w:rPr>
        <w:t xml:space="preserve">; (2) to ratify the appointment of Ernst &amp; Young LLP, an independent registered public accounting firm, as auditors for the fiscal year ending December 31, 2023; and </w:t>
      </w:r>
      <w:r>
        <w:rPr>
          <w:rFonts w:ascii="Times New Roman;sans-serif" w:hAnsi="Times New Roman;sans-serif"/>
          <w:b w:val="false"/>
          <w:color w:val="000000"/>
          <w:sz w:val="20"/>
          <w:shd w:fill="FFFFFF" w:val="clear"/>
        </w:rPr>
        <w:t xml:space="preserve">(3) </w:t>
      </w:r>
      <w:r>
        <w:rPr>
          <w:rFonts w:ascii="Times New Roman;sans-serif" w:hAnsi="Times New Roman;sans-serif"/>
          <w:b w:val="false"/>
          <w:color w:val="000000"/>
          <w:sz w:val="20"/>
        </w:rPr>
        <w:t>to approve, on an advisory basis, the compensation of the Company’s named executive officers</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nominated directors were elected and the other proposals were approved by the required stockholder vote. The final voting results with respect to each proposal is as set forth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Proposal for election of eight directors: </w:t>
      </w:r>
    </w:p>
    <w:tbl>
      <w:tblPr>
        <w:tblW w:w="6265" w:type="dxa"/>
        <w:jc w:val="center"/>
        <w:tblInd w:w="0" w:type="dxa"/>
        <w:tblLayout w:type="fixed"/>
        <w:tblCellMar>
          <w:top w:w="28" w:type="dxa"/>
          <w:left w:w="28" w:type="dxa"/>
          <w:bottom w:w="28" w:type="dxa"/>
          <w:right w:w="28" w:type="dxa"/>
        </w:tblCellMar>
      </w:tblPr>
      <w:tblGrid>
        <w:gridCol w:w="635"/>
        <w:gridCol w:w="557"/>
        <w:gridCol w:w="562"/>
        <w:gridCol w:w="379"/>
        <w:gridCol w:w="379"/>
        <w:gridCol w:w="383"/>
        <w:gridCol w:w="109"/>
        <w:gridCol w:w="109"/>
        <w:gridCol w:w="109"/>
        <w:gridCol w:w="344"/>
        <w:gridCol w:w="344"/>
        <w:gridCol w:w="348"/>
        <w:gridCol w:w="109"/>
        <w:gridCol w:w="109"/>
        <w:gridCol w:w="109"/>
        <w:gridCol w:w="492"/>
        <w:gridCol w:w="492"/>
        <w:gridCol w:w="696"/>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W. Blair</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922,271,387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71,262,995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 Campbell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989,597,692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3,936,690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916,966,092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76,568,290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E. Jacobs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898,219,846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95,314,536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 Mathew</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972,160,553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21,373,829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Abhay Parasnis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989,818,839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3,715,543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Peacock</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990,194,223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3,340,159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Seibel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989,767,182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3,767,200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bl>
    <w:p>
      <w:pPr>
        <w:pStyle w:val="TextBody"/>
        <w:bidi w:val="0"/>
        <w:spacing w:before="7"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Proposal to ratify Ernst &amp; Young LLP as auditors for the fiscal year ending December 31, 2023:</w:t>
      </w:r>
    </w:p>
    <w:p>
      <w:pPr>
        <w:pStyle w:val="TextBody"/>
        <w:bidi w:val="0"/>
        <w:spacing w:before="0" w:after="0"/>
        <w:jc w:val="left"/>
        <w:rPr/>
      </w:pPr>
      <w:r>
        <w:rPr/>
      </w:r>
    </w:p>
    <w:tbl>
      <w:tblPr>
        <w:tblW w:w="3717" w:type="dxa"/>
        <w:jc w:val="left"/>
        <w:tblInd w:w="0" w:type="dxa"/>
        <w:tblLayout w:type="fixed"/>
        <w:tblCellMar>
          <w:top w:w="28" w:type="dxa"/>
          <w:left w:w="28" w:type="dxa"/>
          <w:bottom w:w="28" w:type="dxa"/>
          <w:right w:w="28" w:type="dxa"/>
        </w:tblCellMar>
      </w:tblPr>
      <w:tblGrid>
        <w:gridCol w:w="473"/>
        <w:gridCol w:w="413"/>
        <w:gridCol w:w="420"/>
        <w:gridCol w:w="109"/>
        <w:gridCol w:w="109"/>
        <w:gridCol w:w="109"/>
        <w:gridCol w:w="309"/>
        <w:gridCol w:w="309"/>
        <w:gridCol w:w="313"/>
        <w:gridCol w:w="109"/>
        <w:gridCol w:w="109"/>
        <w:gridCol w:w="109"/>
        <w:gridCol w:w="241"/>
        <w:gridCol w:w="241"/>
        <w:gridCol w:w="344"/>
      </w:tblGrid>
      <w:tr>
        <w:trPr/>
        <w:tc>
          <w:tcPr>
            <w:tcW w:w="4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1,014,941,238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1,580,357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178,096</w:t>
            </w:r>
          </w:p>
        </w:tc>
      </w:tr>
    </w:tbl>
    <w:p>
      <w:pPr>
        <w:pStyle w:val="TextBody"/>
        <w:bidi w:val="0"/>
        <w:spacing w:before="7"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Proposal to approve, on an advisory basis, the compensation of the Company's named executive officers: </w:t>
      </w:r>
    </w:p>
    <w:p>
      <w:pPr>
        <w:pStyle w:val="TextBody"/>
        <w:bidi w:val="0"/>
        <w:spacing w:before="7" w:after="283"/>
        <w:jc w:val="left"/>
        <w:rPr/>
      </w:pPr>
      <w:r>
        <w:rPr/>
      </w:r>
    </w:p>
    <w:tbl>
      <w:tblPr>
        <w:tblW w:w="5634"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979,254,937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13,981,634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23,165,309</w:t>
            </w:r>
          </w:p>
        </w:tc>
      </w:tr>
    </w:tbl>
    <w:p>
      <w:pPr>
        <w:pStyle w:val="TextBody"/>
        <w:bidi w:val="0"/>
        <w:spacing w:before="7" w:after="283"/>
        <w:jc w:val="left"/>
        <w:rPr/>
      </w:pPr>
      <w:r>
        <w:rPr/>
      </w:r>
    </w:p>
    <w:p>
      <w:pPr>
        <w:pStyle w:val="TextBody"/>
        <w:bidi w:val="0"/>
        <w:spacing w:before="7" w:after="283"/>
        <w:jc w:val="left"/>
        <w:rPr/>
      </w:pPr>
      <w:r>
        <w:rPr/>
      </w:r>
    </w:p>
    <w:p>
      <w:pPr>
        <w:pStyle w:val="TextBody"/>
        <w:bidi w:val="0"/>
        <w:spacing w:before="93" w:after="283"/>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24, 2023</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724" w:type="dxa"/>
        <w:jc w:val="center"/>
        <w:tblInd w:w="0" w:type="dxa"/>
        <w:tblLayout w:type="fixed"/>
        <w:tblCellMar>
          <w:top w:w="28" w:type="dxa"/>
          <w:left w:w="28" w:type="dxa"/>
          <w:bottom w:w="28" w:type="dxa"/>
          <w:right w:w="28" w:type="dxa"/>
        </w:tblCellMar>
      </w:tblPr>
      <w:tblGrid>
        <w:gridCol w:w="551"/>
        <w:gridCol w:w="484"/>
        <w:gridCol w:w="689"/>
      </w:tblGrid>
      <w:tr>
        <w:trPr/>
        <w:tc>
          <w:tcPr>
            <w:tcW w:w="5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Bart Volkmer</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Volkmer</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3491</Characters>
  <CharactersWithSpaces>4050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