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Parasnis Abhay</w:t>
              </w:r>
            </w:hyperlink>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0000EE"/>
            </w:tcBorders>
            <w:vMerge w:val="continue"/>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620" w:type="dxa"/>
            <w:vAlign w:val="bottom"/>
            <w:vMerge w:val="restart"/>
          </w:tcPr>
          <w:p>
            <w:pPr>
              <w:ind w:left="1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05/15/2025</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200</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gridSpan w:val="3"/>
          </w:tcPr>
          <w:p>
            <w:pPr>
              <w:spacing w:after="0"/>
              <w:rPr>
                <w:sz w:val="6"/>
                <w:szCs w:val="6"/>
                <w:color w:val="auto"/>
              </w:rPr>
            </w:pPr>
          </w:p>
        </w:tc>
        <w:tc>
          <w:tcPr>
            <w:tcW w:w="148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94158</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0"/>
                <w:szCs w:val="10"/>
                <w:color w:val="auto"/>
              </w:rPr>
              <w:t>(City)</w:t>
            </w:r>
          </w:p>
        </w:tc>
        <w:tc>
          <w:tcPr>
            <w:tcW w:w="620" w:type="dxa"/>
            <w:vAlign w:val="bottom"/>
          </w:tcPr>
          <w:p>
            <w:pPr>
              <w:ind w:left="1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58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3"/>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05/15/2025</w:t>
            </w:r>
          </w:p>
        </w:tc>
        <w:tc>
          <w:tcPr>
            <w:tcW w:w="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3"/>
                <w:szCs w:val="13"/>
                <w:color w:val="0000FF"/>
              </w:rPr>
              <w:t>8,443</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122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3"/>
                <w:szCs w:val="13"/>
                <w:color w:val="0000FF"/>
              </w:rPr>
              <w:t>44,086</w:t>
            </w:r>
            <w:r>
              <w:rPr>
                <w:rFonts w:ascii="Times New Roman" w:cs="Times New Roman" w:eastAsia="Times New Roman" w:hAnsi="Times New Roman"/>
                <w:sz w:val="17"/>
                <w:szCs w:val="17"/>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40" w:type="dxa"/>
            <w:vAlign w:val="bottom"/>
            <w:tcBorders>
              <w:top w:val="single" w:sz="8" w:color="2C2C2C"/>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2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securities are restricted stock units. Each restricted stock unit represents the Reporting Person's right to receive one share of Class A Common Stock. The restricted stock units vest in full on the earlier of May 15, 2026 or the day prior to the date of the Issuer's next annual meeting of stockholders.</w:t>
      </w:r>
    </w:p>
    <w:p>
      <w:pPr>
        <w:spacing w:after="0" w:line="3" w:lineRule="exact"/>
        <w:rPr>
          <w:rFonts w:ascii="Times New Roman" w:cs="Times New Roman" w:eastAsia="Times New Roman" w:hAnsi="Times New Roman"/>
          <w:sz w:val="10"/>
          <w:szCs w:val="10"/>
          <w:color w:val="008000"/>
        </w:rPr>
      </w:pPr>
    </w:p>
    <w:p>
      <w:pPr>
        <w:ind w:left="40" w:right="10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units. Each restricted stock unit represents the Reporting Person's right to receive one share of Class A Common Stock, subject to the applicable vesting schedule through May 15, 2026 or the day prior to the date of the Issuer's next annual meeting of stockholders. In the event the Reporting Person ceases to be a Service Provider, the unvested restricted stock units will be cancelled by the Issuer.</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05/19/2025</w:t>
            </w:r>
          </w:p>
        </w:tc>
      </w:tr>
      <w:tr>
        <w:trPr>
          <w:trHeight w:val="178"/>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4755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2025-05-19T16:28:40Z</dcterms:created>
  <dcterms:modified xsi:type="dcterms:W3CDTF">2025-05-19T16:28:40Z</dcterms:modified>
</cp:coreProperties>
</file>