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1705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170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3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3"/>
                </w:rPr>
                <w:t>Dasdan Ali</w:t>
              </w:r>
            </w:hyperlink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spacing w:after="0" w:line="83" w:lineRule="exact"/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9"/>
                  <w:szCs w:val="9"/>
                  <w:color w:val="0000EE"/>
                </w:rPr>
                <w:t xml:space="preserve">DROPBOX, INC. </w:t>
              </w:r>
            </w:hyperlink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DBX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]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 w:line="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below)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Chief Technology Officer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1800 OWENS STREET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08/18/2025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SUITE 200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808080"/>
            </w:tcBorders>
            <w:gridSpan w:val="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SAN FRANCISCO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CA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94158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08/18/2025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5,666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27.3034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563,872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(3)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  <w:gridSpan w:val="1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These shares were sold pursuant to a Rule 10b5-1 trading plan adopted by the Reporting Person on May 12, 2025.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40" w:hanging="6"/>
        <w:spacing w:after="0" w:line="278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This transaction was executed in multiple trades at prices ranging from $27.03 to $27.61.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3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460" w:hanging="6"/>
        <w:spacing w:after="0" w:line="278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Certain of these securities are restricted stock units. Each restricted stock unit represents the Reporting Person's right to receive one share of Class A Common Stock, subject to the applicable vesting schedule through February 15, 2029. In the event the Reporting Person ceases to be a Service Provider, the unvested restricted stock awards and restricted stock units will be cancelled by the Issuer.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Cara Angelmar, Attorney-in-Fact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08/20/2025</w:t>
            </w: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1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963980" TargetMode="External"/><Relationship Id="rId14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2025-08-20T15:49:58Z</dcterms:created>
  <dcterms:modified xsi:type="dcterms:W3CDTF">2025-08-20T15:49:58Z</dcterms:modified>
</cp:coreProperties>
</file>