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August 6,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DROPBOX,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464" w:type="dxa"/>
        <w:jc w:val="center"/>
        <w:tblInd w:w="0" w:type="dxa"/>
        <w:tblLayout w:type="fixed"/>
        <w:tblCellMar>
          <w:top w:w="28" w:type="dxa"/>
          <w:left w:w="28" w:type="dxa"/>
          <w:bottom w:w="28" w:type="dxa"/>
          <w:right w:w="28" w:type="dxa"/>
        </w:tblCellMar>
      </w:tblPr>
      <w:tblGrid>
        <w:gridCol w:w="1393"/>
        <w:gridCol w:w="1228"/>
        <w:gridCol w:w="1234"/>
        <w:gridCol w:w="792"/>
        <w:gridCol w:w="792"/>
        <w:gridCol w:w="800"/>
        <w:gridCol w:w="942"/>
        <w:gridCol w:w="942"/>
        <w:gridCol w:w="1341"/>
      </w:tblGrid>
      <w:tr>
        <w:trPr/>
        <w:tc>
          <w:tcPr>
            <w:tcW w:w="139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001-38434</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26-0138832</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 R. 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 Hawthorne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(415) 930-7766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Dropbox, Inc. (“Dropbox” or the “Company”) issued a press release and will hold a conference call announcing its financial results for the quarter ended June 30, 2026. A copy of the press release is attached as Exhibit 99.1 to this current report on Form 8-K and is incorporated by reference herein.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Dropbox posted supplemental investor materials on its investors.dropbox.com website. Dropbox intends to use its investors.dropbox.com website as a means of disclosing material non-public information and for complying with its disclosure obligations under Regulation FD.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before="0" w:after="140"/>
        <w:jc w:val="left"/>
        <w:rPr/>
      </w:pPr>
      <w:r>
        <w:r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371"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327"/>
        <w:gridCol w:w="2327"/>
        <w:gridCol w:w="331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22026er-exhibit991q2xq4.htm">
              <w:r>
                <w:rPr>
                  <w:rStyle w:val="InternetLink"/>
                  <w:rFonts w:ascii="Times New Roman;serif" w:hAnsi="Times New Roman;serif"/>
                  <w:b w:val="false"/>
                  <w:color w:val="0000FF"/>
                  <w:sz w:val="20"/>
                  <w:u w:val="single"/>
                </w:rPr>
                <w:t>Press Release entitled "Dropbox Announces Second Quarter 2026 Results" dated August 6, 2026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p>
      <w:pPr>
        <w:pStyle w:val="TextBody"/>
        <w:bidi w:val="0"/>
        <w:spacing w:lineRule="auto" w:line="288" w:before="0" w:after="0"/>
        <w:jc w:val="center"/>
        <w:rPr>
          <w:color w:val="000000"/>
        </w:rPr>
      </w:pPr>
      <w:r>
        <w:rPr>
          <w:color w:val="000000"/>
        </w:rPr>
        <w:t>    </w:t>
      </w:r>
    </w:p>
    <w:tbl>
      <w:tblPr>
        <w:tblW w:w="2025" w:type="dxa"/>
        <w:jc w:val="center"/>
        <w:tblInd w:w="0" w:type="dxa"/>
        <w:tblLayout w:type="fixed"/>
        <w:tblCellMar>
          <w:top w:w="28" w:type="dxa"/>
          <w:left w:w="28" w:type="dxa"/>
          <w:bottom w:w="28" w:type="dxa"/>
          <w:right w:w="28" w:type="dxa"/>
        </w:tblCellMar>
      </w:tblPr>
      <w:tblGrid>
        <w:gridCol w:w="648"/>
        <w:gridCol w:w="569"/>
        <w:gridCol w:w="808"/>
      </w:tblGrid>
      <w:tr>
        <w:trPr/>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Dropbox, Inc.</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Ross Tennenbaum</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Ross Tennenbaum</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pPr>
      <w:r>
        <w:rPr>
          <w:rFonts w:ascii="Times New Roman;serif" w:hAnsi="Times New Roman;serif"/>
          <w:b/>
          <w:color w:val="000000"/>
          <w:sz w:val="20"/>
        </w:rPr>
        <w:t>Dropbox Announces Second Quarter 2026 Results</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Revenue of $631.5 Million, an increase of 0.9% year-over-year; excluding FormSwift, up 1.7% year-over-year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Second Quarter GAAP Operating Margin of 26.1% and Non-GAAP Operating Margin of 39.7%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$238.5 Million and Unlevered Free Cash Flow of $283.5 Million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SAN FRANCISCO, Calif.</w:t>
      </w:r>
      <w:r>
        <w:rPr>
          <w:color w:val="000000"/>
        </w:rPr>
        <w:t xml:space="preserve"> </w:t>
      </w:r>
      <w:r>
        <w:rPr>
          <w:rFonts w:ascii="Times New Roman;serif" w:hAnsi="Times New Roman;serif"/>
          <w:b w:val="false"/>
          <w:color w:val="000000"/>
          <w:sz w:val="20"/>
        </w:rPr>
        <w:t>- August 6, 2026 - Dropbox, Inc. (NASDAQ: DBX), today announced financial results for its second quarter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"Q2 reinforced that our return to growth in the core business is not a one-quarter event," said Ashraf Alkarmi, co-Chief Executive Officer of Dropbox. "We continued to see positive year-over-year revenue growth excluding FormSwift, added 96,000 paying users for our third consecutive quarter of paying user growth, exceeded our guidance on non-GAAP operating margin at over 39%, and generated $283.5 million of unlevered free cash flow. That performance is the result of disciplined, methodical work, and it's the foundation we're building on. Stepping into this role, I'm excited for what's ahead as we bring Dash intelligence directly into a smarter Dropbox that our customers already trust, and use the infrastructure we've built over nearly two decades to extend that value for the more than 18 million paying customers already on Dropbox today.”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2026 Results Compared to Second Quarter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revenue was $631.5 million, an increase of 0.9%. Excluding FormSwift, revenue grew 1.7%. On a constant currency basis, total revenue excluding FormSwift increased b</w:t>
      </w:r>
      <w:r>
        <w:rPr>
          <w:rFonts w:ascii="Times New Roman;serif" w:hAnsi="Times New Roman;serif"/>
          <w:b w:val="false"/>
          <w:color w:val="000000"/>
          <w:sz w:val="20"/>
          <w:shd w:fill="FFFFFF" w:val="clear"/>
        </w:rPr>
        <w:t>y 0.1%.</w:t>
      </w:r>
      <w:r>
        <w:rPr>
          <w:rFonts w:ascii="Times New Roman;serif" w:hAnsi="Times New Roman;serif"/>
          <w:b w:val="false"/>
          <w:color w:val="000000"/>
          <w:sz w:val="13"/>
          <w:shd w:fill="FFFFFF" w:val="clear"/>
        </w:rPr>
        <w:t xml:space="preserve">(1)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ARR was $2.566 billion, an increase of 1.0%. Excluding FormSwift, Total ARR grew 1.7%, and 0.2% on a constant currency basis. Total ARR on a constant currency basis increased $6.2 million quarter-over-quarter; excluding FormSwift, it increased $11.0 million.</w:t>
      </w:r>
      <w:r>
        <w:rPr>
          <w:rFonts w:ascii="Times New Roman;serif" w:hAnsi="Times New Roman;serif"/>
          <w:b w:val="false"/>
          <w:color w:val="000000"/>
          <w:sz w:val="13"/>
        </w:rPr>
        <w:t xml:space="preserve">(2)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Paying users totaled 18.19 million, as compared to 18.13 million. Paying users increased by 96,000 quarter-over-quarter. Average revenue per paying user was $139.68, as compared to $138.32.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GAAP gross margin was 80.2%, flat year-over-year. Non-GAAP gross margin was 81.6%, as compared to 82.2%.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GAAP operating margin was 26.1%, as compared to 26.9%. Non-GAAP operating margin was 39.7%, as compared to 41.5%.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GAAP net income was $95.8 million, as compared to $125.6 million. Non-GAAP net income was $170.0 million, as compared to $197.7 million.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Net cash provided by operating activities was $238.5 million, as compared to $260.5 million. Unlevered free cash flow was $283.5 million, as compared to $276.4 million.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GAAP diluted net income per share attributable to common stockholders was $0.42, as compared to $0.45. Non-GAAP diluted net income per share attributable to common stockholders was $0.75, as compared to $0.71.</w:t>
      </w:r>
      <w:r>
        <w:rPr>
          <w:rFonts w:ascii="Times New Roman;serif" w:hAnsi="Times New Roman;serif"/>
          <w:b w:val="false"/>
          <w:color w:val="000000"/>
          <w:sz w:val="13"/>
        </w:rPr>
        <w:t>(3)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cash equivalents and short-term investments ended at $1.114 billion.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We calculate constant currency revenue growth rates by applying the prior period weighted average exchange rates to current period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18"/>
        </w:rPr>
        <w:t xml:space="preserve">GAAP and Non-GAAP diluted net income per share attributable to common stockholders is calculated based upon 226.8 million and 276.7 million diluted weighted-average shares outstanding of common stock for the three months ended June 30, 2026 and 2025, respectively.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Dropbox will provide forward-looking guidance in connection with this quarterly earnings announcement on its conference call, webcast, and on its investor relations website at </w:t>
      </w:r>
      <w:r>
        <w:rPr>
          <w:rFonts w:ascii="Times New Roman;serif" w:hAnsi="Times New Roman;serif"/>
          <w:b w:val="false"/>
          <w:color w:val="000000"/>
          <w:sz w:val="20"/>
          <w:u w:val="single"/>
        </w:rPr>
        <w:t>http://investors.dropbox.com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Dropbox plans to host a conference call today to review its second quarter financial results and to discuss its financial outlook. This call is scheduled to begin at 2:00 p.m. PT / 5:00 p.m. ET and can be accessed by using the web link at http://investors.dropbox.com.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Dropbox</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serif" w:hAnsi="Times New Roman;serif"/>
          <w:b w:val="false"/>
          <w:color w:val="000000"/>
          <w:sz w:val="20"/>
          <w:u w:val="single"/>
        </w:rPr>
        <w:t>http://dropbox.com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including, among other things, our expectations regarding the performance of our Core business as well as our new product initiatives and expectations for our business.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annual recurring revenue, average revenue per user, free cash flow, unlevered free cash flow, and the assumptions underlying such trends; (vi) our ability to achieve or maintain profitability; (vii) our ability to prevent security breaches and our liability or other potential legal, regulatory, or reputational consequences of any unauthorized access to our data or our customer data;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our ability to compete successfully in competitive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expectations around future growth; (xv) our various acquisitions of companies and assets and the potential of such acquisitions to require significant management attention, disrupt our business, or dilute stockholder value; (xvi) our ability to attract, retain, integrate, and manage key and other highly qualified personnel, including as a result of our Virtual First model with an increasingly distributed workforce; (xvii) our capital allocation plans with respect to our stock repurchase program and other investments; and (xviii)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10-K for the year ended December 31, 2025. Additional information will be made available in our quarterly report on Form 10-Q for the quarter ended June 30, 2026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51"/>
        <w:gridCol w:w="1569"/>
        <w:gridCol w:w="1513"/>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205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diluted</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Includes stock-based compensation expense as follows (in millions):</w:t>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our reduction in workforce such as severance, benefits and other related items during the three months ended June 30, 2026</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18"/>
        </w:rPr>
        <w:t>three and six months ended June 30, 2025. The expenses during the three months ended June 30, 2026, were related to the reduction in workforce resulting from a strategic reorganization to unify the Company's product organization, which are included within research and development expense.</w:t>
      </w:r>
    </w:p>
    <w:p>
      <w:pPr>
        <w:pStyle w:val="TextBody"/>
        <w:bidi w:val="0"/>
        <w:spacing w:before="0" w:after="120"/>
        <w:jc w:val="left"/>
        <w:rPr/>
      </w:pPr>
      <w:r>
        <w:rPr/>
      </w:r>
    </w:p>
    <w:p>
      <w:pPr>
        <w:pStyle w:val="TextBody"/>
        <w:bidi w:val="0"/>
        <w:spacing w:before="0" w:after="120"/>
        <w:jc w:val="left"/>
        <w:rPr/>
      </w:pPr>
      <w:r>
        <w:rPr/>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6957" w:type="dxa"/>
        <w:jc w:val="center"/>
        <w:tblInd w:w="0" w:type="dxa"/>
        <w:tblLayout w:type="fixed"/>
        <w:tblCellMar>
          <w:top w:w="28" w:type="dxa"/>
          <w:left w:w="28" w:type="dxa"/>
          <w:bottom w:w="28" w:type="dxa"/>
          <w:right w:w="28" w:type="dxa"/>
        </w:tblCellMar>
      </w:tblPr>
      <w:tblGrid>
        <w:gridCol w:w="1292"/>
        <w:gridCol w:w="1139"/>
        <w:gridCol w:w="1154"/>
        <w:gridCol w:w="247"/>
        <w:gridCol w:w="900"/>
        <w:gridCol w:w="128"/>
        <w:gridCol w:w="109"/>
        <w:gridCol w:w="109"/>
        <w:gridCol w:w="109"/>
        <w:gridCol w:w="330"/>
        <w:gridCol w:w="1199"/>
        <w:gridCol w:w="241"/>
      </w:tblGrid>
      <w:tr>
        <w:trPr/>
        <w:tc>
          <w:tcPr>
            <w:tcW w:w="129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non-current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non-current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5,014.6 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26"/>
        <w:gridCol w:w="1707"/>
        <w:gridCol w:w="1720"/>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8"/>
        <w:gridCol w:w="564"/>
        <w:gridCol w:w="156"/>
      </w:tblGrid>
      <w:tr>
        <w:trPr/>
        <w:tc>
          <w:tcPr>
            <w:tcW w:w="202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operating activities </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real estate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equity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lease termination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net of cash acquired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short-term investments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receipts from equipment rebates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 of convertible senior notes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facility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 and loan commitment fees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against term loan facility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restricted stock units and awards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taxes withheld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acquisition-related indemnification holdback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beginning of period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data:</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finance leases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Months Ended June 30, 2026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436"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71"/>
        <w:gridCol w:w="656"/>
        <w:gridCol w:w="349"/>
        <w:gridCol w:w="109"/>
        <w:gridCol w:w="109"/>
        <w:gridCol w:w="109"/>
        <w:gridCol w:w="410"/>
        <w:gridCol w:w="789"/>
        <w:gridCol w:w="527"/>
        <w:gridCol w:w="109"/>
        <w:gridCol w:w="109"/>
        <w:gridCol w:w="109"/>
        <w:gridCol w:w="284"/>
        <w:gridCol w:w="566"/>
        <w:gridCol w:w="366"/>
        <w:gridCol w:w="109"/>
        <w:gridCol w:w="109"/>
        <w:gridCol w:w="109"/>
        <w:gridCol w:w="246"/>
        <w:gridCol w:w="473"/>
        <w:gridCol w:w="317"/>
        <w:gridCol w:w="109"/>
        <w:gridCol w:w="109"/>
        <w:gridCol w:w="109"/>
        <w:gridCol w:w="211"/>
        <w:gridCol w:w="616"/>
        <w:gridCol w:w="316"/>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Workforce reduction expense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Includes expenses such as severance, benefits and other related items related to the reduction in workforce resulting from a strategic reorganization to unify our product organization.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Dropbox,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Months Ended June 30,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1651"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71"/>
        <w:gridCol w:w="656"/>
        <w:gridCol w:w="349"/>
        <w:gridCol w:w="109"/>
        <w:gridCol w:w="109"/>
        <w:gridCol w:w="109"/>
        <w:gridCol w:w="403"/>
        <w:gridCol w:w="804"/>
        <w:gridCol w:w="519"/>
        <w:gridCol w:w="109"/>
        <w:gridCol w:w="109"/>
        <w:gridCol w:w="109"/>
        <w:gridCol w:w="284"/>
        <w:gridCol w:w="566"/>
        <w:gridCol w:w="366"/>
        <w:gridCol w:w="109"/>
        <w:gridCol w:w="109"/>
        <w:gridCol w:w="109"/>
        <w:gridCol w:w="211"/>
        <w:gridCol w:w="406"/>
        <w:gridCol w:w="271"/>
        <w:gridCol w:w="109"/>
        <w:gridCol w:w="109"/>
        <w:gridCol w:w="109"/>
        <w:gridCol w:w="242"/>
        <w:gridCol w:w="483"/>
        <w:gridCol w:w="311"/>
        <w:gridCol w:w="109"/>
        <w:gridCol w:w="109"/>
        <w:gridCol w:w="109"/>
        <w:gridCol w:w="211"/>
        <w:gridCol w:w="616"/>
        <w:gridCol w:w="316"/>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loss on real estate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Workforce reduction expense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loss on real estate assets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Includes expenses related to our 2024 reduction in workforce such as severance, benefits and other related items.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Six Months Ended June 30, 2026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706" w:type="dxa"/>
        <w:jc w:val="left"/>
        <w:tblInd w:w="0" w:type="dxa"/>
        <w:tblLayout w:type="fixed"/>
        <w:tblCellMar>
          <w:top w:w="28" w:type="dxa"/>
          <w:left w:w="28" w:type="dxa"/>
          <w:bottom w:w="28" w:type="dxa"/>
          <w:right w:w="28" w:type="dxa"/>
        </w:tblCellMar>
      </w:tblPr>
      <w:tblGrid>
        <w:gridCol w:w="946"/>
        <w:gridCol w:w="383"/>
        <w:gridCol w:w="247"/>
        <w:gridCol w:w="211"/>
        <w:gridCol w:w="616"/>
        <w:gridCol w:w="271"/>
        <w:gridCol w:w="109"/>
        <w:gridCol w:w="109"/>
        <w:gridCol w:w="109"/>
        <w:gridCol w:w="245"/>
        <w:gridCol w:w="715"/>
        <w:gridCol w:w="316"/>
        <w:gridCol w:w="109"/>
        <w:gridCol w:w="109"/>
        <w:gridCol w:w="109"/>
        <w:gridCol w:w="410"/>
        <w:gridCol w:w="789"/>
        <w:gridCol w:w="527"/>
        <w:gridCol w:w="109"/>
        <w:gridCol w:w="109"/>
        <w:gridCol w:w="109"/>
        <w:gridCol w:w="258"/>
        <w:gridCol w:w="625"/>
        <w:gridCol w:w="333"/>
        <w:gridCol w:w="109"/>
        <w:gridCol w:w="109"/>
        <w:gridCol w:w="109"/>
        <w:gridCol w:w="246"/>
        <w:gridCol w:w="473"/>
        <w:gridCol w:w="317"/>
        <w:gridCol w:w="109"/>
        <w:gridCol w:w="109"/>
        <w:gridCol w:w="109"/>
        <w:gridCol w:w="211"/>
        <w:gridCol w:w="616"/>
        <w:gridCol w:w="316"/>
      </w:tblGrid>
      <w:tr>
        <w:trPr/>
        <w:tc>
          <w:tcPr>
            <w:tcW w:w="9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Workforce reduction expense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expenses such as severance, benefits and other related items related to the reduction in workforce resulting from a strategic reorganization to unify our product organization during the three months ended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Dropbox,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Six Months Ended June 30,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11651"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45"/>
        <w:gridCol w:w="715"/>
        <w:gridCol w:w="316"/>
        <w:gridCol w:w="109"/>
        <w:gridCol w:w="109"/>
        <w:gridCol w:w="109"/>
        <w:gridCol w:w="403"/>
        <w:gridCol w:w="804"/>
        <w:gridCol w:w="519"/>
        <w:gridCol w:w="109"/>
        <w:gridCol w:w="109"/>
        <w:gridCol w:w="109"/>
        <w:gridCol w:w="258"/>
        <w:gridCol w:w="625"/>
        <w:gridCol w:w="333"/>
        <w:gridCol w:w="109"/>
        <w:gridCol w:w="109"/>
        <w:gridCol w:w="109"/>
        <w:gridCol w:w="211"/>
        <w:gridCol w:w="406"/>
        <w:gridCol w:w="271"/>
        <w:gridCol w:w="109"/>
        <w:gridCol w:w="109"/>
        <w:gridCol w:w="109"/>
        <w:gridCol w:w="242"/>
        <w:gridCol w:w="483"/>
        <w:gridCol w:w="311"/>
        <w:gridCol w:w="109"/>
        <w:gridCol w:w="109"/>
        <w:gridCol w:w="109"/>
        <w:gridCol w:w="211"/>
        <w:gridCol w:w="616"/>
        <w:gridCol w:w="316"/>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loss on real estate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Workforce reduction expense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loss on real estate assets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Includes expenses related to our 2024 reduction in workforce such as severance, benefits and other related items.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Dropbox,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and Six Months Ended June 30, 2026 and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net income to Non-GAAP net income and Non-GAAP diluted net income per share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99"/>
        <w:gridCol w:w="1419"/>
        <w:gridCol w:w="1289"/>
        <w:gridCol w:w="211"/>
        <w:gridCol w:w="616"/>
        <w:gridCol w:w="109"/>
        <w:gridCol w:w="109"/>
        <w:gridCol w:w="109"/>
        <w:gridCol w:w="109"/>
        <w:gridCol w:w="211"/>
        <w:gridCol w:w="616"/>
        <w:gridCol w:w="109"/>
        <w:gridCol w:w="418"/>
        <w:gridCol w:w="418"/>
        <w:gridCol w:w="420"/>
        <w:gridCol w:w="219"/>
        <w:gridCol w:w="642"/>
        <w:gridCol w:w="113"/>
        <w:gridCol w:w="113"/>
        <w:gridCol w:w="113"/>
        <w:gridCol w:w="113"/>
        <w:gridCol w:w="219"/>
        <w:gridCol w:w="642"/>
        <w:gridCol w:w="169"/>
      </w:tblGrid>
      <w:tr>
        <w:trPr/>
        <w:tc>
          <w:tcPr>
            <w:tcW w:w="169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407" w:type="dxa"/>
            <w:gridSpan w:val="3"/>
            <w:tcBorders/>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and 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equity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non-GAAP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Non-GAAP diluted net income per share</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and Six Months Ended June 30, 2026 and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unlevered free cash flow and supplemental cash flow disclosure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94"/>
        <w:gridCol w:w="1228"/>
        <w:gridCol w:w="1235"/>
        <w:gridCol w:w="211"/>
        <w:gridCol w:w="616"/>
        <w:gridCol w:w="271"/>
        <w:gridCol w:w="109"/>
        <w:gridCol w:w="109"/>
        <w:gridCol w:w="109"/>
        <w:gridCol w:w="211"/>
        <w:gridCol w:w="616"/>
        <w:gridCol w:w="271"/>
        <w:gridCol w:w="418"/>
        <w:gridCol w:w="418"/>
        <w:gridCol w:w="420"/>
        <w:gridCol w:w="211"/>
        <w:gridCol w:w="616"/>
        <w:gridCol w:w="271"/>
        <w:gridCol w:w="109"/>
        <w:gridCol w:w="109"/>
        <w:gridCol w:w="109"/>
        <w:gridCol w:w="211"/>
        <w:gridCol w:w="616"/>
        <w:gridCol w:w="317"/>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Unlevered free cash flow reconciliation: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Free cash flow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on debt, net of the associated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Key employee holdback payments related to acquisitions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Payments related to workforce reduction</w:t>
            </w:r>
            <w:r>
              <w:rPr>
                <w:rFonts w:ascii="Times New Roman;serif" w:hAnsi="Times New Roman;serif"/>
                <w:b w:val="false"/>
                <w:color w:val="000000"/>
                <w:sz w:val="13"/>
              </w:rPr>
              <w:t>(2)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paid for lease termination</w:t>
            </w:r>
            <w:r>
              <w:rPr>
                <w:rFonts w:ascii="Times New Roman;serif" w:hAnsi="Times New Roman;serif"/>
                <w:b w:val="false"/>
                <w:color w:val="000000"/>
                <w:sz w:val="13"/>
              </w:rPr>
              <w:t>(3)</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3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payments related to employee holdbacks pertaining to our acquisitions included in cash flows from operating activities. The related expenses are recognized within research and development expenses over the required service periods.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payments made related to our reductions in workforce in the second quarter of 2026 and fourth quarter of 2024, such as severance, benefits, and other related items. During the three and six months ended June 30, 2025,</w:t>
      </w:r>
      <w:r>
        <w:rPr>
          <w:color w:val="000000"/>
        </w:rPr>
        <w:t xml:space="preserve"> </w:t>
      </w:r>
      <w:r>
        <w:rPr>
          <w:rFonts w:ascii="Times New Roman;serif" w:hAnsi="Times New Roman;serif"/>
          <w:b w:val="false"/>
          <w:color w:val="000000"/>
          <w:sz w:val="18"/>
        </w:rPr>
        <w:t>total cash payments included the accrued pro rata amount of annual employee bonus.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Represents payments made for the partial lease termination of our San Francisco, California corporate headquarters during the six months ended June 30, 2025</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unlevered FCF and non-GAAP diluted net income per share. We also present various margins, all of which are calculated as the applicable non-GAAP financial measure divided by revenue. We have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acquisition-related and other expenses, which include third-party diligence costs, costs relating to impairment of certain acquired assets and expenses related to key employee holdback agreements, net loss on real estate assets, expenses related to our reduction in workforce, net loss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Unlevered FCF represents net cash provided by operating activities adjusted for cash paid for capital expenditures and cash paid for interest on indebtedness and is calculated by adding cash paid for interest on debt, net of the associated tax benefit, to FCF. In order to present revenue on a constant currency basis for the quarter ended June 30, 2026, we calculate constant currency revenue growth rates by applying the prior period weighted average exchange rates to current period results. We calculate constant currency Total ARR growth rates by applying the current period rate to prior period results. We present constant currency information to provide a framework for assessing how our underlying business performed excluding the effect of foreign currency rate fluctuations. We have also presented revenue and total ARR excluding FormSwift because we significantly reduced our investment at the beginning of 2025 and plan to wind down operations by the end of 2026, which we believe provides a useful view of our ongoing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believe that FCF is an indicator of our liquidity over the long term and provides useful information regarding cash provided by operating activities and cash used for investments in property and equipment required to maintain and grow our business. Unlevered FCF provides additional information about our liquidity adjusted for the impact of our capital structure. FCF and unlevered FCF are presented for supplemental informational purposes only and should not be considered a substitute for financial information presented in accordance with GAAP. FCF and unlevered FCF each have limitations as analytical tools, and neither metric should be considered in isolation or as a substitute for analysis of other GAAP financial measures, such as net cash provided by operating activities. Some of the limitations of FCF and unlevered FCF are that they each do not reflect our future contractual commitments, exclude investments made to acquire assets under finance leases, include capital expenditures, and may be calculated differently by other companies in our industry, limiting their respective usefulness as comparative measures.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The use of non-GAAP cost of revenue, gross profit, operating expenses, income from operations, net income, free cash flow, unlevered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key employee holdback payments related to our various acquisitions, payments related to workforce reduction and cash paid for lease termination.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Sarah Schubach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ir@dropbox.com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 Rathschmidt</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press@dropbox.com </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5213</Words>
  <Characters>28284</Characters>
  <CharactersWithSpaces>32828</CharactersWithSpaces>
  <Paragraphs>1459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