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45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5719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08/15/2018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7"/>
        <w:spacing w:after="0"/>
        <w:rPr>
          <w:sz w:val="20"/>
          <w:szCs w:val="20"/>
          <w:color w:val="auto"/>
        </w:rPr>
      </w:pPr>
      <w:r>
        <w:rPr>
          <w:rFonts w:ascii="Arial" w:cs="Arial" w:eastAsia="Arial" w:hAnsi="Arial"/>
          <w:sz w:val="17"/>
          <w:szCs w:val="17"/>
          <w:color w:val="0000FF"/>
        </w:rPr>
        <w:t>Chief Accounting Officer</w:t>
      </w:r>
    </w:p>
    <w:p>
      <w:pPr>
        <w:spacing w:after="0" w:line="333"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6"/>
          </w:tcPr>
          <w:p>
            <w:pPr>
              <w:jc w:val="center"/>
              <w:ind w:right="54"/>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08/15/2018</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right"/>
              <w:ind w:right="15"/>
              <w:spacing w:after="0"/>
              <w:rPr>
                <w:sz w:val="20"/>
                <w:szCs w:val="20"/>
                <w:color w:val="auto"/>
              </w:rPr>
            </w:pPr>
            <w:r>
              <w:rPr>
                <w:rFonts w:ascii="Arial" w:cs="Arial" w:eastAsia="Arial" w:hAnsi="Arial"/>
                <w:sz w:val="17"/>
                <w:szCs w:val="17"/>
                <w:color w:val="0000FF"/>
              </w:rPr>
              <w:t>4,088</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0.00</w:t>
            </w:r>
            <w:r>
              <w:rPr>
                <w:rFonts w:ascii="Arial" w:cs="Arial" w:eastAsia="Arial" w:hAnsi="Arial"/>
                <w:sz w:val="22"/>
                <w:szCs w:val="22"/>
                <w:color w:val="008000"/>
                <w:w w:val="99"/>
                <w:vertAlign w:val="superscript"/>
              </w:rPr>
              <w:t>(1)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86,538</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08/15/2018</w:t>
            </w:r>
          </w:p>
        </w:tc>
        <w:tc>
          <w:tcPr>
            <w:tcW w:w="10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1,089</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28.97</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85,449</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5"/>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(1)</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4,088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58,412</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08/15/2018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C</w:t>
            </w:r>
          </w:p>
        </w:tc>
        <w:tc>
          <w:tcPr>
            <w:tcW w:w="1020" w:type="dxa"/>
            <w:vAlign w:val="bottom"/>
          </w:tcPr>
          <w:p>
            <w:pPr>
              <w:jc w:val="right"/>
              <w:ind w:right="119"/>
              <w:spacing w:after="0" w:line="148" w:lineRule="exact"/>
              <w:rPr>
                <w:sz w:val="20"/>
                <w:szCs w:val="20"/>
                <w:color w:val="auto"/>
              </w:rPr>
            </w:pPr>
            <w:r>
              <w:rPr>
                <w:rFonts w:ascii="Arial" w:cs="Arial" w:eastAsia="Arial" w:hAnsi="Arial"/>
                <w:sz w:val="13"/>
                <w:szCs w:val="13"/>
                <w:color w:val="0000FF"/>
              </w:rPr>
              <w:t>4,088</w:t>
            </w: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95"/>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3"/>
                <w:szCs w:val="13"/>
                <w:color w:val="0000FF"/>
              </w:rPr>
              <w:t>2,162</w:t>
            </w:r>
            <w:r>
              <w:rPr>
                <w:rFonts w:ascii="Arial" w:cs="Arial" w:eastAsia="Arial" w:hAnsi="Arial"/>
                <w:sz w:val="22"/>
                <w:szCs w:val="22"/>
                <w:color w:val="008000"/>
                <w:vertAlign w:val="superscript"/>
              </w:rPr>
              <w:t>(3)</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2,162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56,250</w:t>
            </w:r>
            <w:r>
              <w:rPr>
                <w:rFonts w:ascii="Arial" w:cs="Arial" w:eastAsia="Arial" w:hAnsi="Arial"/>
                <w:sz w:val="22"/>
                <w:szCs w:val="22"/>
                <w:color w:val="008000"/>
                <w:vertAlign w:val="superscript"/>
              </w:rPr>
              <w:t>(4)</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153"/>
              <w:spacing w:after="0" w:line="148" w:lineRule="exact"/>
              <w:rPr>
                <w:sz w:val="20"/>
                <w:szCs w:val="20"/>
                <w:color w:val="auto"/>
              </w:rPr>
            </w:pPr>
            <w:r>
              <w:rPr>
                <w:rFonts w:ascii="Arial" w:cs="Arial" w:eastAsia="Arial" w:hAnsi="Arial"/>
                <w:sz w:val="13"/>
                <w:szCs w:val="13"/>
                <w:color w:val="0000FF"/>
              </w:rPr>
              <w:t>08/15/2018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F</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55"/>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28.97</w:t>
            </w:r>
          </w:p>
        </w:tc>
        <w:tc>
          <w:tcPr>
            <w:tcW w:w="88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4,088 shares of Class B Common Stock were converted into 4,088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February 15, 2022. In the event the Reporting Person ceases to be a Service Provider, any then unvested restricted stock units will be cancelled by the Issuer.</w:t>
      </w:r>
    </w:p>
    <w:p>
      <w:pPr>
        <w:spacing w:after="0" w:line="11" w:lineRule="exact"/>
        <w:rPr>
          <w:rFonts w:ascii="Arial" w:cs="Arial" w:eastAsia="Arial" w:hAnsi="Arial"/>
          <w:sz w:val="13"/>
          <w:szCs w:val="13"/>
          <w:color w:val="008000"/>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40" w:right="3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November 15, 2020. In the event the Reporting Person ceases to be a Service Provider, any then unvested restricted stock units will be cancelled by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Bart E. Volkmer, Attorney-</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08/17/2018</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2019-12-24T08:09:19Z</dcterms:created>
  <dcterms:modified xsi:type="dcterms:W3CDTF">2019-12-24T08:09:19Z</dcterms:modified>
</cp:coreProperties>
</file>