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May 7, 2026</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DROPBOX, INC.</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983" w:right="499" w:bottom="1440" w:gutter="0" w:footer="0" w:header="0"/>
        </w:sectPr>
      </w:pPr>
    </w:p>
    <w:p>
      <w:pPr>
        <w:spacing w:after="0" w:line="26"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3" w:lineRule="exact"/>
        <w:rPr>
          <w:sz w:val="24"/>
          <w:szCs w:val="24"/>
          <w:color w:val="auto"/>
        </w:rPr>
      </w:pPr>
    </w:p>
    <w:p>
      <w:pPr>
        <w:sectPr>
          <w:pgSz w:w="11900" w:h="16838" w:orient="portrait"/>
          <w:cols w:equalWidth="0" w:num="3">
            <w:col w:w="3860" w:space="720"/>
            <w:col w:w="2180" w:space="720"/>
            <w:col w:w="3600"/>
          </w:cols>
          <w:pgMar w:left="320" w:top="983" w:right="4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8"/>
          <w:szCs w:val="18"/>
          <w:b w:val="1"/>
          <w:bCs w:val="1"/>
          <w:color w:val="auto"/>
        </w:rPr>
        <w:t>incorporation)</w:t>
      </w:r>
    </w:p>
    <w:p>
      <w:pPr>
        <w:sectPr>
          <w:pgSz w:w="11900" w:h="16838" w:orient="portrait"/>
          <w:cols w:equalWidth="0" w:num="1">
            <w:col w:w="11080"/>
          </w:cols>
          <w:pgMar w:left="320" w:top="983" w:right="499" w:bottom="1440" w:gutter="0" w:footer="0" w:header="0"/>
          <w:type w:val="continuous"/>
        </w:sectPr>
      </w:pPr>
    </w:p>
    <w:p>
      <w:pPr>
        <w:spacing w:after="0" w:line="3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5"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wp:posOffset>
            </wp:positionH>
            <wp:positionV relativeFrom="paragraph">
              <wp:posOffset>94615</wp:posOffset>
            </wp:positionV>
            <wp:extent cx="6257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pacing w:after="0" w:line="170"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260" w:type="dxa"/>
            <w:vAlign w:val="bottom"/>
            <w:gridSpan w:val="2"/>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2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213"/>
        </w:trPr>
        <w:tc>
          <w:tcPr>
            <w:tcW w:w="428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83" w:lineRule="exact"/>
        <w:rPr>
          <w:sz w:val="24"/>
          <w:szCs w:val="24"/>
          <w:color w:val="auto"/>
        </w:rPr>
      </w:pPr>
    </w:p>
    <w:p>
      <w:pPr>
        <w:ind w:right="20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15"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3"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May 7, 2026, Dropbox, Inc. (“Dropbox” or the “Company”) issued a press release and will hold a conference call announcing its financial results for the quarter ended March 31, 2026. A copy of the press release is attached as Exhibit 99.1 to this current report on Form 8-K and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5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On May 7, 2026,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1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2"/>
        </w:trPr>
        <w:tc>
          <w:tcPr>
            <w:tcW w:w="20" w:type="dxa"/>
            <w:vAlign w:val="bottom"/>
          </w:tcPr>
          <w:p>
            <w:pPr>
              <w:spacing w:after="0"/>
              <w:rPr>
                <w:sz w:val="15"/>
                <w:szCs w:val="15"/>
                <w:color w:val="auto"/>
              </w:rPr>
            </w:pPr>
          </w:p>
        </w:tc>
        <w:tc>
          <w:tcPr>
            <w:tcW w:w="1100" w:type="dxa"/>
            <w:vAlign w:val="bottom"/>
            <w:tcBorders>
              <w:top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entitled "Dropbox Announces First Quarter 2026 Results" dated May 7, 2026</w:t>
            </w:r>
          </w:p>
        </w:tc>
        <w:tc>
          <w:tcPr>
            <w:tcW w:w="20" w:type="dxa"/>
            <w:vAlign w:val="bottom"/>
          </w:tcPr>
          <w:p>
            <w:pPr>
              <w:spacing w:after="0"/>
              <w:rPr>
                <w:sz w:val="15"/>
                <w:szCs w:val="15"/>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0" w:type="dxa"/>
            <w:vAlign w:val="bottom"/>
            <w:tcBorders>
              <w:top w:val="single" w:sz="8" w:color="0000FF"/>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2026</w:t>
      </w:r>
    </w:p>
    <w:p>
      <w:pPr>
        <w:spacing w:after="0" w:line="35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Ross Tennenbaum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14605</wp:posOffset>
            </wp:positionV>
            <wp:extent cx="277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Ross Tennenbaum</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0"/>
          </w:cols>
          <w:pgMar w:left="320" w:top="887" w:right="559" w:bottom="1440" w:gutter="0" w:footer="0" w:header="0"/>
        </w:sectPr>
      </w:pPr>
    </w:p>
    <w:bookmarkStart w:id="3" w:name="page4"/>
    <w:bookmarkEnd w:id="3"/>
    <w:p>
      <w:pPr>
        <w:ind w:left="4120"/>
        <w:spacing w:after="0"/>
        <w:rPr>
          <w:sz w:val="20"/>
          <w:szCs w:val="20"/>
          <w:color w:val="auto"/>
        </w:rPr>
      </w:pPr>
      <w:r>
        <w:rPr>
          <w:rFonts w:ascii="Times New Roman" w:cs="Times New Roman" w:eastAsia="Times New Roman" w:hAnsi="Times New Roman"/>
          <w:sz w:val="18"/>
          <w:szCs w:val="18"/>
          <w:b w:val="1"/>
          <w:bCs w:val="1"/>
          <w:color w:val="auto"/>
        </w:rPr>
        <w:t>Dropbox Announces First Quarter 2026 Results</w:t>
      </w:r>
    </w:p>
    <w:p>
      <w:pPr>
        <w:spacing w:after="0" w:line="256" w:lineRule="exact"/>
        <w:rPr>
          <w:sz w:val="20"/>
          <w:szCs w:val="20"/>
          <w:color w:val="auto"/>
        </w:rPr>
      </w:pPr>
    </w:p>
    <w:p>
      <w:pPr>
        <w:jc w:val="center"/>
        <w:ind w:left="340" w:right="1600"/>
        <w:spacing w:after="0" w:line="266" w:lineRule="auto"/>
        <w:rPr>
          <w:sz w:val="20"/>
          <w:szCs w:val="20"/>
          <w:color w:val="auto"/>
        </w:rPr>
      </w:pPr>
      <w:r>
        <w:rPr>
          <w:rFonts w:ascii="Times New Roman" w:cs="Times New Roman" w:eastAsia="Times New Roman" w:hAnsi="Times New Roman"/>
          <w:sz w:val="18"/>
          <w:szCs w:val="18"/>
          <w:color w:val="auto"/>
        </w:rPr>
        <w:t>First Quarter GAAP Operating Margin of 27.5% and Non-GAAP Operating Margin of 40.1% Net Cash Provided by Operating Activities of $204.5 Million and Unlevered Free Cash Flow of $236.4 Million Revenue of $629.5 Million, an increase of 0.8% year-over-year; excluding FormSwift, up 2.0% year-over-year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May 7, 2026 - Dropbox, Inc. (NASDAQ: DBX), today announced financial results for its first quarter ended March 31, 2026.</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delivered a strong quarter, exceeding the high end of our guidance for revenue and operating margin, with revenue growing 0.8% year-over-year and 2% year-over-year excluding FormSwift,” said Drew Houston, Dropbox Co-Founder and Chief Executive Officer. “This represents another quarter of positive revenue growth excluding FormSwift and reflects progress in strengthening our core business. We’re seeing encouraging signs from the focused work we’ve done to improve retention in Individuals, alongside funnel and product improvements in Teams. We’re also continuing to expand Dash in Dropbox thoughtfully across our existing user base as we invest with discipline in the platform capabilities that will support future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Results Compared to First Quarter 2025</w:t>
      </w:r>
    </w:p>
    <w:p>
      <w:pPr>
        <w:spacing w:after="0" w:line="256" w:lineRule="exact"/>
        <w:rPr>
          <w:sz w:val="20"/>
          <w:szCs w:val="20"/>
          <w:color w:val="auto"/>
        </w:rPr>
      </w:pPr>
    </w:p>
    <w:p>
      <w:pPr>
        <w:ind w:left="660" w:right="160" w:hanging="328"/>
        <w:spacing w:after="0" w:line="268"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$629.5 million, an increase of 0.8%. Excluding FormSwift, which we significantly reduced our investment in at the beginning of 2025 and plan to wind down operations by the end of 2026, revenue grew 2.0%. On a constant currency basis, total revenue excluding FormSwift increased by 0.4%.</w:t>
      </w:r>
      <w:r>
        <w:rPr>
          <w:rFonts w:ascii="Times New Roman" w:cs="Times New Roman" w:eastAsia="Times New Roman" w:hAnsi="Times New Roman"/>
          <w:sz w:val="23"/>
          <w:szCs w:val="23"/>
          <w:color w:val="auto"/>
          <w:vertAlign w:val="superscript"/>
        </w:rPr>
        <w:t>(1)</w:t>
      </w:r>
    </w:p>
    <w:p>
      <w:pPr>
        <w:spacing w:after="0" w:line="133" w:lineRule="exact"/>
        <w:rPr>
          <w:rFonts w:ascii="Times New Roman" w:cs="Times New Roman" w:eastAsia="Times New Roman" w:hAnsi="Times New Roman"/>
          <w:sz w:val="18"/>
          <w:szCs w:val="18"/>
          <w:color w:val="auto"/>
        </w:rPr>
      </w:pPr>
    </w:p>
    <w:p>
      <w:pPr>
        <w:ind w:left="660" w:right="260" w:hanging="328"/>
        <w:spacing w:after="0" w:line="268"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ARR was $2.560 billion, an increase of 0.3%. Excluding FormSwift, Total ARR was $2.540 billion, an increase of 1.3%. On a constant currency basis, Total ARR excluding FormSwift decreased 0.1% . Total ARR on a constant currency basis decreased $2.8 million quarter-over-quarter; excluding FormSwift, it decreased $0.8 million.</w:t>
      </w:r>
      <w:r>
        <w:rPr>
          <w:rFonts w:ascii="Times New Roman" w:cs="Times New Roman" w:eastAsia="Times New Roman" w:hAnsi="Times New Roman"/>
          <w:sz w:val="23"/>
          <w:szCs w:val="23"/>
          <w:color w:val="auto"/>
          <w:vertAlign w:val="superscript"/>
        </w:rPr>
        <w:t>(2)</w:t>
      </w:r>
    </w:p>
    <w:p>
      <w:pPr>
        <w:spacing w:after="0" w:line="1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totaled 18.09 million, as compared to 18.16 million. Average revenue per paying user was $141.18, as compared to $139.26.</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79.7%, as compared to 81.3%. Non-GAAP gross margin was 81.1%, as compared to 82.9%.</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27.5%, as compared to 29.4%. Non-GAAP operating margin was 40.1%, as compared to 41.7%.</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$114.5 million, as compared to $150.3 million. Non-GAAP net income was $180.4 million, as compared to $207.1 million. The decrease was primarily due to an increase in interest expense related to additional draws on our term loan facility.</w:t>
      </w:r>
    </w:p>
    <w:p>
      <w:pPr>
        <w:spacing w:after="0" w:line="18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$204.5 million, as compared to $153.8 million. Unlevered free cash flow was $236.4 million, as compared to $174.4 million. Cash flows in the first quarter of 2025 included a $36.0 million outflow for the third tranche termination fee related to the partial termination of the Company's lease for its San Francisco, California corporate headquarters and a $10.2 million outflow related to the 2024 reduction in workforce.</w:t>
      </w:r>
    </w:p>
    <w:p>
      <w:pPr>
        <w:spacing w:after="0" w:line="206" w:lineRule="exact"/>
        <w:rPr>
          <w:rFonts w:ascii="Times New Roman" w:cs="Times New Roman" w:eastAsia="Times New Roman" w:hAnsi="Times New Roman"/>
          <w:sz w:val="18"/>
          <w:szCs w:val="18"/>
          <w:color w:val="auto"/>
        </w:rPr>
      </w:pPr>
    </w:p>
    <w:p>
      <w:pPr>
        <w:ind w:left="660" w:right="320" w:hanging="328"/>
        <w:spacing w:after="0" w:line="283"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attributable to common stockholders was $0.48, as compared to $0.51. Non-GAAP diluted net income per share attributable to common stockholders was $0.76, as compared to $0.70.</w:t>
      </w:r>
      <w:r>
        <w:rPr>
          <w:rFonts w:ascii="Times New Roman" w:cs="Times New Roman" w:eastAsia="Times New Roman" w:hAnsi="Times New Roman"/>
          <w:sz w:val="23"/>
          <w:szCs w:val="23"/>
          <w:color w:val="auto"/>
          <w:vertAlign w:val="superscript"/>
        </w:rPr>
        <w:t>(3)</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ended at $1.289 billion.</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constant currency revenue growth rates by applying the prior period weighted average exchange rates to current period results.</w:t>
      </w:r>
    </w:p>
    <w:p>
      <w:pPr>
        <w:spacing w:after="0" w:line="221" w:lineRule="exact"/>
        <w:rPr>
          <w:rFonts w:ascii="Times New Roman" w:cs="Times New Roman" w:eastAsia="Times New Roman" w:hAnsi="Times New Roman"/>
          <w:sz w:val="19"/>
          <w:szCs w:val="19"/>
          <w:color w:val="auto"/>
          <w:vertAlign w:val="superscript"/>
        </w:rPr>
      </w:pPr>
    </w:p>
    <w:p>
      <w:pPr>
        <w:jc w:val="both"/>
        <w:ind w:right="340" w:firstLine="8"/>
        <w:spacing w:after="0" w:line="287" w:lineRule="auto"/>
        <w:tabs>
          <w:tab w:leader="none" w:pos="149"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ectPr>
          <w:pgSz w:w="11900" w:h="16838" w:orient="portrait"/>
          <w:cols w:equalWidth="0" w:num="1">
            <w:col w:w="11240"/>
          </w:cols>
          <w:pgMar w:left="320" w:top="887" w:right="339" w:bottom="1440" w:gutter="0" w:footer="0" w:header="0"/>
        </w:sectPr>
      </w:pPr>
    </w:p>
    <w:bookmarkStart w:id="4" w:name="page5"/>
    <w:bookmarkEnd w:id="4"/>
    <w:p>
      <w:pPr>
        <w:ind w:left="-8" w:firstLine="8"/>
        <w:spacing w:after="0" w:line="252" w:lineRule="auto"/>
        <w:tabs>
          <w:tab w:leader="none" w:pos="157"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GAAP and Non-GAAP diluted net income per share attributable to common stockholders is calculated based upon 236.7 million and 295.7 million diluted weighted-average shares of common stock for the three months ended March 31, 2026 and 2025, respectively.</w:t>
      </w:r>
    </w:p>
    <w:p>
      <w:pPr>
        <w:sectPr>
          <w:pgSz w:w="11900" w:h="16838" w:orient="portrait"/>
          <w:cols w:equalWidth="0" w:num="1">
            <w:col w:w="10892"/>
          </w:cols>
          <w:pgMar w:left="328" w:top="895"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Dropbox will provide forward-looking guidance in connection with this quarterly earnings announcement on its conference call, webcast, and on its investor relations website at </w:t>
      </w:r>
      <w:r>
        <w:rPr>
          <w:rFonts w:ascii="Times New Roman" w:cs="Times New Roman" w:eastAsia="Times New Roman" w:hAnsi="Times New Roman"/>
          <w:sz w:val="18"/>
          <w:szCs w:val="18"/>
          <w:u w:val="single" w:color="auto"/>
          <w:color w:val="auto"/>
        </w:rPr>
        <w:t>http://investors.dropbox.com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first quarter financial results and to discuss its financial outlook. This call is scheduled to begin at 2:00 p.m. PT / 5:00 p.m. ET and can be accessed by using the web link at http://investors.dropbox.com.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5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 w:cs="Times New Roman" w:eastAsia="Times New Roman" w:hAnsi="Times New Roman"/>
          <w:sz w:val="18"/>
          <w:szCs w:val="18"/>
          <w:u w:val="single" w:color="auto"/>
          <w:color w:val="auto"/>
        </w:rPr>
        <w:t>http://dropbox.com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 things, our expectations regarding the performance of our Core business as well as our new product initiatives and expectations for our business for the remainder of 2026.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annual recurring revenue, average revenue per user, free cash flow, unlevered free cash flow, and the assumptions underlying such trends; (vi) our ability to achieve or maintain profitability; (vii) our ability to prevent security breaches and our liability or other potential legal, regulatory, or reputational consequences of any unauthorized access to our data or our customer data;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our ability to compete successfully in competitive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expectations around future growth; (xv) our various acquisitions of companies and assets and the potential of such acquisitions to require significant management attention, disrupt our business, or dilute stockholder value; (xvi) our ability to attract, retain, integrate, and manage key and other highly qualified personnel, including as a result of our Virtual First model with an increasingly distributed workforce;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2025. Additional information will be made available in our quarterly report on Form 10-Q for the quarter ended March 31, 2026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w:t>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currently intend to, update any such forward-looking statements after the date of this release, except as required by applicable law.</w:t>
      </w:r>
    </w:p>
    <w:p>
      <w:pPr>
        <w:sectPr>
          <w:pgSz w:w="11900" w:h="16838" w:orient="portrait"/>
          <w:cols w:equalWidth="0" w:num="1">
            <w:col w:w="10139"/>
          </w:cols>
          <w:pgMar w:left="320" w:top="891" w:right="1440" w:bottom="1440" w:gutter="0" w:footer="0" w:header="0"/>
        </w:sectPr>
      </w:pPr>
    </w:p>
    <w:bookmarkStart w:id="7" w:name="page8"/>
    <w:bookmarkEnd w:id="7"/>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7"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ind w:right="-1092"/>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7"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1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1912" w:type="dxa"/>
        <w:tblCellMar>
          <w:top w:w="0" w:type="dxa"/>
          <w:left w:w="0" w:type="dxa"/>
          <w:bottom w:w="0" w:type="dxa"/>
          <w:right w:w="0" w:type="dxa"/>
        </w:tblCellMar>
      </w:tblPr>
      <w:tr>
        <w:trPr>
          <w:trHeight w:val="236"/>
        </w:trPr>
        <w:tc>
          <w:tcPr>
            <w:tcW w:w="3700" w:type="dxa"/>
            <w:vAlign w:val="bottom"/>
            <w:tcBorders>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(1)(2)</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(1)(2)</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(1)(2)</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(1)(2)</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ind w:right="10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w:t>
            </w:r>
          </w:p>
        </w:tc>
        <w:tc>
          <w:tcPr>
            <w:tcW w:w="1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7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income per share attributable to common</w:t>
            </w:r>
          </w:p>
        </w:tc>
        <w:tc>
          <w:tcPr>
            <w:tcW w:w="12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14"/>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w:t>
            </w:r>
          </w:p>
        </w:tc>
        <w:tc>
          <w:tcPr>
            <w:tcW w:w="1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31"/>
          </w:cols>
          <w:pgMar w:left="328" w:top="891" w:right="1440" w:bottom="1440" w:gutter="0" w:footer="0" w:header="0"/>
        </w:sectPr>
      </w:pPr>
    </w:p>
    <w:p>
      <w:pPr>
        <w:ind w:left="2092" w:right="540" w:hanging="161"/>
        <w:spacing w:after="0" w:line="220"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ind w:left="2092"/>
        <w:spacing w:after="0"/>
        <w:rPr>
          <w:sz w:val="20"/>
          <w:szCs w:val="20"/>
          <w:color w:val="auto"/>
        </w:rPr>
      </w:pPr>
      <w:r>
        <w:rPr>
          <w:rFonts w:ascii="Times New Roman" w:cs="Times New Roman" w:eastAsia="Times New Roman" w:hAnsi="Times New Roman"/>
          <w:sz w:val="18"/>
          <w:szCs w:val="18"/>
          <w:color w:val="auto"/>
        </w:rPr>
        <w:t>stockholders, diluted</w:t>
      </w:r>
    </w:p>
    <w:p>
      <w:pPr>
        <w:spacing w:after="0" w:line="200" w:lineRule="exact"/>
        <w:rPr>
          <w:sz w:val="20"/>
          <w:szCs w:val="20"/>
          <w:color w:val="auto"/>
        </w:rPr>
      </w:pPr>
    </w:p>
    <w:p>
      <w:pPr>
        <w:spacing w:after="0" w:line="372" w:lineRule="exact"/>
        <w:rPr>
          <w:sz w:val="20"/>
          <w:szCs w:val="20"/>
          <w:color w:val="auto"/>
        </w:rPr>
      </w:pPr>
    </w:p>
    <w:p>
      <w:pPr>
        <w:ind w:left="172" w:hanging="172"/>
        <w:spacing w:after="0"/>
        <w:tabs>
          <w:tab w:leader="none" w:pos="172"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stock-based compensation expense as follows (in millions):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right"/>
        <w:ind w:right="879"/>
        <w:spacing w:after="0"/>
        <w:tabs>
          <w:tab w:leader="none" w:pos="380" w:val="left"/>
        </w:tabs>
        <w:rPr>
          <w:sz w:val="20"/>
          <w:szCs w:val="20"/>
          <w:color w:val="auto"/>
        </w:rPr>
      </w:pPr>
      <w:r>
        <w:rPr>
          <w:rFonts w:ascii="Times New Roman" w:cs="Times New Roman" w:eastAsia="Times New Roman" w:hAnsi="Times New Roman"/>
          <w:sz w:val="18"/>
          <w:szCs w:val="18"/>
          <w:color w:val="auto"/>
        </w:rPr>
        <w:t>236.7</w:t>
      </w:r>
      <w:r>
        <w:rPr>
          <w:sz w:val="20"/>
          <w:szCs w:val="20"/>
          <w:color w:val="auto"/>
        </w:rPr>
        <w:tab/>
      </w:r>
      <w:r>
        <w:rPr>
          <w:rFonts w:ascii="Times New Roman" w:cs="Times New Roman" w:eastAsia="Times New Roman" w:hAnsi="Times New Roman"/>
          <w:sz w:val="17"/>
          <w:szCs w:val="17"/>
          <w:color w:val="auto"/>
        </w:rPr>
        <w:t>295.7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17145</wp:posOffset>
            </wp:positionV>
            <wp:extent cx="236601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6010" cy="34290"/>
                    </a:xfrm>
                    <a:prstGeom prst="rect">
                      <a:avLst/>
                    </a:prstGeom>
                    <a:noFill/>
                  </pic:spPr>
                </pic:pic>
              </a:graphicData>
            </a:graphic>
          </wp:anchor>
        </w:drawing>
        <w:drawing>
          <wp:anchor simplePos="0" relativeHeight="251657728" behindDoc="1" locked="0" layoutInCell="0" allowOverlap="1">
            <wp:simplePos x="0" y="0"/>
            <wp:positionH relativeFrom="column">
              <wp:posOffset>-653415</wp:posOffset>
            </wp:positionH>
            <wp:positionV relativeFrom="paragraph">
              <wp:posOffset>-333375</wp:posOffset>
            </wp:positionV>
            <wp:extent cx="2366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859"/>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18" w:lineRule="exact"/>
        <w:rPr>
          <w:sz w:val="20"/>
          <w:szCs w:val="20"/>
          <w:color w:val="auto"/>
        </w:rPr>
      </w:pPr>
    </w:p>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p>
      <w:pPr>
        <w:sectPr>
          <w:pgSz w:w="11900" w:h="16838" w:orient="portrait"/>
          <w:cols w:equalWidth="0" w:num="2">
            <w:col w:w="5912" w:space="720"/>
            <w:col w:w="3499"/>
          </w:cols>
          <w:pgMar w:left="328" w:top="891" w:right="1440" w:bottom="1440" w:gutter="0" w:footer="0" w:header="0"/>
          <w:type w:val="continuous"/>
        </w:sectPr>
      </w:pPr>
    </w:p>
    <w:tbl>
      <w:tblPr>
        <w:tblLayout w:type="fixed"/>
        <w:tblInd w:w="1912" w:type="dxa"/>
        <w:tblCellMar>
          <w:top w:w="0" w:type="dxa"/>
          <w:left w:w="0" w:type="dxa"/>
          <w:bottom w:w="0" w:type="dxa"/>
          <w:right w:w="0" w:type="dxa"/>
        </w:tblCellMar>
      </w:tblPr>
      <w:tr>
        <w:trPr>
          <w:trHeight w:val="223"/>
        </w:trPr>
        <w:tc>
          <w:tcPr>
            <w:tcW w:w="37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8"/>
        </w:trPr>
        <w:tc>
          <w:tcPr>
            <w:tcW w:w="3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172" w:hanging="172"/>
        <w:spacing w:after="0"/>
        <w:tabs>
          <w:tab w:leader="none" w:pos="172"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expenses related to our reduction in workforce such as severance, benefits and other related items during the quarter ended March 31, 2025.</w:t>
      </w:r>
    </w:p>
    <w:p>
      <w:pPr>
        <w:sectPr>
          <w:pgSz w:w="11900" w:h="16838" w:orient="portrait"/>
          <w:cols w:equalWidth="0" w:num="1">
            <w:col w:w="10131"/>
          </w:cols>
          <w:pgMar w:left="328" w:top="891" w:right="144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ind w:left="51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19"/>
                <w:szCs w:val="19"/>
                <w:color w:val="auto"/>
              </w:rPr>
            </w:pPr>
          </w:p>
        </w:tc>
        <w:tc>
          <w:tcPr>
            <w:tcW w:w="1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w:t>
            </w:r>
          </w:p>
        </w:tc>
      </w:tr>
      <w:tr>
        <w:trPr>
          <w:trHeight w:val="230"/>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29"/>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30"/>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30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net, current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net, non-current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4,642.1</w:t>
            </w: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r>
      <w:tr>
        <w:trPr>
          <w:trHeight w:val="229"/>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w:t>
            </w:r>
          </w:p>
        </w:tc>
      </w:tr>
      <w:tr>
        <w:trPr>
          <w:trHeight w:val="23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(1,797.2)</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91" w:right="3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ind w:left="484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2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r>
      <w:tr>
        <w:trPr>
          <w:trHeight w:val="21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on equity investments</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10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2"/>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r>
      <w:tr>
        <w:trPr>
          <w:trHeight w:val="194"/>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8"/>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0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receipts from equipment rebates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194"/>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8"/>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debt issuance costs and loan commitment fees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Principal payments against term loan facility</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convertible senior notes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3"/>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9"/>
        </w:trPr>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w:t>
            </w:r>
          </w:p>
        </w:tc>
      </w:tr>
      <w:tr>
        <w:trPr>
          <w:trHeight w:val="213"/>
        </w:trPr>
        <w:tc>
          <w:tcPr>
            <w:tcW w:w="7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Payment of acquisition-related indemnification holdback</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r>
      <w:tr>
        <w:trPr>
          <w:trHeight w:val="207"/>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r>
      <w:tr>
        <w:trPr>
          <w:trHeight w:val="214"/>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beginning of period</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w:t>
            </w:r>
          </w:p>
        </w:tc>
      </w:tr>
      <w:tr>
        <w:trPr>
          <w:trHeight w:val="23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period</w:t>
            </w:r>
          </w:p>
        </w:tc>
        <w:tc>
          <w:tcPr>
            <w:tcW w:w="108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4"/>
        </w:trPr>
        <w:tc>
          <w:tcPr>
            <w:tcW w:w="7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207"/>
        </w:trPr>
        <w:tc>
          <w:tcPr>
            <w:tcW w:w="7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3"/>
        </w:trPr>
        <w:tc>
          <w:tcPr>
            <w:tcW w:w="7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ectPr>
          <w:pgSz w:w="11900" w:h="16838" w:orient="portrait"/>
          <w:cols w:equalWidth="0" w:num="1">
            <w:col w:w="10580"/>
          </w:cols>
          <w:pgMar w:left="660" w:top="891" w:right="659" w:bottom="1440" w:gutter="0" w:footer="0" w:header="0"/>
        </w:sectPr>
      </w:pPr>
    </w:p>
    <w:bookmarkStart w:id="10" w:name="page11"/>
    <w:bookmarkEnd w:id="10"/>
    <w:p>
      <w:pPr>
        <w:ind w:left="492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Three Months Ended March 31, 2026</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2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Acquisition-related and</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bl>
    <w:p>
      <w:pPr>
        <w:sectPr>
          <w:pgSz w:w="11900" w:h="16838" w:orient="portrait"/>
          <w:cols w:equalWidth="0" w:num="1">
            <w:col w:w="11020"/>
          </w:cols>
          <w:pgMar w:left="440" w:top="882" w:right="439" w:bottom="1440" w:gutter="0" w:footer="0" w:header="0"/>
        </w:sectPr>
      </w:pPr>
    </w:p>
    <w:bookmarkStart w:id="11" w:name="page12"/>
    <w:bookmarkEnd w:id="11"/>
    <w:p>
      <w:pPr>
        <w:ind w:left="50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Three Months Ended March 31, 2025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Workforce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related and other</w:t>
            </w: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reduction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4"/>
              </w:rPr>
              <w:t>expense</w:t>
            </w:r>
            <w:r>
              <w:rPr>
                <w:rFonts w:ascii="Times New Roman" w:cs="Times New Roman" w:eastAsia="Times New Roman" w:hAnsi="Times New Roman"/>
                <w:sz w:val="23"/>
                <w:szCs w:val="23"/>
                <w:b w:val="1"/>
                <w:bCs w:val="1"/>
                <w:color w:val="auto"/>
                <w:w w:val="94"/>
                <w:vertAlign w:val="superscript"/>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(0.3)</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0.3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(1.2)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(0.3)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(0.2)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(0.5)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1.4</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2.3</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3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expenses related to our 2024 reduction in workforce such as severance, benefits and other related items.</w:t>
      </w:r>
    </w:p>
    <w:p>
      <w:pPr>
        <w:sectPr>
          <w:pgSz w:w="11900" w:h="16838" w:orient="portrait"/>
          <w:cols w:equalWidth="0" w:num="1">
            <w:col w:w="11240"/>
          </w:cols>
          <w:pgMar w:left="320" w:top="882" w:right="339" w:bottom="1440" w:gutter="0" w:footer="0" w:header="0"/>
        </w:sectPr>
      </w:pPr>
    </w:p>
    <w:bookmarkStart w:id="12" w:name="page13"/>
    <w:bookmarkEnd w:id="12"/>
    <w:p>
      <w:pPr>
        <w:ind w:left="5032"/>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ind w:left="3632"/>
        <w:spacing w:after="0"/>
        <w:rPr>
          <w:sz w:val="20"/>
          <w:szCs w:val="20"/>
          <w:color w:val="auto"/>
        </w:rPr>
      </w:pPr>
      <w:r>
        <w:rPr>
          <w:rFonts w:ascii="Times New Roman" w:cs="Times New Roman" w:eastAsia="Times New Roman" w:hAnsi="Times New Roman"/>
          <w:sz w:val="20"/>
          <w:szCs w:val="20"/>
          <w:b w:val="1"/>
          <w:bCs w:val="1"/>
          <w:color w:val="auto"/>
        </w:rPr>
        <w:t>Three Months Ended March 31, 2026 and 2025</w:t>
      </w:r>
    </w:p>
    <w:p>
      <w:pPr>
        <w:spacing w:after="0" w:line="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Reconciliation of GAAP net income to Non-GAAP net income and Non-GAAP diluted net income per share</w:t>
      </w:r>
    </w:p>
    <w:p>
      <w:pPr>
        <w:spacing w:after="0" w:line="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1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1672" w:type="dxa"/>
        <w:tblCellMar>
          <w:top w:w="0" w:type="dxa"/>
          <w:left w:w="0" w:type="dxa"/>
          <w:bottom w:w="0" w:type="dxa"/>
          <w:right w:w="0" w:type="dxa"/>
        </w:tblCellMar>
      </w:tblPr>
      <w:tr>
        <w:trPr>
          <w:trHeight w:val="236"/>
        </w:trPr>
        <w:tc>
          <w:tcPr>
            <w:tcW w:w="424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reduction expense</w:t>
            </w:r>
          </w:p>
        </w:tc>
        <w:tc>
          <w:tcPr>
            <w:tcW w:w="1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equity investments</w:t>
            </w:r>
          </w:p>
        </w:tc>
        <w:tc>
          <w:tcPr>
            <w:tcW w:w="1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diluted net income per share</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to compute Non-GAAP</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Three Months Ended March 31, 2026 and 2025</w:t>
      </w:r>
    </w:p>
    <w:p>
      <w:pPr>
        <w:spacing w:after="0" w:line="1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Reconciliation of free cash flow and supplemental cash flow disclosure</w:t>
      </w:r>
    </w:p>
    <w:p>
      <w:pPr>
        <w:spacing w:after="0" w:line="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1672" w:type="dxa"/>
        <w:tblCellMar>
          <w:top w:w="0" w:type="dxa"/>
          <w:left w:w="0" w:type="dxa"/>
          <w:bottom w:w="0" w:type="dxa"/>
          <w:right w:w="0" w:type="dxa"/>
        </w:tblCellMar>
      </w:tblPr>
      <w:tr>
        <w:trPr>
          <w:trHeight w:val="223"/>
        </w:trPr>
        <w:tc>
          <w:tcPr>
            <w:tcW w:w="40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32.3 %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Cash paid for interest on debt, net of the associated</w:t>
            </w: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benefit</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Unlevered free cash flow</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8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Key employee holdback payments related to</w:t>
            </w:r>
          </w:p>
        </w:tc>
        <w:tc>
          <w:tcPr>
            <w:tcW w:w="1160" w:type="dxa"/>
            <w:vAlign w:val="bottom"/>
            <w:vMerge w:val="restart"/>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4080" w:type="dxa"/>
            <w:vAlign w:val="bottom"/>
            <w:tcBorders>
              <w:bottom w:val="single" w:sz="8" w:color="CCEEFF"/>
            </w:tcBorders>
            <w:shd w:val="clear" w:color="auto" w:fill="CCEEFF"/>
          </w:tcPr>
          <w:p>
            <w:pPr>
              <w:ind w:left="220"/>
              <w:spacing w:after="0" w:line="211"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Payments related to workforce reduction</w:t>
            </w:r>
            <w:r>
              <w:rPr>
                <w:rFonts w:ascii="Times New Roman" w:cs="Times New Roman" w:eastAsia="Times New Roman" w:hAnsi="Times New Roman"/>
                <w:sz w:val="23"/>
                <w:szCs w:val="23"/>
                <w:color w:val="auto"/>
                <w:vertAlign w:val="superscript"/>
              </w:rPr>
              <w:t>(2)</w:t>
            </w:r>
          </w:p>
        </w:tc>
        <w:tc>
          <w:tcPr>
            <w:tcW w:w="1160" w:type="dxa"/>
            <w:vAlign w:val="bottom"/>
            <w:tcBorders>
              <w:top w:val="single" w:sz="8" w:color="auto"/>
              <w:bottom w:val="single" w:sz="8" w:color="auto"/>
            </w:tcBorders>
          </w:tcPr>
          <w:p>
            <w:pPr>
              <w:jc w:val="right"/>
              <w:ind w:right="9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Cash paid for lease termination</w:t>
            </w:r>
            <w:r>
              <w:rPr>
                <w:rFonts w:ascii="Times New Roman" w:cs="Times New Roman" w:eastAsia="Times New Roman" w:hAnsi="Times New Roman"/>
                <w:sz w:val="23"/>
                <w:szCs w:val="23"/>
                <w:color w:val="auto"/>
                <w:vertAlign w:val="superscript"/>
              </w:rPr>
              <w:t>(3)</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8" w:right="300" w:firstLine="8"/>
        <w:spacing w:after="0" w:line="286" w:lineRule="auto"/>
        <w:tabs>
          <w:tab w:leader="none" w:pos="141"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payments related to employee holdbacks pertaining to our acquisitions included in cash flows from operating activities. The related expenses are recognized within research and development expenses over the required service periods.</w:t>
      </w:r>
    </w:p>
    <w:p>
      <w:pPr>
        <w:spacing w:after="0" w:line="196" w:lineRule="exact"/>
        <w:rPr>
          <w:rFonts w:ascii="Times New Roman" w:cs="Times New Roman" w:eastAsia="Times New Roman" w:hAnsi="Times New Roman"/>
          <w:sz w:val="18"/>
          <w:szCs w:val="18"/>
          <w:color w:val="auto"/>
          <w:vertAlign w:val="superscript"/>
        </w:rPr>
      </w:pPr>
    </w:p>
    <w:p>
      <w:pPr>
        <w:ind w:left="-8" w:firstLine="8"/>
        <w:spacing w:after="0" w:line="251" w:lineRule="auto"/>
        <w:tabs>
          <w:tab w:leader="none" w:pos="155"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payments made related to our reduction in workforce in the fourth quarter of 2024, such as severance, benefits, and other related items. During the quarter ended March 31, 2025, total cash payments included the accrued pro rata amount of annual employee bonus.</w:t>
      </w:r>
    </w:p>
    <w:p>
      <w:pPr>
        <w:sectPr>
          <w:pgSz w:w="11900" w:h="16838" w:orient="portrait"/>
          <w:cols w:equalWidth="0" w:num="1">
            <w:col w:w="11172"/>
          </w:cols>
          <w:pgMar w:left="328" w:top="1125" w:right="399" w:bottom="1440" w:gutter="0" w:footer="0" w:header="0"/>
        </w:sectPr>
      </w:pPr>
    </w:p>
    <w:bookmarkStart w:id="13" w:name="page14"/>
    <w:bookmarkEnd w:id="13"/>
    <w:p>
      <w:pPr>
        <w:ind w:left="172" w:hanging="172"/>
        <w:spacing w:after="0"/>
        <w:tabs>
          <w:tab w:leader="none" w:pos="172"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payments made for the partial lease termination of our San Francisco, California corporate headquarters during the quarter ended March 31, 2025.</w:t>
      </w:r>
    </w:p>
    <w:p>
      <w:pPr>
        <w:sectPr>
          <w:pgSz w:w="11900" w:h="16838" w:orient="portrait"/>
          <w:cols w:equalWidth="0" w:num="1">
            <w:col w:w="10392"/>
          </w:cols>
          <w:pgMar w:left="328" w:top="864" w:right="11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unlevered FCF and non-GAAP diluted net income per share. We also present various margins, all of which are calculated as the applicable non-GAAP financial measure divided by revenue. We have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acquisition-related and other expenses, which include third-party diligence costs, expenses related to key employee holdback agreements, expenses related to our reduction in workforce, net loss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Unlevered FCF represents net cash provided by operating activities adjusted for cash paid for capital expenditures and cash paid for interest on indebtedness and is calculated by adding cash paid for interest on debt, net of the associated tax benefit, to FCF. In order to present revenue on a constant currency basis for the quarter ended March 31, 2026, we calculate constant currency revenue growth rates by applying the prior period weighted average exchange rates to current period results. We calculate constant currency Total ARR growth rates by applying the current period rate to prior period results. We present constant currency information to provide a framework for assessing how our underlying business performed excluding the effect of foreign currency rate fluctuations. We have also presented revenue and total ARR excluding FormSwift because we significantly reduced our investment at the beginning of 2025 and plan to wind down operations by the end of 2026, which we believe provides a useful view of our ongoing results of operations.</w:t>
      </w:r>
    </w:p>
    <w:p>
      <w:pPr>
        <w:spacing w:after="0" w:line="22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Our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22"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We believe that FCF is an indicator of our liquidity over the long term and provides useful information regarding cash provided by operating activities and cash used for investments in property and equipment required to maintain and grow our business. Unlevered FCF provides additional information about our liquidity adjusted for the impact of our capital structure. FCF and unlevered FCF are presented for supplemental informational purposes only and should not be considered a substitute for financial information presented in accordance with GAAP. FCF and unlevered FCF each have limitations as analytical tools, and neither metric should be considered in isolation or as a substitute for analysis of other GAAP financial measures, such as net cash provided by operating activities. Some of the limitations of FCF and unlevered FCF are that they each do not reflect our future contractual commitments, exclude investments made to acquire assets under finance leases, include capital expenditures, and may be calculated differently by other companies in our industry, limiting their respective usefulness as comparative measures.</w:t>
      </w:r>
    </w:p>
    <w:p>
      <w:pPr>
        <w:spacing w:after="0" w:line="2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The use of non-GAAP cost of revenue, gross profit, operating expenses, income from operations, net income, free cash flow, unlevered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payments related to workforce reduction and cash paid for lease termination.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Schubach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Rathschmidt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press@dropbox.com</w:t>
      </w:r>
    </w:p>
    <w:sectPr>
      <w:pgSz w:w="11900" w:h="16838" w:orient="portrait"/>
      <w:cols w:equalWidth="0" w:num="1">
        <w:col w:w="10139"/>
      </w:cols>
      <w:pgMar w:left="320" w:top="8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lvl>
    <w:lvl w:ilvl="1">
      <w:lvlJc w:val="left"/>
      <w:lvlText w:val="•"/>
      <w:numFmt w:val="bullet"/>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2026-05-07T15:25:20Z</dcterms:created>
  <dcterms:modified xsi:type="dcterms:W3CDTF">2026-05-07T15:25:20Z</dcterms:modified>
</cp:coreProperties>
</file>