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160" w:type="dxa"/>
            <w:vAlign w:val="bottom"/>
          </w:tcPr>
          <w:p>
            <w:pPr>
              <w:ind w:left="7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6930390</wp:posOffset>
            </wp:positionH>
            <wp:positionV relativeFrom="paragraph">
              <wp:posOffset>-505460</wp:posOffset>
            </wp:positionV>
            <wp:extent cx="51435" cy="5187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5614670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19685</wp:posOffset>
            </wp:positionV>
            <wp:extent cx="7019290" cy="30060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006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</w:sectPr>
      </w:pPr>
    </w:p>
    <w:p>
      <w:pPr>
        <w:spacing w:after="0" w:line="4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2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2"/>
                </w:rPr>
                <w:t>Yoon William T</w:t>
              </w:r>
            </w:hyperlink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restart"/>
          </w:tcPr>
          <w:p>
            <w:pPr>
              <w:ind w:left="1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03/06/2025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2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7"/>
          <w:szCs w:val="17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7"/>
            <w:szCs w:val="17"/>
            <w:u w:val="single" w:color="auto"/>
            <w:color w:val="0000EE"/>
          </w:rPr>
          <w:t>DROPBOX, INC.</w:t>
        </w:r>
        <w:r>
          <w:rPr>
            <w:rFonts w:ascii="Times New Roman" w:cs="Times New Roman" w:eastAsia="Times New Roman" w:hAnsi="Times New Roman"/>
            <w:sz w:val="17"/>
            <w:szCs w:val="17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[</w:t>
      </w:r>
      <w:r>
        <w:rPr>
          <w:rFonts w:ascii="Times New Roman" w:cs="Times New Roman" w:eastAsia="Times New Roman" w:hAnsi="Times New Roman"/>
          <w:sz w:val="17"/>
          <w:szCs w:val="17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DBX</w:t>
      </w:r>
      <w:r>
        <w:rPr>
          <w:rFonts w:ascii="Times New Roman" w:cs="Times New Roman" w:eastAsia="Times New Roman" w:hAnsi="Times New Roman"/>
          <w:sz w:val="17"/>
          <w:szCs w:val="17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]</w:t>
      </w:r>
    </w:p>
    <w:p>
      <w:pPr>
        <w:spacing w:after="0" w:line="37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60" w:space="340"/>
            <w:col w:w="6020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1800 OWENS STREET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SUITE 200</w:t>
      </w: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(Street)</w:t>
      </w:r>
    </w:p>
    <w:p>
      <w:pPr>
        <w:ind w:left="100"/>
        <w:spacing w:after="0" w:line="205" w:lineRule="auto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00FF"/>
          <w:vertAlign w:val="superscript"/>
        </w:rPr>
        <w:t>SAN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9"/>
          <w:szCs w:val="9"/>
          <w:color w:val="0000FF"/>
        </w:rPr>
        <w:t>CA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94158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FRANCISCO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7" w:right="880" w:firstLine="7"/>
        <w:spacing w:after="0" w:line="259" w:lineRule="auto"/>
        <w:tabs>
          <w:tab w:leader="none" w:pos="108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51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3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75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VP Product Counsel &amp; Privacy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310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Individual or Joint/Group Filing (Check Applicable Line)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One Reporting Person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47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87" w:space="720"/>
            <w:col w:w="3073" w:space="222"/>
            <w:col w:w="2718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4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42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"/>
        </w:trPr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75,107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98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12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21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 w:right="460" w:hanging="6"/>
        <w:spacing w:after="0" w:line="278" w:lineRule="auto"/>
        <w:tabs>
          <w:tab w:leader="none" w:pos="144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Certain of these securities are restricted stock units. Each restricted stock unit represents the Reporting Person's right to receive one share of Class A Common Stock, subject to the applicable vesting schedule through February 15, 2028. In the event the Reporting Person ceases to be a Service Provider, the unvested restricted stock units will be cancelled by the Issuer.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Cara Angelmar, Attorney-in-Fact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03/14/2025</w:t>
            </w:r>
          </w:p>
        </w:tc>
      </w:tr>
      <w:tr>
        <w:trPr>
          <w:trHeight w:val="178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5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61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90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1" Type="http://schemas.openxmlformats.org/officeDocument/2006/relationships/hyperlink" Target="http://www.sec.gov/cgi-bin/browse-edgar?action=getcompany&amp;CIK=0002059795" TargetMode="External"/><Relationship Id="rId12" Type="http://schemas.openxmlformats.org/officeDocument/2006/relationships/hyperlink" Target="http://www.sec.gov/cgi-bin/browse-edgar?action=getcompany&amp;CIK=00014676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2025-03-14T17:20:29Z</dcterms:created>
  <dcterms:modified xsi:type="dcterms:W3CDTF">2025-03-14T17:20:29Z</dcterms:modified>
</cp:coreProperties>
</file>