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Regan Timothy</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09/24/2021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65"/>
        <w:spacing w:after="0"/>
        <w:rPr>
          <w:sz w:val="20"/>
          <w:szCs w:val="20"/>
          <w:color w:val="auto"/>
        </w:rPr>
      </w:pPr>
      <w:r>
        <w:rPr>
          <w:rFonts w:ascii="Arial" w:cs="Arial" w:eastAsia="Arial" w:hAnsi="Arial"/>
          <w:sz w:val="17"/>
          <w:szCs w:val="17"/>
          <w:color w:val="0000FF"/>
        </w:rPr>
        <w:t>Chief Financial Officer</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09/24/2021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jc w:val="right"/>
              <w:ind w:right="113"/>
              <w:spacing w:after="0"/>
              <w:rPr>
                <w:sz w:val="20"/>
                <w:szCs w:val="20"/>
                <w:color w:val="auto"/>
              </w:rPr>
            </w:pPr>
            <w:r>
              <w:rPr>
                <w:rFonts w:ascii="Arial" w:cs="Arial" w:eastAsia="Arial" w:hAnsi="Arial"/>
                <w:sz w:val="17"/>
                <w:szCs w:val="17"/>
                <w:color w:val="0000FF"/>
              </w:rPr>
              <w:t>899</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31.14</w:t>
            </w:r>
          </w:p>
        </w:tc>
        <w:tc>
          <w:tcPr>
            <w:tcW w:w="12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416,629</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09/27/2021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jc w:val="right"/>
              <w:ind w:right="33"/>
              <w:spacing w:after="0"/>
              <w:rPr>
                <w:sz w:val="20"/>
                <w:szCs w:val="20"/>
                <w:color w:val="auto"/>
              </w:rPr>
            </w:pPr>
            <w:r>
              <w:rPr>
                <w:rFonts w:ascii="Arial" w:cs="Arial" w:eastAsia="Arial" w:hAnsi="Arial"/>
                <w:sz w:val="17"/>
                <w:szCs w:val="17"/>
                <w:color w:val="0000FF"/>
              </w:rPr>
              <w:t>1,601</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31.35</w:t>
            </w:r>
          </w:p>
        </w:tc>
        <w:tc>
          <w:tcPr>
            <w:tcW w:w="12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415,028</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sold pursuant to a Rule 10b5-1 trading plan entered into by the Reporting Person.</w:t>
      </w:r>
    </w:p>
    <w:p>
      <w:pPr>
        <w:spacing w:after="0" w:line="50" w:lineRule="exact"/>
        <w:rPr>
          <w:rFonts w:ascii="Arial" w:cs="Arial" w:eastAsia="Arial" w:hAnsi="Arial"/>
          <w:sz w:val="13"/>
          <w:szCs w:val="13"/>
          <w:color w:val="008000"/>
        </w:rPr>
      </w:pPr>
    </w:p>
    <w:p>
      <w:pPr>
        <w:jc w:val="both"/>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2025. In the event the Reporting Person ceases to be a Service Provider, the unvested restricted stock awards and restricted stock units will be cancelled by the Issuer.</w:t>
      </w:r>
    </w:p>
    <w:p>
      <w:pPr>
        <w:sectPr>
          <w:pgSz w:w="11900" w:h="16838" w:orient="portrait"/>
          <w:cols w:equalWidth="0" w:num="1">
            <w:col w:w="11080"/>
          </w:cols>
          <w:pgMar w:left="460" w:top="225" w:right="359" w:bottom="1440" w:gutter="0" w:footer="0" w:header="0"/>
          <w:type w:val="continuous"/>
        </w:sectPr>
      </w:pP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6"/>
          <w:szCs w:val="16"/>
          <w:color w:val="0000FF"/>
        </w:rPr>
        <w:t>/s/ Bart E. Volkmer,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258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25880" cy="8255"/>
                    </a:xfrm>
                    <a:prstGeom prst="rect">
                      <a:avLst/>
                    </a:prstGeom>
                    <a:noFill/>
                  </pic:spPr>
                </pic:pic>
              </a:graphicData>
            </a:graphic>
          </wp:anchor>
        </w:drawing>
      </w:r>
    </w:p>
    <w:p>
      <w:pPr>
        <w:spacing w:after="0" w:line="16"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r>
    </w:p>
    <w:p>
      <w:pPr>
        <w:spacing w:after="0" w:line="52" w:lineRule="exact"/>
        <w:rPr>
          <w:sz w:val="24"/>
          <w:szCs w:val="24"/>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9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6" w:lineRule="exact"/>
        <w:rPr>
          <w:sz w:val="24"/>
          <w:szCs w:val="24"/>
          <w:color w:val="auto"/>
        </w:rPr>
      </w:pPr>
    </w:p>
    <w:p>
      <w:pPr>
        <w:spacing w:after="0"/>
        <w:rPr>
          <w:sz w:val="20"/>
          <w:szCs w:val="20"/>
          <w:color w:val="auto"/>
        </w:rPr>
      </w:pPr>
      <w:r>
        <w:rPr>
          <w:rFonts w:ascii="Arial" w:cs="Arial" w:eastAsia="Arial" w:hAnsi="Arial"/>
          <w:sz w:val="15"/>
          <w:szCs w:val="15"/>
          <w:color w:val="0000FF"/>
        </w:rPr>
        <w:t>09/28/2021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4"/>
          <w:szCs w:val="24"/>
          <w:color w:val="auto"/>
        </w:rPr>
      </w:pPr>
    </w:p>
    <w:p>
      <w:pPr>
        <w:sectPr>
          <w:pgSz w:w="11900" w:h="16838" w:orient="portrait"/>
          <w:cols w:equalWidth="0" w:num="2">
            <w:col w:w="8680" w:space="10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Timothy Regan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Regan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1/25/2021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2021-09-28T17:35:02Z</dcterms:created>
  <dcterms:modified xsi:type="dcterms:W3CDTF">2021-09-28T17:35:02Z</dcterms:modified>
</cp:coreProperties>
</file>