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34"/>
          <w:szCs w:val="34"/>
          <w:b w:val="1"/>
          <w:bCs w:val="1"/>
          <w:color w:val="auto"/>
        </w:rPr>
        <w:drawing>
          <wp:anchor simplePos="0" relativeHeight="251657728" behindDoc="1" locked="0" layoutInCell="0" allowOverlap="1">
            <wp:simplePos x="0" y="0"/>
            <wp:positionH relativeFrom="page">
              <wp:posOffset>189865</wp:posOffset>
            </wp:positionH>
            <wp:positionV relativeFrom="page">
              <wp:posOffset>81280</wp:posOffset>
            </wp:positionV>
            <wp:extent cx="73894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89495" cy="8890"/>
                    </a:xfrm>
                    <a:prstGeom prst="rect">
                      <a:avLst/>
                    </a:prstGeom>
                    <a:noFill/>
                  </pic:spPr>
                </pic:pic>
              </a:graphicData>
            </a:graphic>
          </wp:anchor>
        </w:drawing>
        <w:drawing>
          <wp:anchor simplePos="0" relativeHeight="251657728" behindDoc="1" locked="0" layoutInCell="0" allowOverlap="1">
            <wp:simplePos x="0" y="0"/>
            <wp:positionH relativeFrom="page">
              <wp:posOffset>189865</wp:posOffset>
            </wp:positionH>
            <wp:positionV relativeFrom="page">
              <wp:posOffset>127000</wp:posOffset>
            </wp:positionV>
            <wp:extent cx="73894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89495" cy="8890"/>
                    </a:xfrm>
                    <a:prstGeom prst="rect">
                      <a:avLst/>
                    </a:prstGeom>
                    <a:noFill/>
                  </pic:spPr>
                </pic:pic>
              </a:graphicData>
            </a:graphic>
          </wp:anchor>
        </w:drawing>
        <w:t>UNITED STATES</w:t>
      </w:r>
    </w:p>
    <w:p>
      <w:pPr>
        <w:spacing w:after="0" w:line="30" w:lineRule="exact"/>
        <w:rPr>
          <w:sz w:val="24"/>
          <w:szCs w:val="24"/>
          <w:color w:val="auto"/>
        </w:rPr>
      </w:pPr>
    </w:p>
    <w:p>
      <w:pPr>
        <w:jc w:val="center"/>
        <w:ind w:right="-60"/>
        <w:spacing w:after="0"/>
        <w:rPr>
          <w:sz w:val="20"/>
          <w:szCs w:val="20"/>
          <w:color w:val="auto"/>
        </w:rPr>
      </w:pPr>
      <w:r>
        <w:rPr>
          <w:rFonts w:ascii="Arial" w:cs="Arial" w:eastAsia="Arial" w:hAnsi="Arial"/>
          <w:sz w:val="34"/>
          <w:szCs w:val="34"/>
          <w:b w:val="1"/>
          <w:bCs w:val="1"/>
          <w:color w:val="auto"/>
        </w:rPr>
        <w:t>SECURITIES AND EXCHANGE COMMISSION</w:t>
      </w:r>
    </w:p>
    <w:p>
      <w:pPr>
        <w:jc w:val="center"/>
        <w:ind w:right="-60"/>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314325</wp:posOffset>
            </wp:positionV>
            <wp:extent cx="15576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60"/>
        <w:spacing w:after="0"/>
        <w:rPr>
          <w:sz w:val="20"/>
          <w:szCs w:val="20"/>
          <w:color w:val="auto"/>
        </w:rPr>
      </w:pPr>
      <w:r>
        <w:rPr>
          <w:rFonts w:ascii="Arial" w:cs="Arial" w:eastAsia="Arial" w:hAnsi="Arial"/>
          <w:sz w:val="34"/>
          <w:szCs w:val="34"/>
          <w:b w:val="1"/>
          <w:bCs w:val="1"/>
          <w:color w:val="auto"/>
        </w:rPr>
        <w:t>SCHEDULE 13G</w:t>
      </w:r>
    </w:p>
    <w:p>
      <w:pPr>
        <w:spacing w:after="0" w:line="41" w:lineRule="exact"/>
        <w:rPr>
          <w:sz w:val="24"/>
          <w:szCs w:val="24"/>
          <w:color w:val="auto"/>
        </w:rPr>
      </w:pPr>
    </w:p>
    <w:p>
      <w:pPr>
        <w:jc w:val="center"/>
        <w:ind w:right="-60"/>
        <w:spacing w:after="0"/>
        <w:rPr>
          <w:sz w:val="20"/>
          <w:szCs w:val="20"/>
          <w:color w:val="auto"/>
        </w:rPr>
      </w:pPr>
      <w:r>
        <w:rPr>
          <w:rFonts w:ascii="Arial" w:cs="Arial" w:eastAsia="Arial" w:hAnsi="Arial"/>
          <w:sz w:val="19"/>
          <w:szCs w:val="19"/>
          <w:b w:val="1"/>
          <w:bCs w:val="1"/>
          <w:color w:val="auto"/>
        </w:rPr>
        <w:t>(Rule 13d-102)</w:t>
      </w:r>
    </w:p>
    <w:p>
      <w:pPr>
        <w:spacing w:after="0" w:line="206" w:lineRule="exact"/>
        <w:rPr>
          <w:sz w:val="24"/>
          <w:szCs w:val="24"/>
          <w:color w:val="auto"/>
        </w:rPr>
      </w:pPr>
    </w:p>
    <w:p>
      <w:pPr>
        <w:jc w:val="center"/>
        <w:ind w:right="-60"/>
        <w:spacing w:after="0"/>
        <w:rPr>
          <w:sz w:val="20"/>
          <w:szCs w:val="20"/>
          <w:color w:val="auto"/>
        </w:rPr>
      </w:pPr>
      <w:r>
        <w:rPr>
          <w:rFonts w:ascii="Arial" w:cs="Arial" w:eastAsia="Arial" w:hAnsi="Arial"/>
          <w:sz w:val="23"/>
          <w:szCs w:val="23"/>
          <w:b w:val="1"/>
          <w:bCs w:val="1"/>
          <w:color w:val="auto"/>
        </w:rPr>
        <w:t>Under the Securities Exchange Act of 1934</w:t>
      </w:r>
    </w:p>
    <w:p>
      <w:pPr>
        <w:spacing w:after="0" w:line="18" w:lineRule="exact"/>
        <w:rPr>
          <w:sz w:val="24"/>
          <w:szCs w:val="24"/>
          <w:color w:val="auto"/>
        </w:rPr>
      </w:pPr>
    </w:p>
    <w:p>
      <w:pPr>
        <w:jc w:val="center"/>
        <w:ind w:right="-60"/>
        <w:spacing w:after="0"/>
        <w:rPr>
          <w:sz w:val="20"/>
          <w:szCs w:val="20"/>
          <w:color w:val="auto"/>
        </w:rPr>
      </w:pPr>
      <w:r>
        <w:rPr>
          <w:rFonts w:ascii="Arial" w:cs="Arial" w:eastAsia="Arial" w:hAnsi="Arial"/>
          <w:sz w:val="23"/>
          <w:szCs w:val="23"/>
          <w:b w:val="1"/>
          <w:bCs w:val="1"/>
          <w:color w:val="auto"/>
        </w:rPr>
        <w:t>(Amendment No. 1 )*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323215</wp:posOffset>
            </wp:positionV>
            <wp:extent cx="15576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ind w:right="-60"/>
        <w:spacing w:after="0"/>
        <w:rPr>
          <w:sz w:val="20"/>
          <w:szCs w:val="20"/>
          <w:color w:val="auto"/>
        </w:rPr>
      </w:pPr>
      <w:r>
        <w:rPr>
          <w:rFonts w:ascii="Arial" w:cs="Arial" w:eastAsia="Arial" w:hAnsi="Arial"/>
          <w:sz w:val="42"/>
          <w:szCs w:val="42"/>
          <w:b w:val="1"/>
          <w:bCs w:val="1"/>
          <w:color w:val="auto"/>
        </w:rPr>
        <w:t>Dropbox, Inc.</w:t>
      </w:r>
    </w:p>
    <w:p>
      <w:pPr>
        <w:spacing w:after="0" w:line="39" w:lineRule="exact"/>
        <w:rPr>
          <w:sz w:val="24"/>
          <w:szCs w:val="24"/>
          <w:color w:val="auto"/>
        </w:rPr>
      </w:pPr>
    </w:p>
    <w:p>
      <w:pPr>
        <w:jc w:val="center"/>
        <w:ind w:right="-60"/>
        <w:spacing w:after="0"/>
        <w:rPr>
          <w:sz w:val="20"/>
          <w:szCs w:val="20"/>
          <w:color w:val="auto"/>
        </w:rPr>
      </w:pPr>
      <w:r>
        <w:rPr>
          <w:rFonts w:ascii="Arial" w:cs="Arial" w:eastAsia="Arial" w:hAnsi="Arial"/>
          <w:sz w:val="19"/>
          <w:szCs w:val="19"/>
          <w:b w:val="1"/>
          <w:bCs w:val="1"/>
          <w:color w:val="auto"/>
        </w:rPr>
        <w:t>(Name of Issuer)</w:t>
      </w:r>
    </w:p>
    <w:p>
      <w:pPr>
        <w:spacing w:after="0" w:line="200" w:lineRule="exact"/>
        <w:rPr>
          <w:sz w:val="24"/>
          <w:szCs w:val="24"/>
          <w:color w:val="auto"/>
        </w:rPr>
      </w:pPr>
    </w:p>
    <w:p>
      <w:pPr>
        <w:spacing w:after="0" w:line="244" w:lineRule="exact"/>
        <w:rPr>
          <w:sz w:val="24"/>
          <w:szCs w:val="24"/>
          <w:color w:val="auto"/>
        </w:rPr>
      </w:pPr>
    </w:p>
    <w:p>
      <w:pPr>
        <w:jc w:val="center"/>
        <w:ind w:right="-60"/>
        <w:spacing w:after="0"/>
        <w:rPr>
          <w:sz w:val="20"/>
          <w:szCs w:val="20"/>
          <w:color w:val="auto"/>
        </w:rPr>
      </w:pPr>
      <w:r>
        <w:rPr>
          <w:rFonts w:ascii="Arial" w:cs="Arial" w:eastAsia="Arial" w:hAnsi="Arial"/>
          <w:sz w:val="19"/>
          <w:szCs w:val="19"/>
          <w:b w:val="1"/>
          <w:bCs w:val="1"/>
          <w:color w:val="auto"/>
        </w:rPr>
        <w:t>Class A common stock, par value $0.00001 per share</w:t>
      </w:r>
    </w:p>
    <w:p>
      <w:pPr>
        <w:spacing w:after="0" w:line="23" w:lineRule="exact"/>
        <w:rPr>
          <w:sz w:val="24"/>
          <w:szCs w:val="24"/>
          <w:color w:val="auto"/>
        </w:rPr>
      </w:pPr>
    </w:p>
    <w:p>
      <w:pPr>
        <w:jc w:val="center"/>
        <w:ind w:right="-60"/>
        <w:spacing w:after="0"/>
        <w:rPr>
          <w:sz w:val="20"/>
          <w:szCs w:val="20"/>
          <w:color w:val="auto"/>
        </w:rPr>
      </w:pPr>
      <w:r>
        <w:rPr>
          <w:rFonts w:ascii="Arial" w:cs="Arial" w:eastAsia="Arial" w:hAnsi="Arial"/>
          <w:sz w:val="15"/>
          <w:szCs w:val="15"/>
          <w:b w:val="1"/>
          <w:bCs w:val="1"/>
          <w:color w:val="auto"/>
        </w:rPr>
        <w:t>(Title of Class of Securities)</w:t>
      </w:r>
    </w:p>
    <w:p>
      <w:pPr>
        <w:spacing w:after="0" w:line="200" w:lineRule="exact"/>
        <w:rPr>
          <w:sz w:val="24"/>
          <w:szCs w:val="24"/>
          <w:color w:val="auto"/>
        </w:rPr>
      </w:pPr>
    </w:p>
    <w:p>
      <w:pPr>
        <w:spacing w:after="0" w:line="228" w:lineRule="exact"/>
        <w:rPr>
          <w:sz w:val="24"/>
          <w:szCs w:val="24"/>
          <w:color w:val="auto"/>
        </w:rPr>
      </w:pPr>
    </w:p>
    <w:p>
      <w:pPr>
        <w:jc w:val="center"/>
        <w:ind w:right="-60"/>
        <w:spacing w:after="0"/>
        <w:rPr>
          <w:sz w:val="20"/>
          <w:szCs w:val="20"/>
          <w:color w:val="auto"/>
        </w:rPr>
      </w:pPr>
      <w:r>
        <w:rPr>
          <w:rFonts w:ascii="Arial" w:cs="Arial" w:eastAsia="Arial" w:hAnsi="Arial"/>
          <w:sz w:val="19"/>
          <w:szCs w:val="19"/>
          <w:b w:val="1"/>
          <w:bCs w:val="1"/>
          <w:color w:val="auto"/>
        </w:rPr>
        <w:t>26210C 10 4</w:t>
      </w:r>
    </w:p>
    <w:p>
      <w:pPr>
        <w:spacing w:after="0" w:line="29" w:lineRule="exact"/>
        <w:rPr>
          <w:sz w:val="24"/>
          <w:szCs w:val="24"/>
          <w:color w:val="auto"/>
        </w:rPr>
      </w:pPr>
    </w:p>
    <w:p>
      <w:pPr>
        <w:jc w:val="center"/>
        <w:ind w:right="-60"/>
        <w:spacing w:after="0"/>
        <w:rPr>
          <w:sz w:val="20"/>
          <w:szCs w:val="20"/>
          <w:color w:val="auto"/>
        </w:rPr>
      </w:pPr>
      <w:r>
        <w:rPr>
          <w:rFonts w:ascii="Arial" w:cs="Arial" w:eastAsia="Arial" w:hAnsi="Arial"/>
          <w:sz w:val="19"/>
          <w:szCs w:val="19"/>
          <w:color w:val="auto"/>
        </w:rPr>
        <w:t>(CUSIP Number)</w:t>
      </w:r>
    </w:p>
    <w:p>
      <w:pPr>
        <w:spacing w:after="0" w:line="200" w:lineRule="exact"/>
        <w:rPr>
          <w:sz w:val="24"/>
          <w:szCs w:val="24"/>
          <w:color w:val="auto"/>
        </w:rPr>
      </w:pPr>
    </w:p>
    <w:p>
      <w:pPr>
        <w:spacing w:after="0" w:line="247" w:lineRule="exact"/>
        <w:rPr>
          <w:sz w:val="24"/>
          <w:szCs w:val="24"/>
          <w:color w:val="auto"/>
        </w:rPr>
      </w:pPr>
    </w:p>
    <w:p>
      <w:pPr>
        <w:jc w:val="center"/>
        <w:ind w:right="-60"/>
        <w:spacing w:after="0"/>
        <w:rPr>
          <w:sz w:val="20"/>
          <w:szCs w:val="20"/>
          <w:color w:val="auto"/>
        </w:rPr>
      </w:pPr>
      <w:r>
        <w:rPr>
          <w:rFonts w:ascii="Arial" w:cs="Arial" w:eastAsia="Arial" w:hAnsi="Arial"/>
          <w:sz w:val="19"/>
          <w:szCs w:val="19"/>
          <w:b w:val="1"/>
          <w:bCs w:val="1"/>
          <w:color w:val="auto"/>
        </w:rPr>
        <w:t>December 31, 2018</w:t>
      </w:r>
    </w:p>
    <w:p>
      <w:pPr>
        <w:spacing w:after="0" w:line="29" w:lineRule="exact"/>
        <w:rPr>
          <w:sz w:val="24"/>
          <w:szCs w:val="24"/>
          <w:color w:val="auto"/>
        </w:rPr>
      </w:pPr>
    </w:p>
    <w:p>
      <w:pPr>
        <w:jc w:val="center"/>
        <w:ind w:right="-60"/>
        <w:spacing w:after="0"/>
        <w:rPr>
          <w:sz w:val="20"/>
          <w:szCs w:val="20"/>
          <w:color w:val="auto"/>
        </w:rPr>
      </w:pPr>
      <w:r>
        <w:rPr>
          <w:rFonts w:ascii="Arial" w:cs="Arial" w:eastAsia="Arial" w:hAnsi="Arial"/>
          <w:sz w:val="19"/>
          <w:szCs w:val="19"/>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323850</wp:posOffset>
            </wp:positionV>
            <wp:extent cx="15576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ind w:left="1"/>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266" w:lineRule="exact"/>
        <w:rPr>
          <w:sz w:val="24"/>
          <w:szCs w:val="24"/>
          <w:color w:val="auto"/>
        </w:rPr>
      </w:pPr>
    </w:p>
    <w:p>
      <w:pPr>
        <w:ind w:left="461" w:hanging="461"/>
        <w:spacing w:after="0"/>
        <w:tabs>
          <w:tab w:leader="none" w:pos="461"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Rule 13d-1(b)</w:t>
      </w:r>
    </w:p>
    <w:p>
      <w:pPr>
        <w:spacing w:after="0" w:line="138" w:lineRule="exact"/>
        <w:rPr>
          <w:sz w:val="24"/>
          <w:szCs w:val="24"/>
          <w:color w:val="auto"/>
        </w:rPr>
      </w:pPr>
    </w:p>
    <w:p>
      <w:pPr>
        <w:ind w:left="461" w:hanging="461"/>
        <w:spacing w:after="0"/>
        <w:tabs>
          <w:tab w:leader="none" w:pos="461" w:val="left"/>
        </w:tabs>
        <w:numPr>
          <w:ilvl w:val="0"/>
          <w:numId w:val="2"/>
        </w:numPr>
        <w:rPr>
          <w:rFonts w:ascii="MS PGothic" w:cs="MS PGothic" w:eastAsia="MS PGothic" w:hAnsi="MS PGothic"/>
          <w:sz w:val="19"/>
          <w:szCs w:val="19"/>
          <w:color w:val="auto"/>
        </w:rPr>
      </w:pPr>
      <w:r>
        <w:rPr>
          <w:rFonts w:ascii="Arial" w:cs="Arial" w:eastAsia="Arial" w:hAnsi="Arial"/>
          <w:sz w:val="19"/>
          <w:szCs w:val="19"/>
          <w:color w:val="auto"/>
        </w:rPr>
        <w:t>Rule 13d-1(c)</w:t>
      </w:r>
    </w:p>
    <w:p>
      <w:pPr>
        <w:spacing w:after="0" w:line="138" w:lineRule="exact"/>
        <w:rPr>
          <w:sz w:val="24"/>
          <w:szCs w:val="24"/>
          <w:color w:val="auto"/>
        </w:rPr>
      </w:pPr>
    </w:p>
    <w:p>
      <w:pPr>
        <w:ind w:left="461" w:hanging="461"/>
        <w:spacing w:after="0"/>
        <w:tabs>
          <w:tab w:leader="none" w:pos="461" w:val="left"/>
        </w:tabs>
        <w:numPr>
          <w:ilvl w:val="0"/>
          <w:numId w:val="3"/>
        </w:numPr>
        <w:rPr>
          <w:rFonts w:ascii="MS PGothic" w:cs="MS PGothic" w:eastAsia="MS PGothic" w:hAnsi="MS PGothic"/>
          <w:sz w:val="19"/>
          <w:szCs w:val="19"/>
          <w:color w:val="auto"/>
        </w:rPr>
      </w:pPr>
      <w:r>
        <w:rPr>
          <w:rFonts w:ascii="Arial" w:cs="Arial" w:eastAsia="Arial" w:hAnsi="Arial"/>
          <w:sz w:val="19"/>
          <w:szCs w:val="19"/>
          <w:color w:val="auto"/>
        </w:rPr>
        <w:t>Rule 13d-1(d)</w:t>
      </w:r>
    </w:p>
    <w:p>
      <w:pPr>
        <w:spacing w:after="0" w:line="138" w:lineRule="exact"/>
        <w:rPr>
          <w:sz w:val="24"/>
          <w:szCs w:val="24"/>
          <w:color w:val="auto"/>
        </w:rPr>
      </w:pPr>
    </w:p>
    <w:p>
      <w:pPr>
        <w:ind w:left="461" w:hanging="461"/>
        <w:spacing w:after="0" w:line="304" w:lineRule="auto"/>
        <w:tabs>
          <w:tab w:leader="none" w:pos="46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0" w:lineRule="exact"/>
        <w:rPr>
          <w:sz w:val="24"/>
          <w:szCs w:val="24"/>
          <w:color w:val="auto"/>
        </w:rPr>
      </w:pPr>
    </w:p>
    <w:p>
      <w:pPr>
        <w:ind w:left="1" w:right="140" w:firstLine="465"/>
        <w:spacing w:after="0" w:line="336" w:lineRule="auto"/>
        <w:rPr>
          <w:sz w:val="20"/>
          <w:szCs w:val="20"/>
          <w:color w:val="auto"/>
        </w:rPr>
      </w:pPr>
      <w:r>
        <w:rPr>
          <w:rFonts w:ascii="Arial" w:cs="Arial" w:eastAsia="Arial" w:hAnsi="Arial"/>
          <w:sz w:val="17"/>
          <w:szCs w:val="17"/>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3894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8949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168910</wp:posOffset>
            </wp:positionV>
            <wp:extent cx="73894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89495" cy="8890"/>
                    </a:xfrm>
                    <a:prstGeom prst="rect">
                      <a:avLst/>
                    </a:prstGeom>
                    <a:noFill/>
                  </pic:spPr>
                </pic:pic>
              </a:graphicData>
            </a:graphic>
          </wp:anchor>
        </w:drawing>
      </w:r>
    </w:p>
    <w:p>
      <w:pPr>
        <w:sectPr>
          <w:pgSz w:w="12240" w:h="15840" w:orient="portrait"/>
          <w:cols w:equalWidth="0" w:num="1">
            <w:col w:w="11561"/>
          </w:cols>
          <w:pgMar w:left="299" w:top="396" w:right="380" w:bottom="1440" w:gutter="0" w:footer="0" w:header="0"/>
        </w:sectPr>
      </w:pPr>
    </w:p>
    <w:bookmarkStart w:id="1" w:name="page2"/>
    <w:bookmarkEnd w:id="1"/>
    <w:tbl>
      <w:tblPr>
        <w:tblLayout w:type="fixed"/>
        <w:tblInd w:w="1" w:type="dxa"/>
        <w:tblCellMar>
          <w:top w:w="0" w:type="dxa"/>
          <w:left w:w="0" w:type="dxa"/>
          <w:bottom w:w="0" w:type="dxa"/>
          <w:right w:w="0" w:type="dxa"/>
        </w:tblCellMar>
      </w:tblPr>
      <w:tr>
        <w:trPr>
          <w:trHeight w:val="241"/>
        </w:trPr>
        <w:tc>
          <w:tcPr>
            <w:tcW w:w="4780" w:type="dxa"/>
            <w:vAlign w:val="bottom"/>
          </w:tcPr>
          <w:p>
            <w:pPr>
              <w:spacing w:after="0"/>
              <w:rPr>
                <w:sz w:val="20"/>
                <w:szCs w:val="20"/>
                <w:color w:val="auto"/>
              </w:rPr>
            </w:pPr>
            <w:r>
              <w:rPr>
                <w:rFonts w:ascii="Arial" w:cs="Arial" w:eastAsia="Arial" w:hAnsi="Arial"/>
                <w:sz w:val="19"/>
                <w:szCs w:val="19"/>
                <w:color w:val="auto"/>
              </w:rPr>
              <w:t>CUSIP No. 26210C 10 4</w:t>
            </w:r>
          </w:p>
        </w:tc>
        <w:tc>
          <w:tcPr>
            <w:tcW w:w="3720" w:type="dxa"/>
            <w:vAlign w:val="bottom"/>
          </w:tcPr>
          <w:p>
            <w:pPr>
              <w:ind w:left="1120"/>
              <w:spacing w:after="0"/>
              <w:rPr>
                <w:sz w:val="20"/>
                <w:szCs w:val="20"/>
                <w:color w:val="auto"/>
              </w:rPr>
            </w:pPr>
            <w:r>
              <w:rPr>
                <w:rFonts w:ascii="Arial" w:cs="Arial" w:eastAsia="Arial" w:hAnsi="Arial"/>
                <w:sz w:val="19"/>
                <w:szCs w:val="19"/>
                <w:color w:val="auto"/>
              </w:rPr>
              <w:t>13G</w:t>
            </w:r>
          </w:p>
        </w:tc>
        <w:tc>
          <w:tcPr>
            <w:tcW w:w="3160" w:type="dxa"/>
            <w:vAlign w:val="bottom"/>
          </w:tcPr>
          <w:p>
            <w:pPr>
              <w:ind w:left="2280"/>
              <w:spacing w:after="0"/>
              <w:rPr>
                <w:sz w:val="20"/>
                <w:szCs w:val="20"/>
                <w:color w:val="auto"/>
              </w:rPr>
            </w:pPr>
            <w:r>
              <w:rPr>
                <w:rFonts w:ascii="Arial" w:cs="Arial" w:eastAsia="Arial" w:hAnsi="Arial"/>
                <w:sz w:val="19"/>
                <w:szCs w:val="19"/>
                <w:color w:val="auto"/>
                <w:w w:val="88"/>
              </w:rPr>
              <w:t>Page 1 of 7</w:t>
            </w:r>
          </w:p>
        </w:tc>
      </w:tr>
      <w:tr>
        <w:trPr>
          <w:trHeight w:val="158"/>
        </w:trPr>
        <w:tc>
          <w:tcPr>
            <w:tcW w:w="478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tcPr>
          <w:p>
            <w:pPr>
              <w:spacing w:after="0"/>
              <w:rPr>
                <w:sz w:val="13"/>
                <w:szCs w:val="13"/>
                <w:color w:val="auto"/>
              </w:rPr>
            </w:pPr>
          </w:p>
        </w:tc>
        <w:tc>
          <w:tcPr>
            <w:tcW w:w="3160" w:type="dxa"/>
            <w:vAlign w:val="bottom"/>
            <w:tcBorders>
              <w:bottom w:val="single" w:sz="8" w:color="auto"/>
            </w:tcBorders>
          </w:tcPr>
          <w:p>
            <w:pPr>
              <w:spacing w:after="0"/>
              <w:rPr>
                <w:sz w:val="13"/>
                <w:szCs w:val="13"/>
                <w:color w:val="auto"/>
              </w:rPr>
            </w:pPr>
          </w:p>
        </w:tc>
      </w:tr>
      <w:tr>
        <w:trPr>
          <w:trHeight w:val="236"/>
        </w:trPr>
        <w:tc>
          <w:tcPr>
            <w:tcW w:w="4780" w:type="dxa"/>
            <w:vAlign w:val="bottom"/>
          </w:tcPr>
          <w:p>
            <w:pPr>
              <w:ind w:left="260"/>
              <w:spacing w:after="0"/>
              <w:rPr>
                <w:sz w:val="20"/>
                <w:szCs w:val="20"/>
                <w:color w:val="auto"/>
              </w:rPr>
            </w:pPr>
            <w:r>
              <w:rPr>
                <w:rFonts w:ascii="Arial" w:cs="Arial" w:eastAsia="Arial" w:hAnsi="Arial"/>
                <w:sz w:val="19"/>
                <w:szCs w:val="19"/>
                <w:color w:val="auto"/>
              </w:rPr>
              <w:t>1.   NAMES OF REPORTING PERSONS</w:t>
            </w:r>
          </w:p>
        </w:tc>
        <w:tc>
          <w:tcPr>
            <w:tcW w:w="3720" w:type="dxa"/>
            <w:vAlign w:val="bottom"/>
          </w:tcPr>
          <w:p>
            <w:pPr>
              <w:spacing w:after="0"/>
              <w:rPr>
                <w:sz w:val="20"/>
                <w:szCs w:val="20"/>
                <w:color w:val="auto"/>
              </w:rPr>
            </w:pPr>
          </w:p>
        </w:tc>
        <w:tc>
          <w:tcPr>
            <w:tcW w:w="3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68260" cy="40005"/>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-161925</wp:posOffset>
            </wp:positionV>
            <wp:extent cx="8890" cy="1783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83715"/>
                    </a:xfrm>
                    <a:prstGeom prst="rect">
                      <a:avLst/>
                    </a:prstGeom>
                    <a:noFill/>
                  </pic:spPr>
                </pic:pic>
              </a:graphicData>
            </a:graphic>
          </wp:anchor>
        </w:drawing>
        <w:drawing>
          <wp:anchor simplePos="0" relativeHeight="251657728" behindDoc="1" locked="0" layoutInCell="0" allowOverlap="1">
            <wp:simplePos x="0" y="0"/>
            <wp:positionH relativeFrom="column">
              <wp:posOffset>7389495</wp:posOffset>
            </wp:positionH>
            <wp:positionV relativeFrom="paragraph">
              <wp:posOffset>-161925</wp:posOffset>
            </wp:positionV>
            <wp:extent cx="8890" cy="55333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55333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-161925</wp:posOffset>
            </wp:positionV>
            <wp:extent cx="8890" cy="55333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5533390"/>
                    </a:xfrm>
                    <a:prstGeom prst="rect">
                      <a:avLst/>
                    </a:prstGeom>
                    <a:noFill/>
                  </pic:spPr>
                </pic:pic>
              </a:graphicData>
            </a:graphic>
          </wp:anchor>
        </w:drawing>
      </w:r>
    </w:p>
    <w:p>
      <w:pPr>
        <w:spacing w:after="0" w:line="200" w:lineRule="exact"/>
        <w:rPr>
          <w:sz w:val="20"/>
          <w:szCs w:val="20"/>
          <w:color w:val="auto"/>
        </w:rPr>
      </w:pPr>
    </w:p>
    <w:tbl>
      <w:tblPr>
        <w:tblLayout w:type="fixed"/>
        <w:tblInd w:w="1" w:type="dxa"/>
        <w:tblCellMar>
          <w:top w:w="0" w:type="dxa"/>
          <w:left w:w="0" w:type="dxa"/>
          <w:bottom w:w="0" w:type="dxa"/>
          <w:right w:w="0" w:type="dxa"/>
        </w:tblCellMar>
      </w:tblPr>
      <w:tr>
        <w:trPr>
          <w:trHeight w:val="293"/>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40" w:type="dxa"/>
            <w:vAlign w:val="bottom"/>
            <w:tcBorders>
              <w:bottom w:val="single" w:sz="8" w:color="auto"/>
            </w:tcBorders>
            <w:gridSpan w:val="4"/>
          </w:tcPr>
          <w:p>
            <w:pPr>
              <w:ind w:left="80"/>
              <w:spacing w:after="0"/>
              <w:rPr>
                <w:sz w:val="20"/>
                <w:szCs w:val="20"/>
                <w:color w:val="auto"/>
              </w:rPr>
            </w:pPr>
            <w:r>
              <w:rPr>
                <w:rFonts w:ascii="Arial" w:cs="Arial" w:eastAsia="Arial" w:hAnsi="Arial"/>
                <w:sz w:val="23"/>
                <w:szCs w:val="23"/>
                <w:color w:val="auto"/>
              </w:rPr>
              <w:t>salesforce.com, inc.</w:t>
            </w:r>
          </w:p>
        </w:tc>
        <w:tc>
          <w:tcPr>
            <w:tcW w:w="0" w:type="dxa"/>
            <w:vAlign w:val="bottom"/>
          </w:tcPr>
          <w:p>
            <w:pPr>
              <w:spacing w:after="0"/>
              <w:rPr>
                <w:sz w:val="1"/>
                <w:szCs w:val="1"/>
                <w:color w:val="auto"/>
              </w:rPr>
            </w:pPr>
          </w:p>
        </w:tc>
      </w:tr>
      <w:tr>
        <w:trPr>
          <w:trHeight w:val="175"/>
        </w:trPr>
        <w:tc>
          <w:tcPr>
            <w:tcW w:w="460" w:type="dxa"/>
            <w:vAlign w:val="bottom"/>
          </w:tcPr>
          <w:p>
            <w:pPr>
              <w:jc w:val="right"/>
              <w:spacing w:after="0" w:line="175" w:lineRule="exact"/>
              <w:rPr>
                <w:sz w:val="20"/>
                <w:szCs w:val="20"/>
                <w:color w:val="auto"/>
              </w:rPr>
            </w:pPr>
            <w:r>
              <w:rPr>
                <w:rFonts w:ascii="Arial" w:cs="Arial" w:eastAsia="Arial" w:hAnsi="Arial"/>
                <w:sz w:val="19"/>
                <w:szCs w:val="19"/>
                <w:color w:val="auto"/>
              </w:rPr>
              <w:t>2.</w:t>
            </w:r>
          </w:p>
        </w:tc>
        <w:tc>
          <w:tcPr>
            <w:tcW w:w="160" w:type="dxa"/>
            <w:vAlign w:val="bottom"/>
          </w:tcPr>
          <w:p>
            <w:pPr>
              <w:spacing w:after="0"/>
              <w:rPr>
                <w:sz w:val="15"/>
                <w:szCs w:val="15"/>
                <w:color w:val="auto"/>
              </w:rPr>
            </w:pPr>
          </w:p>
        </w:tc>
        <w:tc>
          <w:tcPr>
            <w:tcW w:w="11040" w:type="dxa"/>
            <w:vAlign w:val="bottom"/>
            <w:gridSpan w:val="4"/>
          </w:tcPr>
          <w:p>
            <w:pPr>
              <w:ind w:left="80"/>
              <w:spacing w:after="0" w:line="175" w:lineRule="exact"/>
              <w:rPr>
                <w:sz w:val="20"/>
                <w:szCs w:val="20"/>
                <w:color w:val="auto"/>
              </w:rPr>
            </w:pPr>
            <w:r>
              <w:rPr>
                <w:rFonts w:ascii="Arial" w:cs="Arial" w:eastAsia="Arial" w:hAnsi="Arial"/>
                <w:sz w:val="19"/>
                <w:szCs w:val="19"/>
                <w:color w:val="auto"/>
              </w:rPr>
              <w:t>CHECK THE APPROPRIATE BOX IF A MEMBER OF A GROUP</w:t>
            </w:r>
          </w:p>
        </w:tc>
        <w:tc>
          <w:tcPr>
            <w:tcW w:w="0" w:type="dxa"/>
            <w:vAlign w:val="bottom"/>
          </w:tcPr>
          <w:p>
            <w:pPr>
              <w:spacing w:after="0"/>
              <w:rPr>
                <w:sz w:val="1"/>
                <w:szCs w:val="1"/>
                <w:color w:val="auto"/>
              </w:rPr>
            </w:pPr>
          </w:p>
        </w:tc>
      </w:tr>
      <w:tr>
        <w:trPr>
          <w:trHeight w:val="298"/>
        </w:trPr>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ind w:left="80"/>
              <w:spacing w:after="0" w:line="219" w:lineRule="exact"/>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p>
        </w:tc>
        <w:tc>
          <w:tcPr>
            <w:tcW w:w="640" w:type="dxa"/>
            <w:vAlign w:val="bottom"/>
            <w:gridSpan w:val="2"/>
          </w:tcPr>
          <w:p>
            <w:pPr>
              <w:jc w:val="center"/>
              <w:spacing w:after="0" w:line="219" w:lineRule="exact"/>
              <w:rPr>
                <w:sz w:val="20"/>
                <w:szCs w:val="20"/>
                <w:color w:val="auto"/>
              </w:rPr>
            </w:pPr>
            <w:r>
              <w:rPr>
                <w:rFonts w:ascii="Arial" w:cs="Arial" w:eastAsia="Arial" w:hAnsi="Arial"/>
                <w:sz w:val="19"/>
                <w:szCs w:val="19"/>
                <w:color w:val="auto"/>
                <w:w w:val="99"/>
              </w:rPr>
              <w:t xml:space="preserve">(b) </w:t>
            </w:r>
            <w:r>
              <w:rPr>
                <w:rFonts w:ascii="MS PGothic" w:cs="MS PGothic" w:eastAsia="MS PGothic" w:hAnsi="MS PGothic"/>
                <w:sz w:val="19"/>
                <w:szCs w:val="19"/>
                <w:color w:val="auto"/>
                <w:w w:val="99"/>
              </w:rPr>
              <w:t>☒</w:t>
            </w:r>
            <w:r>
              <w:rPr>
                <w:rFonts w:ascii="Arial" w:cs="Arial" w:eastAsia="Arial" w:hAnsi="Arial"/>
                <w:sz w:val="16"/>
                <w:szCs w:val="16"/>
                <w:color w:val="auto"/>
                <w:w w:val="99"/>
              </w:rPr>
              <w:t>1</w:t>
            </w:r>
          </w:p>
        </w:tc>
        <w:tc>
          <w:tcPr>
            <w:tcW w:w="9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5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0" w:type="dxa"/>
            <w:vAlign w:val="bottom"/>
          </w:tcPr>
          <w:p>
            <w:pPr>
              <w:jc w:val="right"/>
              <w:spacing w:after="0"/>
              <w:rPr>
                <w:sz w:val="20"/>
                <w:szCs w:val="20"/>
                <w:color w:val="auto"/>
              </w:rPr>
            </w:pPr>
            <w:r>
              <w:rPr>
                <w:rFonts w:ascii="Arial" w:cs="Arial" w:eastAsia="Arial" w:hAnsi="Arial"/>
                <w:sz w:val="19"/>
                <w:szCs w:val="19"/>
                <w:color w:val="auto"/>
              </w:rPr>
              <w:t>3.</w:t>
            </w:r>
          </w:p>
        </w:tc>
        <w:tc>
          <w:tcPr>
            <w:tcW w:w="160" w:type="dxa"/>
            <w:vAlign w:val="bottom"/>
          </w:tcPr>
          <w:p>
            <w:pPr>
              <w:spacing w:after="0"/>
              <w:rPr>
                <w:sz w:val="20"/>
                <w:szCs w:val="20"/>
                <w:color w:val="auto"/>
              </w:rPr>
            </w:pPr>
          </w:p>
        </w:tc>
        <w:tc>
          <w:tcPr>
            <w:tcW w:w="1540" w:type="dxa"/>
            <w:vAlign w:val="bottom"/>
            <w:gridSpan w:val="3"/>
          </w:tcPr>
          <w:p>
            <w:pPr>
              <w:ind w:left="80"/>
              <w:spacing w:after="0"/>
              <w:rPr>
                <w:sz w:val="20"/>
                <w:szCs w:val="20"/>
                <w:color w:val="auto"/>
              </w:rPr>
            </w:pPr>
            <w:r>
              <w:rPr>
                <w:rFonts w:ascii="Arial" w:cs="Arial" w:eastAsia="Arial" w:hAnsi="Arial"/>
                <w:sz w:val="19"/>
                <w:szCs w:val="19"/>
                <w:color w:val="auto"/>
              </w:rPr>
              <w:t>SEC USE ONLY</w:t>
            </w:r>
          </w:p>
        </w:tc>
        <w:tc>
          <w:tcPr>
            <w:tcW w:w="9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4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60" w:type="dxa"/>
            <w:vAlign w:val="bottom"/>
          </w:tcPr>
          <w:p>
            <w:pPr>
              <w:jc w:val="right"/>
              <w:spacing w:after="0"/>
              <w:rPr>
                <w:sz w:val="20"/>
                <w:szCs w:val="20"/>
                <w:color w:val="auto"/>
              </w:rPr>
            </w:pPr>
            <w:r>
              <w:rPr>
                <w:rFonts w:ascii="Arial" w:cs="Arial" w:eastAsia="Arial" w:hAnsi="Arial"/>
                <w:sz w:val="19"/>
                <w:szCs w:val="19"/>
                <w:color w:val="auto"/>
              </w:rPr>
              <w:t>4.</w:t>
            </w:r>
          </w:p>
        </w:tc>
        <w:tc>
          <w:tcPr>
            <w:tcW w:w="160" w:type="dxa"/>
            <w:vAlign w:val="bottom"/>
          </w:tcPr>
          <w:p>
            <w:pPr>
              <w:spacing w:after="0"/>
              <w:rPr>
                <w:sz w:val="20"/>
                <w:szCs w:val="20"/>
                <w:color w:val="auto"/>
              </w:rPr>
            </w:pPr>
          </w:p>
        </w:tc>
        <w:tc>
          <w:tcPr>
            <w:tcW w:w="11040" w:type="dxa"/>
            <w:vAlign w:val="bottom"/>
            <w:gridSpan w:val="4"/>
          </w:tcPr>
          <w:p>
            <w:pPr>
              <w:ind w:left="80"/>
              <w:spacing w:after="0"/>
              <w:rPr>
                <w:sz w:val="20"/>
                <w:szCs w:val="20"/>
                <w:color w:val="auto"/>
              </w:rPr>
            </w:pPr>
            <w:r>
              <w:rPr>
                <w:rFonts w:ascii="Arial" w:cs="Arial" w:eastAsia="Arial" w:hAnsi="Arial"/>
                <w:sz w:val="19"/>
                <w:szCs w:val="19"/>
                <w:color w:val="auto"/>
              </w:rPr>
              <w:t>CITIZENSHIP OR PLACE OF ORGANIZATION</w:t>
            </w:r>
          </w:p>
        </w:tc>
        <w:tc>
          <w:tcPr>
            <w:tcW w:w="0" w:type="dxa"/>
            <w:vAlign w:val="bottom"/>
          </w:tcPr>
          <w:p>
            <w:pPr>
              <w:spacing w:after="0"/>
              <w:rPr>
                <w:sz w:val="1"/>
                <w:szCs w:val="1"/>
                <w:color w:val="auto"/>
              </w:rPr>
            </w:pPr>
          </w:p>
        </w:tc>
      </w:tr>
      <w:tr>
        <w:trPr>
          <w:trHeight w:val="513"/>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ind w:left="80"/>
              <w:spacing w:after="0"/>
              <w:rPr>
                <w:sz w:val="20"/>
                <w:szCs w:val="20"/>
                <w:color w:val="auto"/>
              </w:rPr>
            </w:pPr>
            <w:r>
              <w:rPr>
                <w:rFonts w:ascii="Arial" w:cs="Arial" w:eastAsia="Arial" w:hAnsi="Arial"/>
                <w:sz w:val="23"/>
                <w:szCs w:val="23"/>
                <w:color w:val="auto"/>
              </w:rPr>
              <w:t>Delaware</w:t>
            </w:r>
          </w:p>
        </w:tc>
        <w:tc>
          <w:tcPr>
            <w:tcW w:w="9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480" w:type="dxa"/>
            <w:vAlign w:val="bottom"/>
            <w:tcBorders>
              <w:right w:val="single" w:sz="8" w:color="auto"/>
            </w:tcBorders>
          </w:tcPr>
          <w:p>
            <w:pPr>
              <w:jc w:val="center"/>
              <w:ind w:right="5"/>
              <w:spacing w:after="0"/>
              <w:rPr>
                <w:sz w:val="20"/>
                <w:szCs w:val="20"/>
                <w:color w:val="auto"/>
              </w:rPr>
            </w:pPr>
            <w:r>
              <w:rPr>
                <w:rFonts w:ascii="Arial" w:cs="Arial" w:eastAsia="Arial" w:hAnsi="Arial"/>
                <w:sz w:val="19"/>
                <w:szCs w:val="19"/>
                <w:color w:val="auto"/>
                <w:w w:val="88"/>
              </w:rPr>
              <w:t>5.</w:t>
            </w:r>
          </w:p>
        </w:tc>
        <w:tc>
          <w:tcPr>
            <w:tcW w:w="9500" w:type="dxa"/>
            <w:vAlign w:val="bottom"/>
          </w:tcPr>
          <w:p>
            <w:pPr>
              <w:ind w:left="100"/>
              <w:spacing w:after="0"/>
              <w:rPr>
                <w:sz w:val="20"/>
                <w:szCs w:val="20"/>
                <w:color w:val="auto"/>
              </w:rPr>
            </w:pPr>
            <w:r>
              <w:rPr>
                <w:rFonts w:ascii="Arial" w:cs="Arial" w:eastAsia="Arial" w:hAnsi="Arial"/>
                <w:sz w:val="19"/>
                <w:szCs w:val="19"/>
                <w:color w:val="auto"/>
              </w:rPr>
              <w:t>SOLE VOTING POWER</w:t>
            </w:r>
          </w:p>
        </w:tc>
        <w:tc>
          <w:tcPr>
            <w:tcW w:w="0" w:type="dxa"/>
            <w:vAlign w:val="bottom"/>
          </w:tcPr>
          <w:p>
            <w:pPr>
              <w:spacing w:after="0"/>
              <w:rPr>
                <w:sz w:val="1"/>
                <w:szCs w:val="1"/>
                <w:color w:val="auto"/>
              </w:rPr>
            </w:pPr>
          </w:p>
        </w:tc>
      </w:tr>
      <w:tr>
        <w:trPr>
          <w:trHeight w:val="513"/>
        </w:trPr>
        <w:tc>
          <w:tcPr>
            <w:tcW w:w="1520" w:type="dxa"/>
            <w:vAlign w:val="bottom"/>
            <w:gridSpan w:val="3"/>
            <w:vMerge w:val="restart"/>
          </w:tcPr>
          <w:p>
            <w:pPr>
              <w:jc w:val="center"/>
              <w:ind w:left="225"/>
              <w:spacing w:after="0"/>
              <w:rPr>
                <w:sz w:val="20"/>
                <w:szCs w:val="20"/>
                <w:color w:val="auto"/>
              </w:rPr>
            </w:pPr>
            <w:r>
              <w:rPr>
                <w:rFonts w:ascii="Arial" w:cs="Arial" w:eastAsia="Arial" w:hAnsi="Arial"/>
                <w:sz w:val="19"/>
                <w:szCs w:val="19"/>
                <w:b w:val="1"/>
                <w:bCs w:val="1"/>
                <w:color w:val="auto"/>
              </w:rPr>
              <w:t>NUMBER OF</w:t>
            </w:r>
          </w:p>
        </w:tc>
        <w:tc>
          <w:tcPr>
            <w:tcW w:w="160" w:type="dxa"/>
            <w:vAlign w:val="bottom"/>
            <w:tcBorders>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950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0</w:t>
            </w:r>
          </w:p>
        </w:tc>
        <w:tc>
          <w:tcPr>
            <w:tcW w:w="0" w:type="dxa"/>
            <w:vAlign w:val="bottom"/>
          </w:tcPr>
          <w:p>
            <w:pPr>
              <w:spacing w:after="0"/>
              <w:rPr>
                <w:sz w:val="1"/>
                <w:szCs w:val="1"/>
                <w:color w:val="auto"/>
              </w:rPr>
            </w:pPr>
          </w:p>
        </w:tc>
      </w:tr>
      <w:tr>
        <w:trPr>
          <w:trHeight w:val="47"/>
        </w:trPr>
        <w:tc>
          <w:tcPr>
            <w:tcW w:w="1520" w:type="dxa"/>
            <w:vAlign w:val="bottom"/>
            <w:gridSpan w:val="3"/>
            <w:vMerge w:val="continue"/>
          </w:tcPr>
          <w:p>
            <w:pPr>
              <w:spacing w:after="0"/>
              <w:rPr>
                <w:sz w:val="4"/>
                <w:szCs w:val="4"/>
                <w:color w:val="auto"/>
              </w:rPr>
            </w:pPr>
          </w:p>
        </w:tc>
        <w:tc>
          <w:tcPr>
            <w:tcW w:w="160" w:type="dxa"/>
            <w:vAlign w:val="bottom"/>
            <w:tcBorders>
              <w:right w:val="single" w:sz="8" w:color="auto"/>
            </w:tcBorders>
          </w:tcPr>
          <w:p>
            <w:pPr>
              <w:spacing w:after="0"/>
              <w:rPr>
                <w:sz w:val="4"/>
                <w:szCs w:val="4"/>
                <w:color w:val="auto"/>
              </w:rPr>
            </w:pPr>
          </w:p>
        </w:tc>
        <w:tc>
          <w:tcPr>
            <w:tcW w:w="480" w:type="dxa"/>
            <w:vAlign w:val="bottom"/>
            <w:tcBorders>
              <w:right w:val="single" w:sz="8" w:color="auto"/>
            </w:tcBorders>
            <w:vMerge w:val="restart"/>
          </w:tcPr>
          <w:p>
            <w:pPr>
              <w:jc w:val="center"/>
              <w:ind w:right="5"/>
              <w:spacing w:after="0"/>
              <w:rPr>
                <w:sz w:val="20"/>
                <w:szCs w:val="20"/>
                <w:color w:val="auto"/>
              </w:rPr>
            </w:pPr>
            <w:r>
              <w:rPr>
                <w:rFonts w:ascii="Arial" w:cs="Arial" w:eastAsia="Arial" w:hAnsi="Arial"/>
                <w:sz w:val="19"/>
                <w:szCs w:val="19"/>
                <w:color w:val="auto"/>
                <w:w w:val="88"/>
              </w:rPr>
              <w:t>6.</w:t>
            </w:r>
          </w:p>
        </w:tc>
        <w:tc>
          <w:tcPr>
            <w:tcW w:w="9500" w:type="dxa"/>
            <w:vAlign w:val="bottom"/>
            <w:vMerge w:val="restart"/>
          </w:tcPr>
          <w:p>
            <w:pPr>
              <w:ind w:left="10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1060" w:type="dxa"/>
            <w:vAlign w:val="bottom"/>
            <w:gridSpan w:val="2"/>
            <w:vMerge w:val="restart"/>
          </w:tcPr>
          <w:p>
            <w:pPr>
              <w:jc w:val="center"/>
              <w:ind w:right="39"/>
              <w:spacing w:after="0"/>
              <w:rPr>
                <w:sz w:val="20"/>
                <w:szCs w:val="20"/>
                <w:color w:val="auto"/>
              </w:rPr>
            </w:pPr>
            <w:r>
              <w:rPr>
                <w:rFonts w:ascii="Arial" w:cs="Arial" w:eastAsia="Arial" w:hAnsi="Arial"/>
                <w:sz w:val="19"/>
                <w:szCs w:val="19"/>
                <w:b w:val="1"/>
                <w:bCs w:val="1"/>
                <w:color w:val="auto"/>
                <w:w w:val="95"/>
              </w:rPr>
              <w:t>SHARES</w:t>
            </w:r>
          </w:p>
        </w:tc>
        <w:tc>
          <w:tcPr>
            <w:tcW w:w="160" w:type="dxa"/>
            <w:vAlign w:val="bottom"/>
            <w:tcBorders>
              <w:right w:val="single" w:sz="8" w:color="auto"/>
            </w:tcBorders>
          </w:tcPr>
          <w:p>
            <w:pPr>
              <w:spacing w:after="0"/>
              <w:rPr>
                <w:sz w:val="16"/>
                <w:szCs w:val="16"/>
                <w:color w:val="auto"/>
              </w:rPr>
            </w:pPr>
          </w:p>
        </w:tc>
        <w:tc>
          <w:tcPr>
            <w:tcW w:w="480" w:type="dxa"/>
            <w:vAlign w:val="bottom"/>
            <w:tcBorders>
              <w:right w:val="single" w:sz="8" w:color="auto"/>
            </w:tcBorders>
            <w:vMerge w:val="continue"/>
          </w:tcPr>
          <w:p>
            <w:pPr>
              <w:spacing w:after="0"/>
              <w:rPr>
                <w:sz w:val="16"/>
                <w:szCs w:val="16"/>
                <w:color w:val="auto"/>
              </w:rPr>
            </w:pPr>
          </w:p>
        </w:tc>
        <w:tc>
          <w:tcPr>
            <w:tcW w:w="9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6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480" w:type="dxa"/>
            <w:vAlign w:val="bottom"/>
            <w:tcBorders>
              <w:right w:val="single" w:sz="8" w:color="auto"/>
            </w:tcBorders>
          </w:tcPr>
          <w:p>
            <w:pPr>
              <w:spacing w:after="0"/>
              <w:rPr>
                <w:sz w:val="3"/>
                <w:szCs w:val="3"/>
                <w:color w:val="auto"/>
              </w:rPr>
            </w:pPr>
          </w:p>
        </w:tc>
        <w:tc>
          <w:tcPr>
            <w:tcW w:w="9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680" w:type="dxa"/>
            <w:vAlign w:val="bottom"/>
            <w:tcBorders>
              <w:right w:val="single" w:sz="8" w:color="auto"/>
            </w:tcBorders>
            <w:gridSpan w:val="4"/>
          </w:tcPr>
          <w:p>
            <w:pPr>
              <w:jc w:val="center"/>
              <w:ind w:left="85"/>
              <w:spacing w:after="0"/>
              <w:rPr>
                <w:sz w:val="20"/>
                <w:szCs w:val="20"/>
                <w:color w:val="auto"/>
              </w:rPr>
            </w:pPr>
            <w:r>
              <w:rPr>
                <w:rFonts w:ascii="Arial" w:cs="Arial" w:eastAsia="Arial" w:hAnsi="Arial"/>
                <w:sz w:val="19"/>
                <w:szCs w:val="19"/>
                <w:b w:val="1"/>
                <w:bCs w:val="1"/>
                <w:color w:val="auto"/>
              </w:rPr>
              <w:t>BENEFICIALLY</w:t>
            </w:r>
          </w:p>
        </w:tc>
        <w:tc>
          <w:tcPr>
            <w:tcW w:w="480" w:type="dxa"/>
            <w:vAlign w:val="bottom"/>
            <w:tcBorders>
              <w:right w:val="single" w:sz="8" w:color="auto"/>
            </w:tcBorders>
          </w:tcPr>
          <w:p>
            <w:pPr>
              <w:spacing w:after="0"/>
              <w:rPr>
                <w:sz w:val="19"/>
                <w:szCs w:val="19"/>
                <w:color w:val="auto"/>
              </w:rPr>
            </w:pPr>
          </w:p>
        </w:tc>
        <w:tc>
          <w:tcPr>
            <w:tcW w:w="9500" w:type="dxa"/>
            <w:vAlign w:val="bottom"/>
            <w:vMerge w:val="restart"/>
          </w:tcPr>
          <w:p>
            <w:pPr>
              <w:ind w:left="100"/>
              <w:spacing w:after="0"/>
              <w:rPr>
                <w:sz w:val="20"/>
                <w:szCs w:val="20"/>
                <w:color w:val="auto"/>
              </w:rPr>
            </w:pPr>
            <w:r>
              <w:rPr>
                <w:rFonts w:ascii="Arial" w:cs="Arial" w:eastAsia="Arial" w:hAnsi="Arial"/>
                <w:sz w:val="23"/>
                <w:szCs w:val="23"/>
                <w:color w:val="auto"/>
              </w:rPr>
              <w:t>4,938,567</w:t>
            </w: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47"/>
        </w:trPr>
        <w:tc>
          <w:tcPr>
            <w:tcW w:w="1520" w:type="dxa"/>
            <w:vAlign w:val="bottom"/>
            <w:gridSpan w:val="3"/>
          </w:tcPr>
          <w:p>
            <w:pPr>
              <w:jc w:val="center"/>
              <w:ind w:left="225"/>
              <w:spacing w:after="0"/>
              <w:rPr>
                <w:sz w:val="20"/>
                <w:szCs w:val="20"/>
                <w:color w:val="auto"/>
              </w:rPr>
            </w:pPr>
            <w:r>
              <w:rPr>
                <w:rFonts w:ascii="Arial" w:cs="Arial" w:eastAsia="Arial" w:hAnsi="Arial"/>
                <w:sz w:val="19"/>
                <w:szCs w:val="19"/>
                <w:b w:val="1"/>
                <w:bCs w:val="1"/>
                <w:color w:val="auto"/>
                <w:w w:val="99"/>
              </w:rPr>
              <w:t>OWNED BY</w:t>
            </w:r>
          </w:p>
        </w:tc>
        <w:tc>
          <w:tcPr>
            <w:tcW w:w="160" w:type="dxa"/>
            <w:vAlign w:val="bottom"/>
            <w:tcBorders>
              <w:right w:val="single" w:sz="8" w:color="auto"/>
            </w:tcBorders>
          </w:tcPr>
          <w:p>
            <w:pPr>
              <w:spacing w:after="0"/>
              <w:rPr>
                <w:sz w:val="21"/>
                <w:szCs w:val="21"/>
                <w:color w:val="auto"/>
              </w:rPr>
            </w:pPr>
          </w:p>
        </w:tc>
        <w:tc>
          <w:tcPr>
            <w:tcW w:w="480" w:type="dxa"/>
            <w:vAlign w:val="bottom"/>
            <w:tcBorders>
              <w:bottom w:val="single" w:sz="8" w:color="auto"/>
              <w:right w:val="single" w:sz="8" w:color="auto"/>
            </w:tcBorders>
          </w:tcPr>
          <w:p>
            <w:pPr>
              <w:spacing w:after="0"/>
              <w:rPr>
                <w:sz w:val="21"/>
                <w:szCs w:val="21"/>
                <w:color w:val="auto"/>
              </w:rPr>
            </w:pPr>
          </w:p>
        </w:tc>
        <w:tc>
          <w:tcPr>
            <w:tcW w:w="95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ind w:right="199"/>
              <w:spacing w:after="0" w:line="189" w:lineRule="exact"/>
              <w:rPr>
                <w:sz w:val="20"/>
                <w:szCs w:val="20"/>
                <w:color w:val="auto"/>
              </w:rPr>
            </w:pPr>
            <w:r>
              <w:rPr>
                <w:rFonts w:ascii="Arial" w:cs="Arial" w:eastAsia="Arial" w:hAnsi="Arial"/>
                <w:sz w:val="19"/>
                <w:szCs w:val="19"/>
                <w:b w:val="1"/>
                <w:bCs w:val="1"/>
                <w:color w:val="auto"/>
              </w:rPr>
              <w:t>EACH</w:t>
            </w:r>
          </w:p>
        </w:tc>
        <w:tc>
          <w:tcPr>
            <w:tcW w:w="160" w:type="dxa"/>
            <w:vAlign w:val="bottom"/>
            <w:tcBorders>
              <w:right w:val="single" w:sz="8" w:color="auto"/>
            </w:tcBorders>
          </w:tcPr>
          <w:p>
            <w:pPr>
              <w:spacing w:after="0"/>
              <w:rPr>
                <w:sz w:val="16"/>
                <w:szCs w:val="16"/>
                <w:color w:val="auto"/>
              </w:rPr>
            </w:pPr>
          </w:p>
        </w:tc>
        <w:tc>
          <w:tcPr>
            <w:tcW w:w="480" w:type="dxa"/>
            <w:vAlign w:val="bottom"/>
            <w:tcBorders>
              <w:right w:val="single" w:sz="8" w:color="auto"/>
            </w:tcBorders>
          </w:tcPr>
          <w:p>
            <w:pPr>
              <w:jc w:val="center"/>
              <w:ind w:right="5"/>
              <w:spacing w:after="0" w:line="189" w:lineRule="exact"/>
              <w:rPr>
                <w:sz w:val="20"/>
                <w:szCs w:val="20"/>
                <w:color w:val="auto"/>
              </w:rPr>
            </w:pPr>
            <w:r>
              <w:rPr>
                <w:rFonts w:ascii="Arial" w:cs="Arial" w:eastAsia="Arial" w:hAnsi="Arial"/>
                <w:sz w:val="19"/>
                <w:szCs w:val="19"/>
                <w:color w:val="auto"/>
                <w:w w:val="88"/>
              </w:rPr>
              <w:t>7.</w:t>
            </w:r>
          </w:p>
        </w:tc>
        <w:tc>
          <w:tcPr>
            <w:tcW w:w="9500" w:type="dxa"/>
            <w:vAlign w:val="bottom"/>
          </w:tcPr>
          <w:p>
            <w:pPr>
              <w:ind w:left="100"/>
              <w:spacing w:after="0" w:line="189" w:lineRule="exact"/>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228"/>
        </w:trPr>
        <w:tc>
          <w:tcPr>
            <w:tcW w:w="1520" w:type="dxa"/>
            <w:vAlign w:val="bottom"/>
            <w:gridSpan w:val="3"/>
          </w:tcPr>
          <w:p>
            <w:pPr>
              <w:jc w:val="center"/>
              <w:ind w:left="205"/>
              <w:spacing w:after="0"/>
              <w:rPr>
                <w:sz w:val="20"/>
                <w:szCs w:val="20"/>
                <w:color w:val="auto"/>
              </w:rPr>
            </w:pPr>
            <w:r>
              <w:rPr>
                <w:rFonts w:ascii="Arial" w:cs="Arial" w:eastAsia="Arial" w:hAnsi="Arial"/>
                <w:sz w:val="19"/>
                <w:szCs w:val="19"/>
                <w:b w:val="1"/>
                <w:bCs w:val="1"/>
                <w:color w:val="auto"/>
              </w:rPr>
              <w:t>REPORTING</w:t>
            </w:r>
          </w:p>
        </w:tc>
        <w:tc>
          <w:tcPr>
            <w:tcW w:w="1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9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1"/>
                <w:szCs w:val="21"/>
                <w:color w:val="auto"/>
              </w:rPr>
            </w:pPr>
          </w:p>
        </w:tc>
        <w:tc>
          <w:tcPr>
            <w:tcW w:w="1060" w:type="dxa"/>
            <w:vAlign w:val="bottom"/>
            <w:gridSpan w:val="2"/>
          </w:tcPr>
          <w:p>
            <w:pPr>
              <w:jc w:val="center"/>
              <w:ind w:right="39"/>
              <w:spacing w:after="0"/>
              <w:rPr>
                <w:sz w:val="20"/>
                <w:szCs w:val="20"/>
                <w:color w:val="auto"/>
              </w:rPr>
            </w:pPr>
            <w:r>
              <w:rPr>
                <w:rFonts w:ascii="Arial" w:cs="Arial" w:eastAsia="Arial" w:hAnsi="Arial"/>
                <w:sz w:val="19"/>
                <w:szCs w:val="19"/>
                <w:b w:val="1"/>
                <w:bCs w:val="1"/>
                <w:color w:val="auto"/>
                <w:w w:val="94"/>
              </w:rPr>
              <w:t>PERSON</w:t>
            </w:r>
          </w:p>
        </w:tc>
        <w:tc>
          <w:tcPr>
            <w:tcW w:w="160" w:type="dxa"/>
            <w:vAlign w:val="bottom"/>
            <w:tcBorders>
              <w:right w:val="single" w:sz="8" w:color="auto"/>
            </w:tcBorders>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9500" w:type="dxa"/>
            <w:vAlign w:val="bottom"/>
          </w:tcPr>
          <w:p>
            <w:pPr>
              <w:ind w:left="100"/>
              <w:spacing w:after="0" w:line="251" w:lineRule="exact"/>
              <w:rPr>
                <w:sz w:val="20"/>
                <w:szCs w:val="20"/>
                <w:color w:val="auto"/>
              </w:rPr>
            </w:pPr>
            <w:r>
              <w:rPr>
                <w:rFonts w:ascii="Arial" w:cs="Arial" w:eastAsia="Arial" w:hAnsi="Arial"/>
                <w:sz w:val="23"/>
                <w:szCs w:val="23"/>
                <w:color w:val="auto"/>
              </w:rPr>
              <w:t>0</w:t>
            </w:r>
          </w:p>
        </w:tc>
        <w:tc>
          <w:tcPr>
            <w:tcW w:w="0" w:type="dxa"/>
            <w:vAlign w:val="bottom"/>
          </w:tcPr>
          <w:p>
            <w:pPr>
              <w:spacing w:after="0"/>
              <w:rPr>
                <w:sz w:val="1"/>
                <w:szCs w:val="1"/>
                <w:color w:val="auto"/>
              </w:rPr>
            </w:pPr>
          </w:p>
        </w:tc>
      </w:tr>
      <w:tr>
        <w:trPr>
          <w:trHeight w:val="84"/>
        </w:trPr>
        <w:tc>
          <w:tcPr>
            <w:tcW w:w="460" w:type="dxa"/>
            <w:vAlign w:val="bottom"/>
          </w:tcPr>
          <w:p>
            <w:pPr>
              <w:spacing w:after="0"/>
              <w:rPr>
                <w:sz w:val="7"/>
                <w:szCs w:val="7"/>
                <w:color w:val="auto"/>
              </w:rPr>
            </w:pPr>
          </w:p>
        </w:tc>
        <w:tc>
          <w:tcPr>
            <w:tcW w:w="160" w:type="dxa"/>
            <w:vAlign w:val="bottom"/>
            <w:vMerge w:val="restart"/>
          </w:tcPr>
          <w:p>
            <w:pPr>
              <w:spacing w:after="0"/>
              <w:rPr>
                <w:sz w:val="7"/>
                <w:szCs w:val="7"/>
                <w:color w:val="auto"/>
              </w:rPr>
            </w:pPr>
          </w:p>
        </w:tc>
        <w:tc>
          <w:tcPr>
            <w:tcW w:w="900" w:type="dxa"/>
            <w:vAlign w:val="bottom"/>
            <w:vMerge w:val="restart"/>
          </w:tcPr>
          <w:p>
            <w:pPr>
              <w:jc w:val="center"/>
              <w:ind w:right="199"/>
              <w:spacing w:after="0"/>
              <w:rPr>
                <w:sz w:val="20"/>
                <w:szCs w:val="20"/>
                <w:color w:val="auto"/>
              </w:rPr>
            </w:pPr>
            <w:r>
              <w:rPr>
                <w:rFonts w:ascii="Arial" w:cs="Arial" w:eastAsia="Arial" w:hAnsi="Arial"/>
                <w:sz w:val="19"/>
                <w:szCs w:val="19"/>
                <w:b w:val="1"/>
                <w:bCs w:val="1"/>
                <w:color w:val="auto"/>
              </w:rPr>
              <w:t>WITH:</w:t>
            </w:r>
          </w:p>
        </w:tc>
        <w:tc>
          <w:tcPr>
            <w:tcW w:w="160" w:type="dxa"/>
            <w:vAlign w:val="bottom"/>
            <w:tcBorders>
              <w:right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9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80" w:type="dxa"/>
            <w:vAlign w:val="bottom"/>
            <w:tcBorders>
              <w:right w:val="single" w:sz="8" w:color="auto"/>
            </w:tcBorders>
            <w:vMerge w:val="restart"/>
          </w:tcPr>
          <w:p>
            <w:pPr>
              <w:jc w:val="center"/>
              <w:ind w:right="5"/>
              <w:spacing w:after="0"/>
              <w:rPr>
                <w:sz w:val="20"/>
                <w:szCs w:val="20"/>
                <w:color w:val="auto"/>
              </w:rPr>
            </w:pPr>
            <w:r>
              <w:rPr>
                <w:rFonts w:ascii="Arial" w:cs="Arial" w:eastAsia="Arial" w:hAnsi="Arial"/>
                <w:sz w:val="19"/>
                <w:szCs w:val="19"/>
                <w:color w:val="auto"/>
                <w:w w:val="88"/>
              </w:rPr>
              <w:t>8.</w:t>
            </w:r>
          </w:p>
        </w:tc>
        <w:tc>
          <w:tcPr>
            <w:tcW w:w="9500" w:type="dxa"/>
            <w:vAlign w:val="bottom"/>
            <w:vMerge w:val="restart"/>
          </w:tcPr>
          <w:p>
            <w:pPr>
              <w:ind w:left="100"/>
              <w:spacing w:after="0"/>
              <w:rPr>
                <w:sz w:val="20"/>
                <w:szCs w:val="20"/>
                <w:color w:val="auto"/>
              </w:rPr>
            </w:pPr>
            <w:r>
              <w:rPr>
                <w:rFonts w:ascii="Arial" w:cs="Arial" w:eastAsia="Arial" w:hAnsi="Arial"/>
                <w:sz w:val="19"/>
                <w:szCs w:val="19"/>
                <w:color w:val="auto"/>
              </w:rPr>
              <w:t>SHARED DISPOSITIVE POWER</w:t>
            </w:r>
          </w:p>
        </w:tc>
        <w:tc>
          <w:tcPr>
            <w:tcW w:w="0" w:type="dxa"/>
            <w:vAlign w:val="bottom"/>
          </w:tcPr>
          <w:p>
            <w:pPr>
              <w:spacing w:after="0"/>
              <w:rPr>
                <w:sz w:val="1"/>
                <w:szCs w:val="1"/>
                <w:color w:val="auto"/>
              </w:rPr>
            </w:pPr>
          </w:p>
        </w:tc>
      </w:tr>
      <w:tr>
        <w:trPr>
          <w:trHeight w:val="92"/>
        </w:trPr>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480" w:type="dxa"/>
            <w:vAlign w:val="bottom"/>
            <w:tcBorders>
              <w:right w:val="single" w:sz="8" w:color="auto"/>
            </w:tcBorders>
            <w:vMerge w:val="continue"/>
          </w:tcPr>
          <w:p>
            <w:pPr>
              <w:spacing w:after="0"/>
              <w:rPr>
                <w:sz w:val="8"/>
                <w:szCs w:val="8"/>
                <w:color w:val="auto"/>
              </w:rPr>
            </w:pPr>
          </w:p>
        </w:tc>
        <w:tc>
          <w:tcPr>
            <w:tcW w:w="9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13"/>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9500" w:type="dxa"/>
            <w:vAlign w:val="bottom"/>
            <w:tcBorders>
              <w:bottom w:val="single" w:sz="8" w:color="auto"/>
            </w:tcBorders>
          </w:tcPr>
          <w:p>
            <w:pPr>
              <w:ind w:left="100"/>
              <w:spacing w:after="0"/>
              <w:rPr>
                <w:sz w:val="20"/>
                <w:szCs w:val="20"/>
                <w:color w:val="auto"/>
              </w:rPr>
            </w:pPr>
            <w:r>
              <w:rPr>
                <w:rFonts w:ascii="Arial" w:cs="Arial" w:eastAsia="Arial" w:hAnsi="Arial"/>
                <w:sz w:val="23"/>
                <w:szCs w:val="23"/>
                <w:color w:val="auto"/>
              </w:rPr>
              <w:t>4,938,567</w:t>
            </w: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37"/>
        </w:trPr>
        <w:tc>
          <w:tcPr>
            <w:tcW w:w="460" w:type="dxa"/>
            <w:vAlign w:val="bottom"/>
          </w:tcPr>
          <w:p>
            <w:pPr>
              <w:jc w:val="right"/>
              <w:spacing w:after="0"/>
              <w:rPr>
                <w:sz w:val="20"/>
                <w:szCs w:val="20"/>
                <w:color w:val="auto"/>
              </w:rPr>
            </w:pPr>
            <w:r>
              <w:rPr>
                <w:rFonts w:ascii="Arial" w:cs="Arial" w:eastAsia="Arial" w:hAnsi="Arial"/>
                <w:sz w:val="19"/>
                <w:szCs w:val="19"/>
                <w:color w:val="auto"/>
              </w:rPr>
              <w:t>9.</w:t>
            </w:r>
          </w:p>
        </w:tc>
        <w:tc>
          <w:tcPr>
            <w:tcW w:w="160" w:type="dxa"/>
            <w:vAlign w:val="bottom"/>
            <w:tcBorders>
              <w:right w:val="single" w:sz="8" w:color="auto"/>
            </w:tcBorders>
          </w:tcPr>
          <w:p>
            <w:pPr>
              <w:spacing w:after="0"/>
              <w:rPr>
                <w:sz w:val="20"/>
                <w:szCs w:val="20"/>
                <w:color w:val="auto"/>
              </w:rPr>
            </w:pPr>
          </w:p>
        </w:tc>
        <w:tc>
          <w:tcPr>
            <w:tcW w:w="11040" w:type="dxa"/>
            <w:vAlign w:val="bottom"/>
            <w:gridSpan w:val="4"/>
          </w:tcPr>
          <w:p>
            <w:pPr>
              <w:ind w:left="80"/>
              <w:spacing w:after="0"/>
              <w:rPr>
                <w:sz w:val="20"/>
                <w:szCs w:val="20"/>
                <w:color w:val="auto"/>
              </w:rPr>
            </w:pPr>
            <w:r>
              <w:rPr>
                <w:rFonts w:ascii="Arial" w:cs="Arial" w:eastAsia="Arial" w:hAnsi="Arial"/>
                <w:sz w:val="19"/>
                <w:szCs w:val="19"/>
                <w:color w:val="auto"/>
              </w:rPr>
              <w:t>AGGREGATE AMOUNT BENEFICIALLY OWNED BY EACH REPORTING PERSON</w:t>
            </w:r>
          </w:p>
        </w:tc>
        <w:tc>
          <w:tcPr>
            <w:tcW w:w="0" w:type="dxa"/>
            <w:vAlign w:val="bottom"/>
          </w:tcPr>
          <w:p>
            <w:pPr>
              <w:spacing w:after="0"/>
              <w:rPr>
                <w:sz w:val="1"/>
                <w:szCs w:val="1"/>
                <w:color w:val="auto"/>
              </w:rPr>
            </w:pPr>
          </w:p>
        </w:tc>
      </w:tr>
      <w:tr>
        <w:trPr>
          <w:trHeight w:val="513"/>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gridSpan w:val="3"/>
          </w:tcPr>
          <w:p>
            <w:pPr>
              <w:ind w:left="80"/>
              <w:spacing w:after="0"/>
              <w:rPr>
                <w:sz w:val="20"/>
                <w:szCs w:val="20"/>
                <w:color w:val="auto"/>
              </w:rPr>
            </w:pPr>
            <w:r>
              <w:rPr>
                <w:rFonts w:ascii="Arial" w:cs="Arial" w:eastAsia="Arial" w:hAnsi="Arial"/>
                <w:sz w:val="23"/>
                <w:szCs w:val="23"/>
                <w:color w:val="auto"/>
              </w:rPr>
              <w:t>4,938,567</w:t>
            </w:r>
            <w:r>
              <w:rPr>
                <w:rFonts w:ascii="Arial" w:cs="Arial" w:eastAsia="Arial" w:hAnsi="Arial"/>
                <w:sz w:val="19"/>
                <w:szCs w:val="19"/>
                <w:color w:val="auto"/>
              </w:rPr>
              <w:t>2</w:t>
            </w:r>
          </w:p>
        </w:tc>
        <w:tc>
          <w:tcPr>
            <w:tcW w:w="9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60" w:type="dxa"/>
            <w:vAlign w:val="bottom"/>
          </w:tcPr>
          <w:p>
            <w:pPr>
              <w:jc w:val="right"/>
              <w:spacing w:after="0"/>
              <w:rPr>
                <w:sz w:val="20"/>
                <w:szCs w:val="20"/>
                <w:color w:val="auto"/>
              </w:rPr>
            </w:pPr>
            <w:r>
              <w:rPr>
                <w:rFonts w:ascii="Arial" w:cs="Arial" w:eastAsia="Arial" w:hAnsi="Arial"/>
                <w:sz w:val="19"/>
                <w:szCs w:val="19"/>
                <w:color w:val="auto"/>
              </w:rPr>
              <w:t>10.</w:t>
            </w:r>
          </w:p>
        </w:tc>
        <w:tc>
          <w:tcPr>
            <w:tcW w:w="160" w:type="dxa"/>
            <w:vAlign w:val="bottom"/>
            <w:tcBorders>
              <w:right w:val="single" w:sz="8" w:color="auto"/>
            </w:tcBorders>
          </w:tcPr>
          <w:p>
            <w:pPr>
              <w:spacing w:after="0"/>
              <w:rPr>
                <w:sz w:val="24"/>
                <w:szCs w:val="24"/>
                <w:color w:val="auto"/>
              </w:rPr>
            </w:pPr>
          </w:p>
        </w:tc>
        <w:tc>
          <w:tcPr>
            <w:tcW w:w="11040" w:type="dxa"/>
            <w:vAlign w:val="bottom"/>
            <w:gridSpan w:val="4"/>
          </w:tcPr>
          <w:p>
            <w:pPr>
              <w:ind w:left="80"/>
              <w:spacing w:after="0" w:line="219" w:lineRule="exact"/>
              <w:rPr>
                <w:sz w:val="20"/>
                <w:szCs w:val="20"/>
                <w:color w:val="auto"/>
              </w:rPr>
            </w:pPr>
            <w:r>
              <w:rPr>
                <w:rFonts w:ascii="Arial" w:cs="Arial" w:eastAsia="Arial" w:hAnsi="Arial"/>
                <w:sz w:val="19"/>
                <w:szCs w:val="19"/>
                <w:color w:val="auto"/>
              </w:rPr>
              <w:t xml:space="preserve">CHECK IF THE AGGREGATE AMOUNT IN ROW (9) EXCLUDES CERTAIN SHARES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01"/>
        </w:trPr>
        <w:tc>
          <w:tcPr>
            <w:tcW w:w="46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1040" w:type="dxa"/>
            <w:vAlign w:val="bottom"/>
            <w:tcBorders>
              <w:bottom w:val="single" w:sz="8" w:color="auto"/>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60" w:type="dxa"/>
            <w:vAlign w:val="bottom"/>
          </w:tcPr>
          <w:p>
            <w:pPr>
              <w:jc w:val="right"/>
              <w:spacing w:after="0"/>
              <w:rPr>
                <w:sz w:val="20"/>
                <w:szCs w:val="20"/>
                <w:color w:val="auto"/>
              </w:rPr>
            </w:pPr>
            <w:r>
              <w:rPr>
                <w:rFonts w:ascii="Arial" w:cs="Arial" w:eastAsia="Arial" w:hAnsi="Arial"/>
                <w:sz w:val="19"/>
                <w:szCs w:val="19"/>
                <w:color w:val="auto"/>
              </w:rPr>
              <w:t>11.</w:t>
            </w:r>
          </w:p>
        </w:tc>
        <w:tc>
          <w:tcPr>
            <w:tcW w:w="160" w:type="dxa"/>
            <w:vAlign w:val="bottom"/>
            <w:tcBorders>
              <w:right w:val="single" w:sz="8" w:color="auto"/>
            </w:tcBorders>
          </w:tcPr>
          <w:p>
            <w:pPr>
              <w:spacing w:after="0"/>
              <w:rPr>
                <w:sz w:val="20"/>
                <w:szCs w:val="20"/>
                <w:color w:val="auto"/>
              </w:rPr>
            </w:pPr>
          </w:p>
        </w:tc>
        <w:tc>
          <w:tcPr>
            <w:tcW w:w="11040" w:type="dxa"/>
            <w:vAlign w:val="bottom"/>
            <w:gridSpan w:val="4"/>
          </w:tcPr>
          <w:p>
            <w:pPr>
              <w:ind w:left="80"/>
              <w:spacing w:after="0"/>
              <w:rPr>
                <w:sz w:val="20"/>
                <w:szCs w:val="20"/>
                <w:color w:val="auto"/>
              </w:rPr>
            </w:pPr>
            <w:r>
              <w:rPr>
                <w:rFonts w:ascii="Arial" w:cs="Arial" w:eastAsia="Arial" w:hAnsi="Arial"/>
                <w:sz w:val="19"/>
                <w:szCs w:val="19"/>
                <w:color w:val="auto"/>
              </w:rPr>
              <w:t>PERCENT OF CLASS REPRESENTED BY AMOUNT IN ROW 9</w:t>
            </w:r>
          </w:p>
        </w:tc>
        <w:tc>
          <w:tcPr>
            <w:tcW w:w="0" w:type="dxa"/>
            <w:vAlign w:val="bottom"/>
          </w:tcPr>
          <w:p>
            <w:pPr>
              <w:spacing w:after="0"/>
              <w:rPr>
                <w:sz w:val="1"/>
                <w:szCs w:val="1"/>
                <w:color w:val="auto"/>
              </w:rPr>
            </w:pPr>
          </w:p>
        </w:tc>
      </w:tr>
      <w:tr>
        <w:trPr>
          <w:trHeight w:val="513"/>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23"/>
                <w:szCs w:val="23"/>
                <w:color w:val="auto"/>
              </w:rPr>
              <w:t>2.7%</w:t>
            </w:r>
            <w:r>
              <w:rPr>
                <w:rFonts w:ascii="Arial" w:cs="Arial" w:eastAsia="Arial" w:hAnsi="Arial"/>
                <w:sz w:val="19"/>
                <w:szCs w:val="19"/>
                <w:color w:val="auto"/>
              </w:rPr>
              <w:t>3</w:t>
            </w: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0" w:type="dxa"/>
            <w:vAlign w:val="bottom"/>
          </w:tcPr>
          <w:p>
            <w:pPr>
              <w:jc w:val="right"/>
              <w:spacing w:after="0"/>
              <w:rPr>
                <w:sz w:val="20"/>
                <w:szCs w:val="20"/>
                <w:color w:val="auto"/>
              </w:rPr>
            </w:pPr>
            <w:r>
              <w:rPr>
                <w:rFonts w:ascii="Arial" w:cs="Arial" w:eastAsia="Arial" w:hAnsi="Arial"/>
                <w:sz w:val="19"/>
                <w:szCs w:val="19"/>
                <w:color w:val="auto"/>
              </w:rPr>
              <w:t>12.</w:t>
            </w:r>
          </w:p>
        </w:tc>
        <w:tc>
          <w:tcPr>
            <w:tcW w:w="160" w:type="dxa"/>
            <w:vAlign w:val="bottom"/>
            <w:tcBorders>
              <w:right w:val="single" w:sz="8" w:color="auto"/>
            </w:tcBorders>
          </w:tcPr>
          <w:p>
            <w:pPr>
              <w:spacing w:after="0"/>
              <w:rPr>
                <w:sz w:val="20"/>
                <w:szCs w:val="20"/>
                <w:color w:val="auto"/>
              </w:rPr>
            </w:pPr>
          </w:p>
        </w:tc>
        <w:tc>
          <w:tcPr>
            <w:tcW w:w="11040" w:type="dxa"/>
            <w:vAlign w:val="bottom"/>
            <w:gridSpan w:val="4"/>
          </w:tcPr>
          <w:p>
            <w:pPr>
              <w:ind w:left="80"/>
              <w:spacing w:after="0"/>
              <w:rPr>
                <w:sz w:val="20"/>
                <w:szCs w:val="20"/>
                <w:color w:val="auto"/>
              </w:rPr>
            </w:pPr>
            <w:r>
              <w:rPr>
                <w:rFonts w:ascii="Arial" w:cs="Arial" w:eastAsia="Arial" w:hAnsi="Arial"/>
                <w:sz w:val="19"/>
                <w:szCs w:val="19"/>
                <w:color w:val="auto"/>
              </w:rPr>
              <w:t>TYPE OF REPORTING PERSON</w:t>
            </w:r>
          </w:p>
        </w:tc>
        <w:tc>
          <w:tcPr>
            <w:tcW w:w="0" w:type="dxa"/>
            <w:vAlign w:val="bottom"/>
          </w:tcPr>
          <w:p>
            <w:pPr>
              <w:spacing w:after="0"/>
              <w:rPr>
                <w:sz w:val="1"/>
                <w:szCs w:val="1"/>
                <w:color w:val="auto"/>
              </w:rPr>
            </w:pPr>
          </w:p>
        </w:tc>
      </w:tr>
      <w:tr>
        <w:trPr>
          <w:trHeight w:val="513"/>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23"/>
                <w:szCs w:val="23"/>
                <w:color w:val="auto"/>
                <w:w w:val="99"/>
              </w:rPr>
              <w:t>HC, CO</w:t>
            </w: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253365</wp:posOffset>
            </wp:positionV>
            <wp:extent cx="7423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461" w:hanging="461"/>
        <w:spacing w:after="0"/>
        <w:tabs>
          <w:tab w:leader="none" w:pos="461" w:val="left"/>
        </w:tabs>
        <w:numPr>
          <w:ilvl w:val="0"/>
          <w:numId w:val="5"/>
        </w:numPr>
        <w:rPr>
          <w:rFonts w:ascii="Arial" w:cs="Arial" w:eastAsia="Arial" w:hAnsi="Arial"/>
          <w:sz w:val="14"/>
          <w:szCs w:val="14"/>
          <w:color w:val="auto"/>
        </w:rPr>
      </w:pPr>
      <w:r>
        <w:rPr>
          <w:rFonts w:ascii="Arial" w:cs="Arial" w:eastAsia="Arial" w:hAnsi="Arial"/>
          <w:sz w:val="17"/>
          <w:szCs w:val="17"/>
          <w:color w:val="auto"/>
        </w:rPr>
        <w:t>This Schedule 13G is filed by salesforce.com, inc. (“Salesforce”) and Marc R. Benioff (together, the “Reporting Persons”). The Reporting Persons</w:t>
      </w:r>
    </w:p>
    <w:p>
      <w:pPr>
        <w:spacing w:after="0" w:line="46" w:lineRule="exact"/>
        <w:rPr>
          <w:sz w:val="20"/>
          <w:szCs w:val="20"/>
          <w:color w:val="auto"/>
        </w:rPr>
      </w:pPr>
    </w:p>
    <w:p>
      <w:pPr>
        <w:ind w:left="461"/>
        <w:spacing w:after="0"/>
        <w:rPr>
          <w:sz w:val="20"/>
          <w:szCs w:val="20"/>
          <w:color w:val="auto"/>
        </w:rPr>
      </w:pPr>
      <w:r>
        <w:rPr>
          <w:rFonts w:ascii="Arial" w:cs="Arial" w:eastAsia="Arial" w:hAnsi="Arial"/>
          <w:sz w:val="19"/>
          <w:szCs w:val="19"/>
          <w:color w:val="auto"/>
        </w:rPr>
        <w:t>expressly disclaim status as a “group” for purposes of this Schedule 13G.</w:t>
      </w:r>
    </w:p>
    <w:p>
      <w:pPr>
        <w:spacing w:after="0" w:line="9" w:lineRule="exact"/>
        <w:rPr>
          <w:sz w:val="20"/>
          <w:szCs w:val="20"/>
          <w:color w:val="auto"/>
        </w:rPr>
      </w:pPr>
    </w:p>
    <w:p>
      <w:pPr>
        <w:ind w:left="461" w:hanging="461"/>
        <w:spacing w:after="0"/>
        <w:tabs>
          <w:tab w:leader="none" w:pos="461" w:val="left"/>
        </w:tabs>
        <w:numPr>
          <w:ilvl w:val="0"/>
          <w:numId w:val="6"/>
        </w:numPr>
        <w:rPr>
          <w:rFonts w:ascii="Arial" w:cs="Arial" w:eastAsia="Arial" w:hAnsi="Arial"/>
          <w:sz w:val="14"/>
          <w:szCs w:val="14"/>
          <w:color w:val="auto"/>
        </w:rPr>
      </w:pPr>
      <w:r>
        <w:rPr>
          <w:rFonts w:ascii="Arial" w:cs="Arial" w:eastAsia="Arial" w:hAnsi="Arial"/>
          <w:sz w:val="17"/>
          <w:szCs w:val="17"/>
          <w:color w:val="auto"/>
        </w:rPr>
        <w:t>Consists of 4,761,905 shares of the Issuer’s Class A common stock and 176,662 shares of the Issuer’s Class B common stock held by Salesforce.</w:t>
      </w:r>
    </w:p>
    <w:p>
      <w:pPr>
        <w:spacing w:after="0" w:line="33" w:lineRule="exact"/>
        <w:rPr>
          <w:sz w:val="20"/>
          <w:szCs w:val="20"/>
          <w:color w:val="auto"/>
        </w:rPr>
      </w:pPr>
    </w:p>
    <w:p>
      <w:pPr>
        <w:ind w:left="461" w:right="20"/>
        <w:spacing w:after="0" w:line="250" w:lineRule="auto"/>
        <w:rPr>
          <w:sz w:val="20"/>
          <w:szCs w:val="20"/>
          <w:color w:val="auto"/>
        </w:rPr>
      </w:pPr>
      <w:r>
        <w:rPr>
          <w:rFonts w:ascii="Arial" w:cs="Arial" w:eastAsia="Arial" w:hAnsi="Arial"/>
          <w:sz w:val="19"/>
          <w:szCs w:val="19"/>
          <w:color w:val="auto"/>
        </w:rPr>
        <w:t>Mr. Benioff is the Chairman of the Board and Co-Chief Executive Officer of Salesforce. By virtue of this relationship, Mr. Benioff may be deemed to share beneficial ownership of the shares of Class A common stock and Class B common stock of the Issuer held by Salesforce. Mr. Benioff disclaims beneficial ownership of the shares.</w:t>
      </w:r>
    </w:p>
    <w:p>
      <w:pPr>
        <w:spacing w:after="0" w:line="1" w:lineRule="exact"/>
        <w:rPr>
          <w:sz w:val="20"/>
          <w:szCs w:val="20"/>
          <w:color w:val="auto"/>
        </w:rPr>
      </w:pPr>
    </w:p>
    <w:p>
      <w:pPr>
        <w:ind w:left="461" w:right="60" w:hanging="461"/>
        <w:spacing w:after="0" w:line="288" w:lineRule="auto"/>
        <w:tabs>
          <w:tab w:leader="none" w:pos="461" w:val="left"/>
        </w:tabs>
        <w:numPr>
          <w:ilvl w:val="0"/>
          <w:numId w:val="7"/>
        </w:numPr>
        <w:rPr>
          <w:rFonts w:ascii="Arial" w:cs="Arial" w:eastAsia="Arial" w:hAnsi="Arial"/>
          <w:sz w:val="14"/>
          <w:szCs w:val="14"/>
          <w:color w:val="auto"/>
        </w:rPr>
      </w:pPr>
      <w:r>
        <w:rPr>
          <w:rFonts w:ascii="Arial" w:cs="Arial" w:eastAsia="Arial" w:hAnsi="Arial"/>
          <w:sz w:val="17"/>
          <w:szCs w:val="17"/>
          <w:color w:val="auto"/>
        </w:rPr>
        <w:t>The percentage is calculated based upon 182,879,872 outstanding Class A common shares, comprised of (i) 182,703,210 outstanding Class A common shares (including 14,733,333 Class A common shares subject to restricted stock awards) reported in the Issuer’s Quarterly Report on Form 10-Q for the quarter ended September 30, 2018, filed with the Securities and Exchange Commission on November 9, 2018, and (ii) 176,662 Class B common shares (on an as-converted basis) held by Salesforce. The rights of the holders of Class A common stock and Class B common stock are identical, except with respect to voting and conversion. Each share of Class A common stock is entitled to one vote per share. Each share of Class B common stock is entitled to ten votes per share and is convertible at any time into one share of Class A common stock.</w:t>
      </w:r>
    </w:p>
    <w:p>
      <w:pPr>
        <w:sectPr>
          <w:pgSz w:w="12240" w:h="15840" w:orient="portrait"/>
          <w:cols w:equalWidth="0" w:num="1">
            <w:col w:w="11661"/>
          </w:cols>
          <w:pgMar w:left="299" w:top="142" w:right="280" w:bottom="1440" w:gutter="0" w:footer="0" w:header="0"/>
        </w:sectPr>
      </w:pPr>
    </w:p>
    <w:bookmarkStart w:id="2" w:name="page3"/>
    <w:bookmarkEnd w:id="2"/>
    <w:tbl>
      <w:tblPr>
        <w:tblLayout w:type="fixed"/>
        <w:tblInd w:w="1" w:type="dxa"/>
        <w:tblCellMar>
          <w:top w:w="0" w:type="dxa"/>
          <w:left w:w="0" w:type="dxa"/>
          <w:bottom w:w="0" w:type="dxa"/>
          <w:right w:w="0" w:type="dxa"/>
        </w:tblCellMar>
      </w:tblPr>
      <w:tr>
        <w:trPr>
          <w:trHeight w:val="241"/>
        </w:trPr>
        <w:tc>
          <w:tcPr>
            <w:tcW w:w="4780" w:type="dxa"/>
            <w:vAlign w:val="bottom"/>
          </w:tcPr>
          <w:p>
            <w:pPr>
              <w:spacing w:after="0"/>
              <w:rPr>
                <w:sz w:val="20"/>
                <w:szCs w:val="20"/>
                <w:color w:val="auto"/>
              </w:rPr>
            </w:pPr>
            <w:r>
              <w:rPr>
                <w:rFonts w:ascii="Arial" w:cs="Arial" w:eastAsia="Arial" w:hAnsi="Arial"/>
                <w:sz w:val="19"/>
                <w:szCs w:val="19"/>
                <w:color w:val="auto"/>
              </w:rPr>
              <w:t>CUSIP No. 26210C 10 4</w:t>
            </w:r>
          </w:p>
        </w:tc>
        <w:tc>
          <w:tcPr>
            <w:tcW w:w="3720" w:type="dxa"/>
            <w:vAlign w:val="bottom"/>
          </w:tcPr>
          <w:p>
            <w:pPr>
              <w:ind w:left="1120"/>
              <w:spacing w:after="0"/>
              <w:rPr>
                <w:sz w:val="20"/>
                <w:szCs w:val="20"/>
                <w:color w:val="auto"/>
              </w:rPr>
            </w:pPr>
            <w:r>
              <w:rPr>
                <w:rFonts w:ascii="Arial" w:cs="Arial" w:eastAsia="Arial" w:hAnsi="Arial"/>
                <w:sz w:val="19"/>
                <w:szCs w:val="19"/>
                <w:color w:val="auto"/>
              </w:rPr>
              <w:t>13G</w:t>
            </w:r>
          </w:p>
        </w:tc>
        <w:tc>
          <w:tcPr>
            <w:tcW w:w="3160" w:type="dxa"/>
            <w:vAlign w:val="bottom"/>
          </w:tcPr>
          <w:p>
            <w:pPr>
              <w:ind w:left="2280"/>
              <w:spacing w:after="0"/>
              <w:rPr>
                <w:sz w:val="20"/>
                <w:szCs w:val="20"/>
                <w:color w:val="auto"/>
              </w:rPr>
            </w:pPr>
            <w:r>
              <w:rPr>
                <w:rFonts w:ascii="Arial" w:cs="Arial" w:eastAsia="Arial" w:hAnsi="Arial"/>
                <w:sz w:val="19"/>
                <w:szCs w:val="19"/>
                <w:color w:val="auto"/>
                <w:w w:val="88"/>
              </w:rPr>
              <w:t>Page 2 of 7</w:t>
            </w:r>
          </w:p>
        </w:tc>
      </w:tr>
      <w:tr>
        <w:trPr>
          <w:trHeight w:val="158"/>
        </w:trPr>
        <w:tc>
          <w:tcPr>
            <w:tcW w:w="478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tcPr>
          <w:p>
            <w:pPr>
              <w:spacing w:after="0"/>
              <w:rPr>
                <w:sz w:val="13"/>
                <w:szCs w:val="13"/>
                <w:color w:val="auto"/>
              </w:rPr>
            </w:pPr>
          </w:p>
        </w:tc>
        <w:tc>
          <w:tcPr>
            <w:tcW w:w="3160" w:type="dxa"/>
            <w:vAlign w:val="bottom"/>
            <w:tcBorders>
              <w:bottom w:val="single" w:sz="8" w:color="auto"/>
            </w:tcBorders>
          </w:tcPr>
          <w:p>
            <w:pPr>
              <w:spacing w:after="0"/>
              <w:rPr>
                <w:sz w:val="13"/>
                <w:szCs w:val="13"/>
                <w:color w:val="auto"/>
              </w:rPr>
            </w:pPr>
          </w:p>
        </w:tc>
      </w:tr>
      <w:tr>
        <w:trPr>
          <w:trHeight w:val="236"/>
        </w:trPr>
        <w:tc>
          <w:tcPr>
            <w:tcW w:w="4780" w:type="dxa"/>
            <w:vAlign w:val="bottom"/>
          </w:tcPr>
          <w:p>
            <w:pPr>
              <w:ind w:left="260"/>
              <w:spacing w:after="0"/>
              <w:rPr>
                <w:sz w:val="20"/>
                <w:szCs w:val="20"/>
                <w:color w:val="auto"/>
              </w:rPr>
            </w:pPr>
            <w:r>
              <w:rPr>
                <w:rFonts w:ascii="Arial" w:cs="Arial" w:eastAsia="Arial" w:hAnsi="Arial"/>
                <w:sz w:val="19"/>
                <w:szCs w:val="19"/>
                <w:color w:val="auto"/>
              </w:rPr>
              <w:t>1.   NAMES OF REPORTING PERSONS</w:t>
            </w:r>
          </w:p>
        </w:tc>
        <w:tc>
          <w:tcPr>
            <w:tcW w:w="3720" w:type="dxa"/>
            <w:vAlign w:val="bottom"/>
          </w:tcPr>
          <w:p>
            <w:pPr>
              <w:spacing w:after="0"/>
              <w:rPr>
                <w:sz w:val="20"/>
                <w:szCs w:val="20"/>
                <w:color w:val="auto"/>
              </w:rPr>
            </w:pPr>
          </w:p>
        </w:tc>
        <w:tc>
          <w:tcPr>
            <w:tcW w:w="3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68260" cy="40005"/>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-161925</wp:posOffset>
            </wp:positionV>
            <wp:extent cx="8890" cy="1783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83715"/>
                    </a:xfrm>
                    <a:prstGeom prst="rect">
                      <a:avLst/>
                    </a:prstGeom>
                    <a:noFill/>
                  </pic:spPr>
                </pic:pic>
              </a:graphicData>
            </a:graphic>
          </wp:anchor>
        </w:drawing>
        <w:drawing>
          <wp:anchor simplePos="0" relativeHeight="251657728" behindDoc="1" locked="0" layoutInCell="0" allowOverlap="1">
            <wp:simplePos x="0" y="0"/>
            <wp:positionH relativeFrom="column">
              <wp:posOffset>7389495</wp:posOffset>
            </wp:positionH>
            <wp:positionV relativeFrom="paragraph">
              <wp:posOffset>-161925</wp:posOffset>
            </wp:positionV>
            <wp:extent cx="8890" cy="55333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55333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-161925</wp:posOffset>
            </wp:positionV>
            <wp:extent cx="8890" cy="55333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5533390"/>
                    </a:xfrm>
                    <a:prstGeom prst="rect">
                      <a:avLst/>
                    </a:prstGeom>
                    <a:noFill/>
                  </pic:spPr>
                </pic:pic>
              </a:graphicData>
            </a:graphic>
          </wp:anchor>
        </w:drawing>
      </w:r>
    </w:p>
    <w:p>
      <w:pPr>
        <w:spacing w:after="0" w:line="200" w:lineRule="exact"/>
        <w:rPr>
          <w:sz w:val="20"/>
          <w:szCs w:val="20"/>
          <w:color w:val="auto"/>
        </w:rPr>
      </w:pPr>
    </w:p>
    <w:tbl>
      <w:tblPr>
        <w:tblLayout w:type="fixed"/>
        <w:tblInd w:w="1" w:type="dxa"/>
        <w:tblCellMar>
          <w:top w:w="0" w:type="dxa"/>
          <w:left w:w="0" w:type="dxa"/>
          <w:bottom w:w="0" w:type="dxa"/>
          <w:right w:w="0" w:type="dxa"/>
        </w:tblCellMar>
      </w:tblPr>
      <w:tr>
        <w:trPr>
          <w:trHeight w:val="293"/>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ind w:left="80"/>
              <w:spacing w:after="0"/>
              <w:rPr>
                <w:sz w:val="20"/>
                <w:szCs w:val="20"/>
                <w:color w:val="auto"/>
              </w:rPr>
            </w:pPr>
            <w:r>
              <w:rPr>
                <w:rFonts w:ascii="Arial" w:cs="Arial" w:eastAsia="Arial" w:hAnsi="Arial"/>
                <w:sz w:val="23"/>
                <w:szCs w:val="23"/>
                <w:color w:val="auto"/>
                <w:w w:val="95"/>
              </w:rPr>
              <w:t>Marc R. Benioff</w:t>
            </w: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60" w:type="dxa"/>
            <w:vAlign w:val="bottom"/>
          </w:tcPr>
          <w:p>
            <w:pPr>
              <w:jc w:val="right"/>
              <w:spacing w:after="0" w:line="175" w:lineRule="exact"/>
              <w:rPr>
                <w:sz w:val="20"/>
                <w:szCs w:val="20"/>
                <w:color w:val="auto"/>
              </w:rPr>
            </w:pPr>
            <w:r>
              <w:rPr>
                <w:rFonts w:ascii="Arial" w:cs="Arial" w:eastAsia="Arial" w:hAnsi="Arial"/>
                <w:sz w:val="19"/>
                <w:szCs w:val="19"/>
                <w:color w:val="auto"/>
              </w:rPr>
              <w:t>2.</w:t>
            </w:r>
          </w:p>
        </w:tc>
        <w:tc>
          <w:tcPr>
            <w:tcW w:w="160" w:type="dxa"/>
            <w:vAlign w:val="bottom"/>
          </w:tcPr>
          <w:p>
            <w:pPr>
              <w:spacing w:after="0"/>
              <w:rPr>
                <w:sz w:val="15"/>
                <w:szCs w:val="15"/>
                <w:color w:val="auto"/>
              </w:rPr>
            </w:pPr>
          </w:p>
        </w:tc>
        <w:tc>
          <w:tcPr>
            <w:tcW w:w="11040" w:type="dxa"/>
            <w:vAlign w:val="bottom"/>
            <w:gridSpan w:val="5"/>
          </w:tcPr>
          <w:p>
            <w:pPr>
              <w:ind w:left="80"/>
              <w:spacing w:after="0" w:line="175" w:lineRule="exact"/>
              <w:rPr>
                <w:sz w:val="20"/>
                <w:szCs w:val="20"/>
                <w:color w:val="auto"/>
              </w:rPr>
            </w:pPr>
            <w:r>
              <w:rPr>
                <w:rFonts w:ascii="Arial" w:cs="Arial" w:eastAsia="Arial" w:hAnsi="Arial"/>
                <w:sz w:val="19"/>
                <w:szCs w:val="19"/>
                <w:color w:val="auto"/>
              </w:rPr>
              <w:t>CHECK THE APPROPRIATE BOX IF A MEMBER OF A GROUP</w:t>
            </w:r>
          </w:p>
        </w:tc>
        <w:tc>
          <w:tcPr>
            <w:tcW w:w="0" w:type="dxa"/>
            <w:vAlign w:val="bottom"/>
          </w:tcPr>
          <w:p>
            <w:pPr>
              <w:spacing w:after="0"/>
              <w:rPr>
                <w:sz w:val="1"/>
                <w:szCs w:val="1"/>
                <w:color w:val="auto"/>
              </w:rPr>
            </w:pPr>
          </w:p>
        </w:tc>
      </w:tr>
      <w:tr>
        <w:trPr>
          <w:trHeight w:val="298"/>
        </w:trPr>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ind w:left="80"/>
              <w:spacing w:after="0" w:line="219" w:lineRule="exact"/>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p>
        </w:tc>
        <w:tc>
          <w:tcPr>
            <w:tcW w:w="720" w:type="dxa"/>
            <w:vAlign w:val="bottom"/>
            <w:gridSpan w:val="3"/>
          </w:tcPr>
          <w:p>
            <w:pPr>
              <w:jc w:val="center"/>
              <w:ind w:right="80"/>
              <w:spacing w:after="0" w:line="219" w:lineRule="exact"/>
              <w:rPr>
                <w:sz w:val="20"/>
                <w:szCs w:val="20"/>
                <w:color w:val="auto"/>
              </w:rPr>
            </w:pPr>
            <w:r>
              <w:rPr>
                <w:rFonts w:ascii="Arial" w:cs="Arial" w:eastAsia="Arial" w:hAnsi="Arial"/>
                <w:sz w:val="19"/>
                <w:szCs w:val="19"/>
                <w:color w:val="auto"/>
                <w:w w:val="99"/>
              </w:rPr>
              <w:t xml:space="preserve">(b) </w:t>
            </w:r>
            <w:r>
              <w:rPr>
                <w:rFonts w:ascii="MS PGothic" w:cs="MS PGothic" w:eastAsia="MS PGothic" w:hAnsi="MS PGothic"/>
                <w:sz w:val="19"/>
                <w:szCs w:val="19"/>
                <w:color w:val="auto"/>
                <w:w w:val="99"/>
              </w:rPr>
              <w:t>☒</w:t>
            </w:r>
            <w:r>
              <w:rPr>
                <w:rFonts w:ascii="Arial" w:cs="Arial" w:eastAsia="Arial" w:hAnsi="Arial"/>
                <w:sz w:val="16"/>
                <w:szCs w:val="16"/>
                <w:color w:val="auto"/>
                <w:w w:val="99"/>
              </w:rPr>
              <w:t>1</w:t>
            </w:r>
          </w:p>
        </w:tc>
        <w:tc>
          <w:tcPr>
            <w:tcW w:w="9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4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0" w:type="dxa"/>
            <w:vAlign w:val="bottom"/>
          </w:tcPr>
          <w:p>
            <w:pPr>
              <w:jc w:val="right"/>
              <w:spacing w:after="0"/>
              <w:rPr>
                <w:sz w:val="20"/>
                <w:szCs w:val="20"/>
                <w:color w:val="auto"/>
              </w:rPr>
            </w:pPr>
            <w:r>
              <w:rPr>
                <w:rFonts w:ascii="Arial" w:cs="Arial" w:eastAsia="Arial" w:hAnsi="Arial"/>
                <w:sz w:val="19"/>
                <w:szCs w:val="19"/>
                <w:color w:val="auto"/>
              </w:rPr>
              <w:t>3.</w:t>
            </w:r>
          </w:p>
        </w:tc>
        <w:tc>
          <w:tcPr>
            <w:tcW w:w="160" w:type="dxa"/>
            <w:vAlign w:val="bottom"/>
          </w:tcPr>
          <w:p>
            <w:pPr>
              <w:spacing w:after="0"/>
              <w:rPr>
                <w:sz w:val="20"/>
                <w:szCs w:val="20"/>
                <w:color w:val="auto"/>
              </w:rPr>
            </w:pPr>
          </w:p>
        </w:tc>
        <w:tc>
          <w:tcPr>
            <w:tcW w:w="1620" w:type="dxa"/>
            <w:vAlign w:val="bottom"/>
            <w:gridSpan w:val="4"/>
          </w:tcPr>
          <w:p>
            <w:pPr>
              <w:ind w:left="80"/>
              <w:spacing w:after="0"/>
              <w:rPr>
                <w:sz w:val="20"/>
                <w:szCs w:val="20"/>
                <w:color w:val="auto"/>
              </w:rPr>
            </w:pPr>
            <w:r>
              <w:rPr>
                <w:rFonts w:ascii="Arial" w:cs="Arial" w:eastAsia="Arial" w:hAnsi="Arial"/>
                <w:sz w:val="19"/>
                <w:szCs w:val="19"/>
                <w:color w:val="auto"/>
              </w:rPr>
              <w:t>SEC USE ONLY</w:t>
            </w:r>
          </w:p>
        </w:tc>
        <w:tc>
          <w:tcPr>
            <w:tcW w:w="9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4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500" w:type="dxa"/>
            <w:vAlign w:val="bottom"/>
            <w:tcBorders>
              <w:bottom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60" w:type="dxa"/>
            <w:vAlign w:val="bottom"/>
          </w:tcPr>
          <w:p>
            <w:pPr>
              <w:jc w:val="right"/>
              <w:spacing w:after="0"/>
              <w:rPr>
                <w:sz w:val="20"/>
                <w:szCs w:val="20"/>
                <w:color w:val="auto"/>
              </w:rPr>
            </w:pPr>
            <w:r>
              <w:rPr>
                <w:rFonts w:ascii="Arial" w:cs="Arial" w:eastAsia="Arial" w:hAnsi="Arial"/>
                <w:sz w:val="19"/>
                <w:szCs w:val="19"/>
                <w:color w:val="auto"/>
              </w:rPr>
              <w:t>4.</w:t>
            </w:r>
          </w:p>
        </w:tc>
        <w:tc>
          <w:tcPr>
            <w:tcW w:w="160" w:type="dxa"/>
            <w:vAlign w:val="bottom"/>
          </w:tcPr>
          <w:p>
            <w:pPr>
              <w:spacing w:after="0"/>
              <w:rPr>
                <w:sz w:val="20"/>
                <w:szCs w:val="20"/>
                <w:color w:val="auto"/>
              </w:rPr>
            </w:pPr>
          </w:p>
        </w:tc>
        <w:tc>
          <w:tcPr>
            <w:tcW w:w="11040" w:type="dxa"/>
            <w:vAlign w:val="bottom"/>
            <w:gridSpan w:val="5"/>
          </w:tcPr>
          <w:p>
            <w:pPr>
              <w:ind w:left="80"/>
              <w:spacing w:after="0"/>
              <w:rPr>
                <w:sz w:val="20"/>
                <w:szCs w:val="20"/>
                <w:color w:val="auto"/>
              </w:rPr>
            </w:pPr>
            <w:r>
              <w:rPr>
                <w:rFonts w:ascii="Arial" w:cs="Arial" w:eastAsia="Arial" w:hAnsi="Arial"/>
                <w:sz w:val="19"/>
                <w:szCs w:val="19"/>
                <w:color w:val="auto"/>
              </w:rPr>
              <w:t>CITIZENSHIP OR PLACE OF ORGANIZATION</w:t>
            </w:r>
          </w:p>
        </w:tc>
        <w:tc>
          <w:tcPr>
            <w:tcW w:w="0" w:type="dxa"/>
            <w:vAlign w:val="bottom"/>
          </w:tcPr>
          <w:p>
            <w:pPr>
              <w:spacing w:after="0"/>
              <w:rPr>
                <w:sz w:val="1"/>
                <w:szCs w:val="1"/>
                <w:color w:val="auto"/>
              </w:rPr>
            </w:pPr>
          </w:p>
        </w:tc>
      </w:tr>
      <w:tr>
        <w:trPr>
          <w:trHeight w:val="513"/>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40" w:type="dxa"/>
            <w:vAlign w:val="bottom"/>
            <w:tcBorders>
              <w:bottom w:val="single" w:sz="8" w:color="auto"/>
            </w:tcBorders>
            <w:gridSpan w:val="5"/>
          </w:tcPr>
          <w:p>
            <w:pPr>
              <w:ind w:left="80"/>
              <w:spacing w:after="0"/>
              <w:rPr>
                <w:sz w:val="20"/>
                <w:szCs w:val="20"/>
                <w:color w:val="auto"/>
              </w:rPr>
            </w:pPr>
            <w:r>
              <w:rPr>
                <w:rFonts w:ascii="Arial" w:cs="Arial" w:eastAsia="Arial" w:hAnsi="Arial"/>
                <w:sz w:val="23"/>
                <w:szCs w:val="23"/>
                <w:color w:val="auto"/>
              </w:rPr>
              <w:t>United States of America</w:t>
            </w: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480" w:type="dxa"/>
            <w:vAlign w:val="bottom"/>
            <w:tcBorders>
              <w:right w:val="single" w:sz="8" w:color="auto"/>
            </w:tcBorders>
          </w:tcPr>
          <w:p>
            <w:pPr>
              <w:jc w:val="center"/>
              <w:ind w:right="5"/>
              <w:spacing w:after="0"/>
              <w:rPr>
                <w:sz w:val="20"/>
                <w:szCs w:val="20"/>
                <w:color w:val="auto"/>
              </w:rPr>
            </w:pPr>
            <w:r>
              <w:rPr>
                <w:rFonts w:ascii="Arial" w:cs="Arial" w:eastAsia="Arial" w:hAnsi="Arial"/>
                <w:sz w:val="19"/>
                <w:szCs w:val="19"/>
                <w:color w:val="auto"/>
                <w:w w:val="88"/>
              </w:rPr>
              <w:t>5.</w:t>
            </w:r>
          </w:p>
        </w:tc>
        <w:tc>
          <w:tcPr>
            <w:tcW w:w="80" w:type="dxa"/>
            <w:vAlign w:val="bottom"/>
          </w:tcPr>
          <w:p>
            <w:pPr>
              <w:spacing w:after="0"/>
              <w:rPr>
                <w:sz w:val="20"/>
                <w:szCs w:val="20"/>
                <w:color w:val="auto"/>
              </w:rPr>
            </w:pPr>
          </w:p>
        </w:tc>
        <w:tc>
          <w:tcPr>
            <w:tcW w:w="9420" w:type="dxa"/>
            <w:vAlign w:val="bottom"/>
          </w:tcPr>
          <w:p>
            <w:pPr>
              <w:ind w:left="20"/>
              <w:spacing w:after="0"/>
              <w:rPr>
                <w:sz w:val="20"/>
                <w:szCs w:val="20"/>
                <w:color w:val="auto"/>
              </w:rPr>
            </w:pPr>
            <w:r>
              <w:rPr>
                <w:rFonts w:ascii="Arial" w:cs="Arial" w:eastAsia="Arial" w:hAnsi="Arial"/>
                <w:sz w:val="19"/>
                <w:szCs w:val="19"/>
                <w:color w:val="auto"/>
              </w:rPr>
              <w:t>SOLE VOTING POWER</w:t>
            </w:r>
          </w:p>
        </w:tc>
        <w:tc>
          <w:tcPr>
            <w:tcW w:w="0" w:type="dxa"/>
            <w:vAlign w:val="bottom"/>
          </w:tcPr>
          <w:p>
            <w:pPr>
              <w:spacing w:after="0"/>
              <w:rPr>
                <w:sz w:val="1"/>
                <w:szCs w:val="1"/>
                <w:color w:val="auto"/>
              </w:rPr>
            </w:pPr>
          </w:p>
        </w:tc>
      </w:tr>
      <w:tr>
        <w:trPr>
          <w:trHeight w:val="513"/>
        </w:trPr>
        <w:tc>
          <w:tcPr>
            <w:tcW w:w="1520" w:type="dxa"/>
            <w:vAlign w:val="bottom"/>
            <w:gridSpan w:val="3"/>
            <w:vMerge w:val="restart"/>
          </w:tcPr>
          <w:p>
            <w:pPr>
              <w:jc w:val="center"/>
              <w:ind w:left="225"/>
              <w:spacing w:after="0"/>
              <w:rPr>
                <w:sz w:val="20"/>
                <w:szCs w:val="20"/>
                <w:color w:val="auto"/>
              </w:rPr>
            </w:pPr>
            <w:r>
              <w:rPr>
                <w:rFonts w:ascii="Arial" w:cs="Arial" w:eastAsia="Arial" w:hAnsi="Arial"/>
                <w:sz w:val="19"/>
                <w:szCs w:val="19"/>
                <w:b w:val="1"/>
                <w:bCs w:val="1"/>
                <w:color w:val="auto"/>
              </w:rPr>
              <w:t>NUMBER OF</w:t>
            </w:r>
          </w:p>
        </w:tc>
        <w:tc>
          <w:tcPr>
            <w:tcW w:w="160" w:type="dxa"/>
            <w:vAlign w:val="bottom"/>
            <w:tcBorders>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ind w:left="20"/>
              <w:spacing w:after="0"/>
              <w:rPr>
                <w:sz w:val="20"/>
                <w:szCs w:val="20"/>
                <w:color w:val="auto"/>
              </w:rPr>
            </w:pPr>
            <w:r>
              <w:rPr>
                <w:rFonts w:ascii="Arial" w:cs="Arial" w:eastAsia="Arial" w:hAnsi="Arial"/>
                <w:sz w:val="23"/>
                <w:szCs w:val="23"/>
                <w:color w:val="auto"/>
              </w:rPr>
              <w:t>139,037</w:t>
            </w: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47"/>
        </w:trPr>
        <w:tc>
          <w:tcPr>
            <w:tcW w:w="1520" w:type="dxa"/>
            <w:vAlign w:val="bottom"/>
            <w:gridSpan w:val="3"/>
            <w:vMerge w:val="continue"/>
          </w:tcPr>
          <w:p>
            <w:pPr>
              <w:spacing w:after="0"/>
              <w:rPr>
                <w:sz w:val="4"/>
                <w:szCs w:val="4"/>
                <w:color w:val="auto"/>
              </w:rPr>
            </w:pPr>
          </w:p>
        </w:tc>
        <w:tc>
          <w:tcPr>
            <w:tcW w:w="160" w:type="dxa"/>
            <w:vAlign w:val="bottom"/>
            <w:tcBorders>
              <w:right w:val="single" w:sz="8" w:color="auto"/>
            </w:tcBorders>
          </w:tcPr>
          <w:p>
            <w:pPr>
              <w:spacing w:after="0"/>
              <w:rPr>
                <w:sz w:val="4"/>
                <w:szCs w:val="4"/>
                <w:color w:val="auto"/>
              </w:rPr>
            </w:pPr>
          </w:p>
        </w:tc>
        <w:tc>
          <w:tcPr>
            <w:tcW w:w="480" w:type="dxa"/>
            <w:vAlign w:val="bottom"/>
            <w:tcBorders>
              <w:right w:val="single" w:sz="8" w:color="auto"/>
            </w:tcBorders>
            <w:vMerge w:val="restart"/>
          </w:tcPr>
          <w:p>
            <w:pPr>
              <w:jc w:val="center"/>
              <w:ind w:right="5"/>
              <w:spacing w:after="0"/>
              <w:rPr>
                <w:sz w:val="20"/>
                <w:szCs w:val="20"/>
                <w:color w:val="auto"/>
              </w:rPr>
            </w:pPr>
            <w:r>
              <w:rPr>
                <w:rFonts w:ascii="Arial" w:cs="Arial" w:eastAsia="Arial" w:hAnsi="Arial"/>
                <w:sz w:val="19"/>
                <w:szCs w:val="19"/>
                <w:color w:val="auto"/>
                <w:w w:val="88"/>
              </w:rPr>
              <w:t>6.</w:t>
            </w:r>
          </w:p>
        </w:tc>
        <w:tc>
          <w:tcPr>
            <w:tcW w:w="80" w:type="dxa"/>
            <w:vAlign w:val="bottom"/>
          </w:tcPr>
          <w:p>
            <w:pPr>
              <w:spacing w:after="0"/>
              <w:rPr>
                <w:sz w:val="4"/>
                <w:szCs w:val="4"/>
                <w:color w:val="auto"/>
              </w:rPr>
            </w:pPr>
          </w:p>
        </w:tc>
        <w:tc>
          <w:tcPr>
            <w:tcW w:w="9420" w:type="dxa"/>
            <w:vAlign w:val="bottom"/>
            <w:vMerge w:val="restart"/>
          </w:tcPr>
          <w:p>
            <w:pPr>
              <w:ind w:left="2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1060" w:type="dxa"/>
            <w:vAlign w:val="bottom"/>
            <w:gridSpan w:val="2"/>
            <w:vMerge w:val="restart"/>
          </w:tcPr>
          <w:p>
            <w:pPr>
              <w:jc w:val="center"/>
              <w:ind w:right="39"/>
              <w:spacing w:after="0"/>
              <w:rPr>
                <w:sz w:val="20"/>
                <w:szCs w:val="20"/>
                <w:color w:val="auto"/>
              </w:rPr>
            </w:pPr>
            <w:r>
              <w:rPr>
                <w:rFonts w:ascii="Arial" w:cs="Arial" w:eastAsia="Arial" w:hAnsi="Arial"/>
                <w:sz w:val="19"/>
                <w:szCs w:val="19"/>
                <w:b w:val="1"/>
                <w:bCs w:val="1"/>
                <w:color w:val="auto"/>
                <w:w w:val="95"/>
              </w:rPr>
              <w:t>SHARES</w:t>
            </w:r>
          </w:p>
        </w:tc>
        <w:tc>
          <w:tcPr>
            <w:tcW w:w="160" w:type="dxa"/>
            <w:vAlign w:val="bottom"/>
            <w:tcBorders>
              <w:right w:val="single" w:sz="8" w:color="auto"/>
            </w:tcBorders>
          </w:tcPr>
          <w:p>
            <w:pPr>
              <w:spacing w:after="0"/>
              <w:rPr>
                <w:sz w:val="16"/>
                <w:szCs w:val="16"/>
                <w:color w:val="auto"/>
              </w:rPr>
            </w:pPr>
          </w:p>
        </w:tc>
        <w:tc>
          <w:tcPr>
            <w:tcW w:w="480" w:type="dxa"/>
            <w:vAlign w:val="bottom"/>
            <w:tcBorders>
              <w:right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6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4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680" w:type="dxa"/>
            <w:vAlign w:val="bottom"/>
            <w:tcBorders>
              <w:right w:val="single" w:sz="8" w:color="auto"/>
            </w:tcBorders>
            <w:gridSpan w:val="4"/>
          </w:tcPr>
          <w:p>
            <w:pPr>
              <w:jc w:val="center"/>
              <w:ind w:left="85"/>
              <w:spacing w:after="0"/>
              <w:rPr>
                <w:sz w:val="20"/>
                <w:szCs w:val="20"/>
                <w:color w:val="auto"/>
              </w:rPr>
            </w:pPr>
            <w:r>
              <w:rPr>
                <w:rFonts w:ascii="Arial" w:cs="Arial" w:eastAsia="Arial" w:hAnsi="Arial"/>
                <w:sz w:val="19"/>
                <w:szCs w:val="19"/>
                <w:b w:val="1"/>
                <w:bCs w:val="1"/>
                <w:color w:val="auto"/>
              </w:rPr>
              <w:t>BENEFICIALLY</w:t>
            </w:r>
          </w:p>
        </w:tc>
        <w:tc>
          <w:tcPr>
            <w:tcW w:w="4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420" w:type="dxa"/>
            <w:vAlign w:val="bottom"/>
            <w:vMerge w:val="restart"/>
          </w:tcPr>
          <w:p>
            <w:pPr>
              <w:ind w:left="20"/>
              <w:spacing w:after="0"/>
              <w:rPr>
                <w:sz w:val="20"/>
                <w:szCs w:val="20"/>
                <w:color w:val="auto"/>
              </w:rPr>
            </w:pPr>
            <w:r>
              <w:rPr>
                <w:rFonts w:ascii="Arial" w:cs="Arial" w:eastAsia="Arial" w:hAnsi="Arial"/>
                <w:sz w:val="23"/>
                <w:szCs w:val="23"/>
                <w:color w:val="auto"/>
              </w:rPr>
              <w:t>4,938,567</w:t>
            </w:r>
            <w:r>
              <w:rPr>
                <w:rFonts w:ascii="Arial" w:cs="Arial" w:eastAsia="Arial" w:hAnsi="Arial"/>
                <w:sz w:val="19"/>
                <w:szCs w:val="19"/>
                <w:color w:val="auto"/>
              </w:rPr>
              <w:t>3</w:t>
            </w:r>
          </w:p>
        </w:tc>
        <w:tc>
          <w:tcPr>
            <w:tcW w:w="0" w:type="dxa"/>
            <w:vAlign w:val="bottom"/>
          </w:tcPr>
          <w:p>
            <w:pPr>
              <w:spacing w:after="0"/>
              <w:rPr>
                <w:sz w:val="1"/>
                <w:szCs w:val="1"/>
                <w:color w:val="auto"/>
              </w:rPr>
            </w:pPr>
          </w:p>
        </w:tc>
      </w:tr>
      <w:tr>
        <w:trPr>
          <w:trHeight w:val="247"/>
        </w:trPr>
        <w:tc>
          <w:tcPr>
            <w:tcW w:w="1520" w:type="dxa"/>
            <w:vAlign w:val="bottom"/>
            <w:gridSpan w:val="3"/>
          </w:tcPr>
          <w:p>
            <w:pPr>
              <w:jc w:val="center"/>
              <w:ind w:left="225"/>
              <w:spacing w:after="0"/>
              <w:rPr>
                <w:sz w:val="20"/>
                <w:szCs w:val="20"/>
                <w:color w:val="auto"/>
              </w:rPr>
            </w:pPr>
            <w:r>
              <w:rPr>
                <w:rFonts w:ascii="Arial" w:cs="Arial" w:eastAsia="Arial" w:hAnsi="Arial"/>
                <w:sz w:val="19"/>
                <w:szCs w:val="19"/>
                <w:b w:val="1"/>
                <w:bCs w:val="1"/>
                <w:color w:val="auto"/>
                <w:w w:val="99"/>
              </w:rPr>
              <w:t>OWNED BY</w:t>
            </w:r>
          </w:p>
        </w:tc>
        <w:tc>
          <w:tcPr>
            <w:tcW w:w="160" w:type="dxa"/>
            <w:vAlign w:val="bottom"/>
            <w:tcBorders>
              <w:right w:val="single" w:sz="8" w:color="auto"/>
            </w:tcBorders>
          </w:tcPr>
          <w:p>
            <w:pPr>
              <w:spacing w:after="0"/>
              <w:rPr>
                <w:sz w:val="21"/>
                <w:szCs w:val="21"/>
                <w:color w:val="auto"/>
              </w:rPr>
            </w:pPr>
          </w:p>
        </w:tc>
        <w:tc>
          <w:tcPr>
            <w:tcW w:w="48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4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ind w:right="199"/>
              <w:spacing w:after="0" w:line="189" w:lineRule="exact"/>
              <w:rPr>
                <w:sz w:val="20"/>
                <w:szCs w:val="20"/>
                <w:color w:val="auto"/>
              </w:rPr>
            </w:pPr>
            <w:r>
              <w:rPr>
                <w:rFonts w:ascii="Arial" w:cs="Arial" w:eastAsia="Arial" w:hAnsi="Arial"/>
                <w:sz w:val="19"/>
                <w:szCs w:val="19"/>
                <w:b w:val="1"/>
                <w:bCs w:val="1"/>
                <w:color w:val="auto"/>
              </w:rPr>
              <w:t>EACH</w:t>
            </w:r>
          </w:p>
        </w:tc>
        <w:tc>
          <w:tcPr>
            <w:tcW w:w="160" w:type="dxa"/>
            <w:vAlign w:val="bottom"/>
            <w:tcBorders>
              <w:right w:val="single" w:sz="8" w:color="auto"/>
            </w:tcBorders>
          </w:tcPr>
          <w:p>
            <w:pPr>
              <w:spacing w:after="0"/>
              <w:rPr>
                <w:sz w:val="16"/>
                <w:szCs w:val="16"/>
                <w:color w:val="auto"/>
              </w:rPr>
            </w:pPr>
          </w:p>
        </w:tc>
        <w:tc>
          <w:tcPr>
            <w:tcW w:w="480" w:type="dxa"/>
            <w:vAlign w:val="bottom"/>
            <w:tcBorders>
              <w:right w:val="single" w:sz="8" w:color="auto"/>
            </w:tcBorders>
          </w:tcPr>
          <w:p>
            <w:pPr>
              <w:jc w:val="center"/>
              <w:ind w:right="5"/>
              <w:spacing w:after="0" w:line="189" w:lineRule="exact"/>
              <w:rPr>
                <w:sz w:val="20"/>
                <w:szCs w:val="20"/>
                <w:color w:val="auto"/>
              </w:rPr>
            </w:pPr>
            <w:r>
              <w:rPr>
                <w:rFonts w:ascii="Arial" w:cs="Arial" w:eastAsia="Arial" w:hAnsi="Arial"/>
                <w:sz w:val="19"/>
                <w:szCs w:val="19"/>
                <w:color w:val="auto"/>
                <w:w w:val="88"/>
              </w:rPr>
              <w:t>7.</w:t>
            </w:r>
          </w:p>
        </w:tc>
        <w:tc>
          <w:tcPr>
            <w:tcW w:w="80" w:type="dxa"/>
            <w:vAlign w:val="bottom"/>
          </w:tcPr>
          <w:p>
            <w:pPr>
              <w:spacing w:after="0"/>
              <w:rPr>
                <w:sz w:val="16"/>
                <w:szCs w:val="16"/>
                <w:color w:val="auto"/>
              </w:rPr>
            </w:pPr>
          </w:p>
        </w:tc>
        <w:tc>
          <w:tcPr>
            <w:tcW w:w="9420" w:type="dxa"/>
            <w:vAlign w:val="bottom"/>
          </w:tcPr>
          <w:p>
            <w:pPr>
              <w:ind w:left="20"/>
              <w:spacing w:after="0" w:line="189" w:lineRule="exact"/>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228"/>
        </w:trPr>
        <w:tc>
          <w:tcPr>
            <w:tcW w:w="1520" w:type="dxa"/>
            <w:vAlign w:val="bottom"/>
            <w:gridSpan w:val="3"/>
          </w:tcPr>
          <w:p>
            <w:pPr>
              <w:jc w:val="center"/>
              <w:ind w:left="205"/>
              <w:spacing w:after="0"/>
              <w:rPr>
                <w:sz w:val="20"/>
                <w:szCs w:val="20"/>
                <w:color w:val="auto"/>
              </w:rPr>
            </w:pPr>
            <w:r>
              <w:rPr>
                <w:rFonts w:ascii="Arial" w:cs="Arial" w:eastAsia="Arial" w:hAnsi="Arial"/>
                <w:sz w:val="19"/>
                <w:szCs w:val="19"/>
                <w:b w:val="1"/>
                <w:bCs w:val="1"/>
                <w:color w:val="auto"/>
              </w:rPr>
              <w:t>REPORTING</w:t>
            </w:r>
          </w:p>
        </w:tc>
        <w:tc>
          <w:tcPr>
            <w:tcW w:w="1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sz w:val="22"/>
                <w:szCs w:val="22"/>
                <w:color w:val="auto"/>
              </w:rPr>
            </w:pPr>
          </w:p>
        </w:tc>
        <w:tc>
          <w:tcPr>
            <w:tcW w:w="1060" w:type="dxa"/>
            <w:vAlign w:val="bottom"/>
            <w:gridSpan w:val="2"/>
          </w:tcPr>
          <w:p>
            <w:pPr>
              <w:jc w:val="center"/>
              <w:ind w:right="39"/>
              <w:spacing w:after="0"/>
              <w:rPr>
                <w:sz w:val="20"/>
                <w:szCs w:val="20"/>
                <w:color w:val="auto"/>
              </w:rPr>
            </w:pPr>
            <w:r>
              <w:rPr>
                <w:rFonts w:ascii="Arial" w:cs="Arial" w:eastAsia="Arial" w:hAnsi="Arial"/>
                <w:sz w:val="19"/>
                <w:szCs w:val="19"/>
                <w:b w:val="1"/>
                <w:bCs w:val="1"/>
                <w:color w:val="auto"/>
                <w:w w:val="94"/>
              </w:rPr>
              <w:t>PERSON</w:t>
            </w:r>
          </w:p>
        </w:tc>
        <w:tc>
          <w:tcPr>
            <w:tcW w:w="160" w:type="dxa"/>
            <w:vAlign w:val="bottom"/>
            <w:tcBorders>
              <w:right w:val="single" w:sz="8" w:color="auto"/>
            </w:tcBorders>
          </w:tcPr>
          <w:p>
            <w:pPr>
              <w:spacing w:after="0"/>
              <w:rPr>
                <w:sz w:val="22"/>
                <w:szCs w:val="22"/>
                <w:color w:val="auto"/>
              </w:rPr>
            </w:pPr>
          </w:p>
        </w:tc>
        <w:tc>
          <w:tcPr>
            <w:tcW w:w="48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420" w:type="dxa"/>
            <w:vAlign w:val="bottom"/>
          </w:tcPr>
          <w:p>
            <w:pPr>
              <w:ind w:left="20"/>
              <w:spacing w:after="0" w:line="263" w:lineRule="exact"/>
              <w:rPr>
                <w:sz w:val="20"/>
                <w:szCs w:val="20"/>
                <w:color w:val="auto"/>
              </w:rPr>
            </w:pPr>
            <w:r>
              <w:rPr>
                <w:rFonts w:ascii="Arial" w:cs="Arial" w:eastAsia="Arial" w:hAnsi="Arial"/>
                <w:sz w:val="23"/>
                <w:szCs w:val="23"/>
                <w:color w:val="auto"/>
              </w:rPr>
              <w:t>139,037</w:t>
            </w: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71"/>
        </w:trPr>
        <w:tc>
          <w:tcPr>
            <w:tcW w:w="460" w:type="dxa"/>
            <w:vAlign w:val="bottom"/>
          </w:tcPr>
          <w:p>
            <w:pPr>
              <w:spacing w:after="0"/>
              <w:rPr>
                <w:sz w:val="6"/>
                <w:szCs w:val="6"/>
                <w:color w:val="auto"/>
              </w:rPr>
            </w:pPr>
          </w:p>
        </w:tc>
        <w:tc>
          <w:tcPr>
            <w:tcW w:w="160" w:type="dxa"/>
            <w:vAlign w:val="bottom"/>
            <w:vMerge w:val="restart"/>
          </w:tcPr>
          <w:p>
            <w:pPr>
              <w:spacing w:after="0"/>
              <w:rPr>
                <w:sz w:val="6"/>
                <w:szCs w:val="6"/>
                <w:color w:val="auto"/>
              </w:rPr>
            </w:pPr>
          </w:p>
        </w:tc>
        <w:tc>
          <w:tcPr>
            <w:tcW w:w="900" w:type="dxa"/>
            <w:vAlign w:val="bottom"/>
            <w:vMerge w:val="restart"/>
          </w:tcPr>
          <w:p>
            <w:pPr>
              <w:jc w:val="center"/>
              <w:ind w:right="199"/>
              <w:spacing w:after="0"/>
              <w:rPr>
                <w:sz w:val="20"/>
                <w:szCs w:val="20"/>
                <w:color w:val="auto"/>
              </w:rPr>
            </w:pPr>
            <w:r>
              <w:rPr>
                <w:rFonts w:ascii="Arial" w:cs="Arial" w:eastAsia="Arial" w:hAnsi="Arial"/>
                <w:sz w:val="19"/>
                <w:szCs w:val="19"/>
                <w:b w:val="1"/>
                <w:bCs w:val="1"/>
                <w:color w:val="auto"/>
              </w:rPr>
              <w:t>WITH:</w:t>
            </w:r>
          </w:p>
        </w:tc>
        <w:tc>
          <w:tcPr>
            <w:tcW w:w="160" w:type="dxa"/>
            <w:vAlign w:val="bottom"/>
            <w:tcBorders>
              <w:right w:val="single" w:sz="8" w:color="auto"/>
            </w:tcBorders>
          </w:tcPr>
          <w:p>
            <w:pPr>
              <w:spacing w:after="0"/>
              <w:rPr>
                <w:sz w:val="6"/>
                <w:szCs w:val="6"/>
                <w:color w:val="auto"/>
              </w:rPr>
            </w:pPr>
          </w:p>
        </w:tc>
        <w:tc>
          <w:tcPr>
            <w:tcW w:w="4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4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vMerge w:val="restart"/>
          </w:tcPr>
          <w:p>
            <w:pPr>
              <w:jc w:val="center"/>
              <w:ind w:right="5"/>
              <w:spacing w:after="0"/>
              <w:rPr>
                <w:sz w:val="20"/>
                <w:szCs w:val="20"/>
                <w:color w:val="auto"/>
              </w:rPr>
            </w:pPr>
            <w:r>
              <w:rPr>
                <w:rFonts w:ascii="Arial" w:cs="Arial" w:eastAsia="Arial" w:hAnsi="Arial"/>
                <w:sz w:val="19"/>
                <w:szCs w:val="19"/>
                <w:color w:val="auto"/>
                <w:w w:val="88"/>
              </w:rPr>
              <w:t>8.</w:t>
            </w:r>
          </w:p>
        </w:tc>
        <w:tc>
          <w:tcPr>
            <w:tcW w:w="80" w:type="dxa"/>
            <w:vAlign w:val="bottom"/>
          </w:tcPr>
          <w:p>
            <w:pPr>
              <w:spacing w:after="0"/>
              <w:rPr>
                <w:sz w:val="13"/>
                <w:szCs w:val="13"/>
                <w:color w:val="auto"/>
              </w:rPr>
            </w:pPr>
          </w:p>
        </w:tc>
        <w:tc>
          <w:tcPr>
            <w:tcW w:w="9420" w:type="dxa"/>
            <w:vAlign w:val="bottom"/>
            <w:vMerge w:val="restart"/>
          </w:tcPr>
          <w:p>
            <w:pPr>
              <w:ind w:left="20"/>
              <w:spacing w:after="0"/>
              <w:rPr>
                <w:sz w:val="20"/>
                <w:szCs w:val="20"/>
                <w:color w:val="auto"/>
              </w:rPr>
            </w:pPr>
            <w:r>
              <w:rPr>
                <w:rFonts w:ascii="Arial" w:cs="Arial" w:eastAsia="Arial" w:hAnsi="Arial"/>
                <w:sz w:val="19"/>
                <w:szCs w:val="19"/>
                <w:color w:val="auto"/>
              </w:rPr>
              <w:t>SHARED DISPOSITIVE POWER</w:t>
            </w:r>
          </w:p>
        </w:tc>
        <w:tc>
          <w:tcPr>
            <w:tcW w:w="0" w:type="dxa"/>
            <w:vAlign w:val="bottom"/>
          </w:tcPr>
          <w:p>
            <w:pPr>
              <w:spacing w:after="0"/>
              <w:rPr>
                <w:sz w:val="1"/>
                <w:szCs w:val="1"/>
                <w:color w:val="auto"/>
              </w:rPr>
            </w:pPr>
          </w:p>
        </w:tc>
      </w:tr>
      <w:tr>
        <w:trPr>
          <w:trHeight w:val="80"/>
        </w:trPr>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48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9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13"/>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ind w:left="20"/>
              <w:spacing w:after="0"/>
              <w:rPr>
                <w:sz w:val="20"/>
                <w:szCs w:val="20"/>
                <w:color w:val="auto"/>
              </w:rPr>
            </w:pPr>
            <w:r>
              <w:rPr>
                <w:rFonts w:ascii="Arial" w:cs="Arial" w:eastAsia="Arial" w:hAnsi="Arial"/>
                <w:sz w:val="23"/>
                <w:szCs w:val="23"/>
                <w:color w:val="auto"/>
              </w:rPr>
              <w:t>4,938,567</w:t>
            </w:r>
            <w:r>
              <w:rPr>
                <w:rFonts w:ascii="Arial" w:cs="Arial" w:eastAsia="Arial" w:hAnsi="Arial"/>
                <w:sz w:val="19"/>
                <w:szCs w:val="19"/>
                <w:color w:val="auto"/>
              </w:rPr>
              <w:t>3</w:t>
            </w:r>
          </w:p>
        </w:tc>
        <w:tc>
          <w:tcPr>
            <w:tcW w:w="0" w:type="dxa"/>
            <w:vAlign w:val="bottom"/>
          </w:tcPr>
          <w:p>
            <w:pPr>
              <w:spacing w:after="0"/>
              <w:rPr>
                <w:sz w:val="1"/>
                <w:szCs w:val="1"/>
                <w:color w:val="auto"/>
              </w:rPr>
            </w:pPr>
          </w:p>
        </w:tc>
      </w:tr>
      <w:tr>
        <w:trPr>
          <w:trHeight w:val="237"/>
        </w:trPr>
        <w:tc>
          <w:tcPr>
            <w:tcW w:w="460" w:type="dxa"/>
            <w:vAlign w:val="bottom"/>
          </w:tcPr>
          <w:p>
            <w:pPr>
              <w:jc w:val="right"/>
              <w:spacing w:after="0"/>
              <w:rPr>
                <w:sz w:val="20"/>
                <w:szCs w:val="20"/>
                <w:color w:val="auto"/>
              </w:rPr>
            </w:pPr>
            <w:r>
              <w:rPr>
                <w:rFonts w:ascii="Arial" w:cs="Arial" w:eastAsia="Arial" w:hAnsi="Arial"/>
                <w:sz w:val="19"/>
                <w:szCs w:val="19"/>
                <w:color w:val="auto"/>
              </w:rPr>
              <w:t>9.</w:t>
            </w:r>
          </w:p>
        </w:tc>
        <w:tc>
          <w:tcPr>
            <w:tcW w:w="160" w:type="dxa"/>
            <w:vAlign w:val="bottom"/>
            <w:tcBorders>
              <w:right w:val="single" w:sz="8" w:color="auto"/>
            </w:tcBorders>
          </w:tcPr>
          <w:p>
            <w:pPr>
              <w:spacing w:after="0"/>
              <w:rPr>
                <w:sz w:val="20"/>
                <w:szCs w:val="20"/>
                <w:color w:val="auto"/>
              </w:rPr>
            </w:pPr>
          </w:p>
        </w:tc>
        <w:tc>
          <w:tcPr>
            <w:tcW w:w="11040" w:type="dxa"/>
            <w:vAlign w:val="bottom"/>
            <w:gridSpan w:val="5"/>
          </w:tcPr>
          <w:p>
            <w:pPr>
              <w:ind w:left="80"/>
              <w:spacing w:after="0"/>
              <w:rPr>
                <w:sz w:val="20"/>
                <w:szCs w:val="20"/>
                <w:color w:val="auto"/>
              </w:rPr>
            </w:pPr>
            <w:r>
              <w:rPr>
                <w:rFonts w:ascii="Arial" w:cs="Arial" w:eastAsia="Arial" w:hAnsi="Arial"/>
                <w:sz w:val="19"/>
                <w:szCs w:val="19"/>
                <w:color w:val="auto"/>
              </w:rPr>
              <w:t>AGGREGATE AMOUNT BENEFICIALLY OWNED BY EACH REPORTING PERSON</w:t>
            </w:r>
          </w:p>
        </w:tc>
        <w:tc>
          <w:tcPr>
            <w:tcW w:w="0" w:type="dxa"/>
            <w:vAlign w:val="bottom"/>
          </w:tcPr>
          <w:p>
            <w:pPr>
              <w:spacing w:after="0"/>
              <w:rPr>
                <w:sz w:val="1"/>
                <w:szCs w:val="1"/>
                <w:color w:val="auto"/>
              </w:rPr>
            </w:pPr>
          </w:p>
        </w:tc>
      </w:tr>
      <w:tr>
        <w:trPr>
          <w:trHeight w:val="513"/>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gridSpan w:val="3"/>
          </w:tcPr>
          <w:p>
            <w:pPr>
              <w:ind w:left="80"/>
              <w:spacing w:after="0"/>
              <w:rPr>
                <w:sz w:val="20"/>
                <w:szCs w:val="20"/>
                <w:color w:val="auto"/>
              </w:rPr>
            </w:pPr>
            <w:r>
              <w:rPr>
                <w:rFonts w:ascii="Arial" w:cs="Arial" w:eastAsia="Arial" w:hAnsi="Arial"/>
                <w:sz w:val="23"/>
                <w:szCs w:val="23"/>
                <w:color w:val="auto"/>
              </w:rPr>
              <w:t>5,077,604</w:t>
            </w:r>
            <w:r>
              <w:rPr>
                <w:rFonts w:ascii="Arial" w:cs="Arial" w:eastAsia="Arial" w:hAnsi="Arial"/>
                <w:sz w:val="19"/>
                <w:szCs w:val="19"/>
                <w:color w:val="auto"/>
              </w:rPr>
              <w:t>2</w:t>
            </w:r>
          </w:p>
        </w:tc>
        <w:tc>
          <w:tcPr>
            <w:tcW w:w="8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60" w:type="dxa"/>
            <w:vAlign w:val="bottom"/>
          </w:tcPr>
          <w:p>
            <w:pPr>
              <w:jc w:val="right"/>
              <w:spacing w:after="0"/>
              <w:rPr>
                <w:sz w:val="20"/>
                <w:szCs w:val="20"/>
                <w:color w:val="auto"/>
              </w:rPr>
            </w:pPr>
            <w:r>
              <w:rPr>
                <w:rFonts w:ascii="Arial" w:cs="Arial" w:eastAsia="Arial" w:hAnsi="Arial"/>
                <w:sz w:val="19"/>
                <w:szCs w:val="19"/>
                <w:color w:val="auto"/>
              </w:rPr>
              <w:t>10.</w:t>
            </w:r>
          </w:p>
        </w:tc>
        <w:tc>
          <w:tcPr>
            <w:tcW w:w="160" w:type="dxa"/>
            <w:vAlign w:val="bottom"/>
            <w:tcBorders>
              <w:right w:val="single" w:sz="8" w:color="auto"/>
            </w:tcBorders>
          </w:tcPr>
          <w:p>
            <w:pPr>
              <w:spacing w:after="0"/>
              <w:rPr>
                <w:sz w:val="24"/>
                <w:szCs w:val="24"/>
                <w:color w:val="auto"/>
              </w:rPr>
            </w:pPr>
          </w:p>
        </w:tc>
        <w:tc>
          <w:tcPr>
            <w:tcW w:w="11040" w:type="dxa"/>
            <w:vAlign w:val="bottom"/>
            <w:gridSpan w:val="5"/>
          </w:tcPr>
          <w:p>
            <w:pPr>
              <w:ind w:left="80"/>
              <w:spacing w:after="0" w:line="219" w:lineRule="exact"/>
              <w:rPr>
                <w:sz w:val="20"/>
                <w:szCs w:val="20"/>
                <w:color w:val="auto"/>
              </w:rPr>
            </w:pPr>
            <w:r>
              <w:rPr>
                <w:rFonts w:ascii="Arial" w:cs="Arial" w:eastAsia="Arial" w:hAnsi="Arial"/>
                <w:sz w:val="19"/>
                <w:szCs w:val="19"/>
                <w:color w:val="auto"/>
              </w:rPr>
              <w:t xml:space="preserve">CHECK IF THE AGGREGATE AMOUNT IN ROW (9) EXCLUDES CERTAIN SHARES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01"/>
        </w:trPr>
        <w:tc>
          <w:tcPr>
            <w:tcW w:w="46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1040" w:type="dxa"/>
            <w:vAlign w:val="bottom"/>
            <w:tcBorders>
              <w:bottom w:val="single" w:sz="8" w:color="auto"/>
            </w:tcBorders>
            <w:gridSpan w:val="5"/>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60" w:type="dxa"/>
            <w:vAlign w:val="bottom"/>
          </w:tcPr>
          <w:p>
            <w:pPr>
              <w:jc w:val="right"/>
              <w:spacing w:after="0"/>
              <w:rPr>
                <w:sz w:val="20"/>
                <w:szCs w:val="20"/>
                <w:color w:val="auto"/>
              </w:rPr>
            </w:pPr>
            <w:r>
              <w:rPr>
                <w:rFonts w:ascii="Arial" w:cs="Arial" w:eastAsia="Arial" w:hAnsi="Arial"/>
                <w:sz w:val="19"/>
                <w:szCs w:val="19"/>
                <w:color w:val="auto"/>
              </w:rPr>
              <w:t>11.</w:t>
            </w:r>
          </w:p>
        </w:tc>
        <w:tc>
          <w:tcPr>
            <w:tcW w:w="160" w:type="dxa"/>
            <w:vAlign w:val="bottom"/>
            <w:tcBorders>
              <w:right w:val="single" w:sz="8" w:color="auto"/>
            </w:tcBorders>
          </w:tcPr>
          <w:p>
            <w:pPr>
              <w:spacing w:after="0"/>
              <w:rPr>
                <w:sz w:val="20"/>
                <w:szCs w:val="20"/>
                <w:color w:val="auto"/>
              </w:rPr>
            </w:pPr>
          </w:p>
        </w:tc>
        <w:tc>
          <w:tcPr>
            <w:tcW w:w="11040" w:type="dxa"/>
            <w:vAlign w:val="bottom"/>
            <w:gridSpan w:val="5"/>
          </w:tcPr>
          <w:p>
            <w:pPr>
              <w:ind w:left="80"/>
              <w:spacing w:after="0"/>
              <w:rPr>
                <w:sz w:val="20"/>
                <w:szCs w:val="20"/>
                <w:color w:val="auto"/>
              </w:rPr>
            </w:pPr>
            <w:r>
              <w:rPr>
                <w:rFonts w:ascii="Arial" w:cs="Arial" w:eastAsia="Arial" w:hAnsi="Arial"/>
                <w:sz w:val="19"/>
                <w:szCs w:val="19"/>
                <w:color w:val="auto"/>
              </w:rPr>
              <w:t>PERCENT OF CLASS REPRESENTED BY AMOUNT IN ROW 9</w:t>
            </w:r>
          </w:p>
        </w:tc>
        <w:tc>
          <w:tcPr>
            <w:tcW w:w="0" w:type="dxa"/>
            <w:vAlign w:val="bottom"/>
          </w:tcPr>
          <w:p>
            <w:pPr>
              <w:spacing w:after="0"/>
              <w:rPr>
                <w:sz w:val="1"/>
                <w:szCs w:val="1"/>
                <w:color w:val="auto"/>
              </w:rPr>
            </w:pPr>
          </w:p>
        </w:tc>
      </w:tr>
      <w:tr>
        <w:trPr>
          <w:trHeight w:val="513"/>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23"/>
                <w:szCs w:val="23"/>
                <w:color w:val="auto"/>
              </w:rPr>
              <w:t>2.8%</w:t>
            </w:r>
            <w:r>
              <w:rPr>
                <w:rFonts w:ascii="Arial" w:cs="Arial" w:eastAsia="Arial" w:hAnsi="Arial"/>
                <w:sz w:val="19"/>
                <w:szCs w:val="19"/>
                <w:color w:val="auto"/>
              </w:rPr>
              <w:t>4</w:t>
            </w: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0" w:type="dxa"/>
            <w:vAlign w:val="bottom"/>
          </w:tcPr>
          <w:p>
            <w:pPr>
              <w:jc w:val="right"/>
              <w:spacing w:after="0"/>
              <w:rPr>
                <w:sz w:val="20"/>
                <w:szCs w:val="20"/>
                <w:color w:val="auto"/>
              </w:rPr>
            </w:pPr>
            <w:r>
              <w:rPr>
                <w:rFonts w:ascii="Arial" w:cs="Arial" w:eastAsia="Arial" w:hAnsi="Arial"/>
                <w:sz w:val="19"/>
                <w:szCs w:val="19"/>
                <w:color w:val="auto"/>
              </w:rPr>
              <w:t>12.</w:t>
            </w:r>
          </w:p>
        </w:tc>
        <w:tc>
          <w:tcPr>
            <w:tcW w:w="160" w:type="dxa"/>
            <w:vAlign w:val="bottom"/>
            <w:tcBorders>
              <w:right w:val="single" w:sz="8" w:color="auto"/>
            </w:tcBorders>
          </w:tcPr>
          <w:p>
            <w:pPr>
              <w:spacing w:after="0"/>
              <w:rPr>
                <w:sz w:val="20"/>
                <w:szCs w:val="20"/>
                <w:color w:val="auto"/>
              </w:rPr>
            </w:pPr>
          </w:p>
        </w:tc>
        <w:tc>
          <w:tcPr>
            <w:tcW w:w="11040" w:type="dxa"/>
            <w:vAlign w:val="bottom"/>
            <w:gridSpan w:val="5"/>
          </w:tcPr>
          <w:p>
            <w:pPr>
              <w:ind w:left="80"/>
              <w:spacing w:after="0"/>
              <w:rPr>
                <w:sz w:val="20"/>
                <w:szCs w:val="20"/>
                <w:color w:val="auto"/>
              </w:rPr>
            </w:pPr>
            <w:r>
              <w:rPr>
                <w:rFonts w:ascii="Arial" w:cs="Arial" w:eastAsia="Arial" w:hAnsi="Arial"/>
                <w:sz w:val="19"/>
                <w:szCs w:val="19"/>
                <w:color w:val="auto"/>
              </w:rPr>
              <w:t>TYPE OF REPORTING PERSON</w:t>
            </w:r>
          </w:p>
        </w:tc>
        <w:tc>
          <w:tcPr>
            <w:tcW w:w="0" w:type="dxa"/>
            <w:vAlign w:val="bottom"/>
          </w:tcPr>
          <w:p>
            <w:pPr>
              <w:spacing w:after="0"/>
              <w:rPr>
                <w:sz w:val="1"/>
                <w:szCs w:val="1"/>
                <w:color w:val="auto"/>
              </w:rPr>
            </w:pPr>
          </w:p>
        </w:tc>
      </w:tr>
      <w:tr>
        <w:trPr>
          <w:trHeight w:val="513"/>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23"/>
                <w:szCs w:val="23"/>
                <w:color w:val="auto"/>
              </w:rPr>
              <w:t>IN</w:t>
            </w: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253365</wp:posOffset>
            </wp:positionV>
            <wp:extent cx="742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461" w:hanging="461"/>
        <w:spacing w:after="0"/>
        <w:tabs>
          <w:tab w:leader="none" w:pos="461" w:val="left"/>
        </w:tabs>
        <w:numPr>
          <w:ilvl w:val="0"/>
          <w:numId w:val="8"/>
        </w:numPr>
        <w:rPr>
          <w:rFonts w:ascii="Arial" w:cs="Arial" w:eastAsia="Arial" w:hAnsi="Arial"/>
          <w:sz w:val="16"/>
          <w:szCs w:val="16"/>
          <w:color w:val="auto"/>
        </w:rPr>
      </w:pPr>
      <w:r>
        <w:rPr>
          <w:rFonts w:ascii="Arial" w:cs="Arial" w:eastAsia="Arial" w:hAnsi="Arial"/>
          <w:sz w:val="19"/>
          <w:szCs w:val="19"/>
          <w:color w:val="auto"/>
        </w:rPr>
        <w:t>The Reporting Persons expressly disclaim status as a “group” for purposes of this Schedule 13G.</w:t>
      </w:r>
    </w:p>
    <w:p>
      <w:pPr>
        <w:spacing w:after="0" w:line="23" w:lineRule="exact"/>
        <w:rPr>
          <w:sz w:val="20"/>
          <w:szCs w:val="20"/>
          <w:color w:val="auto"/>
        </w:rPr>
      </w:pPr>
    </w:p>
    <w:p>
      <w:pPr>
        <w:ind w:left="461" w:right="120" w:hanging="461"/>
        <w:spacing w:after="0" w:line="250" w:lineRule="auto"/>
        <w:tabs>
          <w:tab w:leader="none" w:pos="461" w:val="left"/>
        </w:tabs>
        <w:numPr>
          <w:ilvl w:val="0"/>
          <w:numId w:val="9"/>
        </w:numPr>
        <w:rPr>
          <w:rFonts w:ascii="Arial" w:cs="Arial" w:eastAsia="Arial" w:hAnsi="Arial"/>
          <w:sz w:val="16"/>
          <w:szCs w:val="16"/>
          <w:color w:val="auto"/>
        </w:rPr>
      </w:pPr>
      <w:r>
        <w:rPr>
          <w:rFonts w:ascii="Arial" w:cs="Arial" w:eastAsia="Arial" w:hAnsi="Arial"/>
          <w:sz w:val="19"/>
          <w:szCs w:val="19"/>
          <w:color w:val="auto"/>
        </w:rPr>
        <w:t>Mr. Benioff’s interest represents less than 0.1% of the outstanding equity interests of the Issuer. Mr. Benioff disclaims beneficial ownership of the Issuer’s Class A common stock and Class B common stock held by Salesforce.</w:t>
      </w:r>
    </w:p>
    <w:p>
      <w:pPr>
        <w:spacing w:after="0" w:line="1" w:lineRule="exact"/>
        <w:rPr>
          <w:sz w:val="20"/>
          <w:szCs w:val="20"/>
          <w:color w:val="auto"/>
        </w:rPr>
      </w:pPr>
    </w:p>
    <w:p>
      <w:pPr>
        <w:ind w:left="461" w:right="20" w:hanging="461"/>
        <w:spacing w:after="0" w:line="280" w:lineRule="auto"/>
        <w:tabs>
          <w:tab w:leader="none" w:pos="461" w:val="left"/>
        </w:tabs>
        <w:numPr>
          <w:ilvl w:val="0"/>
          <w:numId w:val="10"/>
        </w:numPr>
        <w:rPr>
          <w:rFonts w:ascii="Arial" w:cs="Arial" w:eastAsia="Arial" w:hAnsi="Arial"/>
          <w:sz w:val="14"/>
          <w:szCs w:val="14"/>
          <w:color w:val="auto"/>
        </w:rPr>
      </w:pPr>
      <w:r>
        <w:rPr>
          <w:rFonts w:ascii="Arial" w:cs="Arial" w:eastAsia="Arial" w:hAnsi="Arial"/>
          <w:sz w:val="17"/>
          <w:szCs w:val="17"/>
          <w:color w:val="auto"/>
        </w:rPr>
        <w:t>Consists of 4,761,905 shares of the Issuer’s Class A common stock and 176,662 shares of the Issuer’s Class B common stock held by Salesforce. Mr. Benioff is the Chairman of the Board and Co-Chief Executive Officer of Salesforce. By virtue of this relationship, Mr. Benioff may be deemed</w:t>
      </w:r>
    </w:p>
    <w:p>
      <w:pPr>
        <w:spacing w:after="0" w:line="1" w:lineRule="exact"/>
        <w:rPr>
          <w:sz w:val="20"/>
          <w:szCs w:val="20"/>
          <w:color w:val="auto"/>
        </w:rPr>
      </w:pPr>
    </w:p>
    <w:p>
      <w:pPr>
        <w:ind w:left="461" w:right="400"/>
        <w:spacing w:after="0" w:line="250" w:lineRule="auto"/>
        <w:rPr>
          <w:sz w:val="20"/>
          <w:szCs w:val="20"/>
          <w:color w:val="auto"/>
        </w:rPr>
      </w:pPr>
      <w:r>
        <w:rPr>
          <w:rFonts w:ascii="Arial" w:cs="Arial" w:eastAsia="Arial" w:hAnsi="Arial"/>
          <w:sz w:val="19"/>
          <w:szCs w:val="19"/>
          <w:color w:val="auto"/>
        </w:rPr>
        <w:t>to share beneficial ownership of the shares of Class A common stock and Class B common stock of the Issuer held by Salesforce. Mr. Benioff disclaims beneficial ownership of the shares.</w:t>
      </w:r>
    </w:p>
    <w:p>
      <w:pPr>
        <w:spacing w:after="0" w:line="1" w:lineRule="exact"/>
        <w:rPr>
          <w:sz w:val="20"/>
          <w:szCs w:val="20"/>
          <w:color w:val="auto"/>
        </w:rPr>
      </w:pPr>
    </w:p>
    <w:p>
      <w:pPr>
        <w:ind w:left="461" w:right="60" w:hanging="461"/>
        <w:spacing w:after="0" w:line="288" w:lineRule="auto"/>
        <w:tabs>
          <w:tab w:leader="none" w:pos="461" w:val="left"/>
        </w:tabs>
        <w:numPr>
          <w:ilvl w:val="0"/>
          <w:numId w:val="11"/>
        </w:numPr>
        <w:rPr>
          <w:rFonts w:ascii="Arial" w:cs="Arial" w:eastAsia="Arial" w:hAnsi="Arial"/>
          <w:sz w:val="14"/>
          <w:szCs w:val="14"/>
          <w:color w:val="auto"/>
        </w:rPr>
      </w:pPr>
      <w:r>
        <w:rPr>
          <w:rFonts w:ascii="Arial" w:cs="Arial" w:eastAsia="Arial" w:hAnsi="Arial"/>
          <w:sz w:val="17"/>
          <w:szCs w:val="17"/>
          <w:color w:val="auto"/>
        </w:rPr>
        <w:t>The percentage is calculated based upon 182,879,872 outstanding Class A common shares, comprised of (i) 182,703,210 outstanding Class A common shares (including 14,733,333 Class A common shares subject to restricted stock awards) reported in the Issuer’s Quarterly Report on Form 10-Q for the quarter ended September 30, 2018, filed with the Securities and Exchange Commission on November 9, 2018, and (ii) 176,662 Class B common shares (on an as-converted basis) held by Salesforce. The rights of the holders of Class A common stock and Class B common stock are identical, except with respect to voting and conversion. Each share of Class A common stock is entitled to one vote per share. Each share of Class B common stock is entitled to ten votes per share and is convertible at any time into one share of Class A common stock.</w:t>
      </w:r>
    </w:p>
    <w:p>
      <w:pPr>
        <w:sectPr>
          <w:pgSz w:w="12240" w:h="15840" w:orient="portrait"/>
          <w:cols w:equalWidth="0" w:num="1">
            <w:col w:w="11661"/>
          </w:cols>
          <w:pgMar w:left="299" w:top="142" w:right="280" w:bottom="1440" w:gutter="0" w:footer="0" w:header="0"/>
        </w:sectPr>
      </w:pPr>
    </w:p>
    <w:bookmarkStart w:id="3" w:name="page4"/>
    <w:bookmarkEnd w:id="3"/>
    <w:p>
      <w:pPr>
        <w:spacing w:after="0"/>
        <w:tabs>
          <w:tab w:leader="none" w:pos="5880" w:val="left"/>
          <w:tab w:leader="none" w:pos="10760" w:val="left"/>
        </w:tabs>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68260" cy="40005"/>
                    </a:xfrm>
                    <a:prstGeom prst="rect">
                      <a:avLst/>
                    </a:prstGeom>
                    <a:noFill/>
                  </pic:spPr>
                </pic:pic>
              </a:graphicData>
            </a:graphic>
          </wp:anchor>
        </w:drawing>
        <w:t>CUSIP No. 26210C 10 4</w:t>
      </w:r>
      <w:r>
        <w:rPr>
          <w:sz w:val="20"/>
          <w:szCs w:val="20"/>
          <w:color w:val="auto"/>
        </w:rPr>
        <w:tab/>
      </w:r>
      <w:r>
        <w:rPr>
          <w:rFonts w:ascii="Arial" w:cs="Arial" w:eastAsia="Arial" w:hAnsi="Arial"/>
          <w:sz w:val="19"/>
          <w:szCs w:val="19"/>
          <w:color w:val="auto"/>
        </w:rPr>
        <w:t>13G</w:t>
      </w:r>
      <w:r>
        <w:rPr>
          <w:sz w:val="20"/>
          <w:szCs w:val="20"/>
          <w:color w:val="auto"/>
        </w:rPr>
        <w:tab/>
      </w:r>
      <w:r>
        <w:rPr>
          <w:rFonts w:ascii="Arial" w:cs="Arial" w:eastAsia="Arial" w:hAnsi="Arial"/>
          <w:sz w:val="16"/>
          <w:szCs w:val="16"/>
          <w:color w:val="auto"/>
        </w:rPr>
        <w:t>Page 3 of 7</w:t>
      </w:r>
    </w:p>
    <w:p>
      <w:pPr>
        <w:spacing w:after="0" w:line="161"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130"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Dropbox, Inc., a Delaware corporation (“Issuer”)</w:t>
      </w:r>
    </w:p>
    <w:p>
      <w:pPr>
        <w:spacing w:after="0" w:line="38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30"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333 Brannan Street</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San Francisco, CA 94107</w:t>
      </w:r>
    </w:p>
    <w:p>
      <w:pPr>
        <w:spacing w:after="0" w:line="376"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2(a).</w:t>
      </w:r>
      <w:r>
        <w:rPr>
          <w:sz w:val="20"/>
          <w:szCs w:val="20"/>
          <w:color w:val="auto"/>
        </w:rPr>
        <w:tab/>
      </w:r>
      <w:r>
        <w:rPr>
          <w:rFonts w:ascii="Arial" w:cs="Arial" w:eastAsia="Arial" w:hAnsi="Arial"/>
          <w:sz w:val="17"/>
          <w:szCs w:val="17"/>
          <w:b w:val="1"/>
          <w:bCs w:val="1"/>
          <w:color w:val="auto"/>
        </w:rPr>
        <w:t>Name of Person Filing:</w:t>
      </w:r>
    </w:p>
    <w:p>
      <w:pPr>
        <w:spacing w:after="0" w:line="130"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This Schedule 13G is filed jointly by:</w:t>
      </w:r>
    </w:p>
    <w:p>
      <w:pPr>
        <w:spacing w:after="0" w:line="124" w:lineRule="exact"/>
        <w:rPr>
          <w:sz w:val="20"/>
          <w:szCs w:val="20"/>
          <w:color w:val="auto"/>
        </w:rPr>
      </w:pPr>
    </w:p>
    <w:p>
      <w:pPr>
        <w:ind w:left="1320" w:hanging="273"/>
        <w:spacing w:after="0"/>
        <w:tabs>
          <w:tab w:leader="none" w:pos="1320" w:val="left"/>
        </w:tabs>
        <w:numPr>
          <w:ilvl w:val="0"/>
          <w:numId w:val="12"/>
        </w:numPr>
        <w:rPr>
          <w:rFonts w:ascii="Arial" w:cs="Arial" w:eastAsia="Arial" w:hAnsi="Arial"/>
          <w:sz w:val="19"/>
          <w:szCs w:val="19"/>
          <w:color w:val="auto"/>
        </w:rPr>
      </w:pPr>
      <w:r>
        <w:rPr>
          <w:rFonts w:ascii="Arial" w:cs="Arial" w:eastAsia="Arial" w:hAnsi="Arial"/>
          <w:sz w:val="19"/>
          <w:szCs w:val="19"/>
          <w:color w:val="auto"/>
        </w:rPr>
        <w:t>salesforce.com, inc. (“Salesforce”)</w:t>
      </w:r>
    </w:p>
    <w:p>
      <w:pPr>
        <w:spacing w:after="0" w:line="123" w:lineRule="exact"/>
        <w:rPr>
          <w:rFonts w:ascii="Arial" w:cs="Arial" w:eastAsia="Arial" w:hAnsi="Arial"/>
          <w:sz w:val="19"/>
          <w:szCs w:val="19"/>
          <w:color w:val="auto"/>
        </w:rPr>
      </w:pPr>
    </w:p>
    <w:p>
      <w:pPr>
        <w:ind w:left="1320" w:hanging="273"/>
        <w:spacing w:after="0"/>
        <w:tabs>
          <w:tab w:leader="none" w:pos="1320" w:val="left"/>
        </w:tabs>
        <w:numPr>
          <w:ilvl w:val="0"/>
          <w:numId w:val="12"/>
        </w:numPr>
        <w:rPr>
          <w:rFonts w:ascii="Arial" w:cs="Arial" w:eastAsia="Arial" w:hAnsi="Arial"/>
          <w:sz w:val="19"/>
          <w:szCs w:val="19"/>
          <w:color w:val="auto"/>
        </w:rPr>
      </w:pPr>
      <w:r>
        <w:rPr>
          <w:rFonts w:ascii="Arial" w:cs="Arial" w:eastAsia="Arial" w:hAnsi="Arial"/>
          <w:sz w:val="19"/>
          <w:szCs w:val="19"/>
          <w:color w:val="auto"/>
        </w:rPr>
        <w:t>Marc R. Benioff</w:t>
      </w:r>
    </w:p>
    <w:p>
      <w:pPr>
        <w:spacing w:after="0" w:line="38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2(b).</w:t>
      </w:r>
      <w:r>
        <w:rPr>
          <w:sz w:val="20"/>
          <w:szCs w:val="20"/>
          <w:color w:val="auto"/>
        </w:rPr>
        <w:tab/>
      </w:r>
      <w:r>
        <w:rPr>
          <w:rFonts w:ascii="Arial" w:cs="Arial" w:eastAsia="Arial" w:hAnsi="Arial"/>
          <w:sz w:val="16"/>
          <w:szCs w:val="16"/>
          <w:b w:val="1"/>
          <w:bCs w:val="1"/>
          <w:color w:val="auto"/>
        </w:rPr>
        <w:t>Address of Principal Business Office or, if None, Residence:</w:t>
      </w:r>
    </w:p>
    <w:p>
      <w:pPr>
        <w:spacing w:after="0" w:line="130" w:lineRule="exact"/>
        <w:rPr>
          <w:sz w:val="20"/>
          <w:szCs w:val="20"/>
          <w:color w:val="auto"/>
        </w:rPr>
      </w:pPr>
    </w:p>
    <w:p>
      <w:pPr>
        <w:ind w:left="1320" w:hanging="273"/>
        <w:spacing w:after="0"/>
        <w:tabs>
          <w:tab w:leader="none" w:pos="132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principal business address of Salesforce is 415 Mission Street, 3rd Floor, San Francisco, CA 94105.</w:t>
      </w:r>
    </w:p>
    <w:p>
      <w:pPr>
        <w:spacing w:after="0" w:line="123" w:lineRule="exact"/>
        <w:rPr>
          <w:rFonts w:ascii="Arial" w:cs="Arial" w:eastAsia="Arial" w:hAnsi="Arial"/>
          <w:sz w:val="19"/>
          <w:szCs w:val="19"/>
          <w:color w:val="auto"/>
        </w:rPr>
      </w:pPr>
    </w:p>
    <w:p>
      <w:pPr>
        <w:ind w:left="1320" w:hanging="273"/>
        <w:spacing w:after="0"/>
        <w:tabs>
          <w:tab w:leader="none" w:pos="132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principal business address of Mr. Marc R. Benioff is 415 Mission Street, 3rd Floor, San Francisco, CA 94105.</w:t>
      </w:r>
    </w:p>
    <w:p>
      <w:pPr>
        <w:spacing w:after="0" w:line="38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2(c).</w:t>
      </w:r>
      <w:r>
        <w:rPr>
          <w:sz w:val="20"/>
          <w:szCs w:val="20"/>
          <w:color w:val="auto"/>
        </w:rPr>
        <w:tab/>
      </w:r>
      <w:r>
        <w:rPr>
          <w:rFonts w:ascii="Arial" w:cs="Arial" w:eastAsia="Arial" w:hAnsi="Arial"/>
          <w:sz w:val="17"/>
          <w:szCs w:val="17"/>
          <w:b w:val="1"/>
          <w:bCs w:val="1"/>
          <w:color w:val="auto"/>
        </w:rPr>
        <w:t>Citizenship:</w:t>
      </w:r>
    </w:p>
    <w:p>
      <w:pPr>
        <w:spacing w:after="0" w:line="130" w:lineRule="exact"/>
        <w:rPr>
          <w:sz w:val="20"/>
          <w:szCs w:val="20"/>
          <w:color w:val="auto"/>
        </w:rPr>
      </w:pPr>
    </w:p>
    <w:p>
      <w:pPr>
        <w:ind w:left="1320" w:hanging="273"/>
        <w:spacing w:after="0"/>
        <w:tabs>
          <w:tab w:leader="none" w:pos="1320" w:val="left"/>
        </w:tabs>
        <w:numPr>
          <w:ilvl w:val="0"/>
          <w:numId w:val="14"/>
        </w:numPr>
        <w:rPr>
          <w:rFonts w:ascii="Arial" w:cs="Arial" w:eastAsia="Arial" w:hAnsi="Arial"/>
          <w:sz w:val="19"/>
          <w:szCs w:val="19"/>
          <w:color w:val="auto"/>
        </w:rPr>
      </w:pPr>
      <w:r>
        <w:rPr>
          <w:rFonts w:ascii="Arial" w:cs="Arial" w:eastAsia="Arial" w:hAnsi="Arial"/>
          <w:sz w:val="19"/>
          <w:szCs w:val="19"/>
          <w:color w:val="auto"/>
        </w:rPr>
        <w:t>Salesforce is a Delaware limited liability company.</w:t>
      </w:r>
    </w:p>
    <w:p>
      <w:pPr>
        <w:spacing w:after="0" w:line="123" w:lineRule="exact"/>
        <w:rPr>
          <w:rFonts w:ascii="Arial" w:cs="Arial" w:eastAsia="Arial" w:hAnsi="Arial"/>
          <w:sz w:val="19"/>
          <w:szCs w:val="19"/>
          <w:color w:val="auto"/>
        </w:rPr>
      </w:pPr>
    </w:p>
    <w:p>
      <w:pPr>
        <w:ind w:left="1320" w:hanging="273"/>
        <w:spacing w:after="0"/>
        <w:tabs>
          <w:tab w:leader="none" w:pos="1320" w:val="left"/>
        </w:tabs>
        <w:numPr>
          <w:ilvl w:val="0"/>
          <w:numId w:val="14"/>
        </w:numPr>
        <w:rPr>
          <w:rFonts w:ascii="Arial" w:cs="Arial" w:eastAsia="Arial" w:hAnsi="Arial"/>
          <w:sz w:val="19"/>
          <w:szCs w:val="19"/>
          <w:color w:val="auto"/>
        </w:rPr>
      </w:pPr>
      <w:r>
        <w:rPr>
          <w:rFonts w:ascii="Arial" w:cs="Arial" w:eastAsia="Arial" w:hAnsi="Arial"/>
          <w:sz w:val="19"/>
          <w:szCs w:val="19"/>
          <w:color w:val="auto"/>
        </w:rPr>
        <w:t>Mr. Marc R. Benioff is a United States citizen.</w:t>
      </w:r>
    </w:p>
    <w:p>
      <w:pPr>
        <w:spacing w:after="0" w:line="38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130"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Class A common stock, par value $0.00001</w:t>
      </w:r>
    </w:p>
    <w:p>
      <w:pPr>
        <w:spacing w:after="0" w:line="38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2(e).</w:t>
      </w:r>
      <w:r>
        <w:rPr>
          <w:sz w:val="20"/>
          <w:szCs w:val="20"/>
          <w:color w:val="auto"/>
        </w:rPr>
        <w:tab/>
      </w:r>
      <w:r>
        <w:rPr>
          <w:rFonts w:ascii="Arial" w:cs="Arial" w:eastAsia="Arial" w:hAnsi="Arial"/>
          <w:sz w:val="18"/>
          <w:szCs w:val="18"/>
          <w:b w:val="1"/>
          <w:bCs w:val="1"/>
          <w:color w:val="auto"/>
        </w:rPr>
        <w:t>CUSIP Number:</w:t>
      </w:r>
    </w:p>
    <w:p>
      <w:pPr>
        <w:spacing w:after="0" w:line="130"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26210C 10 4</w:t>
      </w:r>
    </w:p>
    <w:p>
      <w:pPr>
        <w:spacing w:after="0" w:line="38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3.</w:t>
      </w:r>
      <w:r>
        <w:rPr>
          <w:sz w:val="20"/>
          <w:szCs w:val="20"/>
          <w:color w:val="auto"/>
        </w:rPr>
        <w:tab/>
      </w:r>
      <w:r>
        <w:rPr>
          <w:rFonts w:ascii="Arial" w:cs="Arial" w:eastAsia="Arial" w:hAnsi="Arial"/>
          <w:sz w:val="17"/>
          <w:szCs w:val="17"/>
          <w:b w:val="1"/>
          <w:bCs w:val="1"/>
          <w:color w:val="auto"/>
        </w:rPr>
        <w:t>If this statement is filed pursuant to §§240.13d-1(b) or 240.13d-2(b) or (c), check whether the person filing is a:</w:t>
      </w:r>
    </w:p>
    <w:p>
      <w:pPr>
        <w:spacing w:after="0" w:line="144" w:lineRule="exact"/>
        <w:rPr>
          <w:sz w:val="20"/>
          <w:szCs w:val="20"/>
          <w:color w:val="auto"/>
        </w:rPr>
      </w:pPr>
    </w:p>
    <w:p>
      <w:pPr>
        <w:ind w:left="1500" w:hanging="574"/>
        <w:spacing w:after="0"/>
        <w:tabs>
          <w:tab w:leader="none" w:pos="15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Broker or dealer registered under section 15 of the Act (15 U.S.C. 78o).</w:t>
      </w:r>
    </w:p>
    <w:p>
      <w:pPr>
        <w:spacing w:after="0" w:line="138" w:lineRule="exact"/>
        <w:rPr>
          <w:rFonts w:ascii="Arial" w:cs="Arial" w:eastAsia="Arial" w:hAnsi="Arial"/>
          <w:sz w:val="19"/>
          <w:szCs w:val="19"/>
          <w:color w:val="auto"/>
        </w:rPr>
      </w:pPr>
    </w:p>
    <w:p>
      <w:pPr>
        <w:ind w:left="1500" w:hanging="574"/>
        <w:spacing w:after="0"/>
        <w:tabs>
          <w:tab w:leader="none" w:pos="15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Bank as defined in section 3(a)(6) of the Act (15 U.S.C. 78c).</w:t>
      </w:r>
    </w:p>
    <w:p>
      <w:pPr>
        <w:spacing w:after="0" w:line="138" w:lineRule="exact"/>
        <w:rPr>
          <w:rFonts w:ascii="Arial" w:cs="Arial" w:eastAsia="Arial" w:hAnsi="Arial"/>
          <w:sz w:val="19"/>
          <w:szCs w:val="19"/>
          <w:color w:val="auto"/>
        </w:rPr>
      </w:pPr>
    </w:p>
    <w:p>
      <w:pPr>
        <w:ind w:left="1500" w:hanging="574"/>
        <w:spacing w:after="0"/>
        <w:tabs>
          <w:tab w:leader="none" w:pos="15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Insurance company as defined in section 3(a)(19) of the Act (15 U.S.C. 78c).</w:t>
      </w:r>
    </w:p>
    <w:p>
      <w:pPr>
        <w:spacing w:after="0" w:line="138" w:lineRule="exact"/>
        <w:rPr>
          <w:rFonts w:ascii="Arial" w:cs="Arial" w:eastAsia="Arial" w:hAnsi="Arial"/>
          <w:sz w:val="19"/>
          <w:szCs w:val="19"/>
          <w:color w:val="auto"/>
        </w:rPr>
      </w:pPr>
    </w:p>
    <w:p>
      <w:pPr>
        <w:ind w:left="1500" w:hanging="574"/>
        <w:spacing w:after="0"/>
        <w:tabs>
          <w:tab w:leader="none" w:pos="15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Investment company registered under section 8 of the Investment Company Act of 1940 (15 U.S.C. 80a-8).</w:t>
      </w:r>
    </w:p>
    <w:p>
      <w:pPr>
        <w:spacing w:after="0" w:line="138" w:lineRule="exact"/>
        <w:rPr>
          <w:rFonts w:ascii="Arial" w:cs="Arial" w:eastAsia="Arial" w:hAnsi="Arial"/>
          <w:sz w:val="19"/>
          <w:szCs w:val="19"/>
          <w:color w:val="auto"/>
        </w:rPr>
      </w:pPr>
    </w:p>
    <w:p>
      <w:pPr>
        <w:ind w:left="1500" w:hanging="574"/>
        <w:spacing w:after="0"/>
        <w:tabs>
          <w:tab w:leader="none" w:pos="15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An investment adviser in accordance with §240.13d-1(b)(1)(ii)(E).</w:t>
      </w:r>
    </w:p>
    <w:p>
      <w:pPr>
        <w:spacing w:after="0" w:line="138" w:lineRule="exact"/>
        <w:rPr>
          <w:rFonts w:ascii="Arial" w:cs="Arial" w:eastAsia="Arial" w:hAnsi="Arial"/>
          <w:sz w:val="19"/>
          <w:szCs w:val="19"/>
          <w:color w:val="auto"/>
        </w:rPr>
      </w:pPr>
    </w:p>
    <w:p>
      <w:pPr>
        <w:ind w:left="1500" w:hanging="574"/>
        <w:spacing w:after="0"/>
        <w:tabs>
          <w:tab w:leader="none" w:pos="15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An employee benefit plan or endowment fund in accordance with §240.13d-1(b)(1)(ii)(F).</w:t>
      </w:r>
    </w:p>
    <w:p>
      <w:pPr>
        <w:spacing w:after="0" w:line="138" w:lineRule="exact"/>
        <w:rPr>
          <w:rFonts w:ascii="Arial" w:cs="Arial" w:eastAsia="Arial" w:hAnsi="Arial"/>
          <w:sz w:val="19"/>
          <w:szCs w:val="19"/>
          <w:color w:val="auto"/>
        </w:rPr>
      </w:pPr>
    </w:p>
    <w:p>
      <w:pPr>
        <w:ind w:left="1500" w:hanging="574"/>
        <w:spacing w:after="0"/>
        <w:tabs>
          <w:tab w:leader="none" w:pos="15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A parent holding company or control person in accordance with § 240.13d-1(b)(1)(ii)(G).</w:t>
      </w:r>
    </w:p>
    <w:p>
      <w:pPr>
        <w:spacing w:after="0" w:line="138" w:lineRule="exact"/>
        <w:rPr>
          <w:rFonts w:ascii="Arial" w:cs="Arial" w:eastAsia="Arial" w:hAnsi="Arial"/>
          <w:sz w:val="19"/>
          <w:szCs w:val="19"/>
          <w:color w:val="auto"/>
        </w:rPr>
      </w:pPr>
    </w:p>
    <w:p>
      <w:pPr>
        <w:ind w:left="1500" w:hanging="574"/>
        <w:spacing w:after="0"/>
        <w:tabs>
          <w:tab w:leader="none" w:pos="15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A savings associations as defined in Section 3(b) of the Federal Deposit Insurance Act (12 U.S.C. 1813).</w:t>
      </w:r>
    </w:p>
    <w:p>
      <w:pPr>
        <w:spacing w:after="0" w:line="138" w:lineRule="exact"/>
        <w:rPr>
          <w:rFonts w:ascii="Arial" w:cs="Arial" w:eastAsia="Arial" w:hAnsi="Arial"/>
          <w:sz w:val="19"/>
          <w:szCs w:val="19"/>
          <w:color w:val="auto"/>
        </w:rPr>
      </w:pPr>
    </w:p>
    <w:p>
      <w:pPr>
        <w:ind w:left="1500" w:right="60" w:hanging="574"/>
        <w:spacing w:after="0" w:line="275" w:lineRule="auto"/>
        <w:tabs>
          <w:tab w:leader="none" w:pos="15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A church plan that is excluded from the definition of an investment company under section 3(c)(14) of the Investment Company Act of 1940 (15 U.S.C. 80a-3).</w:t>
      </w:r>
    </w:p>
    <w:p>
      <w:pPr>
        <w:sectPr>
          <w:pgSz w:w="12240" w:h="15840" w:orient="portrait"/>
          <w:cols w:equalWidth="0" w:num="1">
            <w:col w:w="11640"/>
          </w:cols>
          <w:pgMar w:left="300" w:top="142" w:right="300" w:bottom="1440" w:gutter="0" w:footer="0" w:header="0"/>
        </w:sectPr>
      </w:pPr>
    </w:p>
    <w:bookmarkStart w:id="4" w:name="page5"/>
    <w:bookmarkEnd w:id="4"/>
    <w:p>
      <w:pPr>
        <w:ind w:left="1"/>
        <w:spacing w:after="0"/>
        <w:tabs>
          <w:tab w:leader="none" w:pos="5880" w:val="left"/>
          <w:tab w:leader="none" w:pos="10760" w:val="left"/>
        </w:tabs>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68260" cy="40005"/>
                    </a:xfrm>
                    <a:prstGeom prst="rect">
                      <a:avLst/>
                    </a:prstGeom>
                    <a:noFill/>
                  </pic:spPr>
                </pic:pic>
              </a:graphicData>
            </a:graphic>
          </wp:anchor>
        </w:drawing>
        <w:t>CUSIP No. 26210C 10 4</w:t>
      </w:r>
      <w:r>
        <w:rPr>
          <w:sz w:val="20"/>
          <w:szCs w:val="20"/>
          <w:color w:val="auto"/>
        </w:rPr>
        <w:tab/>
      </w:r>
      <w:r>
        <w:rPr>
          <w:rFonts w:ascii="Arial" w:cs="Arial" w:eastAsia="Arial" w:hAnsi="Arial"/>
          <w:sz w:val="19"/>
          <w:szCs w:val="19"/>
          <w:color w:val="auto"/>
        </w:rPr>
        <w:t>13G</w:t>
      </w:r>
      <w:r>
        <w:rPr>
          <w:sz w:val="20"/>
          <w:szCs w:val="20"/>
          <w:color w:val="auto"/>
        </w:rPr>
        <w:tab/>
      </w:r>
      <w:r>
        <w:rPr>
          <w:rFonts w:ascii="Arial" w:cs="Arial" w:eastAsia="Arial" w:hAnsi="Arial"/>
          <w:sz w:val="16"/>
          <w:szCs w:val="16"/>
          <w:color w:val="auto"/>
        </w:rPr>
        <w:t>Page 4 of 7</w:t>
      </w:r>
    </w:p>
    <w:p>
      <w:pPr>
        <w:spacing w:after="0" w:line="167" w:lineRule="exact"/>
        <w:rPr>
          <w:sz w:val="20"/>
          <w:szCs w:val="20"/>
          <w:color w:val="auto"/>
        </w:rPr>
      </w:pPr>
    </w:p>
    <w:p>
      <w:pPr>
        <w:ind w:left="1501" w:hanging="574"/>
        <w:spacing w:after="0"/>
        <w:tabs>
          <w:tab w:leader="none" w:pos="1501" w:val="left"/>
        </w:tabs>
        <w:numPr>
          <w:ilvl w:val="0"/>
          <w:numId w:val="16"/>
        </w:numPr>
        <w:rPr>
          <w:rFonts w:ascii="Arial" w:cs="Arial" w:eastAsia="Arial" w:hAnsi="Arial"/>
          <w:sz w:val="19"/>
          <w:szCs w:val="19"/>
          <w:color w:val="auto"/>
        </w:rPr>
      </w:pPr>
      <w:r>
        <w:rPr>
          <w:rFonts w:ascii="Arial" w:cs="Arial" w:eastAsia="Arial" w:hAnsi="Arial"/>
          <w:sz w:val="19"/>
          <w:szCs w:val="19"/>
          <w:color w:val="auto"/>
        </w:rPr>
        <w:t>A non-U.S. institution in accordance with §240.13d-1(b)(1)(ii)(J).</w:t>
      </w:r>
    </w:p>
    <w:p>
      <w:pPr>
        <w:spacing w:after="0" w:line="138" w:lineRule="exact"/>
        <w:rPr>
          <w:rFonts w:ascii="Arial" w:cs="Arial" w:eastAsia="Arial" w:hAnsi="Arial"/>
          <w:sz w:val="19"/>
          <w:szCs w:val="19"/>
          <w:color w:val="auto"/>
        </w:rPr>
      </w:pPr>
    </w:p>
    <w:p>
      <w:pPr>
        <w:ind w:left="1501" w:hanging="574"/>
        <w:spacing w:after="0"/>
        <w:tabs>
          <w:tab w:leader="none" w:pos="1501" w:val="left"/>
        </w:tabs>
        <w:numPr>
          <w:ilvl w:val="0"/>
          <w:numId w:val="16"/>
        </w:numPr>
        <w:rPr>
          <w:rFonts w:ascii="Arial" w:cs="Arial" w:eastAsia="Arial" w:hAnsi="Arial"/>
          <w:sz w:val="19"/>
          <w:szCs w:val="19"/>
          <w:color w:val="auto"/>
        </w:rPr>
      </w:pPr>
      <w:r>
        <w:rPr>
          <w:rFonts w:ascii="Arial" w:cs="Arial" w:eastAsia="Arial" w:hAnsi="Arial"/>
          <w:sz w:val="19"/>
          <w:szCs w:val="19"/>
          <w:color w:val="auto"/>
        </w:rPr>
        <w:t>Group, in accordance with §240.13d-1(b)(1)(ii)(K).</w:t>
      </w:r>
    </w:p>
    <w:p>
      <w:pPr>
        <w:spacing w:after="0" w:line="124" w:lineRule="exact"/>
        <w:rPr>
          <w:sz w:val="20"/>
          <w:szCs w:val="20"/>
          <w:color w:val="auto"/>
        </w:rPr>
      </w:pPr>
    </w:p>
    <w:p>
      <w:pPr>
        <w:ind w:left="1041"/>
        <w:spacing w:after="0"/>
        <w:rPr>
          <w:sz w:val="20"/>
          <w:szCs w:val="20"/>
          <w:color w:val="auto"/>
        </w:rPr>
      </w:pPr>
      <w:r>
        <w:rPr>
          <w:rFonts w:ascii="Arial" w:cs="Arial" w:eastAsia="Arial" w:hAnsi="Arial"/>
          <w:sz w:val="19"/>
          <w:szCs w:val="19"/>
          <w:color w:val="auto"/>
        </w:rPr>
        <w:t>Not applicable.</w:t>
      </w:r>
    </w:p>
    <w:p>
      <w:pPr>
        <w:spacing w:after="0" w:line="389" w:lineRule="exact"/>
        <w:rPr>
          <w:sz w:val="20"/>
          <w:szCs w:val="20"/>
          <w:color w:val="auto"/>
        </w:rPr>
      </w:pPr>
    </w:p>
    <w:p>
      <w:pPr>
        <w:ind w:left="1"/>
        <w:spacing w:after="0"/>
        <w:tabs>
          <w:tab w:leader="none" w:pos="1020" w:val="left"/>
        </w:tabs>
        <w:rPr>
          <w:sz w:val="20"/>
          <w:szCs w:val="20"/>
          <w:color w:val="auto"/>
        </w:rPr>
      </w:pPr>
      <w:r>
        <w:rPr>
          <w:rFonts w:ascii="Arial" w:cs="Arial" w:eastAsia="Arial" w:hAnsi="Arial"/>
          <w:sz w:val="19"/>
          <w:szCs w:val="19"/>
          <w:b w:val="1"/>
          <w:bCs w:val="1"/>
          <w:color w:val="auto"/>
        </w:rPr>
        <w:t>Item 4.</w:t>
      </w:r>
      <w:r>
        <w:rPr>
          <w:sz w:val="20"/>
          <w:szCs w:val="20"/>
          <w:color w:val="auto"/>
        </w:rPr>
        <w:tab/>
      </w:r>
      <w:r>
        <w:rPr>
          <w:rFonts w:ascii="Arial" w:cs="Arial" w:eastAsia="Arial" w:hAnsi="Arial"/>
          <w:sz w:val="17"/>
          <w:szCs w:val="17"/>
          <w:b w:val="1"/>
          <w:bCs w:val="1"/>
          <w:color w:val="auto"/>
        </w:rPr>
        <w:t>Ownership.</w:t>
      </w:r>
    </w:p>
    <w:p>
      <w:pPr>
        <w:spacing w:after="0" w:line="130" w:lineRule="exact"/>
        <w:rPr>
          <w:sz w:val="20"/>
          <w:szCs w:val="20"/>
          <w:color w:val="auto"/>
        </w:rPr>
      </w:pPr>
    </w:p>
    <w:p>
      <w:pPr>
        <w:ind w:left="1041" w:right="120"/>
        <w:spacing w:after="0" w:line="275" w:lineRule="auto"/>
        <w:rPr>
          <w:sz w:val="20"/>
          <w:szCs w:val="20"/>
          <w:color w:val="auto"/>
        </w:rPr>
      </w:pPr>
      <w:r>
        <w:rPr>
          <w:rFonts w:ascii="Arial" w:cs="Arial" w:eastAsia="Arial" w:hAnsi="Arial"/>
          <w:sz w:val="19"/>
          <w:szCs w:val="19"/>
          <w:color w:val="auto"/>
        </w:rPr>
        <w:t>Provide the following information regarding the aggregate number and percentage of the class of securities of the issuer identified in Item 1.</w:t>
      </w:r>
    </w:p>
    <w:p>
      <w:pPr>
        <w:spacing w:after="0" w:line="84" w:lineRule="exact"/>
        <w:rPr>
          <w:sz w:val="20"/>
          <w:szCs w:val="20"/>
          <w:color w:val="auto"/>
        </w:rPr>
      </w:pPr>
    </w:p>
    <w:p>
      <w:pPr>
        <w:ind w:left="1501" w:hanging="574"/>
        <w:spacing w:after="0"/>
        <w:tabs>
          <w:tab w:leader="none" w:pos="1501" w:val="left"/>
        </w:tabs>
        <w:numPr>
          <w:ilvl w:val="0"/>
          <w:numId w:val="17"/>
        </w:numPr>
        <w:rPr>
          <w:rFonts w:ascii="Arial" w:cs="Arial" w:eastAsia="Arial" w:hAnsi="Arial"/>
          <w:sz w:val="19"/>
          <w:szCs w:val="19"/>
          <w:color w:val="auto"/>
        </w:rPr>
      </w:pPr>
      <w:r>
        <w:rPr>
          <w:rFonts w:ascii="Arial" w:cs="Arial" w:eastAsia="Arial" w:hAnsi="Arial"/>
          <w:sz w:val="19"/>
          <w:szCs w:val="19"/>
          <w:color w:val="auto"/>
        </w:rPr>
        <w:t>Amount beneficially owned: 5,077,604</w:t>
      </w:r>
    </w:p>
    <w:p>
      <w:pPr>
        <w:spacing w:after="0" w:line="124" w:lineRule="exact"/>
        <w:rPr>
          <w:sz w:val="20"/>
          <w:szCs w:val="20"/>
          <w:color w:val="auto"/>
        </w:rPr>
      </w:pPr>
    </w:p>
    <w:p>
      <w:pPr>
        <w:ind w:left="1521"/>
        <w:spacing w:after="0"/>
        <w:rPr>
          <w:sz w:val="20"/>
          <w:szCs w:val="20"/>
          <w:color w:val="auto"/>
        </w:rPr>
      </w:pPr>
      <w:r>
        <w:rPr>
          <w:rFonts w:ascii="Arial" w:cs="Arial" w:eastAsia="Arial" w:hAnsi="Arial"/>
          <w:sz w:val="17"/>
          <w:szCs w:val="17"/>
          <w:color w:val="auto"/>
        </w:rPr>
        <w:t>Salesforce is the beneficial owner of 4,761,905 shares of Class A common stock and 176,662 shares of Class B common stock; and</w:t>
      </w:r>
    </w:p>
    <w:p>
      <w:pPr>
        <w:spacing w:after="0" w:line="147" w:lineRule="exact"/>
        <w:rPr>
          <w:sz w:val="20"/>
          <w:szCs w:val="20"/>
          <w:color w:val="auto"/>
        </w:rPr>
      </w:pPr>
    </w:p>
    <w:p>
      <w:pPr>
        <w:ind w:left="941" w:right="340" w:firstLine="428"/>
        <w:spacing w:after="0" w:line="275" w:lineRule="auto"/>
        <w:rPr>
          <w:sz w:val="20"/>
          <w:szCs w:val="20"/>
          <w:color w:val="auto"/>
        </w:rPr>
      </w:pPr>
      <w:r>
        <w:rPr>
          <w:rFonts w:ascii="Arial" w:cs="Arial" w:eastAsia="Arial" w:hAnsi="Arial"/>
          <w:sz w:val="19"/>
          <w:szCs w:val="19"/>
          <w:color w:val="auto"/>
        </w:rPr>
        <w:t>Mr. Marc R. Benioff is the beneficial owner of 4,900,942 shares of Class A common stock and 176,662 shares of Class B common stock.</w:t>
      </w:r>
    </w:p>
    <w:p>
      <w:pPr>
        <w:spacing w:after="0" w:line="83" w:lineRule="exact"/>
        <w:rPr>
          <w:sz w:val="20"/>
          <w:szCs w:val="20"/>
          <w:color w:val="auto"/>
        </w:rPr>
      </w:pPr>
    </w:p>
    <w:p>
      <w:pPr>
        <w:ind w:left="1501" w:hanging="574"/>
        <w:spacing w:after="0"/>
        <w:tabs>
          <w:tab w:leader="none" w:pos="1501" w:val="left"/>
        </w:tabs>
        <w:numPr>
          <w:ilvl w:val="0"/>
          <w:numId w:val="18"/>
        </w:numPr>
        <w:rPr>
          <w:rFonts w:ascii="Arial" w:cs="Arial" w:eastAsia="Arial" w:hAnsi="Arial"/>
          <w:sz w:val="19"/>
          <w:szCs w:val="19"/>
          <w:color w:val="auto"/>
        </w:rPr>
      </w:pPr>
      <w:r>
        <w:rPr>
          <w:rFonts w:ascii="Arial" w:cs="Arial" w:eastAsia="Arial" w:hAnsi="Arial"/>
          <w:sz w:val="19"/>
          <w:szCs w:val="19"/>
          <w:color w:val="auto"/>
        </w:rPr>
        <w:t>Percent of class: 2.8%</w:t>
      </w:r>
      <w:r>
        <w:rPr>
          <w:rFonts w:ascii="Arial" w:cs="Arial" w:eastAsia="Arial" w:hAnsi="Arial"/>
          <w:sz w:val="16"/>
          <w:szCs w:val="16"/>
          <w:color w:val="auto"/>
        </w:rPr>
        <w:t>1</w:t>
      </w:r>
    </w:p>
    <w:p>
      <w:pPr>
        <w:spacing w:after="0" w:line="124" w:lineRule="exact"/>
        <w:rPr>
          <w:rFonts w:ascii="Arial" w:cs="Arial" w:eastAsia="Arial" w:hAnsi="Arial"/>
          <w:sz w:val="19"/>
          <w:szCs w:val="19"/>
          <w:color w:val="auto"/>
        </w:rPr>
      </w:pPr>
    </w:p>
    <w:p>
      <w:pPr>
        <w:ind w:left="1521"/>
        <w:spacing w:after="0"/>
        <w:rPr>
          <w:rFonts w:ascii="Arial" w:cs="Arial" w:eastAsia="Arial" w:hAnsi="Arial"/>
          <w:sz w:val="19"/>
          <w:szCs w:val="19"/>
          <w:color w:val="auto"/>
        </w:rPr>
      </w:pPr>
      <w:r>
        <w:rPr>
          <w:rFonts w:ascii="Arial" w:cs="Arial" w:eastAsia="Arial" w:hAnsi="Arial"/>
          <w:sz w:val="19"/>
          <w:szCs w:val="19"/>
          <w:color w:val="auto"/>
        </w:rPr>
        <w:t>Salesforce is the beneficial owner of 2.7% of the outstanding shares of Class A common stock; and</w:t>
      </w:r>
    </w:p>
    <w:p>
      <w:pPr>
        <w:spacing w:after="0" w:line="123" w:lineRule="exact"/>
        <w:rPr>
          <w:rFonts w:ascii="Arial" w:cs="Arial" w:eastAsia="Arial" w:hAnsi="Arial"/>
          <w:sz w:val="19"/>
          <w:szCs w:val="19"/>
          <w:color w:val="auto"/>
        </w:rPr>
      </w:pPr>
    </w:p>
    <w:p>
      <w:pPr>
        <w:ind w:left="1521"/>
        <w:spacing w:after="0"/>
        <w:rPr>
          <w:rFonts w:ascii="Arial" w:cs="Arial" w:eastAsia="Arial" w:hAnsi="Arial"/>
          <w:sz w:val="19"/>
          <w:szCs w:val="19"/>
          <w:color w:val="auto"/>
        </w:rPr>
      </w:pPr>
      <w:r>
        <w:rPr>
          <w:rFonts w:ascii="Arial" w:cs="Arial" w:eastAsia="Arial" w:hAnsi="Arial"/>
          <w:sz w:val="19"/>
          <w:szCs w:val="19"/>
          <w:color w:val="auto"/>
        </w:rPr>
        <w:t>Mr. Marc R. Benioff is the beneficial owner of 2.8% of the outstanding shares of Class A common stock.</w:t>
      </w:r>
    </w:p>
    <w:p>
      <w:pPr>
        <w:spacing w:after="0" w:line="138" w:lineRule="exact"/>
        <w:rPr>
          <w:rFonts w:ascii="Arial" w:cs="Arial" w:eastAsia="Arial" w:hAnsi="Arial"/>
          <w:sz w:val="19"/>
          <w:szCs w:val="19"/>
          <w:color w:val="auto"/>
        </w:rPr>
      </w:pPr>
    </w:p>
    <w:p>
      <w:pPr>
        <w:ind w:left="1501" w:hanging="574"/>
        <w:spacing w:after="0"/>
        <w:tabs>
          <w:tab w:leader="none" w:pos="1501" w:val="left"/>
        </w:tabs>
        <w:numPr>
          <w:ilvl w:val="0"/>
          <w:numId w:val="18"/>
        </w:numPr>
        <w:rPr>
          <w:rFonts w:ascii="Arial" w:cs="Arial" w:eastAsia="Arial" w:hAnsi="Arial"/>
          <w:sz w:val="19"/>
          <w:szCs w:val="19"/>
          <w:color w:val="auto"/>
        </w:rPr>
      </w:pPr>
      <w:r>
        <w:rPr>
          <w:rFonts w:ascii="Arial" w:cs="Arial" w:eastAsia="Arial" w:hAnsi="Arial"/>
          <w:sz w:val="19"/>
          <w:szCs w:val="19"/>
          <w:color w:val="auto"/>
        </w:rPr>
        <w:t>Number of shares as to which the person has:</w:t>
      </w:r>
    </w:p>
    <w:p>
      <w:pPr>
        <w:spacing w:after="0" w:line="138" w:lineRule="exact"/>
        <w:rPr>
          <w:sz w:val="20"/>
          <w:szCs w:val="20"/>
          <w:color w:val="auto"/>
        </w:rPr>
      </w:pPr>
    </w:p>
    <w:p>
      <w:pPr>
        <w:ind w:left="2081" w:hanging="455"/>
        <w:spacing w:after="0"/>
        <w:tabs>
          <w:tab w:leader="none" w:pos="2081" w:val="left"/>
        </w:tabs>
        <w:numPr>
          <w:ilvl w:val="0"/>
          <w:numId w:val="19"/>
        </w:numPr>
        <w:rPr>
          <w:rFonts w:ascii="Arial" w:cs="Arial" w:eastAsia="Arial" w:hAnsi="Arial"/>
          <w:sz w:val="19"/>
          <w:szCs w:val="19"/>
          <w:color w:val="auto"/>
        </w:rPr>
      </w:pPr>
      <w:r>
        <w:rPr>
          <w:rFonts w:ascii="Arial" w:cs="Arial" w:eastAsia="Arial" w:hAnsi="Arial"/>
          <w:sz w:val="19"/>
          <w:szCs w:val="19"/>
          <w:color w:val="auto"/>
        </w:rPr>
        <w:t>Sole power to vote or to direct the vote:</w:t>
      </w:r>
    </w:p>
    <w:p>
      <w:pPr>
        <w:spacing w:after="0" w:line="124" w:lineRule="exact"/>
        <w:rPr>
          <w:sz w:val="20"/>
          <w:szCs w:val="20"/>
          <w:color w:val="auto"/>
        </w:rPr>
      </w:pPr>
    </w:p>
    <w:p>
      <w:pPr>
        <w:ind w:left="2441" w:right="600"/>
        <w:spacing w:after="0" w:line="275" w:lineRule="auto"/>
        <w:rPr>
          <w:sz w:val="20"/>
          <w:szCs w:val="20"/>
          <w:color w:val="auto"/>
        </w:rPr>
      </w:pPr>
      <w:r>
        <w:rPr>
          <w:rFonts w:ascii="Arial" w:cs="Arial" w:eastAsia="Arial" w:hAnsi="Arial"/>
          <w:sz w:val="19"/>
          <w:szCs w:val="19"/>
          <w:color w:val="auto"/>
        </w:rPr>
        <w:t>Salesforce has the sole power to vote or to direct the vote over 0 shares of Class A common stock and 0 shares of Class B common stock; and</w:t>
      </w:r>
    </w:p>
    <w:p>
      <w:pPr>
        <w:spacing w:after="0" w:line="70" w:lineRule="exact"/>
        <w:rPr>
          <w:sz w:val="20"/>
          <w:szCs w:val="20"/>
          <w:color w:val="auto"/>
        </w:rPr>
      </w:pPr>
    </w:p>
    <w:p>
      <w:pPr>
        <w:ind w:left="2441" w:right="40"/>
        <w:spacing w:after="0" w:line="275" w:lineRule="auto"/>
        <w:rPr>
          <w:sz w:val="20"/>
          <w:szCs w:val="20"/>
          <w:color w:val="auto"/>
        </w:rPr>
      </w:pPr>
      <w:r>
        <w:rPr>
          <w:rFonts w:ascii="Arial" w:cs="Arial" w:eastAsia="Arial" w:hAnsi="Arial"/>
          <w:sz w:val="19"/>
          <w:szCs w:val="19"/>
          <w:color w:val="auto"/>
        </w:rPr>
        <w:t>Mr. Marc R. Benioff has the sole power to vote or to direct the vote over 139,037 shares of Class A common stock and 0 shares of Class B common stock.</w:t>
      </w:r>
    </w:p>
    <w:p>
      <w:pPr>
        <w:spacing w:after="0" w:line="84" w:lineRule="exact"/>
        <w:rPr>
          <w:sz w:val="20"/>
          <w:szCs w:val="20"/>
          <w:color w:val="auto"/>
        </w:rPr>
      </w:pPr>
    </w:p>
    <w:p>
      <w:pPr>
        <w:ind w:left="2081" w:hanging="455"/>
        <w:spacing w:after="0"/>
        <w:tabs>
          <w:tab w:leader="none" w:pos="2081" w:val="left"/>
        </w:tabs>
        <w:numPr>
          <w:ilvl w:val="0"/>
          <w:numId w:val="20"/>
        </w:numPr>
        <w:rPr>
          <w:rFonts w:ascii="Arial" w:cs="Arial" w:eastAsia="Arial" w:hAnsi="Arial"/>
          <w:sz w:val="19"/>
          <w:szCs w:val="19"/>
          <w:color w:val="auto"/>
        </w:rPr>
      </w:pPr>
      <w:r>
        <w:rPr>
          <w:rFonts w:ascii="Arial" w:cs="Arial" w:eastAsia="Arial" w:hAnsi="Arial"/>
          <w:sz w:val="19"/>
          <w:szCs w:val="19"/>
          <w:color w:val="auto"/>
        </w:rPr>
        <w:t>Shared power to vote or to direct the vote:</w:t>
      </w:r>
    </w:p>
    <w:p>
      <w:pPr>
        <w:spacing w:after="0" w:line="124" w:lineRule="exact"/>
        <w:rPr>
          <w:sz w:val="20"/>
          <w:szCs w:val="20"/>
          <w:color w:val="auto"/>
        </w:rPr>
      </w:pPr>
    </w:p>
    <w:p>
      <w:pPr>
        <w:ind w:left="2441" w:right="620"/>
        <w:spacing w:after="0" w:line="275" w:lineRule="auto"/>
        <w:rPr>
          <w:sz w:val="20"/>
          <w:szCs w:val="20"/>
          <w:color w:val="auto"/>
        </w:rPr>
      </w:pPr>
      <w:r>
        <w:rPr>
          <w:rFonts w:ascii="Arial" w:cs="Arial" w:eastAsia="Arial" w:hAnsi="Arial"/>
          <w:sz w:val="19"/>
          <w:szCs w:val="19"/>
          <w:color w:val="auto"/>
        </w:rPr>
        <w:t>Salesforce has the shared power to vote or to direct the vote over 4,761,905 shares of Class A common stock and 176,662 shares of Class B common stock; and</w:t>
      </w:r>
    </w:p>
    <w:p>
      <w:pPr>
        <w:spacing w:after="0" w:line="70" w:lineRule="exact"/>
        <w:rPr>
          <w:sz w:val="20"/>
          <w:szCs w:val="20"/>
          <w:color w:val="auto"/>
        </w:rPr>
      </w:pPr>
    </w:p>
    <w:p>
      <w:pPr>
        <w:ind w:left="2441" w:right="160"/>
        <w:spacing w:after="0" w:line="275" w:lineRule="auto"/>
        <w:rPr>
          <w:sz w:val="20"/>
          <w:szCs w:val="20"/>
          <w:color w:val="auto"/>
        </w:rPr>
      </w:pPr>
      <w:r>
        <w:rPr>
          <w:rFonts w:ascii="Arial" w:cs="Arial" w:eastAsia="Arial" w:hAnsi="Arial"/>
          <w:sz w:val="19"/>
          <w:szCs w:val="19"/>
          <w:color w:val="auto"/>
        </w:rPr>
        <w:t>Mr. Marc R. Benioff has the shared power to vote or to direct the vote over 4,761,905 shares of Class A common stock and 176,662 shares of Class B common stock.</w:t>
      </w:r>
    </w:p>
    <w:p>
      <w:pPr>
        <w:spacing w:after="0" w:line="84" w:lineRule="exact"/>
        <w:rPr>
          <w:sz w:val="20"/>
          <w:szCs w:val="20"/>
          <w:color w:val="auto"/>
        </w:rPr>
      </w:pPr>
    </w:p>
    <w:p>
      <w:pPr>
        <w:ind w:left="1621"/>
        <w:spacing w:after="0"/>
        <w:tabs>
          <w:tab w:leader="none" w:pos="2060" w:val="left"/>
        </w:tabs>
        <w:rPr>
          <w:sz w:val="20"/>
          <w:szCs w:val="20"/>
          <w:color w:val="auto"/>
        </w:rPr>
      </w:pPr>
      <w:r>
        <w:rPr>
          <w:rFonts w:ascii="Arial" w:cs="Arial" w:eastAsia="Arial" w:hAnsi="Arial"/>
          <w:sz w:val="19"/>
          <w:szCs w:val="19"/>
          <w:color w:val="auto"/>
        </w:rPr>
        <w:t>(iii)</w:t>
      </w:r>
      <w:r>
        <w:rPr>
          <w:sz w:val="20"/>
          <w:szCs w:val="20"/>
          <w:color w:val="auto"/>
        </w:rPr>
        <w:tab/>
      </w:r>
      <w:r>
        <w:rPr>
          <w:rFonts w:ascii="Arial" w:cs="Arial" w:eastAsia="Arial" w:hAnsi="Arial"/>
          <w:sz w:val="17"/>
          <w:szCs w:val="17"/>
          <w:color w:val="auto"/>
        </w:rPr>
        <w:t>Sole power to dispose or to direct the disposition of:</w:t>
      </w:r>
    </w:p>
    <w:p>
      <w:pPr>
        <w:spacing w:after="0" w:line="124" w:lineRule="exact"/>
        <w:rPr>
          <w:sz w:val="20"/>
          <w:szCs w:val="20"/>
          <w:color w:val="auto"/>
        </w:rPr>
      </w:pPr>
    </w:p>
    <w:p>
      <w:pPr>
        <w:ind w:left="2441" w:right="20"/>
        <w:spacing w:after="0" w:line="275" w:lineRule="auto"/>
        <w:rPr>
          <w:sz w:val="20"/>
          <w:szCs w:val="20"/>
          <w:color w:val="auto"/>
        </w:rPr>
      </w:pPr>
      <w:r>
        <w:rPr>
          <w:rFonts w:ascii="Arial" w:cs="Arial" w:eastAsia="Arial" w:hAnsi="Arial"/>
          <w:sz w:val="19"/>
          <w:szCs w:val="19"/>
          <w:color w:val="auto"/>
        </w:rPr>
        <w:t>Salesforce has the sole power to dispose or to direct the disposition of 0 shares of Class A common stock and 0 shares of Class B common stock; and</w:t>
      </w:r>
    </w:p>
    <w:p>
      <w:pPr>
        <w:spacing w:after="0" w:line="70" w:lineRule="exact"/>
        <w:rPr>
          <w:sz w:val="20"/>
          <w:szCs w:val="20"/>
          <w:color w:val="auto"/>
        </w:rPr>
      </w:pPr>
    </w:p>
    <w:p>
      <w:pPr>
        <w:ind w:left="2441" w:right="380"/>
        <w:spacing w:after="0" w:line="275" w:lineRule="auto"/>
        <w:rPr>
          <w:sz w:val="20"/>
          <w:szCs w:val="20"/>
          <w:color w:val="auto"/>
        </w:rPr>
      </w:pPr>
      <w:r>
        <w:rPr>
          <w:rFonts w:ascii="Arial" w:cs="Arial" w:eastAsia="Arial" w:hAnsi="Arial"/>
          <w:sz w:val="19"/>
          <w:szCs w:val="19"/>
          <w:color w:val="auto"/>
        </w:rPr>
        <w:t>Mr. Marc R. Benioff has the sole power to dispose or to direct the disposition of 139,037 shares of Class A common stock and 0 shares of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423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135" w:lineRule="exact"/>
        <w:rPr>
          <w:sz w:val="20"/>
          <w:szCs w:val="20"/>
          <w:color w:val="auto"/>
        </w:rPr>
      </w:pPr>
    </w:p>
    <w:p>
      <w:pPr>
        <w:ind w:left="461" w:right="20" w:hanging="461"/>
        <w:spacing w:after="0" w:line="291" w:lineRule="auto"/>
        <w:tabs>
          <w:tab w:leader="none" w:pos="461" w:val="left"/>
        </w:tabs>
        <w:numPr>
          <w:ilvl w:val="0"/>
          <w:numId w:val="21"/>
        </w:numPr>
        <w:rPr>
          <w:rFonts w:ascii="Arial" w:cs="Arial" w:eastAsia="Arial" w:hAnsi="Arial"/>
          <w:sz w:val="14"/>
          <w:szCs w:val="14"/>
          <w:color w:val="auto"/>
        </w:rPr>
      </w:pPr>
      <w:r>
        <w:rPr>
          <w:rFonts w:ascii="Arial" w:cs="Arial" w:eastAsia="Arial" w:hAnsi="Arial"/>
          <w:sz w:val="17"/>
          <w:szCs w:val="17"/>
          <w:color w:val="auto"/>
        </w:rPr>
        <w:t>The percentage is calculated based upon 182,879,872 outstanding Class A common shares, comprised of (i) 182,703,210 outstanding Class A common shares (including 14,733,333 Class A common shares subject to restricted stock awards) reported in the Issuer’s Quarterly Report on Form 10-Q for the quarter ended September 30, 2018, filed with the Securities and Exchange Commission on November 9, 2018, and (ii) 176,662 Class B common shares (on an as-converted basis) held by Salesforce. The rights of the holders of Class A common stock and Class B common stock are identical, except with respect to voting and conversion. Each share of Class A common stock is entitled to one vote per share. Each share of Class B common stock is entitled to ten votes per share and is convertible at any time into one share of Class A common stock.</w:t>
      </w:r>
    </w:p>
    <w:p>
      <w:pPr>
        <w:sectPr>
          <w:pgSz w:w="12240" w:h="15840" w:orient="portrait"/>
          <w:cols w:equalWidth="0" w:num="1">
            <w:col w:w="11641"/>
          </w:cols>
          <w:pgMar w:left="299" w:top="142" w:right="300" w:bottom="1440" w:gutter="0" w:footer="0" w:header="0"/>
        </w:sectPr>
      </w:pPr>
    </w:p>
    <w:bookmarkStart w:id="5" w:name="page6"/>
    <w:bookmarkEnd w:id="5"/>
    <w:p>
      <w:pPr>
        <w:spacing w:after="0"/>
        <w:tabs>
          <w:tab w:leader="none" w:pos="5880" w:val="left"/>
          <w:tab w:leader="none" w:pos="10760" w:val="left"/>
        </w:tabs>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68260" cy="40005"/>
                    </a:xfrm>
                    <a:prstGeom prst="rect">
                      <a:avLst/>
                    </a:prstGeom>
                    <a:noFill/>
                  </pic:spPr>
                </pic:pic>
              </a:graphicData>
            </a:graphic>
          </wp:anchor>
        </w:drawing>
        <w:t>CUSIP No. 26210C 10 4</w:t>
      </w:r>
      <w:r>
        <w:rPr>
          <w:sz w:val="20"/>
          <w:szCs w:val="20"/>
          <w:color w:val="auto"/>
        </w:rPr>
        <w:tab/>
      </w:r>
      <w:r>
        <w:rPr>
          <w:rFonts w:ascii="Arial" w:cs="Arial" w:eastAsia="Arial" w:hAnsi="Arial"/>
          <w:sz w:val="19"/>
          <w:szCs w:val="19"/>
          <w:color w:val="auto"/>
        </w:rPr>
        <w:t>13G</w:t>
      </w:r>
      <w:r>
        <w:rPr>
          <w:sz w:val="20"/>
          <w:szCs w:val="20"/>
          <w:color w:val="auto"/>
        </w:rPr>
        <w:tab/>
      </w:r>
      <w:r>
        <w:rPr>
          <w:rFonts w:ascii="Arial" w:cs="Arial" w:eastAsia="Arial" w:hAnsi="Arial"/>
          <w:sz w:val="16"/>
          <w:szCs w:val="16"/>
          <w:color w:val="auto"/>
        </w:rPr>
        <w:t>Page 5 of 7</w:t>
      </w:r>
    </w:p>
    <w:p>
      <w:pPr>
        <w:spacing w:after="0" w:line="167" w:lineRule="exact"/>
        <w:rPr>
          <w:sz w:val="20"/>
          <w:szCs w:val="20"/>
          <w:color w:val="auto"/>
        </w:rPr>
      </w:pPr>
    </w:p>
    <w:p>
      <w:pPr>
        <w:ind w:left="1620"/>
        <w:spacing w:after="0"/>
        <w:tabs>
          <w:tab w:leader="none" w:pos="2060" w:val="left"/>
        </w:tabs>
        <w:rPr>
          <w:sz w:val="20"/>
          <w:szCs w:val="20"/>
          <w:color w:val="auto"/>
        </w:rPr>
      </w:pPr>
      <w:r>
        <w:rPr>
          <w:rFonts w:ascii="Arial" w:cs="Arial" w:eastAsia="Arial" w:hAnsi="Arial"/>
          <w:sz w:val="19"/>
          <w:szCs w:val="19"/>
          <w:color w:val="auto"/>
        </w:rPr>
        <w:t>(iv)</w:t>
      </w:r>
      <w:r>
        <w:rPr>
          <w:sz w:val="20"/>
          <w:szCs w:val="20"/>
          <w:color w:val="auto"/>
        </w:rPr>
        <w:tab/>
      </w:r>
      <w:r>
        <w:rPr>
          <w:rFonts w:ascii="Arial" w:cs="Arial" w:eastAsia="Arial" w:hAnsi="Arial"/>
          <w:sz w:val="17"/>
          <w:szCs w:val="17"/>
          <w:color w:val="auto"/>
        </w:rPr>
        <w:t>Shared power to dispose or to direct the disposition of:</w:t>
      </w:r>
    </w:p>
    <w:p>
      <w:pPr>
        <w:spacing w:after="0" w:line="124" w:lineRule="exact"/>
        <w:rPr>
          <w:sz w:val="20"/>
          <w:szCs w:val="20"/>
          <w:color w:val="auto"/>
        </w:rPr>
      </w:pPr>
    </w:p>
    <w:p>
      <w:pPr>
        <w:ind w:left="2440" w:right="40"/>
        <w:spacing w:after="0" w:line="275" w:lineRule="auto"/>
        <w:rPr>
          <w:sz w:val="20"/>
          <w:szCs w:val="20"/>
          <w:color w:val="auto"/>
        </w:rPr>
      </w:pPr>
      <w:r>
        <w:rPr>
          <w:rFonts w:ascii="Arial" w:cs="Arial" w:eastAsia="Arial" w:hAnsi="Arial"/>
          <w:sz w:val="19"/>
          <w:szCs w:val="19"/>
          <w:color w:val="auto"/>
        </w:rPr>
        <w:t>Salesforce has the shared power to dispose or to direct the disposition of 4,761,905 shares of Class A common stock and 176,662 shares of Class B common stock; and</w:t>
      </w:r>
    </w:p>
    <w:p>
      <w:pPr>
        <w:spacing w:after="0" w:line="70" w:lineRule="exact"/>
        <w:rPr>
          <w:sz w:val="20"/>
          <w:szCs w:val="20"/>
          <w:color w:val="auto"/>
        </w:rPr>
      </w:pPr>
    </w:p>
    <w:p>
      <w:pPr>
        <w:ind w:left="2440" w:right="40"/>
        <w:spacing w:after="0" w:line="275" w:lineRule="auto"/>
        <w:rPr>
          <w:sz w:val="20"/>
          <w:szCs w:val="20"/>
          <w:color w:val="auto"/>
        </w:rPr>
      </w:pPr>
      <w:r>
        <w:rPr>
          <w:rFonts w:ascii="Arial" w:cs="Arial" w:eastAsia="Arial" w:hAnsi="Arial"/>
          <w:sz w:val="19"/>
          <w:szCs w:val="19"/>
          <w:color w:val="auto"/>
        </w:rPr>
        <w:t>Mr. Marc R. Benioff has the shared power to dispose or to direct the disposition of 4,761,905 shares of Class A common stock and 176,662 shares of Class B common stock.</w:t>
      </w:r>
    </w:p>
    <w:p>
      <w:pPr>
        <w:spacing w:after="0" w:line="335"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30" w:lineRule="exact"/>
        <w:rPr>
          <w:sz w:val="20"/>
          <w:szCs w:val="20"/>
          <w:color w:val="auto"/>
        </w:rPr>
      </w:pPr>
    </w:p>
    <w:p>
      <w:pPr>
        <w:ind w:left="1040" w:right="440"/>
        <w:spacing w:after="0" w:line="245" w:lineRule="exact"/>
        <w:rPr>
          <w:sz w:val="20"/>
          <w:szCs w:val="20"/>
          <w:color w:val="auto"/>
        </w:rPr>
      </w:pPr>
      <w:r>
        <w:rPr>
          <w:rFonts w:ascii="Arial" w:cs="Arial" w:eastAsia="Arial" w:hAnsi="Arial"/>
          <w:sz w:val="19"/>
          <w:szCs w:val="19"/>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9"/>
          <w:szCs w:val="19"/>
          <w:color w:val="auto"/>
        </w:rPr>
        <w:t>☒</w:t>
      </w:r>
      <w:r>
        <w:rPr>
          <w:rFonts w:ascii="Arial" w:cs="Arial" w:eastAsia="Arial" w:hAnsi="Arial"/>
          <w:sz w:val="19"/>
          <w:szCs w:val="19"/>
          <w:color w:val="auto"/>
        </w:rPr>
        <w:t>.</w:t>
      </w:r>
    </w:p>
    <w:p>
      <w:pPr>
        <w:spacing w:after="0" w:line="346"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6.</w:t>
      </w:r>
      <w:r>
        <w:rPr>
          <w:sz w:val="20"/>
          <w:szCs w:val="20"/>
          <w:color w:val="auto"/>
        </w:rPr>
        <w:tab/>
      </w:r>
      <w:r>
        <w:rPr>
          <w:rFonts w:ascii="Arial" w:cs="Arial" w:eastAsia="Arial" w:hAnsi="Arial"/>
          <w:sz w:val="17"/>
          <w:szCs w:val="17"/>
          <w:b w:val="1"/>
          <w:bCs w:val="1"/>
          <w:color w:val="auto"/>
        </w:rPr>
        <w:t>Ownership of More Than Five Percent on Behalf of Another Person.</w:t>
      </w:r>
    </w:p>
    <w:p>
      <w:pPr>
        <w:spacing w:after="0" w:line="130"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Not applicable.</w:t>
      </w:r>
    </w:p>
    <w:p>
      <w:pPr>
        <w:spacing w:after="0" w:line="389" w:lineRule="exact"/>
        <w:rPr>
          <w:sz w:val="20"/>
          <w:szCs w:val="20"/>
          <w:color w:val="auto"/>
        </w:rPr>
      </w:pPr>
    </w:p>
    <w:p>
      <w:pPr>
        <w:ind w:left="1040" w:right="740" w:hanging="1040"/>
        <w:spacing w:after="0" w:line="282" w:lineRule="auto"/>
        <w:tabs>
          <w:tab w:leader="none" w:pos="1020" w:val="left"/>
        </w:tabs>
        <w:rPr>
          <w:sz w:val="20"/>
          <w:szCs w:val="20"/>
          <w:color w:val="auto"/>
        </w:rPr>
      </w:pPr>
      <w:r>
        <w:rPr>
          <w:rFonts w:ascii="Arial" w:cs="Arial" w:eastAsia="Arial" w:hAnsi="Arial"/>
          <w:sz w:val="19"/>
          <w:szCs w:val="19"/>
          <w:b w:val="1"/>
          <w:bCs w:val="1"/>
          <w:color w:val="auto"/>
        </w:rPr>
        <w:t>Item 7.</w:t>
      </w:r>
      <w:r>
        <w:rPr>
          <w:sz w:val="20"/>
          <w:szCs w:val="20"/>
          <w:color w:val="auto"/>
        </w:rPr>
        <w:tab/>
      </w:r>
      <w:r>
        <w:rPr>
          <w:rFonts w:ascii="Arial" w:cs="Arial" w:eastAsia="Arial" w:hAnsi="Arial"/>
          <w:sz w:val="19"/>
          <w:szCs w:val="19"/>
          <w:b w:val="1"/>
          <w:bCs w:val="1"/>
          <w:color w:val="auto"/>
        </w:rPr>
        <w:t>Identification and Classification of the Subsidiary Which Acquired the Security Being Reported on by the Parent Holding Company or Control Person.</w:t>
      </w:r>
    </w:p>
    <w:p>
      <w:pPr>
        <w:spacing w:after="0" w:line="63" w:lineRule="exact"/>
        <w:rPr>
          <w:sz w:val="20"/>
          <w:szCs w:val="20"/>
          <w:color w:val="auto"/>
        </w:rPr>
      </w:pPr>
    </w:p>
    <w:p>
      <w:pPr>
        <w:ind w:left="1040" w:right="540"/>
        <w:spacing w:after="0" w:line="336" w:lineRule="auto"/>
        <w:rPr>
          <w:sz w:val="20"/>
          <w:szCs w:val="20"/>
          <w:color w:val="auto"/>
        </w:rPr>
      </w:pPr>
      <w:r>
        <w:rPr>
          <w:rFonts w:ascii="Arial" w:cs="Arial" w:eastAsia="Arial" w:hAnsi="Arial"/>
          <w:sz w:val="17"/>
          <w:szCs w:val="17"/>
          <w:color w:val="auto"/>
        </w:rPr>
        <w:t>Salesforce Ventures LLC, a Delaware limited liability company and a wholly owned subsidiary of Salesforce, is the record owner of 4,761,905 shares of Class A common stock and 176,662 shares of Class B common stock beneficially owned by Salesforce.</w:t>
      </w:r>
    </w:p>
    <w:p>
      <w:pPr>
        <w:spacing w:after="0" w:line="288"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8.</w:t>
      </w:r>
      <w:r>
        <w:rPr>
          <w:sz w:val="20"/>
          <w:szCs w:val="20"/>
          <w:color w:val="auto"/>
        </w:rPr>
        <w:tab/>
      </w:r>
      <w:r>
        <w:rPr>
          <w:rFonts w:ascii="Arial" w:cs="Arial" w:eastAsia="Arial" w:hAnsi="Arial"/>
          <w:sz w:val="17"/>
          <w:szCs w:val="17"/>
          <w:b w:val="1"/>
          <w:bCs w:val="1"/>
          <w:color w:val="auto"/>
        </w:rPr>
        <w:t>Identification and Classification of Members of the Group.</w:t>
      </w:r>
    </w:p>
    <w:p>
      <w:pPr>
        <w:spacing w:after="0" w:line="130"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Not applicable.</w:t>
      </w:r>
    </w:p>
    <w:p>
      <w:pPr>
        <w:spacing w:after="0" w:line="38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9.</w:t>
      </w:r>
      <w:r>
        <w:rPr>
          <w:sz w:val="20"/>
          <w:szCs w:val="20"/>
          <w:color w:val="auto"/>
        </w:rPr>
        <w:tab/>
      </w:r>
      <w:r>
        <w:rPr>
          <w:rFonts w:ascii="Arial" w:cs="Arial" w:eastAsia="Arial" w:hAnsi="Arial"/>
          <w:sz w:val="17"/>
          <w:szCs w:val="17"/>
          <w:b w:val="1"/>
          <w:bCs w:val="1"/>
          <w:color w:val="auto"/>
        </w:rPr>
        <w:t>Notice of Dissolution of Group.</w:t>
      </w:r>
    </w:p>
    <w:p>
      <w:pPr>
        <w:spacing w:after="0" w:line="130"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Not applicable.</w:t>
      </w:r>
    </w:p>
    <w:p>
      <w:pPr>
        <w:spacing w:after="0" w:line="38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10.</w:t>
      </w:r>
      <w:r>
        <w:rPr>
          <w:sz w:val="20"/>
          <w:szCs w:val="20"/>
          <w:color w:val="auto"/>
        </w:rPr>
        <w:tab/>
      </w:r>
      <w:r>
        <w:rPr>
          <w:rFonts w:ascii="Arial" w:cs="Arial" w:eastAsia="Arial" w:hAnsi="Arial"/>
          <w:sz w:val="17"/>
          <w:szCs w:val="17"/>
          <w:b w:val="1"/>
          <w:bCs w:val="1"/>
          <w:color w:val="auto"/>
        </w:rPr>
        <w:t>Certifications.</w:t>
      </w:r>
    </w:p>
    <w:p>
      <w:pPr>
        <w:spacing w:after="0" w:line="130" w:lineRule="exact"/>
        <w:rPr>
          <w:sz w:val="20"/>
          <w:szCs w:val="20"/>
          <w:color w:val="auto"/>
        </w:rPr>
      </w:pPr>
    </w:p>
    <w:p>
      <w:pPr>
        <w:jc w:val="both"/>
        <w:ind w:left="1040" w:right="80"/>
        <w:spacing w:after="0" w:line="259"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ectPr>
          <w:pgSz w:w="12240" w:h="15840" w:orient="portrait"/>
          <w:cols w:equalWidth="0" w:num="1">
            <w:col w:w="11640"/>
          </w:cols>
          <w:pgMar w:left="300" w:top="142" w:right="300" w:bottom="1440" w:gutter="0" w:footer="0" w:header="0"/>
        </w:sectPr>
      </w:pPr>
    </w:p>
    <w:bookmarkStart w:id="6" w:name="page7"/>
    <w:bookmarkEnd w:id="6"/>
    <w:p>
      <w:pPr>
        <w:spacing w:after="0"/>
        <w:tabs>
          <w:tab w:leader="none" w:pos="5880" w:val="left"/>
          <w:tab w:leader="none" w:pos="10760" w:val="left"/>
        </w:tabs>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68260" cy="40005"/>
                    </a:xfrm>
                    <a:prstGeom prst="rect">
                      <a:avLst/>
                    </a:prstGeom>
                    <a:noFill/>
                  </pic:spPr>
                </pic:pic>
              </a:graphicData>
            </a:graphic>
          </wp:anchor>
        </w:drawing>
        <w:t>CUSIP No. 26210C 10 4</w:t>
      </w:r>
      <w:r>
        <w:rPr>
          <w:sz w:val="20"/>
          <w:szCs w:val="20"/>
          <w:color w:val="auto"/>
        </w:rPr>
        <w:tab/>
      </w:r>
      <w:r>
        <w:rPr>
          <w:rFonts w:ascii="Arial" w:cs="Arial" w:eastAsia="Arial" w:hAnsi="Arial"/>
          <w:sz w:val="19"/>
          <w:szCs w:val="19"/>
          <w:color w:val="auto"/>
        </w:rPr>
        <w:t>13G</w:t>
      </w:r>
      <w:r>
        <w:rPr>
          <w:sz w:val="20"/>
          <w:szCs w:val="20"/>
          <w:color w:val="auto"/>
        </w:rPr>
        <w:tab/>
      </w:r>
      <w:r>
        <w:rPr>
          <w:rFonts w:ascii="Arial" w:cs="Arial" w:eastAsia="Arial" w:hAnsi="Arial"/>
          <w:sz w:val="16"/>
          <w:szCs w:val="16"/>
          <w:color w:val="auto"/>
        </w:rPr>
        <w:t>Page 6 of 7</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SIGNATURE</w:t>
      </w:r>
    </w:p>
    <w:p>
      <w:pPr>
        <w:spacing w:after="0" w:line="244" w:lineRule="exact"/>
        <w:rPr>
          <w:sz w:val="20"/>
          <w:szCs w:val="20"/>
          <w:color w:val="auto"/>
        </w:rPr>
      </w:pPr>
    </w:p>
    <w:p>
      <w:pPr>
        <w:ind w:right="680" w:firstLine="465"/>
        <w:spacing w:after="0" w:line="275" w:lineRule="auto"/>
        <w:rPr>
          <w:sz w:val="20"/>
          <w:szCs w:val="20"/>
          <w:color w:val="auto"/>
        </w:rPr>
      </w:pPr>
      <w:r>
        <w:rPr>
          <w:rFonts w:ascii="Arial" w:cs="Arial" w:eastAsia="Arial" w:hAnsi="Arial"/>
          <w:sz w:val="19"/>
          <w:szCs w:val="19"/>
          <w:color w:val="auto"/>
        </w:rPr>
        <w:t>After reasonable inquiry and to the best of my knowledge and belief, each of the undersigned certifies that the information set forth in this statement is true, complete and correct.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80" w:type="dxa"/>
            <w:vAlign w:val="bottom"/>
          </w:tcPr>
          <w:p>
            <w:pPr>
              <w:spacing w:after="0"/>
              <w:rPr>
                <w:sz w:val="20"/>
                <w:szCs w:val="20"/>
                <w:color w:val="auto"/>
              </w:rPr>
            </w:pPr>
            <w:r>
              <w:rPr>
                <w:rFonts w:ascii="Arial" w:cs="Arial" w:eastAsia="Arial" w:hAnsi="Arial"/>
                <w:sz w:val="19"/>
                <w:szCs w:val="19"/>
                <w:color w:val="auto"/>
              </w:rPr>
              <w:t>SALESFORCE.COM, INC.</w:t>
            </w:r>
          </w:p>
        </w:tc>
        <w:tc>
          <w:tcPr>
            <w:tcW w:w="2100" w:type="dxa"/>
            <w:vAlign w:val="bottom"/>
          </w:tcPr>
          <w:p>
            <w:pPr>
              <w:spacing w:after="0"/>
              <w:rPr>
                <w:sz w:val="20"/>
                <w:szCs w:val="20"/>
                <w:color w:val="auto"/>
              </w:rPr>
            </w:pPr>
          </w:p>
        </w:tc>
      </w:tr>
      <w:tr>
        <w:trPr>
          <w:trHeight w:val="457"/>
        </w:trPr>
        <w:tc>
          <w:tcPr>
            <w:tcW w:w="54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Amy Weaver</w:t>
            </w:r>
          </w:p>
        </w:tc>
        <w:tc>
          <w:tcPr>
            <w:tcW w:w="2100" w:type="dxa"/>
            <w:vAlign w:val="bottom"/>
          </w:tcPr>
          <w:p>
            <w:pPr>
              <w:ind w:left="700"/>
              <w:spacing w:after="0"/>
              <w:rPr>
                <w:sz w:val="20"/>
                <w:szCs w:val="20"/>
                <w:color w:val="auto"/>
              </w:rPr>
            </w:pPr>
            <w:r>
              <w:rPr>
                <w:rFonts w:ascii="Arial" w:cs="Arial" w:eastAsia="Arial" w:hAnsi="Arial"/>
                <w:sz w:val="19"/>
                <w:szCs w:val="19"/>
                <w:color w:val="auto"/>
                <w:w w:val="88"/>
              </w:rPr>
              <w:t>February 13, 2019</w:t>
            </w:r>
          </w:p>
        </w:tc>
      </w:tr>
      <w:tr>
        <w:trPr>
          <w:trHeight w:val="209"/>
        </w:trPr>
        <w:tc>
          <w:tcPr>
            <w:tcW w:w="5480" w:type="dxa"/>
            <w:vAlign w:val="bottom"/>
          </w:tcPr>
          <w:p>
            <w:pPr>
              <w:spacing w:after="0" w:line="209" w:lineRule="exact"/>
              <w:rPr>
                <w:sz w:val="20"/>
                <w:szCs w:val="20"/>
                <w:color w:val="auto"/>
              </w:rPr>
            </w:pPr>
            <w:r>
              <w:rPr>
                <w:rFonts w:ascii="Arial" w:cs="Arial" w:eastAsia="Arial" w:hAnsi="Arial"/>
                <w:sz w:val="19"/>
                <w:szCs w:val="19"/>
                <w:color w:val="auto"/>
              </w:rPr>
              <w:t>Amy Weaver</w:t>
            </w:r>
          </w:p>
        </w:tc>
        <w:tc>
          <w:tcPr>
            <w:tcW w:w="2100" w:type="dxa"/>
            <w:vAlign w:val="bottom"/>
          </w:tcPr>
          <w:p>
            <w:pPr>
              <w:spacing w:after="0"/>
              <w:rPr>
                <w:sz w:val="18"/>
                <w:szCs w:val="18"/>
                <w:color w:val="auto"/>
              </w:rPr>
            </w:pPr>
          </w:p>
        </w:tc>
      </w:tr>
      <w:tr>
        <w:trPr>
          <w:trHeight w:val="241"/>
        </w:trPr>
        <w:tc>
          <w:tcPr>
            <w:tcW w:w="5480" w:type="dxa"/>
            <w:vAlign w:val="bottom"/>
          </w:tcPr>
          <w:p>
            <w:pPr>
              <w:spacing w:after="0"/>
              <w:rPr>
                <w:sz w:val="20"/>
                <w:szCs w:val="20"/>
                <w:color w:val="auto"/>
              </w:rPr>
            </w:pPr>
            <w:r>
              <w:rPr>
                <w:rFonts w:ascii="Arial" w:cs="Arial" w:eastAsia="Arial" w:hAnsi="Arial"/>
                <w:sz w:val="19"/>
                <w:szCs w:val="19"/>
                <w:color w:val="auto"/>
              </w:rPr>
              <w:t>President, Legal, General Counsel and Secretary</w:t>
            </w:r>
          </w:p>
        </w:tc>
        <w:tc>
          <w:tcPr>
            <w:tcW w:w="2100" w:type="dxa"/>
            <w:vAlign w:val="bottom"/>
          </w:tcPr>
          <w:p>
            <w:pPr>
              <w:spacing w:after="0"/>
              <w:rPr>
                <w:sz w:val="20"/>
                <w:szCs w:val="20"/>
                <w:color w:val="auto"/>
              </w:rPr>
            </w:pPr>
          </w:p>
        </w:tc>
      </w:tr>
      <w:tr>
        <w:trPr>
          <w:trHeight w:val="485"/>
        </w:trPr>
        <w:tc>
          <w:tcPr>
            <w:tcW w:w="5480" w:type="dxa"/>
            <w:vAlign w:val="bottom"/>
          </w:tcPr>
          <w:p>
            <w:pPr>
              <w:spacing w:after="0"/>
              <w:rPr>
                <w:sz w:val="20"/>
                <w:szCs w:val="20"/>
                <w:color w:val="auto"/>
              </w:rPr>
            </w:pPr>
            <w:r>
              <w:rPr>
                <w:rFonts w:ascii="Arial" w:cs="Arial" w:eastAsia="Arial" w:hAnsi="Arial"/>
                <w:sz w:val="19"/>
                <w:szCs w:val="19"/>
                <w:color w:val="auto"/>
              </w:rPr>
              <w:t>MARC R. BENIOFF</w:t>
            </w:r>
          </w:p>
        </w:tc>
        <w:tc>
          <w:tcPr>
            <w:tcW w:w="2100" w:type="dxa"/>
            <w:vAlign w:val="bottom"/>
          </w:tcPr>
          <w:p>
            <w:pPr>
              <w:spacing w:after="0"/>
              <w:rPr>
                <w:sz w:val="24"/>
                <w:szCs w:val="24"/>
                <w:color w:val="auto"/>
              </w:rPr>
            </w:pPr>
          </w:p>
        </w:tc>
      </w:tr>
      <w:tr>
        <w:trPr>
          <w:trHeight w:val="457"/>
        </w:trPr>
        <w:tc>
          <w:tcPr>
            <w:tcW w:w="54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Scott Siamas</w:t>
            </w:r>
          </w:p>
        </w:tc>
        <w:tc>
          <w:tcPr>
            <w:tcW w:w="2100" w:type="dxa"/>
            <w:vAlign w:val="bottom"/>
          </w:tcPr>
          <w:p>
            <w:pPr>
              <w:ind w:left="700"/>
              <w:spacing w:after="0"/>
              <w:rPr>
                <w:sz w:val="20"/>
                <w:szCs w:val="20"/>
                <w:color w:val="auto"/>
              </w:rPr>
            </w:pPr>
            <w:r>
              <w:rPr>
                <w:rFonts w:ascii="Arial" w:cs="Arial" w:eastAsia="Arial" w:hAnsi="Arial"/>
                <w:sz w:val="19"/>
                <w:szCs w:val="19"/>
                <w:color w:val="auto"/>
                <w:w w:val="88"/>
              </w:rPr>
              <w:t>February 13, 2019</w:t>
            </w:r>
          </w:p>
        </w:tc>
      </w:tr>
      <w:tr>
        <w:trPr>
          <w:trHeight w:val="236"/>
        </w:trPr>
        <w:tc>
          <w:tcPr>
            <w:tcW w:w="5480" w:type="dxa"/>
            <w:vAlign w:val="bottom"/>
          </w:tcPr>
          <w:p>
            <w:pPr>
              <w:spacing w:after="0"/>
              <w:rPr>
                <w:sz w:val="20"/>
                <w:szCs w:val="20"/>
                <w:color w:val="auto"/>
              </w:rPr>
            </w:pPr>
            <w:r>
              <w:rPr>
                <w:rFonts w:ascii="Arial" w:cs="Arial" w:eastAsia="Arial" w:hAnsi="Arial"/>
                <w:sz w:val="19"/>
                <w:szCs w:val="19"/>
                <w:color w:val="auto"/>
              </w:rPr>
              <w:t>Attorney-in-fact for Marc R. Benioff</w:t>
            </w:r>
          </w:p>
        </w:tc>
        <w:tc>
          <w:tcPr>
            <w:tcW w:w="2100" w:type="dxa"/>
            <w:vAlign w:val="bottom"/>
          </w:tcPr>
          <w:p>
            <w:pPr>
              <w:spacing w:after="0"/>
              <w:rPr>
                <w:sz w:val="20"/>
                <w:szCs w:val="20"/>
                <w:color w:val="auto"/>
              </w:rPr>
            </w:pPr>
          </w:p>
        </w:tc>
      </w:tr>
    </w:tbl>
    <w:p>
      <w:pPr>
        <w:sectPr>
          <w:pgSz w:w="12240" w:h="15840" w:orient="portrait"/>
          <w:cols w:equalWidth="0" w:num="1">
            <w:col w:w="11640"/>
          </w:cols>
          <w:pgMar w:left="300" w:top="142" w:right="300"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1"/>
        </w:trPr>
        <w:tc>
          <w:tcPr>
            <w:tcW w:w="4500" w:type="dxa"/>
            <w:vAlign w:val="bottom"/>
            <w:gridSpan w:val="3"/>
          </w:tcPr>
          <w:p>
            <w:pPr>
              <w:spacing w:after="0"/>
              <w:rPr>
                <w:sz w:val="20"/>
                <w:szCs w:val="20"/>
                <w:color w:val="auto"/>
              </w:rPr>
            </w:pPr>
            <w:r>
              <w:rPr>
                <w:rFonts w:ascii="Arial" w:cs="Arial" w:eastAsia="Arial" w:hAnsi="Arial"/>
                <w:sz w:val="19"/>
                <w:szCs w:val="19"/>
                <w:color w:val="auto"/>
              </w:rPr>
              <w:t>CUSIP No. 26210C 10 4</w:t>
            </w:r>
          </w:p>
        </w:tc>
        <w:tc>
          <w:tcPr>
            <w:tcW w:w="4360" w:type="dxa"/>
            <w:vAlign w:val="bottom"/>
          </w:tcPr>
          <w:p>
            <w:pPr>
              <w:ind w:left="1400"/>
              <w:spacing w:after="0"/>
              <w:rPr>
                <w:sz w:val="20"/>
                <w:szCs w:val="20"/>
                <w:color w:val="auto"/>
              </w:rPr>
            </w:pPr>
            <w:r>
              <w:rPr>
                <w:rFonts w:ascii="Arial" w:cs="Arial" w:eastAsia="Arial" w:hAnsi="Arial"/>
                <w:sz w:val="19"/>
                <w:szCs w:val="19"/>
                <w:color w:val="auto"/>
              </w:rPr>
              <w:t>13G</w:t>
            </w:r>
          </w:p>
        </w:tc>
        <w:tc>
          <w:tcPr>
            <w:tcW w:w="2780" w:type="dxa"/>
            <w:vAlign w:val="bottom"/>
          </w:tcPr>
          <w:p>
            <w:pPr>
              <w:ind w:left="1920"/>
              <w:spacing w:after="0"/>
              <w:rPr>
                <w:sz w:val="20"/>
                <w:szCs w:val="20"/>
                <w:color w:val="auto"/>
              </w:rPr>
            </w:pPr>
            <w:r>
              <w:rPr>
                <w:rFonts w:ascii="Arial" w:cs="Arial" w:eastAsia="Arial" w:hAnsi="Arial"/>
                <w:sz w:val="19"/>
                <w:szCs w:val="19"/>
                <w:color w:val="auto"/>
                <w:w w:val="86"/>
              </w:rPr>
              <w:t>Page 7 of 7</w:t>
            </w:r>
          </w:p>
        </w:tc>
      </w:tr>
      <w:tr>
        <w:trPr>
          <w:trHeight w:val="323"/>
        </w:trPr>
        <w:tc>
          <w:tcPr>
            <w:tcW w:w="7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94"/>
              </w:rPr>
              <w:t>Exhibit No.</w:t>
            </w:r>
          </w:p>
        </w:tc>
        <w:tc>
          <w:tcPr>
            <w:tcW w:w="760" w:type="dxa"/>
            <w:vAlign w:val="bottom"/>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ind w:left="1700"/>
              <w:spacing w:after="0"/>
              <w:rPr>
                <w:sz w:val="20"/>
                <w:szCs w:val="20"/>
                <w:color w:val="auto"/>
              </w:rPr>
            </w:pPr>
            <w:r>
              <w:rPr>
                <w:rFonts w:ascii="Arial" w:cs="Arial" w:eastAsia="Arial" w:hAnsi="Arial"/>
                <w:sz w:val="15"/>
                <w:szCs w:val="15"/>
                <w:b w:val="1"/>
                <w:bCs w:val="1"/>
                <w:color w:val="auto"/>
              </w:rPr>
              <w:t>Description</w:t>
            </w:r>
          </w:p>
        </w:tc>
        <w:tc>
          <w:tcPr>
            <w:tcW w:w="2780" w:type="dxa"/>
            <w:vAlign w:val="bottom"/>
            <w:tcBorders>
              <w:bottom w:val="single" w:sz="8" w:color="auto"/>
            </w:tcBorders>
          </w:tcPr>
          <w:p>
            <w:pPr>
              <w:spacing w:after="0"/>
              <w:rPr>
                <w:sz w:val="24"/>
                <w:szCs w:val="24"/>
                <w:color w:val="auto"/>
              </w:rPr>
            </w:pPr>
          </w:p>
        </w:tc>
      </w:tr>
      <w:tr>
        <w:trPr>
          <w:trHeight w:val="314"/>
        </w:trPr>
        <w:tc>
          <w:tcPr>
            <w:tcW w:w="760" w:type="dxa"/>
            <w:vAlign w:val="bottom"/>
          </w:tcPr>
          <w:p>
            <w:pPr>
              <w:spacing w:after="0"/>
              <w:rPr>
                <w:sz w:val="20"/>
                <w:szCs w:val="20"/>
                <w:color w:val="auto"/>
              </w:rPr>
            </w:pPr>
            <w:r>
              <w:rPr>
                <w:rFonts w:ascii="Arial" w:cs="Arial" w:eastAsia="Arial" w:hAnsi="Arial"/>
                <w:sz w:val="19"/>
                <w:szCs w:val="19"/>
                <w:color w:val="auto"/>
              </w:rPr>
              <w:t>24.1</w:t>
            </w:r>
          </w:p>
        </w:tc>
        <w:tc>
          <w:tcPr>
            <w:tcW w:w="10880" w:type="dxa"/>
            <w:vAlign w:val="bottom"/>
            <w:gridSpan w:val="4"/>
          </w:tcPr>
          <w:p>
            <w:pPr>
              <w:ind w:left="760"/>
              <w:spacing w:after="0"/>
              <w:rPr>
                <w:sz w:val="20"/>
                <w:szCs w:val="20"/>
                <w:color w:val="auto"/>
              </w:rPr>
            </w:pPr>
            <w:r>
              <w:rPr>
                <w:rFonts w:ascii="Arial" w:cs="Arial" w:eastAsia="Arial" w:hAnsi="Arial"/>
                <w:sz w:val="19"/>
                <w:szCs w:val="19"/>
                <w:color w:val="auto"/>
                <w:w w:val="92"/>
              </w:rPr>
              <w:t>Power-of-Attorney granted by Marc R. Benioff, dated March 30, 2018 (Filed as Exhibit 24.1 to the Schedule 13G and incorporated</w:t>
            </w:r>
          </w:p>
        </w:tc>
      </w:tr>
      <w:tr>
        <w:trPr>
          <w:trHeight w:val="241"/>
        </w:trPr>
        <w:tc>
          <w:tcPr>
            <w:tcW w:w="760" w:type="dxa"/>
            <w:vAlign w:val="bottom"/>
          </w:tcPr>
          <w:p>
            <w:pPr>
              <w:spacing w:after="0"/>
              <w:rPr>
                <w:sz w:val="20"/>
                <w:szCs w:val="20"/>
                <w:color w:val="auto"/>
              </w:rPr>
            </w:pPr>
          </w:p>
        </w:tc>
        <w:tc>
          <w:tcPr>
            <w:tcW w:w="3740" w:type="dxa"/>
            <w:vAlign w:val="bottom"/>
            <w:gridSpan w:val="2"/>
          </w:tcPr>
          <w:p>
            <w:pPr>
              <w:ind w:left="760"/>
              <w:spacing w:after="0"/>
              <w:rPr>
                <w:sz w:val="20"/>
                <w:szCs w:val="20"/>
                <w:color w:val="auto"/>
              </w:rPr>
            </w:pPr>
            <w:r>
              <w:rPr>
                <w:rFonts w:ascii="Arial" w:cs="Arial" w:eastAsia="Arial" w:hAnsi="Arial"/>
                <w:sz w:val="19"/>
                <w:szCs w:val="19"/>
                <w:color w:val="auto"/>
              </w:rPr>
              <w:t>herein by reference).</w:t>
            </w:r>
          </w:p>
        </w:tc>
        <w:tc>
          <w:tcPr>
            <w:tcW w:w="4360" w:type="dxa"/>
            <w:vAlign w:val="bottom"/>
          </w:tcPr>
          <w:p>
            <w:pPr>
              <w:spacing w:after="0"/>
              <w:rPr>
                <w:sz w:val="20"/>
                <w:szCs w:val="20"/>
                <w:color w:val="auto"/>
              </w:rPr>
            </w:pPr>
          </w:p>
        </w:tc>
        <w:tc>
          <w:tcPr>
            <w:tcW w:w="2780" w:type="dxa"/>
            <w:vAlign w:val="bottom"/>
          </w:tcPr>
          <w:p>
            <w:pPr>
              <w:spacing w:after="0"/>
              <w:rPr>
                <w:sz w:val="20"/>
                <w:szCs w:val="20"/>
                <w:color w:val="auto"/>
              </w:rPr>
            </w:pPr>
          </w:p>
        </w:tc>
      </w:tr>
    </w:tbl>
    <w:p>
      <w:pPr>
        <w:spacing w:after="0" w:line="1" w:lineRule="exact"/>
        <w:rPr>
          <w:sz w:val="20"/>
          <w:szCs w:val="20"/>
          <w:color w:val="auto"/>
        </w:rPr>
      </w:pPr>
    </w:p>
    <w:sectPr>
      <w:pgSz w:w="12240" w:h="15840" w:orient="portrait"/>
      <w:cols w:equalWidth="0" w:num="1">
        <w:col w:w="11640"/>
      </w:cols>
      <w:pgMar w:left="300" w:top="142" w:right="30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bullet"/>
      <w:start w:val="1"/>
    </w:lvl>
  </w:abstractNum>
  <w:abstractNum w:abstractNumId="5">
    <w:nsid w:val="109CF92E"/>
    <w:multiLevelType w:val="hybridMultilevel"/>
    <w:lvl w:ilvl="0">
      <w:lvlJc w:val="left"/>
      <w:lvlText w:val="2"/>
      <w:numFmt w:val="bullet"/>
      <w:start w:val="1"/>
    </w:lvl>
  </w:abstractNum>
  <w:abstractNum w:abstractNumId="6">
    <w:nsid w:val="DED7263"/>
    <w:multiLevelType w:val="hybridMultilevel"/>
    <w:lvl w:ilvl="0">
      <w:lvlJc w:val="left"/>
      <w:lvlText w:val="3"/>
      <w:numFmt w:val="bullet"/>
      <w:start w:val="1"/>
    </w:lvl>
  </w:abstractNum>
  <w:abstractNum w:abstractNumId="7">
    <w:nsid w:val="7FDCC233"/>
    <w:multiLevelType w:val="hybridMultilevel"/>
    <w:lvl w:ilvl="0">
      <w:lvlJc w:val="left"/>
      <w:lvlText w:val="1"/>
      <w:numFmt w:val="bullet"/>
      <w:start w:val="1"/>
    </w:lvl>
  </w:abstractNum>
  <w:abstractNum w:abstractNumId="8">
    <w:nsid w:val="1BEFD79F"/>
    <w:multiLevelType w:val="hybridMultilevel"/>
    <w:lvl w:ilvl="0">
      <w:lvlJc w:val="left"/>
      <w:lvlText w:val="2"/>
      <w:numFmt w:val="bullet"/>
      <w:start w:val="1"/>
    </w:lvl>
  </w:abstractNum>
  <w:abstractNum w:abstractNumId="9">
    <w:nsid w:val="41A7C4C9"/>
    <w:multiLevelType w:val="hybridMultilevel"/>
    <w:lvl w:ilvl="0">
      <w:lvlJc w:val="left"/>
      <w:lvlText w:val="3"/>
      <w:numFmt w:val="bullet"/>
      <w:start w:val="1"/>
    </w:lvl>
  </w:abstractNum>
  <w:abstractNum w:abstractNumId="10">
    <w:nsid w:val="6B68079A"/>
    <w:multiLevelType w:val="hybridMultilevel"/>
    <w:lvl w:ilvl="0">
      <w:lvlJc w:val="left"/>
      <w:lvlText w:val="4"/>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lowerLetter"/>
      <w:start w:val="10"/>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lowerLetter"/>
      <w:start w:val="2"/>
    </w:lvl>
  </w:abstractNum>
  <w:abstractNum w:abstractNumId="18">
    <w:nsid w:val="62BBD95A"/>
    <w:multiLevelType w:val="hybridMultilevel"/>
    <w:lvl w:ilvl="0">
      <w:lvlJc w:val="left"/>
      <w:lvlText w:val="(%1)"/>
      <w:numFmt w:val="lowerRoman"/>
      <w:start w:val="1"/>
    </w:lvl>
  </w:abstractNum>
  <w:abstractNum w:abstractNumId="19">
    <w:nsid w:val="436C6125"/>
    <w:multiLevelType w:val="hybridMultilevel"/>
    <w:lvl w:ilvl="0">
      <w:lvlJc w:val="left"/>
      <w:lvlText w:val="(%1)"/>
      <w:numFmt w:val="lowerRoman"/>
      <w:start w:val="2"/>
    </w:lvl>
  </w:abstractNum>
  <w:abstractNum w:abstractNumId="20">
    <w:nsid w:val="628C895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2019-12-15T16:11:13Z</dcterms:created>
  <dcterms:modified xsi:type="dcterms:W3CDTF">2019-12-15T16:11:13Z</dcterms:modified>
</cp:coreProperties>
</file>