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from________to________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001-38434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Dropbox,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62" w:type="dxa"/>
        <w:jc w:val="left"/>
        <w:tblInd w:w="0" w:type="dxa"/>
        <w:tblLayout w:type="fixed"/>
        <w:tblCellMar>
          <w:top w:w="28" w:type="dxa"/>
          <w:left w:w="28" w:type="dxa"/>
          <w:bottom w:w="28" w:type="dxa"/>
          <w:right w:w="28" w:type="dxa"/>
        </w:tblCellMar>
      </w:tblPr>
      <w:tblGrid>
        <w:gridCol w:w="1652"/>
        <w:gridCol w:w="1450"/>
        <w:gridCol w:w="1458"/>
        <w:gridCol w:w="109"/>
        <w:gridCol w:w="109"/>
        <w:gridCol w:w="109"/>
        <w:gridCol w:w="896"/>
        <w:gridCol w:w="896"/>
        <w:gridCol w:w="1283"/>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26-0138832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 Hawthorne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94105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930-7766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063" w:type="dxa"/>
        <w:jc w:val="left"/>
        <w:tblInd w:w="0" w:type="dxa"/>
        <w:tblLayout w:type="fixed"/>
        <w:tblCellMar>
          <w:top w:w="28" w:type="dxa"/>
          <w:left w:w="28" w:type="dxa"/>
          <w:bottom w:w="28" w:type="dxa"/>
          <w:right w:w="28" w:type="dxa"/>
        </w:tblCellMar>
      </w:tblPr>
      <w:tblGrid>
        <w:gridCol w:w="308"/>
        <w:gridCol w:w="270"/>
        <w:gridCol w:w="270"/>
        <w:gridCol w:w="270"/>
        <w:gridCol w:w="270"/>
        <w:gridCol w:w="274"/>
        <w:gridCol w:w="109"/>
        <w:gridCol w:w="109"/>
        <w:gridCol w:w="109"/>
        <w:gridCol w:w="109"/>
        <w:gridCol w:w="109"/>
        <w:gridCol w:w="109"/>
        <w:gridCol w:w="336"/>
        <w:gridCol w:w="336"/>
        <w:gridCol w:w="336"/>
        <w:gridCol w:w="336"/>
        <w:gridCol w:w="336"/>
        <w:gridCol w:w="346"/>
        <w:gridCol w:w="211"/>
        <w:gridCol w:w="211"/>
        <w:gridCol w:w="299"/>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r>
        <w:trPr/>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7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r>
        <w:trPr/>
        <w:tc>
          <w:tcPr>
            <w:tcW w:w="19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is a shell company (as defined by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August 3, 2026, there were 150,561,680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75,147,605 shares of the registrant’s Class B common stock outstanding, and no shares of the registrant’s Class C common stock outstanding.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financial performance, including trends in revenue, costs of revenue, gross profit or gross margin, operating expenses, paying users, annual recurring revenue, average revenue per user, free cash flow, and the assumptions underlying such trends;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and retain users and convert users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prevent security breaches and our liability or other potential legal, regulatory, or reputational consequences of any unauthorized access to our data or our customer data;</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prevent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compete successfully in competitive markets;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expectations regarding the potential impacts of permanent global remote or distributed work, on our business, the business of our customers, suppliers and partners, and the economy;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demand for our platform or for content collaboration solutions in general;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integrate our platform with others;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respond to rapid technological changes, including our ability to take advantage of potential market opportunities arising from what we believe to be a more permanent shift towards remote or distributed work;</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achieve or maintain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around future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successfully introduce new products and features;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invest in the development of new products and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retain, integrate, and manage key and other highly qualified personnel, including as a result of our Virtual First work model with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capital allocation plans, including expected allocations of cash and timing for our share repurchases and other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regarding the challenges and anticipated benefits to our business from our Virtual First work model as well as the impact to our financial results and business operations as a result of this model;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Our expectations regarding general economic, political, and market trends and their respective impacts on our business;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new or modified laws, policies, taxes, and regulations on our business;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protect, and enhance our intellectual property;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sufficiency of our cash and cash equivalents to meet our liquidity needs;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Acquisitions of companies and assets, including our ability to successfully integrate and realize the anticipated benefits of such acquisitions.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time-to-time,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95"/>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rate of growth has declined and we have experienced negative growth in past periods. If we do not successfully execute our plan for future growth, our growth rate may continue to decline and we may continue to experience negative growth in future periods.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depends on our ability to attract and retain users, convert users to paying users and upgrade paying users, and any decline in acquisitions, renewals or upgrades could adversely affect our future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in the past and may continue to experience privacy and data security breaches or incidents.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respond to rapid technological changes, including with respect to AI, extend our platform, or develop new features or products may harm our ability to compete effectively, which would adversely affect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generate revenue from sales of subscriptions to our platform, and declines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operate with a Virtual First work model and the long-term impact of this model on our financial results and business operations remains uncertain.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may be significantly impacted by a change in general economic, political, and market conditions, including any resulting effect on consumer or business spending.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increase expenses in the future, and we may not be able to achieve or maintain profitability in future periods.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Servicing our indebtedness under our term loan facility and 2028 Notes (as defined below) may require a significant amount of cash, and we may not have sufficient cash flow or the ability to raise the funds necessary to satisfy our obligations under the term loan facility or 2028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6"/>
        <w:gridCol w:w="250"/>
        <w:gridCol w:w="253"/>
        <w:gridCol w:w="2965"/>
        <w:gridCol w:w="2965"/>
        <w:gridCol w:w="2971"/>
        <w:gridCol w:w="149"/>
        <w:gridCol w:w="149"/>
        <w:gridCol w:w="217"/>
      </w:tblGrid>
      <w:tr>
        <w:trPr/>
        <w:tc>
          <w:tcPr>
            <w:tcW w:w="2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4c4f15a60945fab06714dcff9d71cd_13">
              <w:r>
                <w:rPr>
                  <w:rStyle w:val="InternetLink"/>
                  <w:rFonts w:ascii="Times New Roman;serif" w:hAnsi="Times New Roman;serif"/>
                  <w:b w:val="false"/>
                  <w:color w:val="0000FF"/>
                  <w:sz w:val="18"/>
                  <w:u w:val="single"/>
                </w:rPr>
                <w:t>PART I. FINANCIAL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1.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19">
              <w:r>
                <w:rPr>
                  <w:rStyle w:val="InternetLink"/>
                  <w:rFonts w:ascii="Times New Roman;serif" w:hAnsi="Times New Roman;serif"/>
                  <w:b w:val="false"/>
                  <w:color w:val="0000FF"/>
                  <w:sz w:val="18"/>
                  <w:u w:val="single"/>
                </w:rPr>
                <w:t>Condensed Consolidated Financial Statements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16">
              <w:r>
                <w:rPr>
                  <w:rStyle w:val="InternetLink"/>
                  <w:rFonts w:ascii="Times New Roman;serif" w:hAnsi="Times New Roman;serif"/>
                  <w:b w:val="false"/>
                  <w:color w:val="0000FF"/>
                  <w:sz w:val="18"/>
                  <w:u w:val="single"/>
                </w:rPr>
                <w:t>6</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19">
              <w:r>
                <w:rPr>
                  <w:rStyle w:val="InternetLink"/>
                  <w:rFonts w:ascii="Times New Roman;serif" w:hAnsi="Times New Roman;serif"/>
                  <w:b w:val="false"/>
                  <w:color w:val="0000FF"/>
                  <w:sz w:val="18"/>
                  <w:u w:val="single"/>
                </w:rPr>
                <w:t>Condensed Consolidated Balance Sheets as of June 30, 2026 and December 31,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19">
              <w:r>
                <w:rPr>
                  <w:rStyle w:val="InternetLink"/>
                  <w:rFonts w:ascii="Times New Roman;serif" w:hAnsi="Times New Roman;serif"/>
                  <w:b w:val="false"/>
                  <w:color w:val="0000FF"/>
                  <w:sz w:val="18"/>
                  <w:u w:val="single"/>
                </w:rPr>
                <w:t>6</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22">
              <w:r>
                <w:rPr>
                  <w:rStyle w:val="InternetLink"/>
                  <w:rFonts w:ascii="Times New Roman;serif" w:hAnsi="Times New Roman;serif"/>
                  <w:b w:val="false"/>
                  <w:color w:val="0000FF"/>
                  <w:sz w:val="18"/>
                  <w:u w:val="single"/>
                </w:rPr>
                <w:t>Condensed Consolidated Statements of Operations for the Three and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22">
              <w:r>
                <w:rPr>
                  <w:rStyle w:val="InternetLink"/>
                  <w:rFonts w:ascii="Times New Roman;serif" w:hAnsi="Times New Roman;serif"/>
                  <w:b w:val="false"/>
                  <w:color w:val="0000FF"/>
                  <w:sz w:val="18"/>
                  <w:u w:val="single"/>
                </w:rPr>
                <w:t>7</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28">
              <w:r>
                <w:rPr>
                  <w:rStyle w:val="InternetLink"/>
                  <w:rFonts w:ascii="Times New Roman;serif" w:hAnsi="Times New Roman;serif"/>
                  <w:b w:val="false"/>
                  <w:color w:val="000080"/>
                  <w:sz w:val="18"/>
                  <w:u w:val="single"/>
                </w:rPr>
                <w:t xml:space="preserve">Condensed Consolidated Statements of Comprehensive Income for the Three and Six Months Ended </w:t>
              </w:r>
            </w:hyperlink>
            <w:hyperlink w:anchor="i694c4f15a60945fab06714dcff9d71cd_28">
              <w:r>
                <w:rPr>
                  <w:rStyle w:val="InternetLink"/>
                  <w:rFonts w:ascii="Times New Roman;serif" w:hAnsi="Times New Roman;serif"/>
                  <w:b w:val="false"/>
                  <w:color w:val="000080"/>
                  <w:sz w:val="18"/>
                  <w:u w:val="single"/>
                </w:rPr>
                <w:t>June 30</w:t>
              </w:r>
            </w:hyperlink>
            <w:hyperlink w:anchor="i694c4f15a60945fab06714dcff9d71cd_28">
              <w:r>
                <w:rPr>
                  <w:rStyle w:val="InternetLink"/>
                  <w:rFonts w:ascii="Times New Roman;serif" w:hAnsi="Times New Roman;serif"/>
                  <w:b w:val="false"/>
                  <w:color w:val="000080"/>
                  <w:sz w:val="18"/>
                  <w:u w:val="single"/>
                </w:rPr>
                <w:t>,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28">
              <w:r>
                <w:rPr>
                  <w:rStyle w:val="InternetLink"/>
                  <w:rFonts w:ascii="Times New Roman;serif" w:hAnsi="Times New Roman;serif"/>
                  <w:b w:val="false"/>
                  <w:color w:val="0000FF"/>
                  <w:sz w:val="18"/>
                  <w:u w:val="single"/>
                </w:rPr>
                <w:t>8</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31">
              <w:r>
                <w:rPr>
                  <w:rStyle w:val="InternetLink"/>
                  <w:rFonts w:ascii="Times New Roman;serif" w:hAnsi="Times New Roman;serif"/>
                  <w:b w:val="false"/>
                  <w:color w:val="000080"/>
                  <w:sz w:val="18"/>
                  <w:u w:val="single"/>
                </w:rPr>
                <w:t>Condensed Consolidated Statements of Stockholders' Deficit for the Three and Six Months Ended</w:t>
              </w:r>
            </w:hyperlink>
            <w:hyperlink w:anchor="i694c4f15a60945fab06714dcff9d71cd_31">
              <w:r>
                <w:rPr>
                  <w:rStyle w:val="InternetLink"/>
                  <w:rFonts w:ascii="Times New Roman;serif" w:hAnsi="Times New Roman;serif"/>
                  <w:b w:val="false"/>
                  <w:color w:val="000080"/>
                  <w:sz w:val="18"/>
                  <w:u w:val="single"/>
                </w:rPr>
                <w:t xml:space="preserve"> June 30</w:t>
              </w:r>
            </w:hyperlink>
            <w:hyperlink w:anchor="i694c4f15a60945fab06714dcff9d71cd_31">
              <w:r>
                <w:rPr>
                  <w:rStyle w:val="InternetLink"/>
                  <w:rFonts w:ascii="Times New Roman;serif" w:hAnsi="Times New Roman;serif"/>
                  <w:b w:val="false"/>
                  <w:color w:val="000080"/>
                  <w:sz w:val="18"/>
                  <w:u w:val="single"/>
                </w:rPr>
                <w:t>,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31">
              <w:r>
                <w:rPr>
                  <w:rStyle w:val="InternetLink"/>
                  <w:rFonts w:ascii="Times New Roman;serif" w:hAnsi="Times New Roman;serif"/>
                  <w:b w:val="false"/>
                  <w:color w:val="0000FF"/>
                  <w:sz w:val="18"/>
                  <w:u w:val="single"/>
                </w:rPr>
                <w:t>9</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34">
              <w:r>
                <w:rPr>
                  <w:rStyle w:val="InternetLink"/>
                  <w:rFonts w:ascii="Times New Roman;serif" w:hAnsi="Times New Roman;serif"/>
                  <w:b w:val="false"/>
                  <w:color w:val="000080"/>
                  <w:sz w:val="18"/>
                  <w:u w:val="single"/>
                </w:rPr>
                <w:t xml:space="preserve">Condensed Consolidated Statements of Cash Flows for the </w:t>
              </w:r>
            </w:hyperlink>
            <w:hyperlink w:anchor="i694c4f15a60945fab06714dcff9d71cd_34">
              <w:r>
                <w:rPr>
                  <w:rStyle w:val="InternetLink"/>
                  <w:rFonts w:ascii="Times New Roman;serif" w:hAnsi="Times New Roman;serif"/>
                  <w:b w:val="false"/>
                  <w:color w:val="000080"/>
                  <w:sz w:val="18"/>
                  <w:u w:val="single"/>
                </w:rPr>
                <w:t>S</w:t>
              </w:r>
            </w:hyperlink>
            <w:hyperlink w:anchor="i694c4f15a60945fab06714dcff9d71cd_34">
              <w:r>
                <w:rPr>
                  <w:rStyle w:val="InternetLink"/>
                  <w:rFonts w:ascii="Times New Roman;serif" w:hAnsi="Times New Roman;serif"/>
                  <w:b w:val="false"/>
                  <w:color w:val="000080"/>
                  <w:sz w:val="18"/>
                  <w:u w:val="single"/>
                </w:rPr>
                <w:t>ix</w:t>
              </w:r>
            </w:hyperlink>
            <w:hyperlink w:anchor="i694c4f15a60945fab06714dcff9d71cd_34">
              <w:r>
                <w:rPr>
                  <w:rStyle w:val="InternetLink"/>
                  <w:rFonts w:ascii="Times New Roman;serif" w:hAnsi="Times New Roman;serif"/>
                  <w:b w:val="false"/>
                  <w:color w:val="000080"/>
                  <w:sz w:val="18"/>
                  <w:u w:val="single"/>
                </w:rPr>
                <w:t xml:space="preserve"> Months Ended</w:t>
              </w:r>
            </w:hyperlink>
            <w:hyperlink w:anchor="i694c4f15a60945fab06714dcff9d71cd_34">
              <w:r>
                <w:rPr>
                  <w:rStyle w:val="InternetLink"/>
                  <w:rFonts w:ascii="Times New Roman;serif" w:hAnsi="Times New Roman;serif"/>
                  <w:b w:val="false"/>
                  <w:color w:val="000080"/>
                  <w:sz w:val="18"/>
                  <w:u w:val="single"/>
                </w:rPr>
                <w:t xml:space="preserve"> June 30,</w:t>
              </w:r>
            </w:hyperlink>
            <w:hyperlink w:anchor="i694c4f15a60945fab06714dcff9d71cd_34">
              <w:r>
                <w:rPr>
                  <w:rStyle w:val="InternetLink"/>
                  <w:rFonts w:ascii="Times New Roman;serif" w:hAnsi="Times New Roman;serif"/>
                  <w:b w:val="false"/>
                  <w:color w:val="000080"/>
                  <w:sz w:val="18"/>
                  <w:u w:val="single"/>
                </w:rPr>
                <w:t xml:space="preserve">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34">
              <w:r>
                <w:rPr>
                  <w:rStyle w:val="InternetLink"/>
                  <w:rFonts w:ascii="Times New Roman;serif" w:hAnsi="Times New Roman;serif"/>
                  <w:b w:val="false"/>
                  <w:color w:val="0000FF"/>
                  <w:sz w:val="18"/>
                  <w:u w:val="single"/>
                </w:rPr>
                <w:t>10</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37">
              <w:r>
                <w:rPr>
                  <w:rStyle w:val="InternetLink"/>
                  <w:rFonts w:ascii="Times New Roman;serif" w:hAnsi="Times New Roman;serif"/>
                  <w:b w:val="false"/>
                  <w:color w:val="0000FF"/>
                  <w:sz w:val="18"/>
                  <w:u w:val="single"/>
                </w:rPr>
                <w:t>Notes to Condensed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37">
              <w:r>
                <w:rPr>
                  <w:rStyle w:val="InternetLink"/>
                  <w:rFonts w:ascii="Times New Roman;serif" w:hAnsi="Times New Roman;serif"/>
                  <w:b w:val="false"/>
                  <w:color w:val="0000FF"/>
                  <w:sz w:val="18"/>
                  <w:u w:val="single"/>
                </w:rPr>
                <w:t>12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2.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109">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109">
              <w:r>
                <w:rPr>
                  <w:rStyle w:val="InternetLink"/>
                  <w:rFonts w:ascii="Times New Roman;serif" w:hAnsi="Times New Roman;serif"/>
                  <w:b w:val="false"/>
                  <w:color w:val="0000FF"/>
                  <w:sz w:val="18"/>
                  <w:u w:val="single"/>
                </w:rPr>
                <w:t>38</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3.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133">
              <w:r>
                <w:rPr>
                  <w:rStyle w:val="InternetLink"/>
                  <w:rFonts w:ascii="Times New Roman;serif" w:hAnsi="Times New Roman;serif"/>
                  <w:b w:val="false"/>
                  <w:color w:val="0000FF"/>
                  <w:sz w:val="18"/>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133">
              <w:r>
                <w:rPr>
                  <w:rStyle w:val="InternetLink"/>
                  <w:rFonts w:ascii="Times New Roman;serif" w:hAnsi="Times New Roman;serif"/>
                  <w:b w:val="false"/>
                  <w:color w:val="0000FF"/>
                  <w:sz w:val="18"/>
                  <w:u w:val="single"/>
                </w:rPr>
                <w:t>57</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4.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139">
              <w:r>
                <w:rPr>
                  <w:rStyle w:val="InternetLink"/>
                  <w:rFonts w:ascii="Times New Roman;serif" w:hAnsi="Times New Roman;serif"/>
                  <w:b w:val="false"/>
                  <w:color w:val="0000FF"/>
                  <w:sz w:val="18"/>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139">
              <w:r>
                <w:rPr>
                  <w:rStyle w:val="InternetLink"/>
                  <w:rFonts w:ascii="Times New Roman;serif" w:hAnsi="Times New Roman;serif"/>
                  <w:b w:val="false"/>
                  <w:color w:val="0000FF"/>
                  <w:sz w:val="18"/>
                  <w:u w:val="single"/>
                </w:rPr>
                <w:t>59</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4c4f15a60945fab06714dcff9d71cd_145">
              <w:r>
                <w:rPr>
                  <w:rStyle w:val="InternetLink"/>
                  <w:rFonts w:ascii="Times New Roman;serif" w:hAnsi="Times New Roman;serif"/>
                  <w:b w:val="false"/>
                  <w:color w:val="0000FF"/>
                  <w:sz w:val="18"/>
                  <w:u w:val="single"/>
                </w:rPr>
                <w:t>PART II. OTHER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1.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148">
              <w:r>
                <w:rPr>
                  <w:rStyle w:val="InternetLink"/>
                  <w:rFonts w:ascii="Times New Roman;serif" w:hAnsi="Times New Roman;serif"/>
                  <w:b w:val="false"/>
                  <w:color w:val="0000FF"/>
                  <w:sz w:val="18"/>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148">
              <w:r>
                <w:rPr>
                  <w:rStyle w:val="InternetLink"/>
                  <w:rFonts w:ascii="Times New Roman;serif" w:hAnsi="Times New Roman;serif"/>
                  <w:b w:val="false"/>
                  <w:color w:val="0000FF"/>
                  <w:sz w:val="18"/>
                  <w:u w:val="single"/>
                </w:rPr>
                <w:t>60</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1A.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151">
              <w:r>
                <w:rPr>
                  <w:rStyle w:val="InternetLink"/>
                  <w:rFonts w:ascii="Times New Roman;serif" w:hAnsi="Times New Roman;serif"/>
                  <w:b w:val="false"/>
                  <w:color w:val="0000FF"/>
                  <w:sz w:val="18"/>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151">
              <w:r>
                <w:rPr>
                  <w:rStyle w:val="InternetLink"/>
                  <w:rFonts w:ascii="Times New Roman;serif" w:hAnsi="Times New Roman;serif"/>
                  <w:b w:val="false"/>
                  <w:color w:val="0000FF"/>
                  <w:sz w:val="18"/>
                  <w:u w:val="single"/>
                </w:rPr>
                <w:t>61</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2.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154">
              <w:r>
                <w:rPr>
                  <w:rStyle w:val="InternetLink"/>
                  <w:rFonts w:ascii="Times New Roman;serif" w:hAnsi="Times New Roman;serif"/>
                  <w:b w:val="false"/>
                  <w:color w:val="0000FF"/>
                  <w:sz w:val="18"/>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154">
              <w:r>
                <w:rPr>
                  <w:rStyle w:val="InternetLink"/>
                  <w:rFonts w:ascii="Times New Roman;serif" w:hAnsi="Times New Roman;serif"/>
                  <w:b w:val="false"/>
                  <w:color w:val="0000FF"/>
                  <w:sz w:val="18"/>
                  <w:u w:val="single"/>
                </w:rPr>
                <w:t>91</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5.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157">
              <w:r>
                <w:rPr>
                  <w:rStyle w:val="InternetLink"/>
                  <w:rFonts w:ascii="Times New Roman;serif" w:hAnsi="Times New Roman;serif"/>
                  <w:b w:val="false"/>
                  <w:color w:val="0000FF"/>
                  <w:sz w:val="18"/>
                  <w:u w:val="single"/>
                </w:rPr>
                <w:t>Other Information</w:t>
              </w:r>
            </w:hyperlink>
            <w:r>
              <w:rPr>
                <w:color w:val="000000"/>
              </w:rPr>
              <w:t xml:space="preserve"> </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157">
              <w:r>
                <w:rPr>
                  <w:rStyle w:val="InternetLink"/>
                  <w:rFonts w:ascii="Times New Roman;serif" w:hAnsi="Times New Roman;serif"/>
                  <w:b w:val="false"/>
                  <w:color w:val="0000FF"/>
                  <w:sz w:val="18"/>
                  <w:u w:val="single"/>
                </w:rPr>
                <w:t>91</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6.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163">
              <w:r>
                <w:rPr>
                  <w:rStyle w:val="InternetLink"/>
                  <w:rFonts w:ascii="Times New Roman;serif" w:hAnsi="Times New Roman;serif"/>
                  <w:b w:val="false"/>
                  <w:color w:val="0000FF"/>
                  <w:sz w:val="18"/>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163">
              <w:r>
                <w:rPr>
                  <w:rStyle w:val="InternetLink"/>
                  <w:rFonts w:ascii="Times New Roman;serif" w:hAnsi="Times New Roman;serif"/>
                  <w:b w:val="false"/>
                  <w:color w:val="0000FF"/>
                  <w:sz w:val="18"/>
                  <w:u w:val="single"/>
                </w:rPr>
                <w:t>92</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166">
              <w:r>
                <w:rPr>
                  <w:rStyle w:val="InternetLink"/>
                  <w:rFonts w:ascii="Times New Roman;serif" w:hAnsi="Times New Roman;serif"/>
                  <w:b w:val="false"/>
                  <w:color w:val="0000FF"/>
                  <w:sz w:val="18"/>
                  <w:u w:val="single"/>
                </w:rPr>
                <w:t>Exhibit Index</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166">
              <w:r>
                <w:rPr>
                  <w:rStyle w:val="InternetLink"/>
                  <w:rFonts w:ascii="Times New Roman;serif" w:hAnsi="Times New Roman;serif"/>
                  <w:b w:val="false"/>
                  <w:color w:val="0000FF"/>
                  <w:sz w:val="18"/>
                  <w:u w:val="single"/>
                </w:rPr>
                <w:t>93</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c4f15a60945fab06714dcff9d71cd_169">
              <w:r>
                <w:rPr>
                  <w:rStyle w:val="InternetLink"/>
                  <w:rFonts w:ascii="Times New Roman;serif" w:hAnsi="Times New Roman;serif"/>
                  <w:b w:val="false"/>
                  <w:color w:val="0000FF"/>
                  <w:sz w:val="18"/>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c4f15a60945fab06714dcff9d71cd_169">
              <w:r>
                <w:rPr>
                  <w:rStyle w:val="InternetLink"/>
                  <w:rFonts w:ascii="Times New Roman;serif" w:hAnsi="Times New Roman;serif"/>
                  <w:b w:val="false"/>
                  <w:color w:val="0000FF"/>
                  <w:sz w:val="18"/>
                  <w:u w:val="single"/>
                </w:rPr>
                <w:t>94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6957" w:type="dxa"/>
        <w:jc w:val="left"/>
        <w:tblInd w:w="0" w:type="dxa"/>
        <w:tblLayout w:type="fixed"/>
        <w:tblCellMar>
          <w:top w:w="28" w:type="dxa"/>
          <w:left w:w="28" w:type="dxa"/>
          <w:bottom w:w="28" w:type="dxa"/>
          <w:right w:w="28" w:type="dxa"/>
        </w:tblCellMar>
      </w:tblPr>
      <w:tblGrid>
        <w:gridCol w:w="1292"/>
        <w:gridCol w:w="1139"/>
        <w:gridCol w:w="1154"/>
        <w:gridCol w:w="247"/>
        <w:gridCol w:w="900"/>
        <w:gridCol w:w="128"/>
        <w:gridCol w:w="109"/>
        <w:gridCol w:w="109"/>
        <w:gridCol w:w="109"/>
        <w:gridCol w:w="330"/>
        <w:gridCol w:w="1199"/>
        <w:gridCol w:w="241"/>
      </w:tblGrid>
      <w:tr>
        <w:trPr/>
        <w:tc>
          <w:tcPr>
            <w:tcW w:w="129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current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 non-current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non-current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non-current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085"/>
        <w:gridCol w:w="1536"/>
        <w:gridCol w:w="1512"/>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208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share-basic and diluted: </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in computing net income per share attributable to common stockholders, diluted </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stock-based compensation as follows:</w:t>
      </w:r>
    </w:p>
    <w:p>
      <w:pPr>
        <w:pStyle w:val="TextBody"/>
        <w:bidi w:val="0"/>
        <w:spacing w:before="20" w:after="283"/>
        <w:jc w:val="left"/>
        <w:rPr/>
      </w:pPr>
      <w:r>
        <w:rPr/>
      </w:r>
    </w:p>
    <w:tbl>
      <w:tblPr>
        <w:tblW w:w="7304" w:type="dxa"/>
        <w:jc w:val="left"/>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Includes expenses related to the Company's reduction in workforce such as severance, benefits and other related items during the three months ended June 30, 2026 and three and six months ended June 30, 2025. The expenses during the three months ended June 30, 2026 were related to the reduction in workforce resulting from a strategic reorganization to unify the Company's product organization, which are included within research and development expense.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006"/>
        <w:gridCol w:w="1760"/>
        <w:gridCol w:w="1773"/>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006"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 and losses on short-term investments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6774" w:type="dxa"/>
        <w:jc w:val="center"/>
        <w:tblInd w:w="0" w:type="dxa"/>
        <w:tblLayout w:type="fixed"/>
        <w:tblCellMar>
          <w:top w:w="28" w:type="dxa"/>
          <w:left w:w="28" w:type="dxa"/>
          <w:bottom w:w="28" w:type="dxa"/>
          <w:right w:w="28" w:type="dxa"/>
        </w:tblCellMar>
      </w:tblPr>
      <w:tblGrid>
        <w:gridCol w:w="621"/>
        <w:gridCol w:w="282"/>
        <w:gridCol w:w="283"/>
        <w:gridCol w:w="278"/>
        <w:gridCol w:w="278"/>
        <w:gridCol w:w="165"/>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58"/>
        <w:gridCol w:w="687"/>
        <w:gridCol w:w="201"/>
        <w:gridCol w:w="109"/>
        <w:gridCol w:w="109"/>
        <w:gridCol w:w="109"/>
        <w:gridCol w:w="218"/>
        <w:gridCol w:w="786"/>
        <w:gridCol w:w="122"/>
        <w:gridCol w:w="109"/>
        <w:gridCol w:w="109"/>
        <w:gridCol w:w="109"/>
        <w:gridCol w:w="278"/>
        <w:gridCol w:w="278"/>
        <w:gridCol w:w="179"/>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50"/>
        <w:gridCol w:w="699"/>
        <w:gridCol w:w="197"/>
        <w:gridCol w:w="327"/>
        <w:gridCol w:w="217"/>
        <w:gridCol w:w="782"/>
        <w:gridCol w:w="172"/>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and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restricted stock units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Repurchases of common stock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end of period</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(2,188.3)</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(1,305.5)</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6774" w:type="dxa"/>
        <w:jc w:val="center"/>
        <w:tblInd w:w="0" w:type="dxa"/>
        <w:tblLayout w:type="fixed"/>
        <w:tblCellMar>
          <w:top w:w="28" w:type="dxa"/>
          <w:left w:w="28" w:type="dxa"/>
          <w:bottom w:w="28" w:type="dxa"/>
          <w:right w:w="28" w:type="dxa"/>
        </w:tblCellMar>
      </w:tblPr>
      <w:tblGrid>
        <w:gridCol w:w="621"/>
        <w:gridCol w:w="282"/>
        <w:gridCol w:w="283"/>
        <w:gridCol w:w="278"/>
        <w:gridCol w:w="278"/>
        <w:gridCol w:w="165"/>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58"/>
        <w:gridCol w:w="687"/>
        <w:gridCol w:w="201"/>
        <w:gridCol w:w="109"/>
        <w:gridCol w:w="109"/>
        <w:gridCol w:w="109"/>
        <w:gridCol w:w="218"/>
        <w:gridCol w:w="786"/>
        <w:gridCol w:w="122"/>
        <w:gridCol w:w="109"/>
        <w:gridCol w:w="109"/>
        <w:gridCol w:w="109"/>
        <w:gridCol w:w="278"/>
        <w:gridCol w:w="278"/>
        <w:gridCol w:w="179"/>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327"/>
        <w:gridCol w:w="217"/>
        <w:gridCol w:w="782"/>
        <w:gridCol w:w="172"/>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and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restricted stock units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Repurchases of common stock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end of period</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(2,188.3)</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(1,305.5)</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969"/>
        <w:gridCol w:w="2488"/>
        <w:gridCol w:w="2508"/>
        <w:gridCol w:w="196"/>
        <w:gridCol w:w="691"/>
        <w:gridCol w:w="109"/>
        <w:gridCol w:w="109"/>
        <w:gridCol w:w="109"/>
        <w:gridCol w:w="109"/>
        <w:gridCol w:w="198"/>
        <w:gridCol w:w="563"/>
        <w:gridCol w:w="156"/>
      </w:tblGrid>
      <w:tr>
        <w:trPr/>
        <w:tc>
          <w:tcPr>
            <w:tcW w:w="2969"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 from operating activities </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real estate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on equity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commissions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lease termination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from investing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combinations, net of cash acquired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short-term investments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receipts from equipment rebates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from financing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 facility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 and loan commitment fees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against term loan facility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 of convertible senior notes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 of restricted stock units and awards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taxes withheld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 obligations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acquisition-related indemnification holdback</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amounts on condensed consolidated balance sheets - end of period</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 included in prepaid expenses and other 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 included in other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data:</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acquired under finance leases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Description of the Business and Summary of Significant Accounting Policies</w:t>
      </w:r>
    </w:p>
    <w:p>
      <w:pPr>
        <w:pStyle w:val="TextBody"/>
        <w:bidi w:val="0"/>
        <w:spacing w:before="0" w:after="12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Dropbox, Inc. (the “Company” or “Dropbox”) helps keep life organized and work moving. The Company was incorporated in May 2007 as Evenflow, Inc., a Delaware corporation, and changed its name to Dropbox, Inc. in October 2009. In March 2025, the Company reincorporated in the state of Nevada. The Company is headquartered in San Francisco, California.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2025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2026 or any future period.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should be read in conjunction with the audited consolidated financial statements and the related notes thereto as of and for the year ended December 31, 2025, included in the Company's Annual Report on Form 10-K on file with the SEC (“Annual Report”). </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most significant estimates and judgments are related to the accounting for income taxes. </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Financial information about segments and geographic areas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manages its operations and allocates resources as a single operating segment. Further, the Company manages, monitors, and reports its financial information as a single reportable segment. See Note 14 "Segment Information and Geographic Areas" for additional information.</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Foreign currency transactions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net of tax.</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Gains and losses realized from foreign currency transactions (those transactions denominated in currencies other than the foreign subsidiaries’ functional currency) are included in other income (expense), net. Monetary assets and liabilities are remeasured using foreign currency exchange rates at the end of the period, and non-monetary assets are remeasured based on historical exchange rates. Foreign currency transaction gains or losses were immaterial during the three and six months ended June 30, 2026 and 2025, respectively.</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derives its revenue from the sale of subscriptions for access to its platform. The Company’s policy is to exclude sales and other indirect taxes when measuring the transaction price of its subscription agreements. The Company accounts for revenue contracts with customers through the following steps: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Identification of the contract, or contracts, with a customer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Allocation of the transaction price to the performance obligations in the contract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Recognition of revenue when, or as, the Company satisfies a performance obligation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records contract liabilities when cash payments are received or due in advance of performance to deferred revenue. Deferred revenue primarily relates to the advance consideration received from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The Company recognized </w:t>
      </w:r>
      <w:r>
        <w:rPr>
          <w:rFonts w:ascii="Times New Roman;serif" w:hAnsi="Times New Roman;serif"/>
          <w:b w:val="false"/>
          <w:color w:val="000000"/>
          <w:sz w:val="20"/>
          <w:shd w:fill="FFFFFF" w:val="clear"/>
        </w:rPr>
        <w:t>$348.4 million</w:t>
      </w:r>
      <w:r>
        <w:rPr>
          <w:color w:val="000000"/>
        </w:rPr>
        <w:t xml:space="preserve"> </w:t>
      </w:r>
      <w:r>
        <w:rPr>
          <w:rFonts w:ascii="Times New Roman;serif" w:hAnsi="Times New Roman;serif"/>
          <w:b w:val="false"/>
          <w:color w:val="000000"/>
          <w:sz w:val="20"/>
        </w:rPr>
        <w:t xml:space="preserve">and $557.8 million of revenue during the three and six months ended June 30, 2026 and </w:t>
      </w:r>
      <w:r>
        <w:rPr>
          <w:rFonts w:ascii="Times New Roman;serif" w:hAnsi="Times New Roman;serif"/>
          <w:b w:val="false"/>
          <w:color w:val="000000"/>
          <w:sz w:val="20"/>
          <w:shd w:fill="FFFFFF" w:val="clear"/>
        </w:rPr>
        <w:t>$347.3</w:t>
      </w:r>
      <w:r>
        <w:rPr>
          <w:color w:val="000000"/>
        </w:rPr>
        <w:t xml:space="preserve"> </w:t>
      </w:r>
      <w:r>
        <w:rPr>
          <w:rFonts w:ascii="Times New Roman;serif" w:hAnsi="Times New Roman;serif"/>
          <w:b w:val="false"/>
          <w:color w:val="000000"/>
          <w:sz w:val="20"/>
        </w:rPr>
        <w:t xml:space="preserve">million and </w:t>
      </w:r>
      <w:r>
        <w:rPr>
          <w:rFonts w:ascii="Times New Roman;serif" w:hAnsi="Times New Roman;serif"/>
          <w:b w:val="false"/>
          <w:color w:val="000000"/>
          <w:sz w:val="20"/>
          <w:shd w:fill="FFFFFF" w:val="clear"/>
        </w:rPr>
        <w:t>$556.0</w:t>
      </w:r>
      <w:r>
        <w:rPr>
          <w:color w:val="000000"/>
        </w:rPr>
        <w:t xml:space="preserve"> </w:t>
      </w:r>
      <w:r>
        <w:rPr>
          <w:rFonts w:ascii="Times New Roman;serif" w:hAnsi="Times New Roman;serif"/>
          <w:b w:val="false"/>
          <w:color w:val="000000"/>
          <w:sz w:val="20"/>
        </w:rPr>
        <w:t>million during three and six months ended June 30, 2025, respectively, that was included in the deferred revenue balances at the beginning of their respective periods.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As of June 30, 2026, future estimated revenue related to performance obligations that were unsatisfied or partially unsatisfied was</w:t>
      </w:r>
      <w:r>
        <w:rPr>
          <w:color w:val="000000"/>
          <w:shd w:fill="FFFFFF" w:val="clear"/>
        </w:rPr>
        <w:t xml:space="preserve"> </w:t>
      </w:r>
      <w:r>
        <w:rPr>
          <w:rFonts w:ascii="Times New Roman;serif" w:hAnsi="Times New Roman;serif"/>
          <w:b w:val="false"/>
          <w:color w:val="000000"/>
          <w:sz w:val="20"/>
          <w:shd w:fill="FFFFFF" w:val="clear"/>
        </w:rPr>
        <w:t>$820.6 million</w:t>
      </w:r>
      <w:r>
        <w:rPr>
          <w:rFonts w:ascii="Times New Roman;serif" w:hAnsi="Times New Roman;serif"/>
          <w:b w:val="false"/>
          <w:color w:val="000000"/>
          <w:sz w:val="20"/>
        </w:rPr>
        <w:t>. The substantial majority of the unsatisfied performance obligations will be satisfied over the next twelve months.</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grants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RSUs are subject to a service-based vesting condition over a four-year period, with vesting occurring quarterly, and have been the Company’s primary form of stock-based compensation for employees, with the exception of certain awards granted to the Company’s co-founder and certain executives. Compensation expense related to RSUs is recognized on a straight-line basis over the requisite service period, with forfeitures accounted for in the period in which they occur.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Board of Directors determines the fair value of each share of underlying common stock based on the closing price of the Company's Class A common stock as reported on the Nasdaq Global Select Market on the date of the grant.</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2017, the Board of Directors approved a Co-Founder Grant of 10.3 million shares of Class A common stock in the form of restricted stock awards (“RSAs”) to Drew Houston, the Company's co-founder and Co-Chief Executive Officer (the “Co-Founder Grant”). The grant is subject to service-based, market-based, and performance-based vesting conditions and is excluded from issued and outstanding Class A common stock until vesting. The Company estimated the grant date fair value using a Monte Carlo simulation model that incorporated the probability of not meeting stock price targets. The first tranche vested in the fourth quarter of 2021. Stock-based compensation expense for the Co-Founder Grant was recognized using the accelerated attribution method over the derived service period and will not be reversed if market conditions are unmet. As of December 31, 2024, the Company had fully recognized all related stock-based compensation expense. See Note 11, "Stockholders' Deficit," for additional information.</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pStyle w:val="TextBody"/>
        <w:bidi w:val="0"/>
        <w:spacing w:before="0" w:after="12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Restricted cash relates to cash collateral used to secure outstanding letters of credit primarily for the Company’s office lease agreements. The Company had restricted cash of $12.2 million and $14.6 million as of June 30, 2026 and December 31, 2025, respectively.</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monitors its credit risk by considering factors such as historical experience, credit ratings, current economic conditions, and reasonable and supportable forecasts.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Short-term investments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short-term investments are primarily comprised of corporate notes and obligations, U.S. Treasury securities, asset-backed securities, U.S. agency obligations,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short-term investments are recorded at fair value each reporting period. Unrealized gains and losses on these short-term investments are reported as a separate component of accumulated other comprehensive income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(expense),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record any material credit losses during the three and six months ended June 30, 2026. As of June 30, 2026 and December 31, 2025, no allowance for credit losses in short-term investments was recorded.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Concentrations of risk</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Trade accounts receivable are typically unsecured and are derived from revenue earned from customers located around the world. One </w:t>
      </w:r>
      <w:r>
        <w:rPr>
          <w:rFonts w:ascii="Times New Roman;serif" w:hAnsi="Times New Roman;serif"/>
          <w:b w:val="false"/>
          <w:color w:val="000000"/>
          <w:sz w:val="20"/>
          <w:shd w:fill="FFFFFF" w:val="clear"/>
        </w:rPr>
        <w:t>distribution partner accounted for</w:t>
      </w:r>
      <w:r>
        <w:rPr>
          <w:color w:val="000000"/>
        </w:rPr>
        <w:t xml:space="preserve"> </w:t>
      </w:r>
      <w:r>
        <w:rPr>
          <w:rFonts w:ascii="Times New Roman;serif" w:hAnsi="Times New Roman;serif"/>
          <w:b w:val="false"/>
          <w:color w:val="000000"/>
          <w:sz w:val="20"/>
        </w:rPr>
        <w:t>51% and 47% of</w:t>
      </w:r>
      <w:r>
        <w:rPr>
          <w:color w:val="000000"/>
          <w:shd w:fill="FFFFFF" w:val="clear"/>
        </w:rPr>
        <w:t xml:space="preserve"> </w:t>
      </w:r>
      <w:r>
        <w:rPr>
          <w:rFonts w:ascii="Times New Roman;serif" w:hAnsi="Times New Roman;serif"/>
          <w:b w:val="false"/>
          <w:color w:val="000000"/>
          <w:sz w:val="20"/>
          <w:shd w:fill="FFFFFF" w:val="clear"/>
        </w:rPr>
        <w:t xml:space="preserve">total trade and other receivables, net as of June 30, 2026 and December 31, 2025, respectively. </w:t>
      </w:r>
      <w:r>
        <w:rPr>
          <w:rFonts w:ascii="Times New Roman;serif" w:hAnsi="Times New Roman;serif"/>
          <w:b w:val="false"/>
          <w:color w:val="000000"/>
          <w:sz w:val="20"/>
        </w:rPr>
        <w:t>No customer accounted for more than 10% of the Company’s revenue in the periods presented.</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hosts its services and serves all of its users using a combination of its own custom-built infrastructure that it leases and operates in co-location facilities and third-party datacenter services such as Amazon Web Services ("AWS"). The Company's technology infrastructure, combined with select use of AWS resources, provides a distributed and scalable architecture on a global scale. The Company has designed its platform with multiple layers of redundancy to guard against data loss and deliver high availability.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Deferred commissions,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condensed consolidated balance sheets. The Company deferred incremental costs of obtaining a contract of $4.0 million and $7.3 million during the three and six months ended June 30, 2026 and $3.6 million and $8.6 million during the three and six months ended June 30, 2025,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commissions, net included in prepaid and other current assets were $16.2 million and $17.1 million as of June 30, 2026 and December 31, 2025, respectively. Deferred commissions, net included in other assets were $15.9 million and $18.4 million as of June 30, 2026 and December 31, 2025,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$5.2 million and $10.7 million for the three and six months ended June 30, 2026 and $6.8 million and $14.0 million during the three and six months ended June 30, 2025, respectively. Amortization of deferred commissions costs are included in sales and marketing expense in the accompanying condensed consolidated statements of operations. There was no impairment loss in relation to the deferred costs for any period presented.</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 </w:t>
      </w:r>
    </w:p>
    <w:p>
      <w:pPr>
        <w:pStyle w:val="TextBody"/>
        <w:bidi w:val="0"/>
        <w:spacing w:before="0" w:after="0"/>
        <w:ind w:left="0" w:right="0" w:firstLine="495"/>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property and equipment:</w:t>
      </w:r>
    </w:p>
    <w:p>
      <w:pPr>
        <w:pStyle w:val="TextBody"/>
        <w:bidi w:val="0"/>
        <w:spacing w:before="0" w:after="0"/>
        <w:ind w:left="0" w:right="0" w:firstLine="495"/>
        <w:jc w:val="left"/>
        <w:rPr/>
      </w:pPr>
      <w:r>
        <w:rPr/>
      </w:r>
    </w:p>
    <w:tbl>
      <w:tblPr>
        <w:tblW w:w="8335" w:type="dxa"/>
        <w:jc w:val="left"/>
        <w:tblInd w:w="0" w:type="dxa"/>
        <w:tblLayout w:type="fixed"/>
        <w:tblCellMar>
          <w:top w:w="28" w:type="dxa"/>
          <w:left w:w="28" w:type="dxa"/>
          <w:bottom w:w="28" w:type="dxa"/>
          <w:right w:w="28" w:type="dxa"/>
        </w:tblCellMar>
      </w:tblPr>
      <w:tblGrid>
        <w:gridCol w:w="1275"/>
        <w:gridCol w:w="1121"/>
        <w:gridCol w:w="1128"/>
        <w:gridCol w:w="109"/>
        <w:gridCol w:w="109"/>
        <w:gridCol w:w="109"/>
        <w:gridCol w:w="1313"/>
        <w:gridCol w:w="1313"/>
        <w:gridCol w:w="1858"/>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life</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and other 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estimated useful life or remaining lease term</w:t>
            </w:r>
          </w:p>
        </w:tc>
      </w:tr>
    </w:tbl>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Lease obligations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space, datacenters, and equipment under non-cancelable finance and operating leases with various expiration dates through 2036. The Company determines if an arrangement contains a lease at inception.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certain operating lease agreements contain tenant improvement allowances from its landlords. These allowances are accounted for as lease incentives and decrease the Company's right-of-use asset and reduce single lease cost over the lease term.</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part of the Company's Virtual First strategy, Dropbox has retained a portion of its office space for in-person collaboration while the remainder will be subleased. The Company did not recognize any impairment charges during the three and six months ended June 30, 2026 and recognized impairment charges of $2.6 million during the three and six months ended June 30, 2025. See Note 8 "Leases" for additional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finance lease agreements may contain lease and non-lease components. The non-lease components include payments for support related to infrastructure equipment obtained via finance leases, which are combined with the lease components and accounted for together as a single lease component.</w:t>
      </w:r>
    </w:p>
    <w:p>
      <w:pPr>
        <w:pStyle w:val="TextBody"/>
        <w:bidi w:val="0"/>
        <w:spacing w:lineRule="auto" w:line="288" w:before="24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Long-lived assets, including goodwill and other acquired intangible assets,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at least annually in the fourth quarter, or more frequently if events or changes in circumstances would more likely than not reduce the fair value of its single reporting unit below its carrying value.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did not record any material impairment charges related to goodwill or intangible assets for the periods presented in these condensed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Acquired property and equipment and finite-lived intangible assets are amortized over their useful lives. The Company evaluates the estimated remaining useful life of these assets when events or changes in circumstances warrant a revision to the remaining period of depreciation or amortization. If the Company revises the estimated useful life assumption for any asset, the remaining unamortized balance is amortized or depreciated over the revised estimated useful life on a prospective basis.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U.S. tax law, as amended by the One Big Beautiful Bill Act, subjects a U.S. shareholder to current tax on net controlled foreign corporation tested income ("NCTI") earned by foreign subsidiaries. The Company accounts for NCTI as a period cost as incurred.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60"/>
        <w:jc w:val="left"/>
        <w:rPr/>
      </w:pPr>
      <w:r>
        <w:rPr>
          <w:rFonts w:ascii="Times New Roman;serif" w:hAnsi="Times New Roman;serif"/>
          <w:b w:val="false"/>
          <w:i/>
          <w:color w:val="000000"/>
          <w:sz w:val="20"/>
        </w:rPr>
        <w:t>Level 1</w:t>
      </w:r>
      <w:r>
        <w:rPr>
          <w:color w:val="000000"/>
        </w:rPr>
        <w:t>—</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120" w:after="283"/>
        <w:jc w:val="left"/>
        <w:rPr/>
      </w:pPr>
      <w:r>
        <w:rPr>
          <w:rFonts w:ascii="Times New Roman;serif" w:hAnsi="Times New Roman;serif"/>
          <w:b w:val="false"/>
          <w:i/>
          <w:color w:val="000000"/>
          <w:sz w:val="20"/>
        </w:rPr>
        <w:t>Level 2</w:t>
      </w:r>
      <w:r>
        <w:rPr>
          <w:color w:val="000000"/>
        </w:rPr>
        <w:t>—</w:t>
      </w:r>
      <w:r>
        <w:rPr>
          <w:rFonts w:ascii="Times New Roman;serif" w:hAnsi="Times New Roman;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20" w:after="283"/>
        <w:jc w:val="left"/>
        <w:rPr/>
      </w:pPr>
      <w:r>
        <w:rPr>
          <w:rFonts w:ascii="Times New Roman;serif" w:hAnsi="Times New Roman;serif"/>
          <w:b w:val="false"/>
          <w:i/>
          <w:color w:val="000000"/>
          <w:sz w:val="20"/>
        </w:rPr>
        <w:t>Level 3</w:t>
      </w:r>
      <w:r>
        <w:rPr>
          <w:color w:val="000000"/>
        </w:rPr>
        <w:t>—</w:t>
      </w:r>
      <w:r>
        <w:rPr>
          <w:rFonts w:ascii="Times New Roman;serif" w:hAnsi="Times New Roman;serif"/>
          <w:b w:val="false"/>
          <w:color w:val="000000"/>
          <w:sz w:val="20"/>
        </w:rPr>
        <w:t>Inputs that are generally unobservable and typically reflect management’s estimate of assumptions that market participants would use in pricing the asset or liability.</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disclosure of disaggregated information about the types of expenses (including employee compensation, depreciation, and amortization) in commonly presented expense captions in the statement of operations, as well as the total amount of selling expenses and, in annual periods, an entity’s definition of selling expenses. The amendments in ASU 2024-03 are effective for annual periods beginning after December 15, 2026, and interim periods within annual periods beginning after December 15, 2027, with early adoption permitted. The Company is currently evaluating the impact of this standard on the Company's consolidated financial statement disclosures.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In September 2025, the FASB issued ASU 2025-06,</w:t>
      </w:r>
      <w:r>
        <w:rPr>
          <w:color w:val="000000"/>
        </w:rPr>
        <w:t xml:space="preserve">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modernizes the accounting for internal-use software to current development practices, clarifies when to begin capitalizing costs, and enhances disclosure requirements. The amendments in ASU 2025-06 are effective for annual periods beginning after December 15, 2027, and interim periods within those annual reporting periods. Early adoption is permitted. The Company is currently evaluating the impact of this standard on the Company's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clarifies existing interim reporting disclosure requirements, including the form and content of interim financial statements, and establishes a principle requiring disclosure of material events and changes since the most recent annual reporting period. The amendments in ASU 2025-11 are effective for interim reporting periods within annual periods beginning after December 15, 2027. Early adoption is permitted. The Company is currently evaluating the impact of this standard on the Company’s consolidated financial statements and related disclosures.</w:t>
      </w:r>
    </w:p>
    <w:p>
      <w:pPr>
        <w:pStyle w:val="TextBody"/>
        <w:bidi w:val="0"/>
        <w:spacing w:before="0" w:after="0"/>
        <w:ind w:left="0" w:right="0" w:firstLine="495"/>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 Debt with Conversion and Other Options (Subtopic 470-20): Induced Conversions of Convertible Debt Instruments</w:t>
      </w:r>
      <w:r>
        <w:rPr>
          <w:rFonts w:ascii="Times New Roman;serif" w:hAnsi="Times New Roman;serif"/>
          <w:b w:val="false"/>
          <w:color w:val="000000"/>
          <w:sz w:val="20"/>
        </w:rPr>
        <w:t>, which clarifies the requirements for determining whether certain settlements of convertible debt instruments should be accounted for as an induced conversion. The Company adopted ASU 2024-04 on January 1, 2026. The adoption of the standard did not have an impact on the Company’s condensed consolidated financial statements as there were no induced conversions or modifications of the Company’s convertible debt instruments during the period.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when estimating expected credit losses for current accounts receivable and current contract assets arising from transactions accounted for under Topic 606. The practical expedient allows companies to assume the current conditions as of the balance sheet date do not change for the remaining life of the asset when measuring credit losses. The Company adopted ASU 2025-05 on January 1, 2026 and elected to apply the practical expedient. The adoption of the standard did not have a material impact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2.Cash, Cash Equivalents and Short-Term Investments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amortized cost, unrealized gains and losses and estimated fair value of the Company's cash, cash equivalents and short-term investments as of June 30, 2026 and December 31, 2025 consisted of the following:</w:t>
      </w:r>
    </w:p>
    <w:p>
      <w:pPr>
        <w:pStyle w:val="TextBody"/>
        <w:bidi w:val="0"/>
        <w:spacing w:before="0" w:after="0"/>
        <w:ind w:left="0" w:right="0" w:firstLine="495"/>
        <w:jc w:val="left"/>
        <w:rPr/>
      </w:pPr>
      <w:r>
        <w:rPr/>
      </w:r>
    </w:p>
    <w:tbl>
      <w:tblPr>
        <w:tblW w:w="10069" w:type="dxa"/>
        <w:jc w:val="center"/>
        <w:tblInd w:w="0" w:type="dxa"/>
        <w:tblLayout w:type="fixed"/>
        <w:tblCellMar>
          <w:top w:w="28" w:type="dxa"/>
          <w:left w:w="28" w:type="dxa"/>
          <w:bottom w:w="28" w:type="dxa"/>
          <w:right w:w="28" w:type="dxa"/>
        </w:tblCellMar>
      </w:tblPr>
      <w:tblGrid>
        <w:gridCol w:w="986"/>
        <w:gridCol w:w="865"/>
        <w:gridCol w:w="879"/>
        <w:gridCol w:w="277"/>
        <w:gridCol w:w="1005"/>
        <w:gridCol w:w="143"/>
        <w:gridCol w:w="109"/>
        <w:gridCol w:w="109"/>
        <w:gridCol w:w="109"/>
        <w:gridCol w:w="436"/>
        <w:gridCol w:w="838"/>
        <w:gridCol w:w="226"/>
        <w:gridCol w:w="109"/>
        <w:gridCol w:w="109"/>
        <w:gridCol w:w="109"/>
        <w:gridCol w:w="418"/>
        <w:gridCol w:w="834"/>
        <w:gridCol w:w="217"/>
        <w:gridCol w:w="109"/>
        <w:gridCol w:w="109"/>
        <w:gridCol w:w="109"/>
        <w:gridCol w:w="366"/>
        <w:gridCol w:w="1331"/>
        <w:gridCol w:w="267"/>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&amp; cash equivalents</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069" w:type="dxa"/>
        <w:jc w:val="left"/>
        <w:tblInd w:w="0" w:type="dxa"/>
        <w:tblLayout w:type="fixed"/>
        <w:tblCellMar>
          <w:top w:w="28" w:type="dxa"/>
          <w:left w:w="28" w:type="dxa"/>
          <w:bottom w:w="28" w:type="dxa"/>
          <w:right w:w="28" w:type="dxa"/>
        </w:tblCellMar>
      </w:tblPr>
      <w:tblGrid>
        <w:gridCol w:w="986"/>
        <w:gridCol w:w="865"/>
        <w:gridCol w:w="879"/>
        <w:gridCol w:w="277"/>
        <w:gridCol w:w="1005"/>
        <w:gridCol w:w="143"/>
        <w:gridCol w:w="109"/>
        <w:gridCol w:w="109"/>
        <w:gridCol w:w="109"/>
        <w:gridCol w:w="436"/>
        <w:gridCol w:w="838"/>
        <w:gridCol w:w="226"/>
        <w:gridCol w:w="109"/>
        <w:gridCol w:w="109"/>
        <w:gridCol w:w="109"/>
        <w:gridCol w:w="418"/>
        <w:gridCol w:w="834"/>
        <w:gridCol w:w="217"/>
        <w:gridCol w:w="109"/>
        <w:gridCol w:w="109"/>
        <w:gridCol w:w="109"/>
        <w:gridCol w:w="366"/>
        <w:gridCol w:w="1331"/>
        <w:gridCol w:w="267"/>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&amp; cash equivalents</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cash and cash equivalents is cash in transit from payment processors for credit and debit card transactions of $11.9 million and $8.1 million as of June 30, 2026 and December 31, 2025,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 short-term investments were designated as available-for-sale securities as of June 30, 2026 and December 31, 2025. </w: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contractual maturities of the Company’s short-term investments as of June 30, 2026:</w:t>
      </w:r>
    </w:p>
    <w:p>
      <w:pPr>
        <w:pStyle w:val="TextBody"/>
        <w:bidi w:val="0"/>
        <w:spacing w:before="0" w:after="0"/>
        <w:jc w:val="left"/>
        <w:rPr/>
      </w:pPr>
      <w:r>
        <w:rPr/>
      </w:r>
    </w:p>
    <w:tbl>
      <w:tblPr>
        <w:tblW w:w="6356" w:type="dxa"/>
        <w:jc w:val="center"/>
        <w:tblInd w:w="0" w:type="dxa"/>
        <w:tblLayout w:type="fixed"/>
        <w:tblCellMar>
          <w:top w:w="28" w:type="dxa"/>
          <w:left w:w="28" w:type="dxa"/>
          <w:bottom w:w="28" w:type="dxa"/>
          <w:right w:w="28" w:type="dxa"/>
        </w:tblCellMar>
      </w:tblPr>
      <w:tblGrid>
        <w:gridCol w:w="957"/>
        <w:gridCol w:w="838"/>
        <w:gridCol w:w="845"/>
        <w:gridCol w:w="361"/>
        <w:gridCol w:w="876"/>
        <w:gridCol w:w="188"/>
        <w:gridCol w:w="109"/>
        <w:gridCol w:w="109"/>
        <w:gridCol w:w="109"/>
        <w:gridCol w:w="472"/>
        <w:gridCol w:w="1145"/>
        <w:gridCol w:w="347"/>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between one to three years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three years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had 45 short-term investments in unrealized loss positions as of June 30, 2026. There were no material gains or losses from short-term investments that were reclassified out of accumulated other comprehensive income for the three and six months ended June 30, 2026 and 2025.</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short-term investments portfolio consisted of four security types, one of which was in an unrealized loss position. The Company’s short-term investments had unrealized losses of approximately $0.2 million as of June 30, 2026. The following tables present the breakdown of the short-term investments that have been in a continuous unrealized loss position aggregated by investment category, as of June 30, 2026 and December 31, 2025: </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589"/>
        <w:gridCol w:w="516"/>
        <w:gridCol w:w="520"/>
        <w:gridCol w:w="240"/>
        <w:gridCol w:w="462"/>
        <w:gridCol w:w="124"/>
        <w:gridCol w:w="109"/>
        <w:gridCol w:w="109"/>
        <w:gridCol w:w="109"/>
        <w:gridCol w:w="414"/>
        <w:gridCol w:w="797"/>
        <w:gridCol w:w="214"/>
        <w:gridCol w:w="109"/>
        <w:gridCol w:w="109"/>
        <w:gridCol w:w="109"/>
        <w:gridCol w:w="227"/>
        <w:gridCol w:w="550"/>
        <w:gridCol w:w="117"/>
        <w:gridCol w:w="109"/>
        <w:gridCol w:w="109"/>
        <w:gridCol w:w="109"/>
        <w:gridCol w:w="406"/>
        <w:gridCol w:w="809"/>
        <w:gridCol w:w="210"/>
        <w:gridCol w:w="109"/>
        <w:gridCol w:w="109"/>
        <w:gridCol w:w="109"/>
        <w:gridCol w:w="227"/>
        <w:gridCol w:w="550"/>
        <w:gridCol w:w="117"/>
        <w:gridCol w:w="109"/>
        <w:gridCol w:w="109"/>
        <w:gridCol w:w="109"/>
        <w:gridCol w:w="394"/>
        <w:gridCol w:w="788"/>
        <w:gridCol w:w="299"/>
      </w:tblGrid>
      <w:tr>
        <w:trPr/>
        <w:tc>
          <w:tcPr>
            <w:tcW w:w="58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582"/>
        <w:gridCol w:w="510"/>
        <w:gridCol w:w="513"/>
        <w:gridCol w:w="239"/>
        <w:gridCol w:w="460"/>
        <w:gridCol w:w="123"/>
        <w:gridCol w:w="109"/>
        <w:gridCol w:w="109"/>
        <w:gridCol w:w="109"/>
        <w:gridCol w:w="410"/>
        <w:gridCol w:w="789"/>
        <w:gridCol w:w="212"/>
        <w:gridCol w:w="109"/>
        <w:gridCol w:w="109"/>
        <w:gridCol w:w="109"/>
        <w:gridCol w:w="226"/>
        <w:gridCol w:w="549"/>
        <w:gridCol w:w="116"/>
        <w:gridCol w:w="109"/>
        <w:gridCol w:w="109"/>
        <w:gridCol w:w="109"/>
        <w:gridCol w:w="402"/>
        <w:gridCol w:w="801"/>
        <w:gridCol w:w="208"/>
        <w:gridCol w:w="109"/>
        <w:gridCol w:w="109"/>
        <w:gridCol w:w="109"/>
        <w:gridCol w:w="217"/>
        <w:gridCol w:w="634"/>
        <w:gridCol w:w="111"/>
        <w:gridCol w:w="109"/>
        <w:gridCol w:w="109"/>
        <w:gridCol w:w="109"/>
        <w:gridCol w:w="390"/>
        <w:gridCol w:w="780"/>
        <w:gridCol w:w="298"/>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Unrealized losses on short-term investments have not been recorded into income because management does not intend to sell nor will it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recorded interest income from its cash, cash equivalents, and short-term investments of $9.6 million and $17.2 million during the three and six months ended June 30, 2026, and $8.7 million and $21.4 million during the three and six months ended June 30,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3.Fair Value Measurements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measures its financial instruments at fair value each reporting period using a fair value hierarchy that prioritizes the use of observable inputs and minimizes the use of unobservable inputs. A financial instrument’s classification within the fair value hierarchy is based upon the lowest level of input that is significant to the fair value measurement.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instruments that are measured at fair value on a recurring basis using the input categories discussed in Note 1:   </w:t>
      </w:r>
    </w:p>
    <w:p>
      <w:pPr>
        <w:pStyle w:val="TextBody"/>
        <w:bidi w:val="0"/>
        <w:spacing w:before="0" w:after="0"/>
        <w:ind w:left="0" w:right="0" w:firstLine="495"/>
        <w:jc w:val="left"/>
        <w:rPr/>
      </w:pPr>
      <w:r>
        <w:rPr/>
      </w:r>
    </w:p>
    <w:tbl>
      <w:tblPr>
        <w:tblW w:w="7192" w:type="dxa"/>
        <w:jc w:val="center"/>
        <w:tblInd w:w="0" w:type="dxa"/>
        <w:tblLayout w:type="fixed"/>
        <w:tblCellMar>
          <w:top w:w="28" w:type="dxa"/>
          <w:left w:w="28" w:type="dxa"/>
          <w:bottom w:w="28" w:type="dxa"/>
          <w:right w:w="28" w:type="dxa"/>
        </w:tblCellMar>
      </w:tblPr>
      <w:tblGrid>
        <w:gridCol w:w="988"/>
        <w:gridCol w:w="869"/>
        <w:gridCol w:w="872"/>
        <w:gridCol w:w="211"/>
        <w:gridCol w:w="616"/>
        <w:gridCol w:w="109"/>
        <w:gridCol w:w="109"/>
        <w:gridCol w:w="109"/>
        <w:gridCol w:w="109"/>
        <w:gridCol w:w="211"/>
        <w:gridCol w:w="511"/>
        <w:gridCol w:w="109"/>
        <w:gridCol w:w="109"/>
        <w:gridCol w:w="109"/>
        <w:gridCol w:w="109"/>
        <w:gridCol w:w="213"/>
        <w:gridCol w:w="411"/>
        <w:gridCol w:w="110"/>
        <w:gridCol w:w="109"/>
        <w:gridCol w:w="109"/>
        <w:gridCol w:w="109"/>
        <w:gridCol w:w="211"/>
        <w:gridCol w:w="61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tbl>
      <w:tblPr>
        <w:tblW w:w="7297" w:type="dxa"/>
        <w:jc w:val="center"/>
        <w:tblInd w:w="0" w:type="dxa"/>
        <w:tblLayout w:type="fixed"/>
        <w:tblCellMar>
          <w:top w:w="28" w:type="dxa"/>
          <w:left w:w="28" w:type="dxa"/>
          <w:bottom w:w="28" w:type="dxa"/>
          <w:right w:w="28" w:type="dxa"/>
        </w:tblCellMar>
      </w:tblPr>
      <w:tblGrid>
        <w:gridCol w:w="988"/>
        <w:gridCol w:w="869"/>
        <w:gridCol w:w="872"/>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61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no transfers between levels of the fair value hierarchy during the periods presented.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including cash and restricted cash held at banks, accounts receivable and accounts payable approximate fair value due to their short-term maturities and are excluded from the fair value tables above.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had $693.3 million in aggregate principal amount of 0% convertible senior notes due in 2028 (the "2028 Notes"), outstanding as of June 30, 2026. Refer to Note 7 "Debt" for additional information.</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2028 Notes, based on a market approach as of June 30, 2026 was approximately $700.8 million. The 2028 Notes were categorized as Level 2 instruments as the estimated fair value was determined based on the trading activity of the 2028 Notes in an over-the-counter market on the last business day of the period.</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had $2,674.8 million of term loans outstanding with a carrying value of $2,609.5 million as of June 30, 2026. Refer to Note 7 "Debt" for additional information. As of June 30, 2026, the fair value of the term loans approximated the carrying value as of such date. The term loans are categorized as Level 2 instruments as the estimated fair value was determined based on the borrowing rates currently available to the Company for bank loans with similar terms and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4.Property and Equipment, Net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p>
      <w:pPr>
        <w:pStyle w:val="TextBody"/>
        <w:bidi w:val="0"/>
        <w:spacing w:before="0" w:after="0"/>
        <w:ind w:left="0" w:right="0" w:firstLine="495"/>
        <w:jc w:val="left"/>
        <w:rPr/>
      </w:pPr>
      <w:r>
        <w:rPr/>
      </w:r>
    </w:p>
    <w:tbl>
      <w:tblPr>
        <w:tblW w:w="6894" w:type="dxa"/>
        <w:jc w:val="center"/>
        <w:tblInd w:w="0" w:type="dxa"/>
        <w:tblLayout w:type="fixed"/>
        <w:tblCellMar>
          <w:top w:w="28" w:type="dxa"/>
          <w:left w:w="28" w:type="dxa"/>
          <w:bottom w:w="28" w:type="dxa"/>
          <w:right w:w="28" w:type="dxa"/>
        </w:tblCellMar>
      </w:tblPr>
      <w:tblGrid>
        <w:gridCol w:w="1277"/>
        <w:gridCol w:w="1120"/>
        <w:gridCol w:w="1127"/>
        <w:gridCol w:w="287"/>
        <w:gridCol w:w="839"/>
        <w:gridCol w:w="148"/>
        <w:gridCol w:w="109"/>
        <w:gridCol w:w="109"/>
        <w:gridCol w:w="109"/>
        <w:gridCol w:w="380"/>
        <w:gridCol w:w="1110"/>
        <w:gridCol w:w="279"/>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and other computer equipment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The Company leases certain infrastructure equipment from various third parties, through finance leases. Datacenter and other computer equipment as of June 30, 2026 and December 31, 2025 included a total of $470.7 million and $485.5 million, respectively, of infrastructure equipment acquired under finance lease agreements. These leases are capitalized in property and equipment, and the related depreciation of assets under finance leases is included in depreciation expense. The accumulated depreciation of the infrastructure equipment under finance leases totaled $200.9</w:t>
      </w:r>
      <w:r>
        <w:rPr>
          <w:color w:val="000000"/>
          <w:shd w:fill="FFFFFF" w:val="clear"/>
        </w:rPr>
        <w:t xml:space="preserve"> </w:t>
      </w:r>
      <w:r>
        <w:rPr>
          <w:rFonts w:ascii="Times New Roman;serif" w:hAnsi="Times New Roman;serif"/>
          <w:b w:val="false"/>
          <w:color w:val="000000"/>
          <w:sz w:val="20"/>
          <w:shd w:fill="FFFFFF" w:val="clear"/>
        </w:rPr>
        <w:t>million</w:t>
      </w:r>
      <w:r>
        <w:rPr>
          <w:color w:val="000000"/>
        </w:rPr>
        <w:t xml:space="preserve"> </w:t>
      </w:r>
      <w:r>
        <w:rPr>
          <w:rFonts w:ascii="Times New Roman;serif" w:hAnsi="Times New Roman;serif"/>
          <w:b w:val="false"/>
          <w:color w:val="000000"/>
          <w:sz w:val="20"/>
        </w:rPr>
        <w:t>and $183.8 million as of June 30, 2026 and December 31, 2025,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Depreciation expense related to property and equipment was</w:t>
      </w:r>
      <w:r>
        <w:rPr>
          <w:color w:val="000000"/>
          <w:shd w:fill="FFFFFF" w:val="clear"/>
        </w:rPr>
        <w:t xml:space="preserve"> </w:t>
      </w:r>
      <w:r>
        <w:rPr>
          <w:rFonts w:ascii="Times New Roman;serif" w:hAnsi="Times New Roman;serif"/>
          <w:b w:val="false"/>
          <w:color w:val="000000"/>
          <w:sz w:val="20"/>
        </w:rPr>
        <w:t xml:space="preserve">$31.5 </w:t>
      </w:r>
      <w:r>
        <w:rPr>
          <w:rFonts w:ascii="Times New Roman;serif" w:hAnsi="Times New Roman;serif"/>
          <w:b w:val="false"/>
          <w:color w:val="000000"/>
          <w:sz w:val="20"/>
          <w:shd w:fill="FFFFFF" w:val="clear"/>
        </w:rPr>
        <w:t xml:space="preserve">million and </w:t>
      </w:r>
      <w:r>
        <w:rPr>
          <w:rFonts w:ascii="Times New Roman;serif" w:hAnsi="Times New Roman;serif"/>
          <w:b w:val="false"/>
          <w:color w:val="000000"/>
          <w:sz w:val="20"/>
        </w:rPr>
        <w:t>$64.2 million for the three and six months ended June 30, 2026, respectively and $32.6 million and $64.3 million for the three and six months ended June 30, 2025, respectively.</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5.Intangible Assets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8558" w:type="dxa"/>
        <w:jc w:val="center"/>
        <w:tblInd w:w="0" w:type="dxa"/>
        <w:tblLayout w:type="fixed"/>
        <w:tblCellMar>
          <w:top w:w="28" w:type="dxa"/>
          <w:left w:w="28" w:type="dxa"/>
          <w:bottom w:w="28" w:type="dxa"/>
          <w:right w:w="28" w:type="dxa"/>
        </w:tblCellMar>
      </w:tblPr>
      <w:tblGrid>
        <w:gridCol w:w="1283"/>
        <w:gridCol w:w="1125"/>
        <w:gridCol w:w="1132"/>
        <w:gridCol w:w="323"/>
        <w:gridCol w:w="784"/>
        <w:gridCol w:w="167"/>
        <w:gridCol w:w="109"/>
        <w:gridCol w:w="109"/>
        <w:gridCol w:w="109"/>
        <w:gridCol w:w="449"/>
        <w:gridCol w:w="1087"/>
        <w:gridCol w:w="234"/>
        <w:gridCol w:w="109"/>
        <w:gridCol w:w="109"/>
        <w:gridCol w:w="109"/>
        <w:gridCol w:w="386"/>
        <w:gridCol w:w="386"/>
        <w:gridCol w:w="548"/>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useful life</w:t>
              <w:br/>
              <w:t>(In years)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Assembled workforce in asset acquisitions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Amortization expense was $5.0 million and $11.3 million for the three and six months ended June 30, 2026 and $6.3 million and $12.8 million for the three and six months ended June 30, 2025,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Expected future amortization expense for intangible assets as of June 30, 2026 is as follows:</w:t>
      </w:r>
    </w:p>
    <w:p>
      <w:pPr>
        <w:pStyle w:val="TextBody"/>
        <w:bidi w:val="0"/>
        <w:spacing w:before="0" w:after="0"/>
        <w:ind w:left="0" w:right="0" w:firstLine="495"/>
        <w:jc w:val="left"/>
        <w:rPr/>
      </w:pPr>
      <w:r>
        <w:rPr/>
      </w:r>
    </w:p>
    <w:tbl>
      <w:tblPr>
        <w:tblW w:w="3224" w:type="dxa"/>
        <w:jc w:val="center"/>
        <w:tblInd w:w="0" w:type="dxa"/>
        <w:tblLayout w:type="fixed"/>
        <w:tblCellMar>
          <w:top w:w="28" w:type="dxa"/>
          <w:left w:w="28" w:type="dxa"/>
          <w:bottom w:w="28" w:type="dxa"/>
          <w:right w:w="28" w:type="dxa"/>
        </w:tblCellMar>
      </w:tblPr>
      <w:tblGrid>
        <w:gridCol w:w="608"/>
        <w:gridCol w:w="534"/>
        <w:gridCol w:w="538"/>
        <w:gridCol w:w="370"/>
        <w:gridCol w:w="900"/>
        <w:gridCol w:w="27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6.Goodwill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in a business combination over the fair value of net tangible and intangible assets acquired. The changes in the carrying amounts of goodwill were as follows:</w:t>
      </w:r>
    </w:p>
    <w:p>
      <w:pPr>
        <w:pStyle w:val="TextBody"/>
        <w:bidi w:val="0"/>
        <w:spacing w:before="0" w:after="0"/>
        <w:ind w:left="0" w:right="0" w:firstLine="495"/>
        <w:jc w:val="left"/>
        <w:rPr/>
      </w:pPr>
      <w:r>
        <w:rPr/>
      </w:r>
    </w:p>
    <w:tbl>
      <w:tblPr>
        <w:tblW w:w="4086" w:type="dxa"/>
        <w:jc w:val="left"/>
        <w:tblInd w:w="0" w:type="dxa"/>
        <w:tblLayout w:type="fixed"/>
        <w:tblCellMar>
          <w:top w:w="28" w:type="dxa"/>
          <w:left w:w="28" w:type="dxa"/>
          <w:bottom w:w="28" w:type="dxa"/>
          <w:right w:w="28" w:type="dxa"/>
        </w:tblCellMar>
      </w:tblPr>
      <w:tblGrid>
        <w:gridCol w:w="1125"/>
        <w:gridCol w:w="989"/>
        <w:gridCol w:w="991"/>
        <w:gridCol w:w="211"/>
        <w:gridCol w:w="61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Goodwill amounts are not amortized, but tested for impairment on an annual basis. There was no impairment of goodwill during the periods ended June 30, 2026 and December 31,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7.Debt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before="0" w:after="0"/>
        <w:ind w:left="0" w:right="0" w:firstLine="495"/>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1, 2026, the Company entered into a revolving credit agreement (the “2026 Revolving Credit Agreement”), by and among the Company, the lenders party thereto, and JPMorgan Chase Bank, N.A. as administrative agent (“Agent”), that provides for a $400.0 million revolving credit facility, of which $65.0 million is available for use as letters of credit. Under the terms of the 2026 Revolving Credit Agreement, the Company is required to pay a quarterly commitment fee that accrues at a rate of 0.25% per annum on the unused portion of the revolving commitments. The Company accounts for fees incurred in connection with the 2026 Revolving Credit Agreement as a deferred asset which are amortized over the term of the 2026 Revolving Credit Agreement on a straight-line basis. As of June 30, 2026, the Company has incurred fees of $5.2 million in connection with entering into the 2026 Revolving Credit Agreement. The 2026 Revolving Credit Agreement matures on December 11, 2029, unless earlier terminated. The 2026 Revolving Credit Agreement also contains certain standard affirmative and negative covenants with which the Company was in compliance as of June 30, 2026.</w:t>
      </w:r>
    </w:p>
    <w:p>
      <w:pPr>
        <w:pStyle w:val="TextBody"/>
        <w:bidi w:val="0"/>
        <w:spacing w:before="0" w:after="0"/>
        <w:ind w:left="0" w:right="0" w:firstLine="450"/>
        <w:jc w:val="both"/>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borrowings under the 2026 Revolving Credit Agreement will bear interest, at the Company's option, at either (a) an alternate base rate, which is defined as a fluctuating rate per annum equal to the greatest of (i) the prime rate then in effect, (ii) the greater of the federal funds effective rate or overnight bank funding rate then in effect, plus 0.50% per annum, and (iii) a term SOFR rate determined on the basis of a one-month interest period plus 1.00% per annum, in each case, plus a margin ranging from 2.00% to 2.50% based on the Company’s consolidated secured leverage ratio, or (b) a term SOFR rate (based on one, three or six month interest periods), plus a margin ranging from 3.00% to 3.50% based on the Company’s consolidated secured leverage ratio.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capacity of the 2026 Revolving Credit Agreement is reduced by borrowings under the revolving credit facility and the aggregate value of all outstanding letters of credit under the 2026 Revolving Credit Agreement. The unused capacity of the 2026 Revolving Credit Agreement was $400.0 million as of June 30, 2026.</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recognized $0.1 million in interest expense related to the 2026 Revolving Credit Agreement, with such interest expense consisting of the amortization of issuance costs and commitment fees.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Term loan facility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the Company entered into a secured five-year term loan facility under a Credit and Guaranty Agreement (the “initial Term Loan Credit Agreement”), providing up to $2.0 billion in aggregate principal amount of term loans, consisting of $1.0 billion of initial term loans (the "initial term loans"), which were fully drawn at closing, and $1.0 billion of initial delayed draw term loan commitments (the "initial delayed draw term loan commitments"). The initial Term Loan Credit Agreement also provides for a secured letter of credit facility in an aggregate amount of up to $35.0 million. </w:t>
      </w:r>
    </w:p>
    <w:p>
      <w:pPr>
        <w:pStyle w:val="TextBody"/>
        <w:bidi w:val="0"/>
        <w:spacing w:before="0" w:after="0"/>
        <w:ind w:left="0" w:right="0" w:firstLine="450"/>
        <w:jc w:val="left"/>
        <w:rPr/>
      </w:pPr>
      <w:r>
        <w:rPr/>
      </w:r>
    </w:p>
    <w:p>
      <w:pPr>
        <w:pStyle w:val="TextBody"/>
        <w:bidi w:val="0"/>
        <w:spacing w:lineRule="auto" w:line="25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entered into Amendment No. 1 (the “First Amendment”) to its initial Term Loan Credit Agreement (collectively, the “Amended Term Loan Credit Agreement”) to add $700.0 million in delayed draw term loan commitments (the “2025 delayed draw term loans”). The Amended Term Loan Credit Agreement now provides a secured term loan facility of $2.7 billion (collectively, the “term loan facility”). On June 1, 2026, the Company entered into Amendment No. 2 to the Amended Term Loan Credit Agreement, which further amended the Amended Term Loan Credit Agreement to, among other things, permit the 2026 Revolving Credit Agreement and the revolving credit facility contemplated thereby. The term loan facility is guaranteed by certain material subsidiaries and secured by substantially all assets of the Company and such subsidiary guarantors.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term loans are measured at amortized cost on the condensed consolidated balance sheets. Issuance costs of $27.6 million were deducted from the carrying value and are amortized and recognized as a component of interest expense over the five-year term using the effective interest method. Additional deferred issuance costs of $27.6 million and $11.9 million related to the initial delayed draw term loan commitments and 2025 delayed draw term loans, respectively, were recognized initially as deferred assets and were reclassified and presented as a reduction of the carrying value of the related debt upon draw, and are amortized over the remaining term on an effective interest method basis from the time of draw. Issuance costs of $0.2 million related to the secured letter of credit facility were recognized as a prepaid asset and are amortized over the five-year access period on a straight-line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initial term loans and the initial delayed draw term loans have the same terms and are treated as a single fungible class of term loans for all purposes under the Amended Term Loan Credit Agreement, except that interest on the initial delayed draw term loans commenced from the applicable date of draw. As of June 30, 2026, $1.0 billion was drawn on the initial delayed draw term loan commitments and no commitment remained available. As of June 30, 2026, $21.1 million of letters of credit were issued and $13.9 million remains available under the letter of credit facility. As of June 30, 2026, no amounts were drawn on the letter of credit facility.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drew $700.0 million on the 2025 delayed draw term loan commitments and the proceeds were used primarily to repay the 2026 Notes (as defined below) at maturity, with the remaining proceeds available for general corporate purposes. As of June 30, 2026, no commitment remained available.</w:t>
      </w:r>
    </w:p>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Amended Term Loan Credit Agreement, the Company was required to pay quarterly commitment fees of 1.00% per annum on the unused portions of both delayed draw term loan commitments. These fees were capitalized as the draws were probable of occurring and were reclassified against the carrying value of the respective debt upon draw. As of June 30, 2026, $12.4 million of deferred issuance costs related to the commitment fees has been fully reclassified and presented as a reduction of the carrying value of the related debt, as the commitments have been fully drawn and no amounts remain available. These fees are amortized over the respective debt terms using the effective interest method from the time of draw.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term loans and initial delayed draw term loans mature on December 11, 2029, with quarterly principal payments of 0.25% of the original principal amount or such greater percentage as may be required to make the initial delayed draw term loans fungible with any then-outstanding initial term loans and initial delayed draw term loans. Quarterly principal payments for the initial term loans and initial delayed draw term loans began on March 31, 2025 and will continue on the last business day of each quarter thereafter. The 2025 delayed draw term loans mature on September 9, 2030, with quarterly repayments of 0.25% of the original principal amount. Quarterly principal payments on the 2025 delayed draw term loans began on March 31, 2026 and will continue on the last business day of each quarter thereafter. Prepayments are permitted at any time, in whole or in part, subject to premiums of 2.00% of the aggregate principal amount prepaid on or within one year of the closing date for the initial Term Loan Credit Agreement (or the effective date of the First Amendment in the case of the 2025 delayed draw term loans) and 1.00% of such amount prepaid after one year but on or prior to two years from the closing date for the initial Term Loan Credit Agreement (or the effective date of the First Amendment in the case of the 2025 delayed draw term loans). Any amounts repaid or prepaid may not be reborrowed. Mandatory prepayments on the term loan facility may be required upon the occurrence of certain events as defined in the Amended Term Loan Credit Agreement, which the Company considers remote as of June 30, 2026.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term loan facility as of June 30, 2026 and December 31, 2025.</w:t>
      </w:r>
    </w:p>
    <w:p>
      <w:pPr>
        <w:pStyle w:val="TextBody"/>
        <w:bidi w:val="0"/>
        <w:spacing w:before="0" w:after="0"/>
        <w:ind w:left="0" w:right="0" w:firstLine="450"/>
        <w:jc w:val="left"/>
        <w:rPr/>
      </w:pPr>
      <w:r>
        <w:rPr/>
      </w:r>
    </w:p>
    <w:tbl>
      <w:tblPr>
        <w:tblW w:w="3486" w:type="dxa"/>
        <w:jc w:val="left"/>
        <w:tblInd w:w="0" w:type="dxa"/>
        <w:tblLayout w:type="fixed"/>
        <w:tblCellMar>
          <w:top w:w="28" w:type="dxa"/>
          <w:left w:w="28" w:type="dxa"/>
          <w:bottom w:w="28" w:type="dxa"/>
          <w:right w:w="28" w:type="dxa"/>
        </w:tblCellMar>
      </w:tblPr>
      <w:tblGrid>
        <w:gridCol w:w="852"/>
        <w:gridCol w:w="747"/>
        <w:gridCol w:w="756"/>
        <w:gridCol w:w="211"/>
        <w:gridCol w:w="76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Loan</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term loan facility bear interest, at the Company’s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margin of 2.75%, or (b) an overnight or term SOFR rate (based on one, three or six month interest periods), plus a margin of 3.75%. Interest is payable quarterly in arrears with respect to borrowings bearing interest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alternate base rate on the last business day of an interest period, but at most monthly and at least quarterly, with respect to overnight and term SOFR rate borrowings.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expense associated with the term loan facility was $54.7 million and $92.6 million for the three and six months ended June 30, 2026, respectively, and $21.8 million and $43.3 million for the three and six months ended June 30, 2025, respectively, with such interest expense consisting of interest expense on the outstanding principal of the term loan facility and amortization of issuance costs.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Term Loan Credit Agreement allows for additional term loan facilities or increased commitments, subject to certain conditions and limits. It includes customary representations and warranties, customary affirmative and negative covenants, and customary events of default. Failure to comply with these covenants may result in a portion of the outstanding term loan debt becoming due immediately. The Company was in compliance with all covenants under the term loan facility as of June 30, 2026.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Maturities on the Company's term loan facility are as follows:</w:t>
      </w:r>
    </w:p>
    <w:p>
      <w:pPr>
        <w:pStyle w:val="TextBody"/>
        <w:bidi w:val="0"/>
        <w:spacing w:before="0" w:after="0"/>
        <w:ind w:left="0" w:right="0" w:firstLine="495"/>
        <w:jc w:val="left"/>
        <w:rPr/>
      </w:pPr>
      <w:r>
        <w:rPr/>
      </w:r>
    </w:p>
    <w:tbl>
      <w:tblPr>
        <w:tblW w:w="2811" w:type="dxa"/>
        <w:jc w:val="left"/>
        <w:tblInd w:w="0" w:type="dxa"/>
        <w:tblLayout w:type="fixed"/>
        <w:tblCellMar>
          <w:top w:w="28" w:type="dxa"/>
          <w:left w:w="28" w:type="dxa"/>
          <w:bottom w:w="28" w:type="dxa"/>
          <w:right w:w="28" w:type="dxa"/>
        </w:tblCellMar>
      </w:tblPr>
      <w:tblGrid>
        <w:gridCol w:w="608"/>
        <w:gridCol w:w="534"/>
        <w:gridCol w:w="538"/>
        <w:gridCol w:w="211"/>
        <w:gridCol w:w="76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Loan</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2021, the Company issued $695.8 million aggregate principal amount of 0% convertible senior notes due in 2026 (the "2026 Notes"). Additionally, during the first quarter of 2021, the Company issued $693.3 million aggregate principal amount of 0% convertible senior notes due in 2028 (the "2028 Notes," and together with the 2026 Notes, the "Notes"). The Notes were issued in a private placement to qualified institutional buyers pursuant to Rule 144A under the Securities Act of 1933. The net proceeds from the sale of the 2026 Notes and 2028 Notes were approximately $1.4 billion after deducting offering and issuance costs related to the respective Notes.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maturity date on March 1, 2026, no holder of the 2026 Notes had converted their principal amount. The Company used a total of $695.8 million in cash to repay the aggregate principal amount at their maturity.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2028 Notes do not bear regular interest. The 2028 Notes may bear special interest as the remedy relating to the Company’s failure to comply with certain of its reporting obligations. The Company has complied with these reporting obligations from the issuance date through June 30, 2026. The 2028 Notes will mature on March 1, 2028, unless earlier converted, redeemed or repurchased.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initial conversion rate for the 2028 Notes is 28.2889 shares of Class A common stock per $1,000 principal amount of such 2028 Notes, which is equivalent to an initial conversion price of approximately $35.35 per share. The conversion rate for the 2028 Notes will be subject to adjustment upon the occurrence of certain specified events but will not be adjusted for accrued and unpaid special interest. In addition, upon the occurrence of a make-whole fundamental change (as defined in the relevant indenture governing the 2028 Notes) or a notice of redemption, the Company will, in certain circumstances, increase the conversion rate of the 2028 Notes by a number of additional shares for a holder that elects to convert all or a portion of its 2028 Notes in connection with such make-whole fundamental change or who elects to convert such 2028 Notes that are subject to such notice of redemption. The conversion rate for the 2028 Notes shall not exceed 43.1406 shares per $1,000 principal amount of such Notes, subject to certain customary anti-dilution adjustments (as defined in the indenture governing the 2028 Notes). There have been no changes to the initial conversion price of the 2028 Notes since issuance as of June 30, 2026.</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conversion, the principal portion of the 2028 Notes being converted will be settled in cash, and any amount in excess of the principal portion of the 2028 Notes will be settled in cash or shares of the Company’s Class A common stock or any combination thereof at the Company’s option. The if-converted value of the 2028 Notes was below the principal value of the 2028 Notes as of June 30, 2026. As of June 30, 2026, the conditions allowing holders of the 2028 Notes to convert during the following fiscal quarter were not met.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December 1, 2027, the 2028 Notes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2028 Notes on each applicable trading day; (2) during the five business day period after any five consecutive trading day period in which, for each trading day of that period, the trading price per $1,000 principal amount of 2028 Notes, for such trading day was less than 98% of the product of the last reported sale price of the Class A common stock and the conversion rate for the 2028 Notes on each such trading day; (3) if the Company calls any or all of the 2028 Notes for redemption, the 2028 Notes may be converted at any time prior to the close of business on the second scheduled trading day immediately preceding the redemption date; or (4) upon the occurrence of specified corporate transactions.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or after December 1, 2027, until the close of business on the second scheduled trading day immediately preceding the maturity date, holders of the 2028 Notes may convert all or a portion of their 2028 Notes regardless of the foregoing conditions.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may redeem for cash all or any part of the 2028 Notes, at its option, on or after March 6, 2025, if the last reported sale price of its Class A common stock has been at least 130% of the conversion price for the 2028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2028 Notes to be redeemed, plus any accrued and unpaid special interest to, but excluding, the redemption date. No sinking fund is provided for the 2028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the occurrence of a fundamental change (as defined in the indenture governing the 2028 Notes) prior to the maturity date, holders of the 2028 Notes may require the Company to repurchase all or a portion of the 2028 Notes for cash at a price equal to 100% of the principal amount of the 2028 Notes to be repurchased, plus any accrued and unpaid special interest to, but excluding, the fundamental change repurchase date. Additionally, and upon events of default (as defined in the indenture governing the 2028 Notes), the maturity of the 2028 Notes may be accelerated.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2028 Notes are the Company’s general unsecured obligations and will rank senior in right of payment to any existing and future indebtedness that is contractually subordinated to the 2028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accounting for the 2028 Notes, issuance costs of $11.0 million were deducted from the carrying value of the 2028 Notes in the condensed consolidated balance sheet. Issuance costs will be recognized as interest expense over the seven-year term for the 2028 Notes.</w:t>
      </w:r>
    </w:p>
    <w:p>
      <w:pPr>
        <w:pStyle w:val="TextBody"/>
        <w:bidi w:val="0"/>
        <w:spacing w:before="0" w:after="0"/>
        <w:ind w:left="0" w:right="0" w:firstLine="495"/>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Notes outstanding as of June 30, 2026 and December 31, 2025.</w:t>
      </w:r>
    </w:p>
    <w:p>
      <w:pPr>
        <w:pStyle w:val="TextBody"/>
        <w:bidi w:val="0"/>
        <w:spacing w:before="0" w:after="0"/>
        <w:ind w:left="0" w:right="0" w:firstLine="495"/>
        <w:jc w:val="left"/>
        <w:rPr/>
      </w:pPr>
      <w:r>
        <w:rPr/>
      </w:r>
    </w:p>
    <w:tbl>
      <w:tblPr>
        <w:tblW w:w="6208" w:type="dxa"/>
        <w:jc w:val="left"/>
        <w:tblInd w:w="0" w:type="dxa"/>
        <w:tblLayout w:type="fixed"/>
        <w:tblCellMar>
          <w:top w:w="28" w:type="dxa"/>
          <w:left w:w="28" w:type="dxa"/>
          <w:bottom w:w="28" w:type="dxa"/>
          <w:right w:w="28" w:type="dxa"/>
        </w:tblCellMar>
      </w:tblPr>
      <w:tblGrid>
        <w:gridCol w:w="852"/>
        <w:gridCol w:w="747"/>
        <w:gridCol w:w="756"/>
        <w:gridCol w:w="233"/>
        <w:gridCol w:w="681"/>
        <w:gridCol w:w="120"/>
        <w:gridCol w:w="109"/>
        <w:gridCol w:w="109"/>
        <w:gridCol w:w="109"/>
        <w:gridCol w:w="233"/>
        <w:gridCol w:w="681"/>
        <w:gridCol w:w="120"/>
        <w:gridCol w:w="109"/>
        <w:gridCol w:w="109"/>
        <w:gridCol w:w="109"/>
        <w:gridCol w:w="211"/>
        <w:gridCol w:w="76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recognized $0.4 million in interest expense for the 2028 Notes, with such interest expense consisting solely of amortization of issuance costs. During the three months ended June 30, 2025, the Company recognized $0.5 million in interest expense for the 2026 Notes. No interest expense related to the 2026 Notes was recognized during the three months ended June 30, 2026 because the 2026 Notes matured on March 1, 2026. During the six months ended June 30, 2026 and 2025, the Company recognized $0.4 million and $1.1 million in interest expense for the 2026 Notes, respectively, and $0.8 million and $0.7 million in interest expense for the 2028 Notes, respectively, with such interest expense consisting solely of amortization of issuance costs. The effective interest rate for the 2028 Notes was 0.22% as of June 30,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Maturities on the Company's convertible debt are as follows:</w:t>
      </w:r>
    </w:p>
    <w:p>
      <w:pPr>
        <w:pStyle w:val="TextBody"/>
        <w:bidi w:val="0"/>
        <w:spacing w:before="0" w:after="0"/>
        <w:ind w:left="0" w:right="0" w:firstLine="495"/>
        <w:jc w:val="left"/>
        <w:rPr/>
      </w:pPr>
      <w:r>
        <w:rPr/>
      </w:r>
    </w:p>
    <w:tbl>
      <w:tblPr>
        <w:tblW w:w="3284" w:type="dxa"/>
        <w:jc w:val="left"/>
        <w:tblInd w:w="0" w:type="dxa"/>
        <w:tblLayout w:type="fixed"/>
        <w:tblCellMar>
          <w:top w:w="28" w:type="dxa"/>
          <w:left w:w="28" w:type="dxa"/>
          <w:bottom w:w="28" w:type="dxa"/>
          <w:right w:w="28" w:type="dxa"/>
        </w:tblCellMar>
      </w:tblPr>
      <w:tblGrid>
        <w:gridCol w:w="613"/>
        <w:gridCol w:w="539"/>
        <w:gridCol w:w="543"/>
        <w:gridCol w:w="341"/>
        <w:gridCol w:w="997"/>
        <w:gridCol w:w="251"/>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Convertible Debt</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Convertible Note Hedges and Warrants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Class A common stock at a price of approximately $38.25 and $35.35 per share, respectively. The aggregate cost of the Note Hedges was $265.3 million.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used a total of $695.8 million in cash to repay the aggregate principal amount of the 2026 Notes at their maturity. Additionally, there were no 2026 Note Hedges exercised, and no shares were received as of June 30, 2026. The 2026 Note Hedges expired upon maturity of the 2026 Notes.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2028 Note Hedges, or a portion thereof, are exercisable upon conversion of the 2028 Notes and the satisfaction of certain conditions set forth in the 2028 Note Hedges. Additionally, the 2028 Note Hedges may be terminated and early settled upon the occurrence of certain events, including certain merger events, events of default, and upon a fundamental change (as defined in the indenture for the 2028 Notes). The 2028 Note Hedges are settleable in cash, shares or a combination of cash and shares, at the option of the Company, and the settlement alternative will be the same as the settlement alternative of the conversion spread for the 2028 Notes.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2028 Note Hedges are expected generally to offset the potential dilution to the Class A common stock upon conversion of the 2028 Notes and/or reduce any cash payments the Company is required to make in excess of the principal amount of such converted 2028 Notes, as the case may be, in the event that the market price per share of the Class A common stock, as measured under the terms of the 2028 Note Hedges, is greater than the applicable strike price of those convertible note hedge transactions. As of June 30, 2026, the Company’s stock price was below the exercise price of the 2028 Note Hedges.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Company sold warrants to certain counterparties whereby the holders of the warrants had the option to purchase a total of approximately 18.1 million shares of Class A common stock underlying such warrants expiring in 2026 (the “2026 Warrants”) and 20.1 million shares of Class A common stock underlying such warrants expiring in 2028 (the “2028 Warrants”, together with the 2026 Warrants, the “Warrants”), respectively, at an initial strike price of $46.36 and $46.36 per share, respectively. The Company received aggregate cash proceeds of $202.9 million from the sale of these Warrants.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2026 Warrants first became exercisable on June 1, 2026 and remain exercisable through their final expiration date of August 10, 2026. The 2028 Warrants will first become exercisable on June 1, 2028 and have a final expiration date of August 10, 2028. As of June 30, 2026, the Company’s Class A common stock price was below the exercise price of the Warrants.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Taken together, the purchase of the Note Hedges and the sale of the Warrants are intended to reduce potential dilution from the conversion of the Notes and/or reduce any cash payments the Company is required to make in excess of the principal amount of such converted Notes, as the case may be, and to effectively increase the overall conversion price from $35.35 per share to $46.36 for the 2028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8.Leases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corporate offices, datacenters and finance leases for infrastructure and computer equipment. The Company’s leases have remaining lease terms of 1 year to 10 years, some of which include options to extend the leases for up to 5 years.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also has subleases for a vast majority of its corporate offices. The Company classifies its subleases as operating leases. The subleases have remaining lease terms of under 1 year to 7 years, some of which include tenant options to extend the sublease for up to approximately 4 years. Sublease income, which is recorded as a reduction of rental expense, was $4.3 million and $8.4 million during the three and six months ended June 30, 2026, respectively and $2.5 million and $5.5 million during the three and six months ended June 30, 2025, respectively.</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as of June 30, 2026 were as follows:</w:t>
      </w:r>
    </w:p>
    <w:p>
      <w:pPr>
        <w:pStyle w:val="TextBody"/>
        <w:bidi w:val="0"/>
        <w:spacing w:before="0" w:after="0"/>
        <w:ind w:left="0" w:right="0" w:firstLine="450"/>
        <w:jc w:val="left"/>
        <w:rPr/>
      </w:pPr>
      <w:r>
        <w:rPr/>
      </w:r>
    </w:p>
    <w:tbl>
      <w:tblPr>
        <w:tblW w:w="6550" w:type="dxa"/>
        <w:jc w:val="center"/>
        <w:tblInd w:w="0" w:type="dxa"/>
        <w:tblLayout w:type="fixed"/>
        <w:tblCellMar>
          <w:top w:w="28" w:type="dxa"/>
          <w:left w:w="28" w:type="dxa"/>
          <w:bottom w:w="28" w:type="dxa"/>
          <w:right w:w="28" w:type="dxa"/>
        </w:tblCellMar>
      </w:tblPr>
      <w:tblGrid>
        <w:gridCol w:w="1151"/>
        <w:gridCol w:w="1011"/>
        <w:gridCol w:w="1018"/>
        <w:gridCol w:w="378"/>
        <w:gridCol w:w="1105"/>
        <w:gridCol w:w="196"/>
        <w:gridCol w:w="109"/>
        <w:gridCol w:w="109"/>
        <w:gridCol w:w="109"/>
        <w:gridCol w:w="293"/>
        <w:gridCol w:w="857"/>
        <w:gridCol w:w="21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Operating leases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tenant improvement receivables</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liability</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 </w:t>
      </w:r>
    </w:p>
    <w:p>
      <w:pPr>
        <w:pStyle w:val="TextBody"/>
        <w:bidi w:val="0"/>
        <w:spacing w:before="0" w:after="0"/>
        <w:ind w:left="0" w:right="0" w:firstLine="36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non-cancelable rent payments from the Company's subtenants as of June 30, 2026 were as follows:</w:t>
      </w:r>
    </w:p>
    <w:p>
      <w:pPr>
        <w:pStyle w:val="TextBody"/>
        <w:bidi w:val="0"/>
        <w:spacing w:before="0" w:after="0"/>
        <w:ind w:left="0" w:right="0" w:firstLine="450"/>
        <w:jc w:val="left"/>
        <w:rPr/>
      </w:pPr>
      <w:r>
        <w:rPr/>
      </w:r>
    </w:p>
    <w:tbl>
      <w:tblPr>
        <w:tblW w:w="4904" w:type="dxa"/>
        <w:jc w:val="left"/>
        <w:tblInd w:w="0" w:type="dxa"/>
        <w:tblLayout w:type="fixed"/>
        <w:tblCellMar>
          <w:top w:w="28" w:type="dxa"/>
          <w:left w:w="28" w:type="dxa"/>
          <w:bottom w:w="28" w:type="dxa"/>
          <w:right w:w="28" w:type="dxa"/>
        </w:tblCellMar>
      </w:tblPr>
      <w:tblGrid>
        <w:gridCol w:w="1210"/>
        <w:gridCol w:w="1063"/>
        <w:gridCol w:w="1071"/>
        <w:gridCol w:w="334"/>
        <w:gridCol w:w="980"/>
        <w:gridCol w:w="246"/>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sublease rent payments, net</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2017, the Company signed a 15 year lease agreement for office space in San Francisco, California, to serve as its corporate headquarters which commenced in 2018. The Company's obligations under the lease are supported by a $17.5 million letter of credit. As of June 30, 2026, the Company's remaining minimum obligation under the lease for its headquarters was $130.7 million.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2020, the Company moved to a Virtual First work model pursuant to which remote work has become the primary experience for all of its employees. As part of the Virtual First work model, the Company retained a portion of its office space to be used for the Company’s team collaboration use and a portion was marketed for sublease. Subsequently, every quarter, the Company has evaluated its real estate portfolio for impairment under ASC 360. As part of this analysis, the Company reassesses its real estate asset groups and estimates the fair value of the office space to be subleased using current market conditions. Where the carrying value of the individual asset groups exceeds their fair value, an impairment charge will be recognized for the difference.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did not record any impairment charges during the three and six months ended June 30, 2026, and recorded total impairment charges of $2.6 million during the three and six months ended June 30, 2025, respectively.</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hanging="720"/>
        <w:jc w:val="left"/>
        <w:rPr/>
      </w:pPr>
      <w:r>
        <w:rPr>
          <w:rFonts w:ascii="Times New Roman;serif" w:hAnsi="Times New Roman;serif"/>
          <w:b/>
          <w:color w:val="000000"/>
          <w:sz w:val="20"/>
        </w:rPr>
        <w:t>Note 9.</w:t>
      </w:r>
      <w:r>
        <w:rPr>
          <w:color w:val="000000"/>
        </w:rPr>
        <w:t xml:space="preserve"> </w:t>
      </w:r>
      <w:r>
        <w:rPr>
          <w:rFonts w:ascii="Times New Roman;serif" w:hAnsi="Times New Roman;serif"/>
          <w:b/>
          <w:color w:val="000000"/>
          <w:sz w:val="20"/>
        </w:rPr>
        <w:t>Commitments and Contingencies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Other commitments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r>
        <w:rPr>
          <w:rFonts w:ascii="Times New Roman;serif" w:hAnsi="Times New Roman;serif"/>
          <w:b/>
          <w:color w:val="000000"/>
          <w:sz w:val="20"/>
        </w:rPr>
        <w:t>Note 10.</w:t>
      </w:r>
      <w:r>
        <w:rPr>
          <w:color w:val="000000"/>
        </w:rPr>
        <w:t xml:space="preserve"> </w:t>
      </w:r>
      <w:r>
        <w:rPr>
          <w:rFonts w:ascii="Times New Roman;serif" w:hAnsi="Times New Roman;serif"/>
          <w:b/>
          <w:color w:val="000000"/>
          <w:sz w:val="20"/>
        </w:rPr>
        <w:t xml:space="preserve">Accrued and Other Current Liabilities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w:t>
      </w:r>
    </w:p>
    <w:tbl>
      <w:tblPr>
        <w:tblW w:w="6850" w:type="dxa"/>
        <w:jc w:val="center"/>
        <w:tblInd w:w="0" w:type="dxa"/>
        <w:tblLayout w:type="fixed"/>
        <w:tblCellMar>
          <w:top w:w="28" w:type="dxa"/>
          <w:left w:w="28" w:type="dxa"/>
          <w:bottom w:w="28" w:type="dxa"/>
          <w:right w:w="28" w:type="dxa"/>
        </w:tblCellMar>
      </w:tblPr>
      <w:tblGrid>
        <w:gridCol w:w="1261"/>
        <w:gridCol w:w="1107"/>
        <w:gridCol w:w="1112"/>
        <w:gridCol w:w="287"/>
        <w:gridCol w:w="839"/>
        <w:gridCol w:w="148"/>
        <w:gridCol w:w="109"/>
        <w:gridCol w:w="109"/>
        <w:gridCol w:w="109"/>
        <w:gridCol w:w="380"/>
        <w:gridCol w:w="1110"/>
        <w:gridCol w:w="279"/>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Non-income taxes payable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and other external fees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indemnification holdbacks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accrued and current liabilities </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current liabilities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11.Stockholders’ Deficit</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articles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authorized 2,400.0 million shares of Class A common stock, 475.0 million shares of Class B common stock, and 800.0 million shares of Class C common stock, each at par value of $0.00001. Holders of Class B common stock voluntarily converted 0.2 million and 0.6 million shares into an equivalent number of shares of Class A common stock during the three and six months ended June 30, 2026, respectively. Holders of Class B common stock voluntarily converted 0.3 million and 0.9 million shares during the three and six months ended June 30,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pPr>
      <w:r>
        <w:rPr>
          <w:rFonts w:ascii="Times New Roman;serif" w:hAnsi="Times New Roman;serif"/>
          <w:b w:val="false"/>
          <w:color w:val="000000"/>
          <w:sz w:val="20"/>
        </w:rPr>
        <w:t>As of June 30, 2026, 144.5 million shares of Class A common stock, 75.2 million shares of Class B common stock, and no shares of Class C common stock were issued and outstanding. As of December 31, 2025, 167.2 million shares of Class A common stock, 75.7 million shares of Class B common stock, and no shares of Class C common stock were issued and outstanding. Class A shares issued and outstanding as of June 30, 2026 and December 31, 2025 exclude unvested restricted stock awards granted to certain executives, including 8.3 million unvested restricted stock awards granted to one of the Company's co-founders</w:t>
      </w:r>
      <w:r>
        <w:rPr>
          <w:rFonts w:ascii="Times New Roman;serif" w:hAnsi="Times New Roman;serif"/>
          <w:b w:val="false"/>
          <w:color w:val="000000"/>
          <w:sz w:val="20"/>
          <w:shd w:fill="FFFFFF" w:val="clear"/>
        </w:rPr>
        <w:t xml:space="preserve">. See "Co-Founder Grant" section below for additional information.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has the authority, without further action by the Company's stockholders, to issue up to 240.0 million shares of undesignated preferred stock with rights and preferences, including voting rights, designated from time-to-time by the Board of Directors.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Board of Directors has authorized a share repurchase program for the repurchase of shares of the Company's Class A common stock. As of June 30, 2026, $1.4 billion remained available for repurchases, including an increase of $900.0 million authorized by the Board of Directors in June 2026.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the Company to repurchase any specific number of shares and may be discontinued at any time.</w:t>
      </w:r>
    </w:p>
    <w:p>
      <w:pPr>
        <w:pStyle w:val="TextBody"/>
        <w:bidi w:val="0"/>
        <w:spacing w:lineRule="auto" w:line="288" w:before="0" w:after="0"/>
        <w:ind w:left="0" w:right="0" w:firstLine="450"/>
        <w:jc w:val="left"/>
        <w:rPr/>
      </w:pPr>
      <w:r>
        <w:rPr>
          <w:rFonts w:ascii="Times New Roman;serif" w:hAnsi="Times New Roman;serif"/>
          <w:b w:val="false"/>
          <w:color w:val="000000"/>
          <w:sz w:val="20"/>
        </w:rPr>
        <w:t>During the three and six months ended June 30, 2026, the Company repurchased and subsequently retired 12.6 million and 26.9 million shares of its Class A common stock, for aggregate amounts of $318.0 million and $688.0 million, respectively</w:t>
      </w:r>
      <w:r>
        <w:rPr>
          <w:rFonts w:ascii="Times New Roman;serif" w:hAnsi="Times New Roman;serif"/>
          <w:b w:val="false"/>
          <w:color w:val="000000"/>
          <w:sz w:val="20"/>
          <w:shd w:fill="FFFFFF" w:val="clear"/>
        </w:rPr>
        <w:t xml:space="preserve">. During the </w:t>
      </w:r>
      <w:r>
        <w:rPr>
          <w:rFonts w:ascii="Times New Roman;serif" w:hAnsi="Times New Roman;serif"/>
          <w:b w:val="false"/>
          <w:color w:val="000000"/>
          <w:sz w:val="20"/>
        </w:rPr>
        <w:t>three and six months ended June 30, 2025, the Company repurchased and subsequently retired 14.2 million and 32.2 million shares of its Class A common stock, for aggregate amounts of $403.0 million and $907.0 million, respectively</w:t>
      </w:r>
      <w:r>
        <w:rPr>
          <w:rFonts w:ascii="Times New Roman;serif" w:hAnsi="Times New Roman;serif"/>
          <w:b w:val="false"/>
          <w:color w:val="000000"/>
          <w:sz w:val="20"/>
          <w:shd w:fill="FFFFFF" w:val="clear"/>
        </w:rPr>
        <w:t xml:space="preserve">. Included in the cost of treasury stock acquired pursuant to common share repurchases is the 1% excise tax imposed as part of the Inflation Reduction Act, in addition to repurchase execution costs incurred in connection with the Company’s share repurchase program.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before="0" w:after="0"/>
        <w:ind w:left="0" w:right="0" w:firstLine="720"/>
        <w:jc w:val="left"/>
        <w:rPr/>
      </w:pPr>
      <w:r>
        <w:rPr/>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2018 Plan, the Company may grant stock-based awards to purchase or directly issue shares of common stock to employees, directors, and consultants. RSUs and RSAs are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As of June 30, 2026, there were </w:t>
      </w:r>
      <w:r>
        <w:rPr>
          <w:rFonts w:ascii="Times New Roman;serif" w:hAnsi="Times New Roman;serif"/>
          <w:b w:val="false"/>
          <w:color w:val="000000"/>
          <w:sz w:val="20"/>
        </w:rPr>
        <w:t>29.1</w:t>
      </w:r>
      <w:r>
        <w:rPr>
          <w:color w:val="000000"/>
          <w:shd w:fill="FFFFFF" w:val="clear"/>
        </w:rPr>
        <w:t xml:space="preserve"> </w:t>
      </w:r>
      <w:r>
        <w:rPr>
          <w:rFonts w:ascii="Times New Roman;serif" w:hAnsi="Times New Roman;serif"/>
          <w:b w:val="false"/>
          <w:color w:val="000000"/>
          <w:sz w:val="20"/>
          <w:shd w:fill="FFFFFF" w:val="clear"/>
        </w:rPr>
        <w:t xml:space="preserve">million stock-based awards issued and outstanding and </w:t>
      </w:r>
      <w:r>
        <w:rPr>
          <w:rFonts w:ascii="Times New Roman;serif" w:hAnsi="Times New Roman;serif"/>
          <w:b w:val="false"/>
          <w:color w:val="000000"/>
          <w:sz w:val="20"/>
        </w:rPr>
        <w:t>135.3</w:t>
      </w:r>
      <w:r>
        <w:rPr>
          <w:color w:val="000000"/>
          <w:shd w:fill="FFFFFF" w:val="clear"/>
        </w:rPr>
        <w:t xml:space="preserve"> </w:t>
      </w:r>
      <w:r>
        <w:rPr>
          <w:rFonts w:ascii="Times New Roman;serif" w:hAnsi="Times New Roman;serif"/>
          <w:b w:val="false"/>
          <w:color w:val="000000"/>
          <w:sz w:val="20"/>
          <w:shd w:fill="FFFFFF" w:val="clear"/>
        </w:rPr>
        <w:t>million shares available for issuance under the Dropbox Equity Incentive Plans, Dropbox Sign's 2011 Equity Incentive Plan, DocSend's 2013 Stock Plan and DocSend's 2015 Stock Option and Grant Plan (collectively, the "Plans").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stock option activity for the six months ended June 30, 2026. Restricted stock activity for the Plans was as follows for the six months ended June 30, 2026: </w:t>
      </w:r>
    </w:p>
    <w:p>
      <w:pPr>
        <w:pStyle w:val="TextBody"/>
        <w:bidi w:val="0"/>
        <w:spacing w:before="0" w:after="0"/>
        <w:ind w:left="0" w:right="0" w:firstLine="495"/>
        <w:jc w:val="left"/>
        <w:rPr/>
      </w:pPr>
      <w:r>
        <w:rPr/>
      </w:r>
    </w:p>
    <w:tbl>
      <w:tblPr>
        <w:tblW w:w="10205" w:type="dxa"/>
        <w:jc w:val="center"/>
        <w:tblInd w:w="0" w:type="dxa"/>
        <w:tblLayout w:type="fixed"/>
        <w:tblCellMar>
          <w:top w:w="28" w:type="dxa"/>
          <w:left w:w="28" w:type="dxa"/>
          <w:bottom w:w="28" w:type="dxa"/>
          <w:right w:w="28" w:type="dxa"/>
        </w:tblCellMar>
      </w:tblPr>
      <w:tblGrid>
        <w:gridCol w:w="2297"/>
        <w:gridCol w:w="2018"/>
        <w:gridCol w:w="2022"/>
        <w:gridCol w:w="375"/>
        <w:gridCol w:w="375"/>
        <w:gridCol w:w="376"/>
        <w:gridCol w:w="109"/>
        <w:gridCol w:w="109"/>
        <w:gridCol w:w="109"/>
        <w:gridCol w:w="360"/>
        <w:gridCol w:w="360"/>
        <w:gridCol w:w="361"/>
        <w:gridCol w:w="109"/>
        <w:gridCol w:w="109"/>
        <w:gridCol w:w="109"/>
        <w:gridCol w:w="216"/>
        <w:gridCol w:w="631"/>
        <w:gridCol w:w="160"/>
      </w:tblGrid>
      <w:tr>
        <w:trPr/>
        <w:tc>
          <w:tcPr>
            <w:tcW w:w="229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stock</w:t>
              <w:br/>
              <w:t>outstanding</w:t>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shares</w:t>
              <w:br/>
              <w:t>available for</w:t>
              <w:br/>
              <w:t>issuance</w:t>
              <w:br/>
              <w:t>under the</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grant date</w:t>
              <w:br/>
              <w:t>fair value</w:t>
              <w:br/>
              <w:t>per share</w:t>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shares authorized</w:t>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and awards released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and awards canceled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 of restricted stock units and awards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and awards 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at June 30, 2026</w:t>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As of June 30, 2026, unamortized stock-based compensation related to RSAs and RSUs was </w:t>
      </w:r>
      <w:r>
        <w:rPr>
          <w:rFonts w:ascii="Times New Roman;serif" w:hAnsi="Times New Roman;serif"/>
          <w:b w:val="false"/>
          <w:color w:val="000000"/>
          <w:sz w:val="20"/>
        </w:rPr>
        <w:t>$726.0</w:t>
      </w:r>
      <w:r>
        <w:rPr>
          <w:color w:val="000000"/>
          <w:shd w:fill="FFFFFF" w:val="clear"/>
        </w:rPr>
        <w:t xml:space="preserve"> </w:t>
      </w:r>
      <w:r>
        <w:rPr>
          <w:rFonts w:ascii="Times New Roman;serif" w:hAnsi="Times New Roman;serif"/>
          <w:b w:val="false"/>
          <w:color w:val="000000"/>
          <w:sz w:val="20"/>
          <w:shd w:fill="FFFFFF" w:val="clear"/>
        </w:rPr>
        <w:t>millio</w:t>
      </w:r>
      <w:r>
        <w:rPr>
          <w:rFonts w:ascii="Times New Roman;serif" w:hAnsi="Times New Roman;serif"/>
          <w:b w:val="false"/>
          <w:color w:val="000000"/>
          <w:sz w:val="20"/>
        </w:rPr>
        <w:t>n. The weighted-average period over which such compensation expense will be recognized if the requisite service is provided is approximately 2.9 years as of June 30, 2026.</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Co-Founder Grant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2017, the Board of Directors approved the Co-Founder Grant, consisting of 10.3 million shares of Class A common stock in the form of RSAs granted to Drew Houston, the Company’s co-founder and Co-Chief Executive Officer. The Co-Founder Grant is subject to service-, market-, and performance-based vesting conditions and is excluded from issued and outstanding shares until vesting. Mr. Houston holds voting rights and rights to cumulative declared dividends prior to vesting.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Co-Founder Grant vests over ten years following the Company’s IPO, based on the achievement of stock price targets during a consecutive thirty-day trading period within the Performance Period, which began on January 1, 2019.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first tranche, or 2.1 million shares, vested in the fourth quarter of 2021. Stock-based compensation expense was recognized over the derived service period using the accelerated attribution method and will not be reversed if the market conditions are not met for the remaining tranches. The stock-based compensation expense related to the Co-Founder Grant was fully recognized as of the fourth quarter of 2024.</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20"/>
        </w:rPr>
        <w:t>Note 12.</w:t>
      </w:r>
      <w:r>
        <w:rPr>
          <w:color w:val="000000"/>
        </w:rPr>
        <w:t xml:space="preserve"> </w:t>
      </w:r>
      <w:r>
        <w:rPr>
          <w:rFonts w:ascii="Times New Roman;serif" w:hAnsi="Times New Roman;serif"/>
          <w:b/>
          <w:color w:val="000000"/>
          <w:sz w:val="20"/>
        </w:rPr>
        <w:t>Net Income Per Share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is computed by dividing net income attributable to common stockholders by the weighted-average number of shares of the Class A and Class B common stock outstanding.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prior to repayment, and the 2028 Notes, and by application of the treasury stock method for the Company's other potentially dilutive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numerators and denominators of the basic and diluted EPS computations for the Company's common stock are calculated as follows (in millions, except for per share amounts):</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2316"/>
        <w:gridCol w:w="1708"/>
        <w:gridCol w:w="1724"/>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6"/>
      </w:tblGrid>
      <w:tr>
        <w:trPr/>
        <w:tc>
          <w:tcPr>
            <w:tcW w:w="231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Numerator </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as a result of conversion of Class B to Class A common stock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to Class B common stock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restricted stock units and awards and employee stock options</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Conversion of Class B to Class A common stock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diluted net income per share</w:t>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2286"/>
        <w:gridCol w:w="1671"/>
        <w:gridCol w:w="1687"/>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5"/>
      </w:tblGrid>
      <w:tr>
        <w:trPr/>
        <w:tc>
          <w:tcPr>
            <w:tcW w:w="228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Numerator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as a result of 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to Class B common stock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restricted stock units and awards and employee stock options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diluted net income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weighted-average impact of potentially dilutive securities that were not included in the diluted per share calculations because they would be anti-dilutive was as follows:</w:t>
      </w:r>
    </w:p>
    <w:p>
      <w:pPr>
        <w:pStyle w:val="TextBody"/>
        <w:bidi w:val="0"/>
        <w:spacing w:before="0" w:after="0"/>
        <w:ind w:left="0" w:right="0" w:firstLine="495"/>
        <w:jc w:val="left"/>
        <w:rPr/>
      </w:pPr>
      <w:r>
        <w:rPr/>
      </w:r>
    </w:p>
    <w:tbl>
      <w:tblPr>
        <w:tblW w:w="7194" w:type="dxa"/>
        <w:jc w:val="center"/>
        <w:tblInd w:w="0" w:type="dxa"/>
        <w:tblLayout w:type="fixed"/>
        <w:tblCellMar>
          <w:top w:w="28" w:type="dxa"/>
          <w:left w:w="28" w:type="dxa"/>
          <w:bottom w:w="28" w:type="dxa"/>
          <w:right w:w="28" w:type="dxa"/>
        </w:tblCellMar>
      </w:tblPr>
      <w:tblGrid>
        <w:gridCol w:w="1019"/>
        <w:gridCol w:w="897"/>
        <w:gridCol w:w="903"/>
        <w:gridCol w:w="255"/>
        <w:gridCol w:w="256"/>
        <w:gridCol w:w="208"/>
        <w:gridCol w:w="208"/>
        <w:gridCol w:w="208"/>
        <w:gridCol w:w="208"/>
        <w:gridCol w:w="255"/>
        <w:gridCol w:w="256"/>
        <w:gridCol w:w="208"/>
        <w:gridCol w:w="109"/>
        <w:gridCol w:w="109"/>
        <w:gridCol w:w="109"/>
        <w:gridCol w:w="255"/>
        <w:gridCol w:w="256"/>
        <w:gridCol w:w="178"/>
        <w:gridCol w:w="178"/>
        <w:gridCol w:w="178"/>
        <w:gridCol w:w="178"/>
        <w:gridCol w:w="255"/>
        <w:gridCol w:w="256"/>
        <w:gridCol w:w="252"/>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and awards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Co-Founder Grant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20"/>
        </w:rPr>
        <w:t>Note 13.</w:t>
      </w:r>
      <w:r>
        <w:rPr>
          <w:color w:val="000000"/>
        </w:rPr>
        <w:t xml:space="preserve"> </w:t>
      </w:r>
      <w:r>
        <w:rPr>
          <w:rFonts w:ascii="Times New Roman;serif" w:hAnsi="Times New Roman;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computed the year-to-date income tax provision by applying the estimated annual effective tax rate to the year-to-date pre-tax income and adjusting for discrete tax items in the period. The Company's provision for income taxes was $21.9 million and $48.8 million for the three and six months ended June 30, 2026, respectively, and $22.2 million and $41.4 million for the three and six months ended June 30,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difference between the U.S. statutory rate and the Company's effective tax rate was primarily due to the jurisdictional mix of earnings, tax credits, and state income taxes.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June 30, 2026, the Company maintains valuation allowances against its deferred tax assets in certain states and foreign jurisdictions.</w:t>
      </w:r>
    </w:p>
    <w:p>
      <w:pPr>
        <w:pStyle w:val="TextBody"/>
        <w:bidi w:val="0"/>
        <w:spacing w:before="0" w:after="0"/>
        <w:ind w:left="0" w:right="0" w:firstLine="495"/>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routinely under audit by U.S. federal, state, and local and non-U.S. tax authorities, which may include examinations of the timing and amount of income and deductions and the allocation of income and deductions among various tax jurisdictions. The Internal Revenue Service (IRS) is currently examining the Company’s U.S. consolidated federal income tax returns for the tax years ending December 31, 2022 through December 31, 2024. The Company records liabilities related to uncertain tax positions and believes that it has provided adequate reserves for income tax uncertainties in all open tax years.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Unrecognized tax benefits increased by $11.0 million during the six months ended June 30, 2026. The increase was driven by a gross increase in unrecognized tax benefits related to tax positions taken in the period, of which $8.4 million, if recognized, would affect the Company's effective tax rate.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impacts of OBBBA are reflected in the results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pPr>
      <w:r>
        <w:rPr>
          <w:rFonts w:ascii="Times New Roman;serif" w:hAnsi="Times New Roman;serif"/>
          <w:b/>
          <w:color w:val="000000"/>
          <w:sz w:val="20"/>
        </w:rPr>
        <w:t>Note 14.</w:t>
      </w:r>
      <w:r>
        <w:rPr>
          <w:color w:val="000000"/>
        </w:rPr>
        <w:t xml:space="preserve"> </w:t>
      </w:r>
      <w:r>
        <w:rPr>
          <w:rFonts w:ascii="Times New Roman;serif" w:hAnsi="Times New Roman;serif"/>
          <w:b/>
          <w:color w:val="000000"/>
          <w:sz w:val="20"/>
        </w:rPr>
        <w:t>Segment Information and Geographic Areas</w:t>
      </w:r>
    </w:p>
    <w:p>
      <w:pPr>
        <w:pStyle w:val="TextBody"/>
        <w:bidi w:val="0"/>
        <w:spacing w:lineRule="auto" w:line="288" w:before="24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decision-maker (“CODM”), the Chief Executive Officer function, manages the Company's business activities as a single operating and reportable segment at the consolidated level. Accordingly, the CODM uses consolidated net income, as reported on the condensed consolidated statements of operations, to allocate resources as part of the annual planning process and to assess the performance of the Company's single reportable segment, primarily by monitoring actual results versus the annual plan.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significant expenses reviewed by the CODM are cost of revenue, research and development, sales and marketing, general and administrative, and stock-based compensation, as presented in the condensed consolidated statements of operations. Cost of revenue, research and development, sales and marketing, and general and administrative expenses include depreciation and amortization expenses, which are disclosed in Note 4 "Property and Equipment, Net" and Note 5 "Intangible Assets", respectively. Other segment items consist of interest expense, net, other income (expense), net, and provision for income taxes, as presented in the condensed consolidated statements of operations.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CODM does not evaluate segment performance using balance sheet information.</w:t>
      </w:r>
    </w:p>
    <w:p>
      <w:pPr>
        <w:pStyle w:val="TextBody"/>
        <w:bidi w:val="0"/>
        <w:spacing w:lineRule="auto" w:line="288" w:before="24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Geographic Areas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Long-lived assets and revenue by geographic region are as follows:</w:t>
      </w:r>
    </w:p>
    <w:p>
      <w:pPr>
        <w:pStyle w:val="TextBody"/>
        <w:bidi w:val="0"/>
        <w:spacing w:lineRule="auto" w:line="288" w:before="24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long-lived assets by geographic area based on the physical location of the operations recording the asset:</w:t>
      </w:r>
    </w:p>
    <w:p>
      <w:pPr>
        <w:pStyle w:val="TextBody"/>
        <w:bidi w:val="0"/>
        <w:spacing w:before="0" w:after="0"/>
        <w:ind w:left="0" w:right="0" w:firstLine="495"/>
        <w:jc w:val="left"/>
        <w:rPr/>
      </w:pPr>
      <w:r>
        <w:rPr/>
      </w:r>
    </w:p>
    <w:tbl>
      <w:tblPr>
        <w:tblW w:w="6265" w:type="dxa"/>
        <w:jc w:val="center"/>
        <w:tblInd w:w="0" w:type="dxa"/>
        <w:tblLayout w:type="fixed"/>
        <w:tblCellMar>
          <w:top w:w="28" w:type="dxa"/>
          <w:left w:w="28" w:type="dxa"/>
          <w:bottom w:w="28" w:type="dxa"/>
          <w:right w:w="28" w:type="dxa"/>
        </w:tblCellMar>
      </w:tblPr>
      <w:tblGrid>
        <w:gridCol w:w="1051"/>
        <w:gridCol w:w="919"/>
        <w:gridCol w:w="925"/>
        <w:gridCol w:w="287"/>
        <w:gridCol w:w="839"/>
        <w:gridCol w:w="148"/>
        <w:gridCol w:w="109"/>
        <w:gridCol w:w="109"/>
        <w:gridCol w:w="109"/>
        <w:gridCol w:w="380"/>
        <w:gridCol w:w="1110"/>
        <w:gridCol w:w="279"/>
      </w:tblGrid>
      <w:tr>
        <w:trPr/>
        <w:tc>
          <w:tcPr>
            <w:tcW w:w="105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(1)</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 xml:space="preserve">No single country other than the United States had a property and equipment balance greater than 10% of total property and equipment, net, as of June 30, 2026 and December 31, 2025. </w:t>
      </w:r>
    </w:p>
    <w:p>
      <w:pPr>
        <w:pStyle w:val="TextBody"/>
        <w:bidi w:val="0"/>
        <w:spacing w:before="60" w:after="283"/>
        <w:jc w:val="left"/>
        <w:rPr/>
      </w:pPr>
      <w:r>
        <w:rPr/>
      </w:r>
    </w:p>
    <w:p>
      <w:pPr>
        <w:pStyle w:val="TextBody"/>
        <w:bidi w:val="0"/>
        <w:spacing w:lineRule="auto" w:line="288" w:before="12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Revenue by geography is generally based on the address of the customer as defined in the Company’s subscription agreement. The following table sets forth revenue by geographic area for the three and six months ended June 30, 2026 and 2025. </w:t>
      </w:r>
    </w:p>
    <w:p>
      <w:pPr>
        <w:pStyle w:val="TextBody"/>
        <w:bidi w:val="0"/>
        <w:spacing w:before="0" w:after="0"/>
        <w:ind w:left="0" w:right="0" w:firstLine="450"/>
        <w:jc w:val="left"/>
        <w:rPr/>
      </w:pPr>
      <w:r>
        <w:rPr/>
      </w:r>
    </w:p>
    <w:tbl>
      <w:tblPr>
        <w:tblW w:w="6450" w:type="dxa"/>
        <w:jc w:val="center"/>
        <w:tblInd w:w="0" w:type="dxa"/>
        <w:tblLayout w:type="fixed"/>
        <w:tblCellMar>
          <w:top w:w="28" w:type="dxa"/>
          <w:left w:w="28" w:type="dxa"/>
          <w:bottom w:w="28" w:type="dxa"/>
          <w:right w:w="28" w:type="dxa"/>
        </w:tblCellMar>
      </w:tblPr>
      <w:tblGrid>
        <w:gridCol w:w="501"/>
        <w:gridCol w:w="438"/>
        <w:gridCol w:w="441"/>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6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No single country outside of the United States accounted for more than 10% of total revenue during the three and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 </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our founding in 2007, our market opportunity has grown as we’ve expanded from keeping files in sync to keeping teams in sync. In a world where using technology at work can be fragmented and distracting, Dropbox makes it easy to focus on the work that matters.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By solving these universal problems, we’ve become invaluable to our users. The popularity of our platform allows us to scale efficiently. We’ve built a thriving global business with 18.19 million paying users.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Subscription Plans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revenue from individuals, families, teams, and organizations by selling subscriptions to our platform, which serve the varying needs of our diverse customer base. Our subscriptions include individual licenses through our Plus, Simple, Professional or Essentials plans, or multiple licenses through our Family plan or our Standard, Advanced, Business, Business Plus and Enterprise team plans. We also offer Dash, our AI-powered universal search tool, which we offer to teams at an additional cost.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which are offered at a discount compared to our monthly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premium subscription plans, such as Professional and Advanced, provide more functionality than our other subscription plans and have higher per user prices. Our team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offer FormSwift, our cloud-based service that gives individuals and businesses a simple solution to create, complete, edit, and save critical business forms and agreements. We offer only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 We made the strategic decision to significantly reduce investments in FormSwift at the beginning of 2025 and plan to wind down operations by the end of 2026, which has negatively impacted our annual recurring revenue ("ARR"), revenue and paying users.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offer DocSend as our secure document sharing and analytics solution. DocSend offers paid subscription plans, including a Personal plan designed for individuals and Standard, Advanced, Advanced Data Rooms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Dropbox Sign products are offered globally, with pricing primarily denominated in U.S. dollars.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Our Customers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Drive new signups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Increase conversion of registered users to our paid subscription plans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paying user base.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Upgrade and expand existing customers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offer a range of paid subscription plans, from Plus, Simple, Professional, and Essentials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Reclaim.</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Impact of Macroeconomic and Geopolitical Factors on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performance depends in part on worldwide economic and geopolitical conditions and their impact on customer behavior. Uncertain economic conditions including inflation, fluctuations in interest rates, fluctuations in foreign exchange rates, impacts of tariffs and retaliatory actions, geopolitical issues, changes in government administration policy positions, and other conditions may adversely impact our results of operations and financial performance.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we outperformed expectations, with stronger customer retention and engagement, particularly across Individual plans. Teams performance showed signs of positive growth, supported by continued progress on pricing and packaging simplification, a more unified checkout experience, credit card trials, and onboarding and activation improvements. While these initiatives are beginning to yield positive results, we remain cautious in our outlook as these efforts are still in the early stages of adoption and impact.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Due to our subscription-based business model, any impact of the current macroeconomic environment on our business, particularly as a result of changes in our customer behavior, may not be fully reflected in our results of operations until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periods, if at all. For a further discussion of the potential impacts of the macroeconomic environment on our business, see “Risk Factors” included in Part II, Item 1A. of this report.</w:t>
      </w:r>
    </w:p>
    <w:p>
      <w:pPr>
        <w:pStyle w:val="TextBody"/>
        <w:bidi w:val="0"/>
        <w:spacing w:before="0" w:after="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a number of operating and financial metrics, including the following key metrics to evaluate our business, measure our performance, identify trends affecting our business, formulate business plans, and make strategic decisions.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Total annual recurring revenue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period of the acquisition. We adjust the exchange rates used to calculate Total ARR on an annual basis at the beginning of each fiscal year.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ARR fluctuates and may decrease in some periods as compared to prior periods. In the near term, ARR has experienced and may continue to experience a slight decline, primarily reflecting our strategic decision to significantly reduce investments in FormSwift at the beginning of 2025 as well as our plan to wind down operations by the end of 2026.</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ARR increased for the period ended June 30, 2026, compared to the periods ended December 31, 2025 and June 30, 2025, primarily driven by a favorable impact of changes in foreign exchange rates across multiple currencies relative to the U.S. dollar, improved retention from Teams plans and growth in Individual plans, offset by our strategic decision to significantly reduce our investment in FormSwift.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below tables set forth our Total ARR using the exchange rates set at the beginning of the applicable year, as well as on a constant currency basis relative to the exchange rates used in 2026.</w:t>
      </w:r>
    </w:p>
    <w:p>
      <w:pPr>
        <w:pStyle w:val="TextBody"/>
        <w:bidi w:val="0"/>
        <w:spacing w:before="0" w:after="0"/>
        <w:ind w:left="0" w:right="0" w:firstLine="495"/>
        <w:jc w:val="left"/>
        <w:rPr/>
      </w:pPr>
      <w:r>
        <w:rPr/>
      </w:r>
    </w:p>
    <w:tbl>
      <w:tblPr>
        <w:tblW w:w="5976" w:type="dxa"/>
        <w:jc w:val="center"/>
        <w:tblInd w:w="0" w:type="dxa"/>
        <w:tblLayout w:type="fixed"/>
        <w:tblCellMar>
          <w:top w:w="28" w:type="dxa"/>
          <w:left w:w="28" w:type="dxa"/>
          <w:bottom w:w="28" w:type="dxa"/>
          <w:right w:w="28" w:type="dxa"/>
        </w:tblCellMar>
      </w:tblPr>
      <w:tblGrid>
        <w:gridCol w:w="363"/>
        <w:gridCol w:w="320"/>
        <w:gridCol w:w="322"/>
        <w:gridCol w:w="424"/>
        <w:gridCol w:w="424"/>
        <w:gridCol w:w="426"/>
        <w:gridCol w:w="109"/>
        <w:gridCol w:w="109"/>
        <w:gridCol w:w="109"/>
        <w:gridCol w:w="574"/>
        <w:gridCol w:w="574"/>
        <w:gridCol w:w="576"/>
        <w:gridCol w:w="109"/>
        <w:gridCol w:w="109"/>
        <w:gridCol w:w="109"/>
        <w:gridCol w:w="384"/>
        <w:gridCol w:w="384"/>
        <w:gridCol w:w="551"/>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ARR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r>
    </w:tbl>
    <w:p>
      <w:pPr>
        <w:pStyle w:val="TextBody"/>
        <w:bidi w:val="0"/>
        <w:spacing w:before="0" w:after="0"/>
        <w:ind w:left="0" w:right="0" w:firstLine="495"/>
        <w:jc w:val="center"/>
        <w:rPr/>
      </w:pPr>
      <w:r>
        <w:rPr/>
      </w:r>
    </w:p>
    <w:tbl>
      <w:tblPr>
        <w:tblW w:w="6695" w:type="dxa"/>
        <w:jc w:val="center"/>
        <w:tblInd w:w="0" w:type="dxa"/>
        <w:tblLayout w:type="fixed"/>
        <w:tblCellMar>
          <w:top w:w="28" w:type="dxa"/>
          <w:left w:w="28" w:type="dxa"/>
          <w:bottom w:w="28" w:type="dxa"/>
          <w:right w:w="28" w:type="dxa"/>
        </w:tblCellMar>
      </w:tblPr>
      <w:tblGrid>
        <w:gridCol w:w="624"/>
        <w:gridCol w:w="548"/>
        <w:gridCol w:w="552"/>
        <w:gridCol w:w="424"/>
        <w:gridCol w:w="424"/>
        <w:gridCol w:w="426"/>
        <w:gridCol w:w="109"/>
        <w:gridCol w:w="109"/>
        <w:gridCol w:w="109"/>
        <w:gridCol w:w="574"/>
        <w:gridCol w:w="574"/>
        <w:gridCol w:w="576"/>
        <w:gridCol w:w="109"/>
        <w:gridCol w:w="109"/>
        <w:gridCol w:w="109"/>
        <w:gridCol w:w="384"/>
        <w:gridCol w:w="384"/>
        <w:gridCol w:w="551"/>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Constant Currency</w:t>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ARR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w:t>
            </w:r>
          </w:p>
        </w:tc>
      </w:tr>
    </w:tbl>
    <w:p>
      <w:pPr>
        <w:pStyle w:val="TextBody"/>
        <w:bidi w:val="0"/>
        <w:spacing w:before="0" w:after="12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Paying users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DocSend, FormSwift and Reclaim, we define paying users as the number of users who have active paid licenses for access to our platform as of the end of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number of paying users as of June 30, 2026 increased as compared to December 31, 2025 and June 30, 2025, largely due to growth in our Simple Plan, partially offset by reduced investment in FormSwift and continued softness in our Teams plans, for which we are starting to see signs of improvement in retention. We expect that the total number of paying users will continue to fluctuate from period to period and may decrease in some periods as compared to prior periods.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below table sets forth the number of paying users as of June 30, 2026, December 31, 2025, and June 30, 2025. </w:t>
      </w:r>
    </w:p>
    <w:p>
      <w:pPr>
        <w:pStyle w:val="TextBody"/>
        <w:bidi w:val="0"/>
        <w:spacing w:before="0" w:after="0"/>
        <w:ind w:left="0" w:right="0" w:firstLine="495"/>
        <w:jc w:val="left"/>
        <w:rPr/>
      </w:pPr>
      <w:r>
        <w:rPr/>
      </w:r>
    </w:p>
    <w:tbl>
      <w:tblPr>
        <w:tblW w:w="6110" w:type="dxa"/>
        <w:jc w:val="left"/>
        <w:tblInd w:w="0" w:type="dxa"/>
        <w:tblLayout w:type="fixed"/>
        <w:tblCellMar>
          <w:top w:w="28" w:type="dxa"/>
          <w:left w:w="28" w:type="dxa"/>
          <w:bottom w:w="28" w:type="dxa"/>
          <w:right w:w="28" w:type="dxa"/>
        </w:tblCellMar>
      </w:tblPr>
      <w:tblGrid>
        <w:gridCol w:w="412"/>
        <w:gridCol w:w="363"/>
        <w:gridCol w:w="364"/>
        <w:gridCol w:w="424"/>
        <w:gridCol w:w="424"/>
        <w:gridCol w:w="426"/>
        <w:gridCol w:w="109"/>
        <w:gridCol w:w="109"/>
        <w:gridCol w:w="109"/>
        <w:gridCol w:w="574"/>
        <w:gridCol w:w="574"/>
        <w:gridCol w:w="576"/>
        <w:gridCol w:w="109"/>
        <w:gridCol w:w="109"/>
        <w:gridCol w:w="109"/>
        <w:gridCol w:w="384"/>
        <w:gridCol w:w="384"/>
        <w:gridCol w:w="551"/>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Paying users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Average revenue per paying user</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average revenue per paying user increased for the three and six months ended June 30, 2026 as compared to the three and six months ended June 30, 2025, as a result of the favorable impact of changes in foreign exchange rates across multiple currencies relative to the U.S. dollar and a shift to monthly subscription plans, offset by an increased mix of sales toward lower priced plans, such as Simple.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below table sets forth our ARPU for the three and six months ended June 30, 2026 and 2025.</w:t>
      </w:r>
    </w:p>
    <w:p>
      <w:pPr>
        <w:pStyle w:val="TextBody"/>
        <w:bidi w:val="0"/>
        <w:spacing w:before="0" w:after="0"/>
        <w:ind w:left="0" w:right="0" w:firstLine="450"/>
        <w:jc w:val="left"/>
        <w:rPr/>
      </w:pPr>
      <w:r>
        <w:rPr/>
      </w:r>
    </w:p>
    <w:tbl>
      <w:tblPr>
        <w:tblW w:w="6257" w:type="dxa"/>
        <w:jc w:val="left"/>
        <w:tblInd w:w="0" w:type="dxa"/>
        <w:tblLayout w:type="fixed"/>
        <w:tblCellMar>
          <w:top w:w="28" w:type="dxa"/>
          <w:left w:w="28" w:type="dxa"/>
          <w:bottom w:w="28" w:type="dxa"/>
          <w:right w:w="28" w:type="dxa"/>
        </w:tblCellMar>
      </w:tblPr>
      <w:tblGrid>
        <w:gridCol w:w="228"/>
        <w:gridCol w:w="201"/>
        <w:gridCol w:w="20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U.S. generally accepted accounting principles, or GAAP, we believe that free cash flow, or FCF, a non-GAAP financial measure, is useful in evaluating our liquidity.</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FCF increased for the six months ended June 30, 2026, compared to the six months ended June 30, 2025, primarily due to an increase in cash provided by operating activities, reflecting payments made in the first quarter of 2025 for the third tranche termination fee for the partial termination of our lease for our San Francisco, California corporate headquarters and related to our 2024 reduction in workforce.</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FCF to fluctuate in the near term due to ongoing operating efficiency initiatives and variability in interest payments now that our term loan facility is fully drawn, as well as fluctuations in market interest rates. We expect capital expenditures will generally remain consistent in future periods as we continue to invest in our internal infrastructure, network and security, except for a one-time incremental investment related to the build-out of our new San Francisco, California headquarters, which we expect to complete this year. The timing of our operating expenses as described below, may cause FCF to vary from period to period as a percentage of revenue.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FCF to the most comparable GAAP measure, net cash provided by operating activities:</w:t>
      </w:r>
    </w:p>
    <w:p>
      <w:pPr>
        <w:pStyle w:val="TextBody"/>
        <w:bidi w:val="0"/>
        <w:spacing w:before="0" w:after="0"/>
        <w:ind w:left="0" w:right="0" w:firstLine="495"/>
        <w:jc w:val="left"/>
        <w:rPr/>
      </w:pPr>
      <w:r>
        <w:rPr/>
      </w:r>
    </w:p>
    <w:tbl>
      <w:tblPr>
        <w:tblW w:w="5709" w:type="dxa"/>
        <w:jc w:val="left"/>
        <w:tblInd w:w="0" w:type="dxa"/>
        <w:tblLayout w:type="fixed"/>
        <w:tblCellMar>
          <w:top w:w="28" w:type="dxa"/>
          <w:left w:w="28" w:type="dxa"/>
          <w:bottom w:w="28" w:type="dxa"/>
          <w:right w:w="28" w:type="dxa"/>
        </w:tblCellMar>
      </w:tblPr>
      <w:tblGrid>
        <w:gridCol w:w="1254"/>
        <w:gridCol w:w="1104"/>
        <w:gridCol w:w="1107"/>
        <w:gridCol w:w="211"/>
        <w:gridCol w:w="616"/>
        <w:gridCol w:w="109"/>
        <w:gridCol w:w="109"/>
        <w:gridCol w:w="109"/>
        <w:gridCol w:w="109"/>
        <w:gridCol w:w="211"/>
        <w:gridCol w:w="61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revenue from sales of subscriptions to our platform.</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revenue is driven primarily by conversions and upsells to our paid plans. We also generate revenue from transaction based products. We generate over 90% of our revenue from self-serve channels. No customer represented more than 1% of our revenue in the periods presented.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revenue growth is impacted by both the number of paying users and our ability to increase the average revenue per paying user. Our overall paying user growth rate has declined, and we expect growth in paying users to fluctuate from period to period in the future. While we have started to see signs of improving growth in net new paying users, if we do not successfully reverse the trend of decreasing average revenue per paying user, for example through increased sales of our higher-priced subscription plans, or otherwise offset slower growth or declines in paying users, we expect our revenue and revenue growth rate to continue decreasing.</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Cost of revenue and gross margin</w:t>
      </w:r>
    </w:p>
    <w:p>
      <w:pPr>
        <w:pStyle w:val="TextBody"/>
        <w:bidi w:val="0"/>
        <w:spacing w:lineRule="auto" w:line="288" w:before="0" w:after="0"/>
        <w:ind w:left="0" w:right="0" w:firstLine="450"/>
        <w:jc w:val="left"/>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color w:val="000000"/>
          <w:sz w:val="20"/>
        </w:rPr>
        <w:t>Our cost of revenue consists primarily of expenses associated with the storage, delivery, and distribution of our platform for both paying 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property taxes related to datacenter equipment, and copyright levies or similar fees imposed by collection agencies in European and other jurisdictions.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plan to continue increasing the capacity and enhancing the capability and reliability of our infrastructure to support user growth and increased use of our platform. We expect that cost of revenue will increase in absolute dollars in both the near term and long term.</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Gross margin.</w:t>
      </w:r>
      <w:r>
        <w:rPr>
          <w:color w:val="000000"/>
        </w:rPr>
        <w:t xml:space="preserve"> </w:t>
      </w:r>
      <w:r>
        <w:rPr>
          <w:rFonts w:ascii="Times New Roman;serif" w:hAnsi="Times New Roman;serif"/>
          <w:b w:val="false"/>
          <w:color w:val="000000"/>
          <w:sz w:val="20"/>
        </w:rPr>
        <w:t xml:space="preserve">Gross margin is gross profit expressed as a percentage of revenue. Our gross margin may fluctuate from period to period based on the timing of capital expenditures and the related depreciation expense, or other increases in our infrastructure costs, as well as revenue fluctuations. We expect gross margin to remain relatively constant in both the near term and long term.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ind w:left="0" w:right="0" w:firstLine="450"/>
        <w:jc w:val="left"/>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Our research and development expenses consist primarily of employee-related costs for our engineering, product, and design teams, expenses related to our recent reduction in workforce such as severance, benefits and other related items,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that research and development costs will decrease in absolute dollars and as a percentage of revenue in both the near term and long term as we continue to drive operating efficiencies across the business, partially offset by ongoing investment in key growth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Sales and marketing</w:t>
      </w:r>
      <w:r>
        <w:rPr>
          <w:rFonts w:ascii="Times New Roman;serif" w:hAnsi="Times New Roman;serif"/>
          <w:b w:val="false"/>
          <w:color w:val="000000"/>
          <w:sz w:val="20"/>
        </w:rPr>
        <w:t>. Our sales and marketing expenses relate to both self-serve and outbound sales activities, and consist primarily of employee-related costs,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that sales and marketing expenses could fluctuate in absolute dollars in the near term and in the long term as we seek to grow our user base and increase our brand awareness while also retaining flexibility to invest in growth.</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Our general and administrative expenses consist primarily of employee-related costs for our legal, finance, human resources, and other administrative teams, as well as certain executives. In addition, general and administrative expenses include allocated overhead, outside legal, accounting and other professional fees, and non income-based taxes.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incur additional general and administrative expenses to support the growth of the Company. We expect that general and administrative expenses will fluctuate in absolute dollars in future periods and remain relatively constant in both the near term and the long term as a percentage of revenue.</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Net loss on real estate assets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 consists of impairment charges in 2025. See Note 8, "Leases" for additional information.</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net consists primarily of interest expense related to our term loan facility, finance lease obligations for infrastructure and amortization of debt issuance costs, offset by interest income earned on our investments classified as cash and cash equivalents, and short-term investments. We expect that interest expense, net may fluctuate in both the near term and the long term now that our term loan facility is fully drawn, as well as from changes in market interest rates.</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(expense), net consists of other non-operating gains or losses, including those related to gains or losses on sale of assets, foreign currency transaction gains and losses, lease arrangements, which include sublease income, and gains and losses related to our short-term investments.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consists of U.S. federal, state and foreign jurisdiction income taxes. For 2026 and 2025, the difference between the U.S. statutory rate and our effective tax rate is primarily due to the jurisdictional mix of earnings, tax credits, state income taxes, stock-based compensation, and changes to our unrecognized tax benefits. </w:t>
      </w:r>
    </w:p>
    <w:p>
      <w:pPr>
        <w:pStyle w:val="TextBody"/>
        <w:bidi w:val="0"/>
        <w:spacing w:before="0" w:after="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w:t>
      </w:r>
    </w:p>
    <w:tbl>
      <w:tblPr>
        <w:tblW w:w="7709" w:type="dxa"/>
        <w:jc w:val="left"/>
        <w:tblInd w:w="0" w:type="dxa"/>
        <w:tblLayout w:type="fixed"/>
        <w:tblCellMar>
          <w:top w:w="28" w:type="dxa"/>
          <w:left w:w="28" w:type="dxa"/>
          <w:bottom w:w="28" w:type="dxa"/>
          <w:right w:w="28" w:type="dxa"/>
        </w:tblCellMar>
      </w:tblPr>
      <w:tblGrid>
        <w:gridCol w:w="953"/>
        <w:gridCol w:w="840"/>
        <w:gridCol w:w="846"/>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9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stock-based compensation as follows:</w:t>
      </w:r>
    </w:p>
    <w:p>
      <w:pPr>
        <w:pStyle w:val="TextBody"/>
        <w:bidi w:val="0"/>
        <w:spacing w:before="0" w:after="0"/>
        <w:jc w:val="left"/>
        <w:rPr/>
      </w:pPr>
      <w:r>
        <w:rPr/>
      </w:r>
    </w:p>
    <w:tbl>
      <w:tblPr>
        <w:tblW w:w="7304" w:type="dxa"/>
        <w:jc w:val="center"/>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related to our reduction in workforce such as severance, benefits and other related items during the three months ended June 30, 2026 and three and six months ended June 30, 2025. The expenses during the three months ended June 30, 2026 were related to the reduction in workforce resulting from a strategic reorganization to unify our product organization, which are included within research and development expense.</w:t>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ind w:left="0" w:right="0" w:firstLine="450"/>
        <w:jc w:val="left"/>
        <w:rPr/>
      </w:pPr>
      <w:r>
        <w:rPr/>
      </w:r>
    </w:p>
    <w:p>
      <w:pPr>
        <w:pStyle w:val="TextBody"/>
        <w:bidi w:val="0"/>
        <w:spacing w:before="0" w:after="16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 as a percentage of revenue:</w:t>
      </w:r>
    </w:p>
    <w:tbl>
      <w:tblPr>
        <w:tblW w:w="7271" w:type="dxa"/>
        <w:jc w:val="left"/>
        <w:tblInd w:w="0" w:type="dxa"/>
        <w:tblLayout w:type="fixed"/>
        <w:tblCellMar>
          <w:top w:w="28" w:type="dxa"/>
          <w:left w:w="28" w:type="dxa"/>
          <w:bottom w:w="28" w:type="dxa"/>
          <w:right w:w="28" w:type="dxa"/>
        </w:tblCellMar>
      </w:tblPr>
      <w:tblGrid>
        <w:gridCol w:w="975"/>
        <w:gridCol w:w="859"/>
        <w:gridCol w:w="865"/>
        <w:gridCol w:w="266"/>
        <w:gridCol w:w="200"/>
        <w:gridCol w:w="389"/>
        <w:gridCol w:w="156"/>
        <w:gridCol w:w="156"/>
        <w:gridCol w:w="156"/>
        <w:gridCol w:w="266"/>
        <w:gridCol w:w="200"/>
        <w:gridCol w:w="389"/>
        <w:gridCol w:w="109"/>
        <w:gridCol w:w="109"/>
        <w:gridCol w:w="109"/>
        <w:gridCol w:w="246"/>
        <w:gridCol w:w="220"/>
        <w:gridCol w:w="337"/>
        <w:gridCol w:w="135"/>
        <w:gridCol w:w="135"/>
        <w:gridCol w:w="135"/>
        <w:gridCol w:w="246"/>
        <w:gridCol w:w="220"/>
        <w:gridCol w:w="393"/>
      </w:tblGrid>
      <w:tr>
        <w:trPr/>
        <w:tc>
          <w:tcPr>
            <w:tcW w:w="9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(As a % of revenue)*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stock-based compensation as a percentage of revenue as follows:</w:t>
      </w:r>
    </w:p>
    <w:p>
      <w:pPr>
        <w:pStyle w:val="TextBody"/>
        <w:bidi w:val="0"/>
        <w:spacing w:before="0" w:after="0"/>
        <w:jc w:val="left"/>
        <w:rPr/>
      </w:pPr>
      <w:r>
        <w:rPr/>
      </w:r>
    </w:p>
    <w:tbl>
      <w:tblPr>
        <w:tblW w:w="6900" w:type="dxa"/>
        <w:jc w:val="center"/>
        <w:tblInd w:w="0" w:type="dxa"/>
        <w:tblLayout w:type="fixed"/>
        <w:tblCellMar>
          <w:top w:w="28" w:type="dxa"/>
          <w:left w:w="28" w:type="dxa"/>
          <w:bottom w:w="28" w:type="dxa"/>
          <w:right w:w="28" w:type="dxa"/>
        </w:tblCellMar>
      </w:tblPr>
      <w:tblGrid>
        <w:gridCol w:w="992"/>
        <w:gridCol w:w="874"/>
        <w:gridCol w:w="878"/>
        <w:gridCol w:w="207"/>
        <w:gridCol w:w="156"/>
        <w:gridCol w:w="389"/>
        <w:gridCol w:w="156"/>
        <w:gridCol w:w="156"/>
        <w:gridCol w:w="156"/>
        <w:gridCol w:w="207"/>
        <w:gridCol w:w="156"/>
        <w:gridCol w:w="389"/>
        <w:gridCol w:w="109"/>
        <w:gridCol w:w="109"/>
        <w:gridCol w:w="109"/>
        <w:gridCol w:w="190"/>
        <w:gridCol w:w="171"/>
        <w:gridCol w:w="337"/>
        <w:gridCol w:w="135"/>
        <w:gridCol w:w="135"/>
        <w:gridCol w:w="135"/>
        <w:gridCol w:w="190"/>
        <w:gridCol w:w="171"/>
        <w:gridCol w:w="393"/>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(As a % of revenue)*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related to our reduction in workforce such as severance, benefits and other related items during the three months ended June 30, 2026 and three and six months ended June 30, 2025. The expenses during the three months ended June 30, 2026 were related to the reduction in workforce resulting from a strategic reorganization to unify our product organization, which are included within research and development expense.</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*Percentages may not foot due to rounding.</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before="0" w:after="0"/>
        <w:ind w:left="0" w:right="0" w:firstLine="18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5631" w:type="dxa"/>
        <w:jc w:val="left"/>
        <w:tblInd w:w="0" w:type="dxa"/>
        <w:tblLayout w:type="fixed"/>
        <w:tblCellMar>
          <w:top w:w="28" w:type="dxa"/>
          <w:left w:w="28" w:type="dxa"/>
          <w:bottom w:w="28" w:type="dxa"/>
          <w:right w:w="28" w:type="dxa"/>
        </w:tblCellMar>
      </w:tblPr>
      <w:tblGrid>
        <w:gridCol w:w="304"/>
        <w:gridCol w:w="268"/>
        <w:gridCol w:w="269"/>
        <w:gridCol w:w="211"/>
        <w:gridCol w:w="616"/>
        <w:gridCol w:w="109"/>
        <w:gridCol w:w="109"/>
        <w:gridCol w:w="109"/>
        <w:gridCol w:w="109"/>
        <w:gridCol w:w="211"/>
        <w:gridCol w:w="616"/>
        <w:gridCol w:w="109"/>
        <w:gridCol w:w="109"/>
        <w:gridCol w:w="109"/>
        <w:gridCol w:w="109"/>
        <w:gridCol w:w="261"/>
        <w:gridCol w:w="503"/>
        <w:gridCol w:w="137"/>
        <w:gridCol w:w="109"/>
        <w:gridCol w:w="109"/>
        <w:gridCol w:w="109"/>
        <w:gridCol w:w="211"/>
        <w:gridCol w:w="211"/>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Revenue increased $5.8 million or 0.9% during the three months ended June 30, 2026, as compared to the three months ended June 30, 2025</w:t>
      </w:r>
      <w:r>
        <w:rPr>
          <w:color w:val="000000"/>
          <w:shd w:fill="FFFFFF" w:val="clear"/>
        </w:rPr>
        <w:t xml:space="preserve"> </w:t>
      </w:r>
      <w:r>
        <w:rPr>
          <w:rFonts w:ascii="Times New Roman;serif" w:hAnsi="Times New Roman;serif"/>
          <w:b w:val="false"/>
          <w:color w:val="000000"/>
          <w:sz w:val="20"/>
          <w:shd w:fill="FFFFFF" w:val="clear"/>
        </w:rPr>
        <w:t xml:space="preserve">primarily due to positive impacts from changes in foreign exchange rates across multiple currencies and growth from our Individual plans, offset by </w:t>
      </w:r>
      <w:r>
        <w:rPr>
          <w:rFonts w:ascii="Times New Roman;serif" w:hAnsi="Times New Roman;serif"/>
          <w:b w:val="false"/>
          <w:color w:val="000000"/>
          <w:sz w:val="20"/>
        </w:rPr>
        <w:t>our strategic decision to significantly reduce our investment in FormSwift and our plan to wind down operations by the end of 2026</w:t>
      </w:r>
      <w:r>
        <w:rPr>
          <w:rFonts w:ascii="Times New Roman;serif" w:hAnsi="Times New Roman;serif"/>
          <w:b w:val="false"/>
          <w:color w:val="000000"/>
          <w:sz w:val="20"/>
          <w:shd w:fill="FFFFFF" w:val="clear"/>
        </w:rPr>
        <w: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Cost of revenue, gross profit, and gross margin</w:t>
      </w:r>
    </w:p>
    <w:tbl>
      <w:tblPr>
        <w:tblW w:w="6508" w:type="dxa"/>
        <w:jc w:val="left"/>
        <w:tblInd w:w="0" w:type="dxa"/>
        <w:tblLayout w:type="fixed"/>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61"/>
        <w:gridCol w:w="503"/>
        <w:gridCol w:w="137"/>
        <w:gridCol w:w="109"/>
        <w:gridCol w:w="109"/>
        <w:gridCol w:w="109"/>
        <w:gridCol w:w="211"/>
        <w:gridCol w:w="211"/>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increased $1.3 million or 1.1% during the three months ended June 30, 2026, as compared to the three months ended June 30, 2025. This increase was primarily driven by a $2.9 million increase in infrastructure costs, including costs associated with data center facilities costs and third party hosting fees, partially offset by a $1.6 million decrease in outside services.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gross margin remained flat during the three months ended June 30, 2026 compared to the three months ended June 30, 2025, as the 0.9% increase in revenue during the period, as described above, was largely offset by a 1.1% increase in cost of revenue.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099"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61"/>
        <w:gridCol w:w="503"/>
        <w:gridCol w:w="137"/>
        <w:gridCol w:w="109"/>
        <w:gridCol w:w="109"/>
        <w:gridCol w:w="109"/>
        <w:gridCol w:w="211"/>
        <w:gridCol w:w="211"/>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$3.7 million or 2.0% during the three months ended June 30, 2026, as compared to the three months ended June 30, 2025, primarily due to an increase of $2.5 million in employee-related costs driven by costs related to our recent workforce reduction, primarily severance, benefits, and other related items, as well as a $1.0 million increase in third-party infrastructure costs.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6334" w:type="dxa"/>
        <w:jc w:val="left"/>
        <w:tblInd w:w="0" w:type="dxa"/>
        <w:tblLayout w:type="fixed"/>
        <w:tblCellMar>
          <w:top w:w="28" w:type="dxa"/>
          <w:left w:w="28" w:type="dxa"/>
          <w:bottom w:w="28" w:type="dxa"/>
          <w:right w:w="28" w:type="dxa"/>
        </w:tblCellMar>
      </w:tblPr>
      <w:tblGrid>
        <w:gridCol w:w="634"/>
        <w:gridCol w:w="558"/>
        <w:gridCol w:w="562"/>
        <w:gridCol w:w="211"/>
        <w:gridCol w:w="511"/>
        <w:gridCol w:w="109"/>
        <w:gridCol w:w="109"/>
        <w:gridCol w:w="109"/>
        <w:gridCol w:w="109"/>
        <w:gridCol w:w="211"/>
        <w:gridCol w:w="511"/>
        <w:gridCol w:w="109"/>
        <w:gridCol w:w="109"/>
        <w:gridCol w:w="109"/>
        <w:gridCol w:w="109"/>
        <w:gridCol w:w="261"/>
        <w:gridCol w:w="503"/>
        <w:gridCol w:w="137"/>
        <w:gridCol w:w="109"/>
        <w:gridCol w:w="109"/>
        <w:gridCol w:w="109"/>
        <w:gridCol w:w="211"/>
        <w:gridCol w:w="211"/>
        <w:gridCol w:w="6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$2.0 million or 2.3% during the three months ended June 30, 2026, as compared to the three months ended June 30, 2025, primarily due to an increase of $4.0 million related to advertising expenses, partially offset by a $1.4 million decrease in merchant fees.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6889" w:type="dxa"/>
        <w:jc w:val="left"/>
        <w:tblInd w:w="0" w:type="dxa"/>
        <w:tblLayout w:type="fixed"/>
        <w:tblCellMar>
          <w:top w:w="28" w:type="dxa"/>
          <w:left w:w="28" w:type="dxa"/>
          <w:bottom w:w="28" w:type="dxa"/>
          <w:right w:w="28" w:type="dxa"/>
        </w:tblCellMar>
      </w:tblPr>
      <w:tblGrid>
        <w:gridCol w:w="837"/>
        <w:gridCol w:w="735"/>
        <w:gridCol w:w="737"/>
        <w:gridCol w:w="211"/>
        <w:gridCol w:w="511"/>
        <w:gridCol w:w="109"/>
        <w:gridCol w:w="109"/>
        <w:gridCol w:w="109"/>
        <w:gridCol w:w="109"/>
        <w:gridCol w:w="211"/>
        <w:gridCol w:w="511"/>
        <w:gridCol w:w="109"/>
        <w:gridCol w:w="109"/>
        <w:gridCol w:w="109"/>
        <w:gridCol w:w="109"/>
        <w:gridCol w:w="261"/>
        <w:gridCol w:w="503"/>
        <w:gridCol w:w="137"/>
        <w:gridCol w:w="109"/>
        <w:gridCol w:w="109"/>
        <w:gridCol w:w="109"/>
        <w:gridCol w:w="211"/>
        <w:gridCol w:w="211"/>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$5.0 million or 8.5% during the three months ended June 30, 2026, as compared to the three months ended June 30, 2025, primarily due to an increase of $5.0 million in employee-related costs driven by an increase in headcount.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Net loss on real estate assets</w:t>
      </w:r>
    </w:p>
    <w:tbl>
      <w:tblPr>
        <w:tblW w:w="7255" w:type="dxa"/>
        <w:jc w:val="left"/>
        <w:tblInd w:w="0" w:type="dxa"/>
        <w:tblLayout w:type="fixed"/>
        <w:tblCellMar>
          <w:top w:w="28" w:type="dxa"/>
          <w:left w:w="28" w:type="dxa"/>
          <w:bottom w:w="28" w:type="dxa"/>
          <w:right w:w="28" w:type="dxa"/>
        </w:tblCellMar>
      </w:tblPr>
      <w:tblGrid>
        <w:gridCol w:w="863"/>
        <w:gridCol w:w="757"/>
        <w:gridCol w:w="765"/>
        <w:gridCol w:w="203"/>
        <w:gridCol w:w="203"/>
        <w:gridCol w:w="176"/>
        <w:gridCol w:w="148"/>
        <w:gridCol w:w="148"/>
        <w:gridCol w:w="148"/>
        <w:gridCol w:w="286"/>
        <w:gridCol w:w="551"/>
        <w:gridCol w:w="148"/>
        <w:gridCol w:w="109"/>
        <w:gridCol w:w="109"/>
        <w:gridCol w:w="109"/>
        <w:gridCol w:w="256"/>
        <w:gridCol w:w="511"/>
        <w:gridCol w:w="134"/>
        <w:gridCol w:w="109"/>
        <w:gridCol w:w="109"/>
        <w:gridCol w:w="109"/>
        <w:gridCol w:w="344"/>
        <w:gridCol w:w="346"/>
        <w:gridCol w:w="61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 was $2.6 million during the three months ended June 30, 2025 and there were no similar charges during the three months ended June 30,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tbl>
      <w:tblPr>
        <w:tblW w:w="6699" w:type="dxa"/>
        <w:jc w:val="left"/>
        <w:tblInd w:w="0" w:type="dxa"/>
        <w:tblLayout w:type="fixed"/>
        <w:tblCellMar>
          <w:top w:w="28" w:type="dxa"/>
          <w:left w:w="28" w:type="dxa"/>
          <w:bottom w:w="28" w:type="dxa"/>
          <w:right w:w="28" w:type="dxa"/>
        </w:tblCellMar>
      </w:tblPr>
      <w:tblGrid>
        <w:gridCol w:w="641"/>
        <w:gridCol w:w="563"/>
        <w:gridCol w:w="566"/>
        <w:gridCol w:w="211"/>
        <w:gridCol w:w="586"/>
        <w:gridCol w:w="109"/>
        <w:gridCol w:w="109"/>
        <w:gridCol w:w="109"/>
        <w:gridCol w:w="109"/>
        <w:gridCol w:w="211"/>
        <w:gridCol w:w="586"/>
        <w:gridCol w:w="109"/>
        <w:gridCol w:w="109"/>
        <w:gridCol w:w="109"/>
        <w:gridCol w:w="109"/>
        <w:gridCol w:w="211"/>
        <w:gridCol w:w="586"/>
        <w:gridCol w:w="109"/>
        <w:gridCol w:w="109"/>
        <w:gridCol w:w="109"/>
        <w:gridCol w:w="109"/>
        <w:gridCol w:w="308"/>
        <w:gridCol w:w="308"/>
        <w:gridCol w:w="61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by $31.4 million during the three months ended June 30, 2026, as compared to the three months ended June 30, 2025, primarily due to an increase in interest expense related to our term loan facility now that it is fully drawn.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tbl>
      <w:tblPr>
        <w:tblW w:w="7116" w:type="dxa"/>
        <w:jc w:val="left"/>
        <w:tblInd w:w="0" w:type="dxa"/>
        <w:tblLayout w:type="fixed"/>
        <w:tblCellMar>
          <w:top w:w="28" w:type="dxa"/>
          <w:left w:w="28" w:type="dxa"/>
          <w:bottom w:w="28" w:type="dxa"/>
          <w:right w:w="28" w:type="dxa"/>
        </w:tblCellMar>
      </w:tblPr>
      <w:tblGrid>
        <w:gridCol w:w="863"/>
        <w:gridCol w:w="760"/>
        <w:gridCol w:w="762"/>
        <w:gridCol w:w="213"/>
        <w:gridCol w:w="410"/>
        <w:gridCol w:w="110"/>
        <w:gridCol w:w="110"/>
        <w:gridCol w:w="110"/>
        <w:gridCol w:w="110"/>
        <w:gridCol w:w="213"/>
        <w:gridCol w:w="486"/>
        <w:gridCol w:w="110"/>
        <w:gridCol w:w="109"/>
        <w:gridCol w:w="109"/>
        <w:gridCol w:w="109"/>
        <w:gridCol w:w="261"/>
        <w:gridCol w:w="503"/>
        <w:gridCol w:w="137"/>
        <w:gridCol w:w="109"/>
        <w:gridCol w:w="109"/>
        <w:gridCol w:w="109"/>
        <w:gridCol w:w="344"/>
        <w:gridCol w:w="346"/>
        <w:gridCol w:w="61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(expense), net increased by $4.9 million during the three months ended June 30, 2026, as compared to the three months ended June 30, 2025, primarily due to a $4.6 million increase in foreign currency transaction gains.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bl>
      <w:tblPr>
        <w:tblW w:w="7068" w:type="dxa"/>
        <w:jc w:val="left"/>
        <w:tblInd w:w="0" w:type="dxa"/>
        <w:tblLayout w:type="fixed"/>
        <w:tblCellMar>
          <w:top w:w="28" w:type="dxa"/>
          <w:left w:w="28" w:type="dxa"/>
          <w:bottom w:w="28" w:type="dxa"/>
          <w:right w:w="28" w:type="dxa"/>
        </w:tblCellMar>
      </w:tblPr>
      <w:tblGrid>
        <w:gridCol w:w="825"/>
        <w:gridCol w:w="726"/>
        <w:gridCol w:w="729"/>
        <w:gridCol w:w="211"/>
        <w:gridCol w:w="586"/>
        <w:gridCol w:w="109"/>
        <w:gridCol w:w="109"/>
        <w:gridCol w:w="109"/>
        <w:gridCol w:w="109"/>
        <w:gridCol w:w="211"/>
        <w:gridCol w:w="586"/>
        <w:gridCol w:w="109"/>
        <w:gridCol w:w="109"/>
        <w:gridCol w:w="109"/>
        <w:gridCol w:w="109"/>
        <w:gridCol w:w="261"/>
        <w:gridCol w:w="503"/>
        <w:gridCol w:w="137"/>
        <w:gridCol w:w="109"/>
        <w:gridCol w:w="109"/>
        <w:gridCol w:w="109"/>
        <w:gridCol w:w="240"/>
        <w:gridCol w:w="240"/>
        <w:gridCol w:w="61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decreased $0.3 million during the three months ended June 30, 2026, as compared to the three months ended June 30, 2025, primarily due to a decrease in income before income taxes, offset by a reduction in stock-based compensation tax benefits.</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before="0" w:after="0"/>
        <w:ind w:left="0" w:right="0" w:firstLine="18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5931" w:type="dxa"/>
        <w:jc w:val="left"/>
        <w:tblInd w:w="0" w:type="dxa"/>
        <w:tblLayout w:type="fixed"/>
        <w:tblCellMar>
          <w:top w:w="28" w:type="dxa"/>
          <w:left w:w="28" w:type="dxa"/>
          <w:bottom w:w="28" w:type="dxa"/>
          <w:right w:w="28" w:type="dxa"/>
        </w:tblCellMar>
      </w:tblPr>
      <w:tblGrid>
        <w:gridCol w:w="304"/>
        <w:gridCol w:w="268"/>
        <w:gridCol w:w="269"/>
        <w:gridCol w:w="211"/>
        <w:gridCol w:w="766"/>
        <w:gridCol w:w="109"/>
        <w:gridCol w:w="109"/>
        <w:gridCol w:w="109"/>
        <w:gridCol w:w="109"/>
        <w:gridCol w:w="211"/>
        <w:gridCol w:w="766"/>
        <w:gridCol w:w="109"/>
        <w:gridCol w:w="109"/>
        <w:gridCol w:w="109"/>
        <w:gridCol w:w="109"/>
        <w:gridCol w:w="228"/>
        <w:gridCol w:w="554"/>
        <w:gridCol w:w="119"/>
        <w:gridCol w:w="109"/>
        <w:gridCol w:w="109"/>
        <w:gridCol w:w="109"/>
        <w:gridCol w:w="211"/>
        <w:gridCol w:w="211"/>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Revenue increased $10.6 million or 0.8% during the six months ended June 30, 2026, as compared to the six months ended June 30, 2025</w:t>
      </w:r>
      <w:r>
        <w:rPr>
          <w:color w:val="000000"/>
          <w:shd w:fill="FFFFFF" w:val="clear"/>
        </w:rPr>
        <w:t xml:space="preserve"> </w:t>
      </w:r>
      <w:r>
        <w:rPr>
          <w:rFonts w:ascii="Times New Roman;serif" w:hAnsi="Times New Roman;serif"/>
          <w:b w:val="false"/>
          <w:color w:val="000000"/>
          <w:sz w:val="20"/>
          <w:shd w:fill="FFFFFF" w:val="clear"/>
        </w:rPr>
        <w:t xml:space="preserve">primarily due to positive impacts from changes in foreign exchange rates across multiple currencies and growth from our Individual plans, offset by </w:t>
      </w:r>
      <w:r>
        <w:rPr>
          <w:rFonts w:ascii="Times New Roman;serif" w:hAnsi="Times New Roman;serif"/>
          <w:b w:val="false"/>
          <w:color w:val="000000"/>
          <w:sz w:val="20"/>
        </w:rPr>
        <w:t>our strategic decision to significantly reduce our investment in FormSwift and our plan to wind down operations by the end of 2026</w:t>
      </w:r>
      <w:r>
        <w:rPr>
          <w:rFonts w:ascii="Times New Roman;serif" w:hAnsi="Times New Roman;serif"/>
          <w:b w:val="false"/>
          <w:color w:val="000000"/>
          <w:sz w:val="20"/>
          <w:shd w:fill="FFFFFF" w:val="clear"/>
        </w:rPr>
        <w: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Cost of revenue, gross profit, and gross margin</w:t>
      </w:r>
    </w:p>
    <w:tbl>
      <w:tblPr>
        <w:tblW w:w="6566" w:type="dxa"/>
        <w:jc w:val="left"/>
        <w:tblInd w:w="0" w:type="dxa"/>
        <w:tblLayout w:type="fixed"/>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28"/>
        <w:gridCol w:w="554"/>
        <w:gridCol w:w="119"/>
        <w:gridCol w:w="109"/>
        <w:gridCol w:w="109"/>
        <w:gridCol w:w="109"/>
        <w:gridCol w:w="240"/>
        <w:gridCol w:w="240"/>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increased $12.7 million or 5.3% during the six months ended June 30, 2026, as compared to the six months ended June 30, 2025. This increase was primarily driven by a $14.4 million increase in infrastructure costs, including costs associated with adding equipment in support of our data center refresh cycle, data center facilities costs, and third party hosting fees.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gross margin decreased during the six months ended June 30, 2026 compared to the six months ended June 30, 2025, primarily due to a 5.3% increase in our cost of revenue, partially offset by a 0.8% increase in revenue during the period, as described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099"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61"/>
        <w:gridCol w:w="503"/>
        <w:gridCol w:w="137"/>
        <w:gridCol w:w="109"/>
        <w:gridCol w:w="109"/>
        <w:gridCol w:w="109"/>
        <w:gridCol w:w="211"/>
        <w:gridCol w:w="211"/>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$9.5 million or 2.6% during the six months ended June 30, 2026, as compared to the six months ended June 30, 2025, primarily due to an increase of $8.6 million in employee-related costs driven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annual performance-based compensation increases and costs related to our recent workforce reduction, primarily severance, benefits, and other related items, partially offset by lower ending headcount compared to the prior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6602" w:type="dxa"/>
        <w:jc w:val="left"/>
        <w:tblInd w:w="0" w:type="dxa"/>
        <w:tblLayout w:type="fixed"/>
        <w:tblCellMar>
          <w:top w:w="28" w:type="dxa"/>
          <w:left w:w="28" w:type="dxa"/>
          <w:bottom w:w="28" w:type="dxa"/>
          <w:right w:w="28" w:type="dxa"/>
        </w:tblCellMar>
      </w:tblPr>
      <w:tblGrid>
        <w:gridCol w:w="634"/>
        <w:gridCol w:w="558"/>
        <w:gridCol w:w="562"/>
        <w:gridCol w:w="211"/>
        <w:gridCol w:w="616"/>
        <w:gridCol w:w="109"/>
        <w:gridCol w:w="109"/>
        <w:gridCol w:w="109"/>
        <w:gridCol w:w="109"/>
        <w:gridCol w:w="211"/>
        <w:gridCol w:w="616"/>
        <w:gridCol w:w="109"/>
        <w:gridCol w:w="109"/>
        <w:gridCol w:w="109"/>
        <w:gridCol w:w="109"/>
        <w:gridCol w:w="256"/>
        <w:gridCol w:w="511"/>
        <w:gridCol w:w="134"/>
        <w:gridCol w:w="109"/>
        <w:gridCol w:w="109"/>
        <w:gridCol w:w="109"/>
        <w:gridCol w:w="240"/>
        <w:gridCol w:w="240"/>
        <w:gridCol w:w="6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decreased $3.1 million or 1.7% during the six months ended June 30, 2026, as compared to the six months ended June 30, 2025. The decrease was primarily driven by a $2.2 million reduction in employee-related costs driven by a decrease in headcount and a $1.6 million decrease in other expenses, partially offset by a $1.0 million increase in merchant fees.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7099" w:type="dxa"/>
        <w:jc w:val="left"/>
        <w:tblInd w:w="0" w:type="dxa"/>
        <w:tblLayout w:type="fixed"/>
        <w:tblCellMar>
          <w:top w:w="28" w:type="dxa"/>
          <w:left w:w="28" w:type="dxa"/>
          <w:bottom w:w="28" w:type="dxa"/>
          <w:right w:w="28" w:type="dxa"/>
        </w:tblCellMar>
      </w:tblPr>
      <w:tblGrid>
        <w:gridCol w:w="837"/>
        <w:gridCol w:w="735"/>
        <w:gridCol w:w="737"/>
        <w:gridCol w:w="211"/>
        <w:gridCol w:w="616"/>
        <w:gridCol w:w="109"/>
        <w:gridCol w:w="109"/>
        <w:gridCol w:w="109"/>
        <w:gridCol w:w="109"/>
        <w:gridCol w:w="211"/>
        <w:gridCol w:w="616"/>
        <w:gridCol w:w="109"/>
        <w:gridCol w:w="109"/>
        <w:gridCol w:w="109"/>
        <w:gridCol w:w="109"/>
        <w:gridCol w:w="261"/>
        <w:gridCol w:w="503"/>
        <w:gridCol w:w="137"/>
        <w:gridCol w:w="109"/>
        <w:gridCol w:w="109"/>
        <w:gridCol w:w="109"/>
        <w:gridCol w:w="211"/>
        <w:gridCol w:w="211"/>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$8.7 million or 7.7% during the six months ended June 30, 2026, as compared to the six months ended June 30, 2025. The increase was primarily driven by a $6.8 million increase in employee-related costs driven by an increase in headcount, and lower expenses in the first quarter of 2025 due to the release of $4.3 million of non-income tax reserves, partially offset by a $2.5 million decrease in professional services expense.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Net loss on real estate assets</w:t>
      </w:r>
    </w:p>
    <w:tbl>
      <w:tblPr>
        <w:tblW w:w="7023" w:type="dxa"/>
        <w:jc w:val="left"/>
        <w:tblInd w:w="0" w:type="dxa"/>
        <w:tblLayout w:type="fixed"/>
        <w:tblCellMar>
          <w:top w:w="28" w:type="dxa"/>
          <w:left w:w="28" w:type="dxa"/>
          <w:bottom w:w="28" w:type="dxa"/>
          <w:right w:w="28" w:type="dxa"/>
        </w:tblCellMar>
      </w:tblPr>
      <w:tblGrid>
        <w:gridCol w:w="863"/>
        <w:gridCol w:w="757"/>
        <w:gridCol w:w="765"/>
        <w:gridCol w:w="211"/>
        <w:gridCol w:w="406"/>
        <w:gridCol w:w="109"/>
        <w:gridCol w:w="109"/>
        <w:gridCol w:w="109"/>
        <w:gridCol w:w="109"/>
        <w:gridCol w:w="211"/>
        <w:gridCol w:w="406"/>
        <w:gridCol w:w="109"/>
        <w:gridCol w:w="109"/>
        <w:gridCol w:w="109"/>
        <w:gridCol w:w="109"/>
        <w:gridCol w:w="256"/>
        <w:gridCol w:w="511"/>
        <w:gridCol w:w="134"/>
        <w:gridCol w:w="109"/>
        <w:gridCol w:w="109"/>
        <w:gridCol w:w="109"/>
        <w:gridCol w:w="344"/>
        <w:gridCol w:w="346"/>
        <w:gridCol w:w="61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 was $2.6 million during the six months ended June 30, 2025 and there were no similar charges during the six months ended June 30,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tbl>
      <w:tblPr>
        <w:tblW w:w="6699" w:type="dxa"/>
        <w:jc w:val="left"/>
        <w:tblInd w:w="0" w:type="dxa"/>
        <w:tblLayout w:type="fixed"/>
        <w:tblCellMar>
          <w:top w:w="28" w:type="dxa"/>
          <w:left w:w="28" w:type="dxa"/>
          <w:bottom w:w="28" w:type="dxa"/>
          <w:right w:w="28" w:type="dxa"/>
        </w:tblCellMar>
      </w:tblPr>
      <w:tblGrid>
        <w:gridCol w:w="641"/>
        <w:gridCol w:w="563"/>
        <w:gridCol w:w="566"/>
        <w:gridCol w:w="211"/>
        <w:gridCol w:w="586"/>
        <w:gridCol w:w="109"/>
        <w:gridCol w:w="109"/>
        <w:gridCol w:w="109"/>
        <w:gridCol w:w="109"/>
        <w:gridCol w:w="211"/>
        <w:gridCol w:w="586"/>
        <w:gridCol w:w="109"/>
        <w:gridCol w:w="109"/>
        <w:gridCol w:w="109"/>
        <w:gridCol w:w="109"/>
        <w:gridCol w:w="211"/>
        <w:gridCol w:w="586"/>
        <w:gridCol w:w="109"/>
        <w:gridCol w:w="109"/>
        <w:gridCol w:w="109"/>
        <w:gridCol w:w="109"/>
        <w:gridCol w:w="308"/>
        <w:gridCol w:w="308"/>
        <w:gridCol w:w="61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by $53.5 million during the six months ended June 30, 2026, as compared to the six months ended June 30, 2025, primarily due to an increase in interest expense related to our term loan facility now that it is fully drawn.</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tbl>
      <w:tblPr>
        <w:tblW w:w="7098" w:type="dxa"/>
        <w:jc w:val="left"/>
        <w:tblInd w:w="0" w:type="dxa"/>
        <w:tblLayout w:type="fixed"/>
        <w:tblCellMar>
          <w:top w:w="28" w:type="dxa"/>
          <w:left w:w="28" w:type="dxa"/>
          <w:bottom w:w="28" w:type="dxa"/>
          <w:right w:w="28" w:type="dxa"/>
        </w:tblCellMar>
      </w:tblPr>
      <w:tblGrid>
        <w:gridCol w:w="863"/>
        <w:gridCol w:w="760"/>
        <w:gridCol w:w="762"/>
        <w:gridCol w:w="211"/>
        <w:gridCol w:w="406"/>
        <w:gridCol w:w="109"/>
        <w:gridCol w:w="109"/>
        <w:gridCol w:w="109"/>
        <w:gridCol w:w="109"/>
        <w:gridCol w:w="211"/>
        <w:gridCol w:w="481"/>
        <w:gridCol w:w="109"/>
        <w:gridCol w:w="109"/>
        <w:gridCol w:w="109"/>
        <w:gridCol w:w="109"/>
        <w:gridCol w:w="261"/>
        <w:gridCol w:w="503"/>
        <w:gridCol w:w="137"/>
        <w:gridCol w:w="109"/>
        <w:gridCol w:w="109"/>
        <w:gridCol w:w="109"/>
        <w:gridCol w:w="344"/>
        <w:gridCol w:w="346"/>
        <w:gridCol w:w="61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(expense), net increased by $9.9 million during the six months ended June 30, 2026, as compared to the six months ended June 30, 2025, primarily due to a $7.3 million increase in foreign currency transaction gains and a $2.6 million gain on datacenter equipment resales.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bl>
      <w:tblPr>
        <w:tblW w:w="7099" w:type="dxa"/>
        <w:jc w:val="left"/>
        <w:tblInd w:w="0" w:type="dxa"/>
        <w:tblLayout w:type="fixed"/>
        <w:tblCellMar>
          <w:top w:w="28" w:type="dxa"/>
          <w:left w:w="28" w:type="dxa"/>
          <w:bottom w:w="28" w:type="dxa"/>
          <w:right w:w="28" w:type="dxa"/>
        </w:tblCellMar>
      </w:tblPr>
      <w:tblGrid>
        <w:gridCol w:w="825"/>
        <w:gridCol w:w="726"/>
        <w:gridCol w:w="729"/>
        <w:gridCol w:w="211"/>
        <w:gridCol w:w="586"/>
        <w:gridCol w:w="109"/>
        <w:gridCol w:w="109"/>
        <w:gridCol w:w="109"/>
        <w:gridCol w:w="109"/>
        <w:gridCol w:w="211"/>
        <w:gridCol w:w="586"/>
        <w:gridCol w:w="109"/>
        <w:gridCol w:w="109"/>
        <w:gridCol w:w="109"/>
        <w:gridCol w:w="109"/>
        <w:gridCol w:w="256"/>
        <w:gridCol w:w="511"/>
        <w:gridCol w:w="134"/>
        <w:gridCol w:w="109"/>
        <w:gridCol w:w="109"/>
        <w:gridCol w:w="109"/>
        <w:gridCol w:w="255"/>
        <w:gridCol w:w="256"/>
        <w:gridCol w:w="61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increased $7.4 million during the six months ended June 30, 2026, as compared to the six months ended June 30, 2025, primarily due to the impact of the One Big Beautiful Bill Act reflected in the six months ended June 30, 2026, a reduction in stock-based compensation tax benefits, and changes to our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$1,056.2 million and short-term investments of $57.6 million, which were held for working capital purposes. Our cash, cash equivalents, and short-term investments consist primarily of cash, money market funds, corporate notes and obligations, U.S. Treasury securities, asset-backed securities, U.S. agency obligations, supranational securities, and municipal securities. As of June 30, 2026, $265.2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historically financed our operations primarily through cash generated from our operations, borrowings from our term loan facility, the Notes (as defined below) issuance, equity issuances, and finance leases for our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February 2021, we issued approximately $1.4 billion in aggregate principal amount of the 2026 Notes and the 2028 Notes (together the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Company paid a total of $695.8 million in cash to settle the unconverted principal balance of the 2026 Notes upon maturity in the first quarter of 2026 using the proceeds from the 2025 delayed draw term loans described below. The 2028 Notes mature on March 1, 2028. The 2028 Notes do not bear regular interest and the principal does not accrete. The 2028 Notes may bear special interest as the remedy relating to our failure to comply with certain of our reporting obligations. The 2028 Notes can be converted or repurchased prior to maturity if certain conditions are met.</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2024, we entered into a secured five-year term loan facility in an aggregate principal amount of up to $2.0 billion, consisting of initial term loans and initial delayed draw term loan commitments (the "initial delayed draw term loans") each in an aggregate principal amount of up to $1.0 billion, respectively. The terms of the initial Term Loan Credit Agreement also provide for a secured letter of credit facility in an aggregate amount of up to $35.0 million. In September 2025, we entered into the First Amendment to the term loan facility which provided for additional secured delayed draw term loan commitments in an aggregate principal amount of up to $700.0 million (the "2025 delayed draw term loans"), which was drawn in the first quarter of 2026 to settle the 2026 Notes as described above, with the remaining proceeds available for general corporate purposes.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term loans and initial delayed draw term loans have a maturity date of December 11, 2029 and the 2025 delayed draw term loans have a maturity date of September 9, 2030. Quarterly principal payments for the initial term loans and initial delayed draw term loans began on March 31, 2025 and on the last business day of the quarter after the funding of such loans, respectively, and will continue on the last business day of each quarter thereafter, equal to 0.25% of the original principal amount of such term loans or such greater percentage as may be required to make the initial delayed draw term loans fungible with any then-outstanding initial term loans and initial delayed draw term loans. Quarterly repayments of 0.25% of the original principal amount of the 2025 delayed draw term loans began on March 31, 2026 and on the last business day of the quarter after the funding of such loans and continuing thereafter. As of June 30, 2026, we had $2,674.8 million outstanding on the term loan facility and no commitment remained available. As of June 30, 2026, $21.1 million of letters of credit were issued and $13.9 million remains to be issued under the letter of credit facility. </w: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on borrowings under the term loan facility accrues at either an alternate base rate plus a margin of 2.75% or a term SOFR rate plus a margin of 3.75% (further described in Note 7 "Debt") at our option.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facility permits us, subject to satisfaction of certain conditions, including obtaining commitments from new or existing lenders, to add new term loan facilities or increase the term loan commitments under the term loan agreement, in each case, subject to certain limits. Additionally, the Amended Term Loan Credit Agreement contains customary representations and warranties, customary affirmative and negative covenants, and customary events of default. Failure to comply with these covenants may result in a portion of the outstanding term loan debt becoming due immediately. We were in compliance with all covenants under the term loan facility as of June 30, 2026.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2026, we entered into a $400.0 million revolving credit facility (the "2026 Revolving Credit Agreement"), of which $65.0 million is available for use as letters of credit. The 2026 Revolving Credit Agreement matures on December 11, 2029, unless earlier terminated. As of June 30, 2026, we did not have any outstanding borrowings under the 2026 Revolving Credit Agreement. The unused capacity of the 2026 Revolving Credit Agreement was $400.0 million as of June 30, 2026.</w:t>
      </w:r>
    </w:p>
    <w:p>
      <w:pPr>
        <w:pStyle w:val="TextBody"/>
        <w:bidi w:val="0"/>
        <w:spacing w:before="0" w:after="0"/>
        <w:ind w:left="0" w:right="0" w:firstLine="450"/>
        <w:jc w:val="both"/>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borrowings under the 2026 Revolving Credit Agreement will bear interest, at our option, at either (a) an alternate base rate, which is defined as a fluctuating rate per annum equal to the greatest of (i) the prime rate then in effect, (ii) the greater of the federal funds effective rate or overnight bank funding rate then in effect, plus 0.50% per annum, and (iii) a term SOFR rate determined on the basis of a one-month interest period plus 1.00% per annum, in each case, plus a margin ranging from 2.00% to 2.50% based on our consolidated secured leverage ratio, or (b) a term SOFR rate (based on one, three or six month interest periods), plus a margin ranging from 3.00% to 3.50% based on our consolidated secured leverage ratio. </w:t>
      </w:r>
    </w:p>
    <w:p>
      <w:pPr>
        <w:pStyle w:val="TextBody"/>
        <w:bidi w:val="0"/>
        <w:spacing w:before="0" w:after="0"/>
        <w:ind w:left="0" w:right="0" w:firstLine="450"/>
        <w:jc w:val="both"/>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principal uses of cash in recent periods have been funding our operations, repurchases of our Class A common stock, the satisfaction of tax withholding obligations in connection with the settlement of RSUs and RSAs, making principal payments on our finance lease obligations, and capital expenditures. Our Board of Directors has authorized a share repurchase program for the repurchase of shares of our Class A common stock. As of June 30, 2026 $1.4 billion remained available for repurchases, including an increase of $900.0 million authorized by our Board of Directors in June 2026.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us to repurchase any specific number of shares and has no specified time limit; it may be discontinued at any time. During the three and six months ended June 30, 2026, we repurchased and subsequently retired 12.6 million and 26.9 million shares, respectively, of our Class A common stock for an aggregate amount of $318.0 million and $688.0 million, respectively. This amount includes the 1% excise tax under the Inflation Reduction Act, as well as repurchase execution costs incurred in connection with our share repurchase program. The pace of our share repurchases may fluctuate due to various circumstances, including market conditions, our stock price, and other strategic investments.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infrastructure equipment to support our user base, our ability to sublease space at office locations where we have unused spaces, the satisfaction of tax withholding obligations for the release of restricted stock units and awards, investments in sales and marketing, the expansion of international operations, the introduction of new product capabilities and enhancement of our platform, the continuing market acceptance of our platform, and the volume, timing, and amount of our share repurchases. In addition, we have and may in the future enter into arrangements to acquire or invest in complementary businesses, services, and technologies, including intellectual property rights. In light of all these circumstances, we may be required to seek additional equity or debt financing, or we may decide to do so opportunistically. In the event that additional financing is required or desired from outside sources, we may not be able to raise it on terms acceptable to us or at all. If we are unable to raise additional capital when desired, our business, results of operations, and financial condition could be materially and adversely affected.</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cash flow activities were as follows for the periods presented:</w:t>
      </w:r>
    </w:p>
    <w:tbl>
      <w:tblPr>
        <w:tblW w:w="7403" w:type="dxa"/>
        <w:jc w:val="left"/>
        <w:tblInd w:w="0" w:type="dxa"/>
        <w:tblLayout w:type="fixed"/>
        <w:tblCellMar>
          <w:top w:w="28" w:type="dxa"/>
          <w:left w:w="28" w:type="dxa"/>
          <w:bottom w:w="28" w:type="dxa"/>
          <w:right w:w="28" w:type="dxa"/>
        </w:tblCellMar>
      </w:tblPr>
      <w:tblGrid>
        <w:gridCol w:w="1840"/>
        <w:gridCol w:w="1620"/>
        <w:gridCol w:w="1624"/>
        <w:gridCol w:w="211"/>
        <w:gridCol w:w="616"/>
        <w:gridCol w:w="109"/>
        <w:gridCol w:w="109"/>
        <w:gridCol w:w="109"/>
        <w:gridCol w:w="109"/>
        <w:gridCol w:w="211"/>
        <w:gridCol w:w="691"/>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as well as the effect of changes in operating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operating activities was $443.0 million, which primarily consisted of our net income of $210.3 million, adjusted for stock-based compensation expense of $148.4 million, depreciation and amortization expenses of $75.5 million, and net cash outflow of $44.4 million from operating assets and liabilities. The outflow from operating assets and liabilities was primarily due to the payment of our 2025 corporate bonus.</w:t>
      </w:r>
    </w:p>
    <w:p>
      <w:pPr>
        <w:pStyle w:val="TextBody"/>
        <w:bidi w:val="0"/>
        <w:spacing w:before="0" w:after="0"/>
        <w:ind w:left="0" w:right="0" w:firstLine="450"/>
        <w:jc w:val="left"/>
        <w:rPr/>
      </w:pPr>
      <w:r>
        <w:rPr/>
      </w:r>
    </w:p>
    <w:p>
      <w:pPr>
        <w:pStyle w:val="TextBody"/>
        <w:bidi w:val="0"/>
        <w:spacing w:lineRule="auto" w:line="26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 of $28.7 million in net cash provided by operating activities during the six months ended June 30, 2026, compared to the six months ended June 30, 2025, was primarily due to a decrease of $74.3 million in cash outflows from changes in operating assets and liabilities, primarily driven by the payments made in the first quarter of 2025 for the third tranche termination fee for the partial termination of our lease for our San Francisco, California corporate headquarters and for payments related to our 2024 reduction in workforce. This was partially offset by a decrease of $45.6 million in net income, as adjusted for stock-based compensation, depreciation and amortization expenses, and other non-cash (gains) losses.</w:t>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is primarily impacted by net investment activity, which includes sales, maturities, and purchases of short-term investments, cash paid for acquisitions, purchases of intangible assets, and for purchasing infrastructure equipment in co-location facilities that we directly lease and operate.</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investing activities was $86.1 million, which primarily related to $89.5 million in net investment activity inflows, driven by maturities of short-term investments, offset by cash paid for capital expenditures of $4.5 million.</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 of $37.9 million in net cash provided by investing activities during the six months ended June 30, 2026, compared to the six months ended June 30, 2025, was primarily due to an increase of $38.5 million in net investment activity inflows and decrease of $8.4 million in cash paid for acquisitions, offset by a decrease of $8.1 million in cash receipts from equipment rebates.</w:t>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is primarily impacted by cash used for repurchases of common stock, tax withholding obligations for the release of RSUs and RSAs, principal payments on finance lease obligations for our infrastructure equipment, principal payments on amounts drawn upon the term loan facility, payments of debt issuance costs and loan commitment fees related to the term loan facility, repayments of convertible senior notes at maturity, and payments of acquisition-related indemnity holdback amounts, offset by proceeds from the term loan facility.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financing activities was $363.8 million, which primarily consisted of $695.8 million for the repayment of convertible senior notes at maturity, $697.1 million for the repurchase of our common stock, $62.9 million for the satisfaction of tax withholding obligations for the release of RSUs and RSAs, $78.7 million in principal payments on finance lease obligations, $13.2 million in payments of debt issuance costs and loan commitment fees under the term loan facility and revolving credit facility, and $13.5 million in principal payments against the term loan facility. These outflows were offset by $1,200.0 million in proceeds from the term loan facility.</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decrease of $702.5 million in net cash used in financing activities during the six months ended June 30, 2026, compared to the six months ended June 30, 2025, was primarily due to an increase of $1,200.0 million in proceeds from the term loan facility and a decrease of $212.0 million in repurchases of our common stock. This was offset by an increase of $695.8 million for the repayment of convertible senior notes at maturity, and an increase of $10.4 million in principal payments on finance lease obligations.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Part II, Item 7, “Critical Accounting Estimates” in our Annual Report on Form 10-K for the year ended December 31, 2025. There have been no material changes to our critical accounting policies and estimates since our Annual Report on Form 10-K for the year ended December 31, 2025.</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1 “Description of the Business and Summary of Significant Accounting Policies” to our condensed consolidated financial statements included elsewhere in this Quarterly Report on Form 10-Q for recently issued accounting pronouncements not yet adopted as of the date of this Quarterly Report on Form 10-Q.</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had cash and cash equivalents of $1,056.2 million and short-term investments of $57.6 million as of June 30, 2026. We hold our cash and cash equivalents and short-term investments for working capital purposes. Our cash, cash equivalents, and short-term investments consist primarily of cash, money market funds, corporate notes and obligations, U.S. Treasury securities, asset-backed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 hypothetical increase in interest rates by 100 basis points would have had an immaterial impact on the market value of our investment portfolio. This estimate is based on a sensitivity model that measures market value changes when changes in interest rates occur.</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term loan facility bear interest, at our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2.75%, margin, or (b) an overnight term SOFR rate (based on one, three or six month interest periods), plus a 3.75% margin. As of June 30, 2026, we had $2,674.8 million outstanding under the term loan facility. </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borrowings under the 2026 Revolving Credit Agreement will bear interest at our option, at either (a) an alternate base rate, which is defined as a fluctuating rate per annum equal to the greatest of (i) the prime rate then in effect, (ii) the greater of the federal funds effective rate or overnight bank funding rate then in effect, plus 0.50% per annum, and (iii) a term SOFR rate determined on the basis of a one-month interest period plus 1.00% per annum, in each case, plus a margin ranging from 2.00% to 2.50% based on our consolidated secured leverage ratio, or (b) a term SOFR rate (based on one, three or six month interest periods), plus a margin ranging from 3.00% to 3.50% based on our consolidated secured leverage ratio</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do not have any other long-term debt or financial liabilities with floating interest rates that would subject us to interest rate fluctuations. For the three and six months ended June 30, 2026, a hypothetical 100 basis point increase or decrease in interest rates would have resulted in a $6.8 million and $11.4 million change, respectively, in interest expense related to the term loan facility.</w:t>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and cash flows are subject to fluctuations due to changes in foreign currency exchange rates relative to U.S. dollars, our reporting currency.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Most of our revenue is generated in U.S. dollars, with the remainder generated in Euros, British pounds sterling, Australian dollars, Canadian dollars, and Japanese yen.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fluctuating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six months ended June 30, 2026, 34%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or losses were immaterial during the six months ended June 30, 2026 and 2025. A hypothetical 10% change in foreign currency rates would not have resulted in material gains or losses for the six months ended June 30, 2026 and 2025.</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date, we have not engaged in any hedging activities. As our international operations grow, we will continue to reassess our approach to managing risks relating to fluctuations in currency rates.</w:t>
      </w:r>
    </w:p>
    <w:p>
      <w:pPr>
        <w:pStyle w:val="TextBody"/>
        <w:bidi w:val="0"/>
        <w:spacing w:before="0" w:after="16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co-principal executive officers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co-principal executive officers and principal financial officer have concluded that as of such date, our disclosure controls and procedures were effective at a reasonable assurance level.</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Inherent Limitations on Effectiveness of Disclosure Controls and Procedures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co-principal executive officers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2022, Entangled Media, LLC filed a patent infringement suit asserting two U.S. patents against Dropbox. The case is currently pending in the Northern District of California (San Jose Division). In August 2025, the court granted-in-part Dropbox’s Motion for Summary Judgment, finding that Dropbox does not infringe one of the asserted patents. One patent remains for trial, which is currently set for September 8, 2026. Dropbox believes it has meritorious defenses and plans to vigorously defend this matter.</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we remain confident in the Company’s defenses to the asserted allegations in this case, it is not possible to determine the ultimate outcome at this time. However, based on the information currently available, the Company does not believe this matter is reasonably likely to have a material adverse effect on its financial position or results of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pStyle w:val="TextBody"/>
        <w:bidi w:val="0"/>
        <w:spacing w:before="0" w:after="0"/>
        <w:jc w:val="center"/>
        <w:rPr/>
      </w:pPr>
      <w:r>
        <w:rPr/>
      </w:r>
    </w:p>
    <w:p>
      <w:pPr>
        <w:pStyle w:val="TextBody"/>
        <w:bidi w:val="0"/>
        <w:spacing w:lineRule="auto" w:line="288" w:before="0" w:after="160"/>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Risks Related to Our Business and Operations </w:t>
      </w:r>
    </w:p>
    <w:p>
      <w:pPr>
        <w:pStyle w:val="TextBody"/>
        <w:bidi w:val="0"/>
        <w:spacing w:lineRule="auto" w:line="288" w:before="0" w:after="1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rate of growth has declined and we have experienced negative growth in past periods. If we do not successfully execute our plan for future growth, our growth rate may continue to decline and we may continue to experience negative growth in future periods.</w:t>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The rate of growth of our business and revenue has declined in recent periods and we have experienced negative growth. If we are unable to execute on our new product initiatives and plans for growth in the future, we may be unable to reverse this trend. Our new product </w:t>
      </w:r>
      <w:r>
        <w:rPr>
          <w:rFonts w:ascii="Times New Roman;serif" w:hAnsi="Times New Roman;serif"/>
          <w:b w:val="false"/>
          <w:color w:val="000000"/>
          <w:sz w:val="20"/>
        </w:rPr>
        <w:t>initiatives, including any AI-based initiatives, are intended to result in growth, but such initiatives require a period of investment and ultimately may not succeed on the timelines we expect or at all. If our new products or product enhancements do not achieve adequate adoption by our customers or do not result in increased paid users or subsequent renewals, our competitive position will be impaired or our anticipated revenue growth may not be achieved. Any additional revenue our new initiatives generate may be insufficient to offset the amounts we have invested or the declining rates of growth in other areas of our business and may harm our profitability.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Efforts to grow and expand our business, including the introduction of new features and products, places a continuous significant strain on our management, operational, and financial resources. As we introduce new products and features, including AI features, our information technology systems, organizational structures, and internal controls and procedures may not be adequate to support our operations, particularly to the extent our user base and third-party relationships expand or change as a result of these new products and features. In addition, our challenges may be heightened in connection with our Virtual First work model, as we engage an increasingly distributed employee base in countries around the world, as well as our focus on aligning our resources to create a nimble and streamlined organization. Issues related to Virtual First have from time-to-time in the past, and may in the future, slow or limit our ability to execute against our product initiatives, impact user experience, and impair growth. Moreover, any increasing complexity of our product offerings could harm our customer experience and negatively impact user retention or the conversion of registered users to paying users.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order to return to growth or reaccelerate our growth, we must effectively allocate our resources and if we invest in future growth, or reduce resources allocated to certain products, functions, or strategies, and fail to achieve our goals our business will be harmed. Our ability to forecast our future results of operations and future growth is subject to a number of risks and uncertainties, including our ability to effectively plan for and model future growth, and we have not always received, and we may not in the future receive, the return we expect on investments that we make in our business in the time we expect or at all. We have encountered in the past, and may encounter in the future, risks and uncertainties frequently experienced by companies in rapidly changing industries. We may need to change our approach with respect to products, functions and strategies, including reducing investment, phasing out certain products or changing the product, marketing or sales approach, such as our announcement regarding FormSwift. If we fail to achieve the necessary level of efficiency in our organization, or our investments do not result in the growth we expect, our business, results of operations, and financial condition could be harmed.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depends on our ability to attract and retain users, convert users to paying users and upgrade paying users, and any decline in acquisitions, renewals or upgrades could adversely affect our future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depends upon our ability to continually add new users and to maintain and expand our relationships with our users. In particular, in order to grow our revenue, we must attract and retain paying users and convert registered users to paying users. Historically, our revenue has been driven by our self-serve model, and we generate more than 90% of our revenue from self-serve channels. Our self-service channel revenue is driven by word-of-mouth referrals, recommendations, and positive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 recognition in the marketplace, among other factors. Any decrease in user satisfaction with our products or support could harm our brand, word-of-mouth referrals, and ability to grow.</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June 30, 2026, we served over 700 million registered users but only 18.19 million paying users. The actual number of unique users is lower than we report as one person may register more than once on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Even if we are able to convert a user to a paying user, or attract paying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have declined and our number of paying users may continue to fluctuate or decline in any period or over time. Paying users may downgrade or not renew their subscriptions because of several factors, such as dissatisfaction with our products, support, pricing, mix of features (including data storage limits), or user experience, a user no longer having a need for our products, as a result of impacts from our decisions regarding marketing spend and investment focus, including changes in our strategy with respect to, or phase-out of, certain products or features, such as our announcement regarding FormSwift, the availability of competitive products, including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focused on increasing recurring revenue and we believe that users that subscribe to our premium paid offerings demonstrate a propensity to retain and expand their deployments over time. If we are unable to increase our paying user growth rates or to offset declines in the number of new paying users with increased revenue per paying user, our revenue and operating results will be adversely affected.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has from time to time negatively impacted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Furthermore, macroeconomic changes or other factors resulting in our customers reducing their number of seat licenses over time, including as a result of increased adoption of AI tools, could negatively impact our business and financial results.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in the past and may continue to experience privacy and data security breaches or incidents.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For example, as previously disclosed in our Form 8-K filed with the Securities and Exchange Commission on May 1, 2024, on April 24, 2024, we became aware of unauthorized access to the Dropbox Sign production environment. We continue to face risks relating to this incident, including harm to our reputation and customer relationships, and ongoing litigation, in the form of a consolidated class action lawsuit that has been filed in federal court in the Northern District of California, and regulatory scrutiny related to this incident, and we may discover other impacts or new related events may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that could affect our business operations, financial condition or results of operations.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Emerging and evolving cybersecurity threats pose significant challenges and involve increasingly sophisticated threat actors, including those leveraging AI and machine learning. Malware, ransomware, viruses, social engineering (such as phishing), denial of service, insider misuse, and other network attacks have become more prevalent, particularly against cloud-based services. Threat actors may use AI or autonomous AI agents to enhance and scale attacks, including generating convincing phishing content, deepfakes, and adaptive malware, making detection and mitigation more difficult.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defenses, including cybersecurity capabilities, and to mitigate the risk of a breach or incident. We also evaluate risks associated with our use of AI, including risks related to data integrity, model security, and potential misuse or manipulation. However, AI technologies may introduce new or amplify existing risks, including unintended system behaviors or exploitation by malicious actors. If we fail to respond appropriately to any identified gaps, threats or vulnerabilities, including by providing sufficient investment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Furthermore, despite our security measures, some contractors and other individuals, whom our intelligence indicates are supported by nation states, have in the past gained, and in the future may gain, access to our systems. This risk may increase when vendors and contractors work remotely, including as part of our Virtual First work model. Additionally, unapproved internal AI product usage or human error in the product development process each have the potential to result in disclosure of user or company content data.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the Dropbox Developer Terms and Conditions, or in the event of a breach or other compromise of their networks or systems, our data or our users' data may be improperly accessed, used, or disclosed.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did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brand, reputation, and ability to attract, retain, and serve our users is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in our own custom-built infrastructure in co-location facilities that we directly lease and operate. As we continue to add, enhance and modify our infrastructure to meet our business needs, we may move or transfer additional content accordingly.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The availability or price of such components may also be impacted by tariffs and global trade policy, including retaliatory actions, affecting such components. Prolonged disruptions at these suppliers could lead to a disruption in our ability to manufacture datacenter equipment on time to meet demand. Furthermore, our competitors use some of the same suppliers and their demand for hardware components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datacenters that we use are vulnerable to damage or interruption from human error, technical defects,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(now part of Salesforce), and Google. On a more limited basis, we compete with Box in the cloud storage market for deployments by large enterprises, as well as in the e-signature market along with Adobe and DocuSign and in the AI content search market along with Glean, Guru and Notion.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user-centric design;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scale of user network;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features and platform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brand recognition and trust;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and privacy;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accessibility across several devices, operating systems, and applications;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third-party integration;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continued innovation;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investments in AI;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trends.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range of products and services than we do. These combinations may make it increasingly difficult for us to compete effectively. We expect these trends to continue as competitors strengthen or maintain their market positions.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Demand for our platform is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Failure to respond to rapid technological changes, including with respect to AI, extend our platform, or develop new features or products may harm our ability to compete effectively, which would adversely affect our business</w:t>
      </w:r>
      <w:r>
        <w:rPr>
          <w:rFonts w:ascii="Times New Roman;serif" w:hAnsi="Times New Roman;serif"/>
          <w:b/>
          <w:i/>
          <w:color w:val="000000"/>
          <w:sz w:val="20"/>
        </w:rPr>
        <w:t xml:space="preserve">.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and strategic shifts that could impact short-term growth or profitability. In particular, we have made, and intend to continue making, significant investments in developing products that will incorporate AI. While we believe that such new products have the potential to drive future growth of our business, the development of such new features will require us to incur significant costs, and may adversely affect our gross margins, and there is no guarantee that these new product offerings will ultimately be adopted by users, achieve product-market fit, result in additional revenue or otherwise generate our desired return on investment. Further, we may need to shift our strategy or strategic direction, such as our announcement regarding FormSwift, modify our products or increase our investment, any of which could require us to incur additional costs or change our expectations for return on investment. Additionally, use of newly-developed AI technology could result in reputational harm, operational risks, or legal liability.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while we believe remote or distributed work will continue to have a significant and long lasting impact on the workforce, and will open up increased market opportunities for us, such as our work on new AI-driven products, such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we operate in a Virtual First work model, which may lead to disruptions and decreased productivity that could result in delays in our product development process as compared to a fully in-office model. We have also in the past experienced delays in our internally planned release dates for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positive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(now part of Salesforce), BetterCloud, Google, IBM, Cisco, VMware, Okta, Symantec, Palo Alto Networks, Zoom, and a variety of other productivity, collaboration, data management, generative AI, and security vendors. We are dependent on the accessibility of 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third-party services, our business may be adversely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generate revenue from sales of subscriptions to our platform, and declines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awareness of the content collaboration category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availability of products and services that compete with ours;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scale, and duration, of trends towards or away from remote or distributed work;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features and platform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brand recognition and trust;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and privacy;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investments in AI;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trends.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depend on the continued service and performance of our key personnel. In particular, our Co-Chief Executive Officers, Andrew W. Houston and Ashraf Alkarmi, as well as other members of our executive leadership team, are important to our vision, strategic direction, culture, and offerings. From time-to-time,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work model gives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work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financial results, and growth prospects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work model.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operate with a Virtual First work model and the long-term impact of this model on our financial results and business operations remains uncertain</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October 2020, we have operated under a Virtual First work model pursuant to which remote work has become the primary experience for all of our employees and we expect our workforce to remain significantly distributed over the long term.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our Virtual First work model has reduced our need for office space relative to our existing lease commitments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business may be significantly impacted by general economic, political, and market conditions, including any resulting effect on consumer or business spending</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fluctuating or uncertain interest rates, unemployment trends, increased tariffs, retaliatory actions, international trade regulations, geopolitical issues, including wars and other armed conflicts, global health epidemics and other highly communicable diseases, bank insolvencies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r>
        <w:rPr>
          <w:rFonts w:ascii="Times New Roman;serif" w:hAnsi="Times New Roman;serif"/>
          <w:b w:val="false"/>
          <w:color w:val="000000"/>
          <w:sz w:val="20"/>
        </w:rPr>
        <w:t>.</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Historically, our business model has been driven by organic adoption and viral growth, with more than </w:t>
      </w:r>
      <w:r>
        <w:rPr>
          <w:rFonts w:ascii="Times New Roman;serif" w:hAnsi="Times New Roman;serif"/>
          <w:b w:val="false"/>
          <w:color w:val="000000"/>
          <w:sz w:val="20"/>
        </w:rPr>
        <w:t>90%</w:t>
      </w:r>
      <w:r>
        <w:rPr>
          <w:color w:val="000000"/>
          <w:shd w:fill="FFFFFF" w:val="clear"/>
        </w:rPr>
        <w:t xml:space="preserve"> </w:t>
      </w:r>
      <w:r>
        <w:rPr>
          <w:rFonts w:ascii="Times New Roman;serif" w:hAnsi="Times New Roman;serif"/>
          <w:b w:val="false"/>
          <w:color w:val="000000"/>
          <w:sz w:val="20"/>
          <w:shd w:fill="FFFFFF" w:val="clear"/>
        </w:rPr>
        <w:t>of our revenue generated from self-serve channels. As a result, we do not have a significant outbound sales force, which has enabled us to be more efficient with our sales and marketing spend.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significant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expand sales to large organizations, which could lengthen sales cycles and result in greater deployment challenges.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epidemics, and other catastrophic events. As a result, sales to large organizations may lead to greater unpredictability in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Any failure to offer high-quality customer support may harm our relationships with our users and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including through the use of third-party customer support partners,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depends on a strong brand, and if we are unable to maintain and enhance our brand, our ability to expand our base of users will be impaired and our business, results of operations, and financial condition will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current operations outside the United States and our efforts to expand, subject us to increased business and economic risks that could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paying users across approximately 180 countries and approximately 44% of our revenue in the year ended December 31, 2025 was generated from paying users outside the United States. We expect to continue to expand our international operations, which may include employees working in new jurisdictions and providing our products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applicable international laws, regulations, and standards including laws and regulations with respect to labor and employment, privacy, data protection, cybersecurity, AI, consumer protection, tax, export control and sanctions, and unsolicited email, and the risk of penalties to our users and individual members of management or employees if our practices are deemed to be out of compliance;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recruiting and retaining talented and capable employees in locations outside the United States, and maintaining our company culture across all of our locations, including in light of our Virtual First work model and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an employee base in jurisdictions that may not give us the same employment and retention flexibility as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in jurisdictions that do not protect intellectual property rights in the same manner or to the same extent as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copyright levies or similar fees imposed by collection agencies in European and other jurisdictions;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social, and economic instability, conflicts, and wars, and their regional and global ramifications;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diplomatic and trade relationships, including the imposition of new trade restrictions, trade protection measures, import or export requirements, trade embargoes and other trade barriers;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double taxation of our international earnings and potentially adverse tax consequences due to changes in the income and other tax laws of the United States or the international jurisdictions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higher costs of doing business internationally, including increased accounting, travel, infrastructure, and legal compliance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natural disasters and public health epidemics on employees, travel and the global economy.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depend on our infrastructure and third-party datacenters, and any disruption in the operation of these facilities or failure to renew the services could adversely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adverse changes in third-party service levels at datacenters or any real or </w:t>
      </w:r>
      <w:r>
        <w:rPr>
          <w:rFonts w:ascii="Times New Roman;serif" w:hAnsi="Times New Roman;serif"/>
          <w:b w:val="false"/>
          <w:color w:val="000000"/>
          <w:sz w:val="20"/>
          <w:shd w:fill="FFFFFF" w:val="clear"/>
        </w:rPr>
        <w:t xml:space="preserve">perceived errors, bugs, defects, disruptions, or other performance problems that adversely impact our platform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 and we may not have adequate recourse, or recourse at all, from the datacenter and service provider, which could further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relationships with third parties to provide, develop, and create applications that integrate with our platform, and our business could be harmed if we are unable to continue these relationships.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depend on our ecosystem of developers to create applications that will integrate with our platform. As of December 31, 2025, Dropbox received over 75 billion API calls per month, and just over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not have the ability to control or prevent these risks. As a result, issues relating to these applications could adversely affect our business, brand, and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use of open source software could negatively affect our ability to offer and sell subscriptions to our platform and subject us to possible litigation.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ability to sell subscriptions to our platform and retain users could be harmed by real or perceived material defects or errors in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cause a reduction in revenue or delay in market acceptance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issue refunds to our users or expose us to claims for damages;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cause us to lose existing users and make it more difficult to attract new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divert our development resources or require us to make extensive changes to our platform, which would increase our expenses;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technical support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harm our reputation and brand.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acquired or invested in, and may in the future acquire or invest in, other businesses, assets, and technologies, which could require significant management attention, disrupt our business operations, cause us to incur debt or dilute stockholder value, and may not be successful.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strategy, we have acquired or invested in, and may in the future acquire or invest in, other companies, employee teams, or technologies to complement or expand our products, obtain personnel, or otherwise complement or grow our business.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pursuit of acquisitions or investments may divert the attention of management and cause us to incur various expenses in identifying, investigating, and pursuing suitable acquisitions, whether or not they are consummated.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do complete acquisitions, we may not ultimately strengthen our competitive position or achieve the anticipated benefits from such acquisitions, due to a number of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acquisition-related costs, liabilities, or tax impacts, some of which may be unanticipated;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utilizing or integrating the acquired intellectual property, technology infrastructure, and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integrating and retaining key employees of acquired businesses and related challenges motivating and retaining our key employees after such acquisition;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ineffective or inadequate, controls, procedures, or policies at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effectively offer, price, and support multiple product lines or services offerings of acquired businesses;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unknown liabilities or risks associated with an acquired business, including those arising from existing contractual obligations, security vulnerabilities, cybersecurity incidents, or litigation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maintain relationships with key customers, suppliers, and partners of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accurately forecast the financial impact of an acquisition transaction, including accounting charges;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challenges integrating accounting, finance and forecasting practices of acquired business within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lack of experience in new markets, products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effectively integrate brand identity of acquired businesses within those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diversion of management's attention from other business concerns;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use of resources that are needed in other parts of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have to pay a substantial portion of our available cash, incur debt, or issue equity securities to pay for any such acquisitions, each of which could affect our financial condition or the value of our capital stock. The issuance of equity consideration or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significant portion of the purchase price of companies we acquire may be allocated to acquired goodwill. We review goodwill for impairment at least annually. If our acquisitions do not yield expected returns, we may be required to record impairment charges based on this assessment, which could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acquisition we complete could be viewed negatively by users, developers, partners, or investors, and could have adverse effects on our existing business relationships, financial condition, or the value of our capital stock. Further, an acquired business may not achieve the returns or strategic benefits we expected and we may have unanticipated expenses, write-offs or charges related to such acquisitions.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current and future indebtedness may limit our operating flexibility or otherwise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current indebtedness, including our 2028 Notes, term loan facility, and revolving credit facility, place significant restrictions on our business and could have important consequences to our stockholders and effects on our business, as could any future indebtedness.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example, the terms of our term loan facility and revolving credit facility contain a number of covenants that limit our ability and our subsidiaries’ ability to, among other things, incur additional indebtedness, create liens, merge or consolidate with other companies, sell substantially all of our assets, pay dividends, make redemptions and repurchases of stock, engage in transactions with affiliates, make investments, loans and acquisitions, and prepay certain indebtedness, in each case subject to qualifications and exceptions.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such current and future indebtedness could: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make it more difficult for us to satisfy our debt obligations, including our term loan facility, revolving credit facility, and the 2028 Notes;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vulnerability to general adverse economic and industry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dedicate a substantial portion of our cash flow from operations to payments on our indebtedness, thereby reducing the availability of our cash flow to fund working capital and other general corporate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flexibility in planning for, or reacting to, changes in our business and the industry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 our current and future operations, make it more difficult to successfully execute our business strategy, or restrict us from exploiting business opportunities;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place us at a competitive disadvantage compared to our competitors that have less indebtedness or are not subject to restrictive covenants;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 or otherwise impact the pace and timing of repurchases under our stock repurchase program; 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availability to borrow additional funds for working capital, capital expenditures, acquisitions, debt service requirements, execution of our business strategy, or other general purposes.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of the foregoing could have a material adverse effect on our business, cash flows,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operations may be interrupted and our business, results of operations, and financial condition could be adversely affected if we default on our leasing or credit obligations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finance a significant portion of our expenditures through leasing arrangements, and we may enter into additional similar arrangements in the future. As of December 31, 2025, we had an aggregate of $1,110.6 million of commitments to settle contractual obligations. In particular, we utilize both finance and operating leases to finance some of our equipment, datacenters and offices. In addition, as of December 31, 2025, we had $1,488.3 million in aggregate principal amount of term loans outstanding under our term loan facility. Our revolving credit facility currently provides $400.0 million of commitments for available revolving loans. As of June 30, 2026, no amounts are outstanding under our revolving credit facility. If we default on these leasing or credit obligations, our leasing partners and lenders may,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repayment of any outstanding lease obligations or loans;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terminate our leasing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terminate our access to the leased datacenters we utilize;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stop delivery of ordered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sell or require us to return our leased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repayment of the outstanding term loans borrowed under our term loan facility or any revolving loans borrowed under our revolving credit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terminate our term loan facility or revolving credit facility and exercise rights and remedies against the collateral securing our term loan facility and revolving credit facility;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pay increased and significant interest, fees, penalties, or damages.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some or all of these events were to occur, our operations may be interrupted and our ability to fund our operations or obligations, as well as our business, results of operations, and financial condition, could be adversely affected. In particular, if the debt under our term loan facility or borrowings under our revolving credit facility, if any,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Our Financial Performance or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increase expenses in the future, and we may not be able to achieve or maintain profitability in future periods.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we strive to grow our business, expenses may increase as we continue to make investments to scale our business, reposition our products, and respond to new technologies; in particular, we are making significant investments in AI technologies and product development. For example, we will need an increasing amount of technical infrastructure, including datacenter capacity, network capacity, computing power and related energy requirements, to continue to satisfy the needs of our user base and support the development and deployment of our products and features, including those involving AI. The costs associated with obtaining, operating, maintaining and expanding this infrastructure, including equipment and energy costs, have increased and may continue to increase, which could adversely affect our gross margin and profitability.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Accordingly, our profitability may fluctuate in certain periods, or we may fail to meet our profitability targets.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in connection with our Virtual First work model,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Virtual First work model. The long-term benefits of our Virtual First work model may not materialize in the way we expect and any savings may not offset these charges and expenses, which would have an adverse impact on our profitability.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Servicing our indebtedness under our term loan facility, revolving credit facility, and 2028 Notes may require a significant amount of cash, and we may not have sufficient cash flow or the ability to raise the funds necessary to satisfy our obligations under our term loan facility, revolving credit facility, or 2028 Notes.</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Times New Roman;serif" w:hAnsi="Times New Roman;serif"/>
          <w:b w:val="false"/>
          <w:color w:val="000000"/>
          <w:sz w:val="20"/>
          <w:shd w:fill="FFFFFF" w:val="clear"/>
        </w:rPr>
        <w:t>Our ability to make scheduled payments of the principal of, to pay interest on or to refinance our indebtedness, including our term loan facility, revolving credit facility, and the 2028 Notes, or to make cash payments in connection with any conversion of the 2028 Notes or upon any fundamental change if holders of the 2028 Notes require us to repurchase their Notes for cash, depends on our future performance, which is subject to economic, financial, competitive and other factors beyond our control. In addition, our term loan facility and revolving credit facility expose us to floating interest rates where changes in benchmark interest rates could negatively impact our borrowing costs.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quarterly results may fluctuate significantly and may not fully reflect the underlying performance of our business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retain and upgrade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new paying users and convert registered to paying users;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expenses and recognition of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amount and timing of operating expenses, including expenses related to the maintenance and expansion of our business, operations, and infrastructure, hiring, and sales and marketing campaigns, as well as entry into or exit of operating and finance leases;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expenses related to acquisitions;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large indemnification payments to our users or other third parties;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pricing policies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success of new product feature and service introductions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network outages or actual or perceived security breaches;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competitive dynamics of our industry, including consolidation among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and regulations that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and market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catastrophic events, including earthquakes, fires, floods, tsunamis, or other weather events, power loss, telecommunications failures, software or hardware malfunctions, cyber-attacks, wars, or terrorist attacks, and pandemics;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reserves or other non-cash credits or charges, such as the impairment charges as a result of changes in the corporate real estate market which impacted our subleasing strategy in conjunction with our Virtual First work model, and changes to deferred tax asset valuation allowances;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other impacts from our Virtual First work model.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Fluctuation in quarterly results may negatively impact the value of our securities.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results of operations may not immediately reflect downturns or upturns in sales because we recognize revenue from our users over the term of their subscriptions with us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results of operations, which are reported in U.S. dollars, could be adversely affected if currency exchange rates fluctuate substantially in the future</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We are exposed to the effects of fluctuations in currency exchange rates within our international operations. This exposure is the result of selling in multiple currencies and operating in foreign countries where the functional currency is the local currency. </w:t>
      </w:r>
      <w:r>
        <w:rPr>
          <w:rFonts w:ascii="Times New Roman;serif" w:hAnsi="Times New Roman;serif"/>
          <w:b w:val="false"/>
          <w:color w:val="000000"/>
          <w:sz w:val="20"/>
        </w:rPr>
        <w:t>In 2025, 27%</w:t>
      </w:r>
      <w:r>
        <w:rPr>
          <w:color w:val="000000"/>
          <w:shd w:fill="FFFFFF" w:val="clear"/>
        </w:rPr>
        <w:t xml:space="preserve"> </w:t>
      </w:r>
      <w:r>
        <w:rPr>
          <w:rFonts w:ascii="Times New Roman;serif" w:hAnsi="Times New Roman;serif"/>
          <w:b w:val="false"/>
          <w:color w:val="000000"/>
          <w:sz w:val="20"/>
          <w:shd w:fill="FFFFFF" w:val="clear"/>
        </w:rPr>
        <w:t xml:space="preserve">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results of operations are primarily subject to fluctuations in the Euro and British pound sterling. Because we conduct business in currencies other than U.S. dollars, but report our results of operations in U.S. dollars, we also face translation exposure due to fluctuations in currency exchange rates, which could hinder our ability to predict our future results and earnings and could materially impact our results of operations. We do not currently maintain a program to hedge exposures to non-U.S. dollar currencies.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convertible note hedge transactions.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pricing of the 2028 Notes, we entered into convertible note hedge transactions with certain financial institutions or affiliates of financial institutions, which we refer to as the “option counterparties,” and we are subject to the risk that one or more of such option counterparties may default on their obligations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ability to use our net operating loss carryforwards and certain other tax attributes may be limited</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we had U.S. federal and state and non-U.S. net operating loss carryforwards and U.S. federal and state and non-U.S.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operating results may be harmed if we are required to collect or pay incremental sales, value-added, or other related indirect taxes for our services or in jurisdictions where we have not historically done so</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results of operations and financial condition could be materially affected by the enactment of legislation implementing changes in the U.S. or non-U.S. taxation of international business activities or the adoption of other tax reform policies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on July 4, 2025, tax legislation commonly known as the One Big Beautiful Bill Act (the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Because states conform to the Code on varying bases, these U.S. federal changes may not be adopted, may be adopted on a delayed basis, or may be selectively decoupled at the state level. In addition, future regulatory or accounting guidance related to OBBBA could further affect the interpretation and application of these rules. As a result, OBBBA may increase compliance complexity and create uncertainty in the application of tax laws,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adversely impact our state tax liabilities, cash taxes, effective tax rate, and tax provision. Further, California has recently amended its sales tax law to subject certain retail sales of digital prewritten software, cloud-based applications, and software services to sales tax in California, effective January 1, 2027, which may increase the cost to our California-based customers of purchasing our products, and similarly may increase the costs to us of purchasing software products we use in our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changes to U.S. or non-U.S. tax laws could increase our liabilities for taxes, interest and penalties, lead to higher effective tax rates, and harm our cash flows,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have publicly disclosed market opportunity estimates, growth forecasts, and key metrics, including the key metrics included in this Quarterly Report on Form 10-Q, as well as in our other public statements, which could prove to be inaccurate, and any real or perceived inaccuracies may harm our reputation and negatively affect our business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170"/>
        <w:jc w:val="center"/>
        <w:rPr>
          <w:rFonts w:ascii="Times New Roman;serif" w:hAnsi="Times New Roman;serif"/>
          <w:b/>
          <w:color w:val="000000"/>
          <w:sz w:val="20"/>
        </w:rPr>
      </w:pPr>
      <w:r>
        <w:rPr>
          <w:rFonts w:ascii="Times New Roman;serif" w:hAnsi="Times New Roman;serif"/>
          <w:b/>
          <w:color w:val="000000"/>
          <w:sz w:val="20"/>
        </w:rPr>
        <w:t>Risks Related to Legal and Regulatory Compliance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compliance with various laws, including those covering copyright, indecent content, child protection, consumer protection, age verification, and similar matters. There have been instances where improper or illegal content has been stored on our platform without our knowledge. As a service provider operating at scale, we do not comprehensively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Moreover, uncertainty in the regulatory landscape relating to AI along with new or enhanced governmental or regulatory scrutiny could negatively impact our business in the U.S. or in other jurisdictions where we operate. For example, the European Union enacted the Artificial Intelligence Act in March 2024 that prohibits certain AI applications and systems and imposes additional requirements on the use of certain applications or systems. Additionally, several U.S. states have proposed, and in certain cases have enacted, legislation covering the deployment and regulation of AI technology, or otherwise imposing obligations in connection with the use of AI.</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are subject to export and import control laws and regulations that could impair our ability to compete in international markets or subject us to liability if we violate such laws and regulations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For example, the U.S. Department of Justice has issued rules regarding certain bulk sensitive personal data transfers.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actual or perceived failure to comply with privacy, data protection, and information security laws, regulations, and obligations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receive, store, process, and use personal information and other user content. Numerous federal, state, local, and international laws and regulations address privacy (including children's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expect that there will continue to be new laws, regulations, and industry standards concerning privacy, data protection, AI, and information security proposed and enacted in various jurisdictions.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DPF also applies to transfers from the UK and Switzerland to the U.S.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2023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and related developments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led numerous other states to propose, and in many cases enact, legislation similar to the CCPA. Other laws relating to privacy and cybersecurity, many of which are similar to the CCPA and CPRA, are being considered by other state legislatures, and certain U.S. states have enacted such legislation, such as Washington’s My Health, My Data Act, which includes a private right of action. The U.S. federal government also is contemplating federal privacy legislation. These developments create the potential for a patchwork of overlapping but different laws throughout the U.S. relating to privacy and cybersecurity.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Further, the EU has enacted or revised numerous regimes relating to cybersecurity. For example, it has revised its Cybersecurity Directive (“NIS2”), with EU member states having been obligated to transpose it into national law by October 17, 2024, but with some member states’ transpositions yet to be finalized. NIS2, among other things, obligates companies to adopt or update policies and procedures on issues such as incident handling and supply chain security, implementing certain administrative measures, and requires top management’s involvement in cybersecurity risk-management measures, with top management potentially held liable for non-compliance. More generally, NIS2 provides for significant penalties for noncompliance, requiring EU member states to provide for a maximum fine level of at least €10,000,000 or 2% of annual turnover, whichever is greater. In addition, the Digital Operational Resiliency Act became effective in January 2025. This law aims to establish a universal framework for managing and mitigating information and communication technology risks that will apply to entities in the financial sector and their third-party cloud service providers.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countries are also considering or have passed legislation implementing data protection requirements or requiring local storage and processing of data, or similar requirements, that could increase the cost and complexity of delivering our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costs of compliance with, and other burdens imposed by, the laws, regulations, and policies that are applicable to the businesses of our users may limit the adoption and use of, and reduce the overall demand for, our services.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adversely impacted by changes in internet access for our users or laws specifically governing the internet.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implement usage-based 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discount pricing for competitive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otherwise materially change their pricing rates or schemes;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charge us to deliver our traffic at certain levels or at all;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throttle traffic based on its source or type;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implement bandwidth caps or other usage restrictions;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otherwise try to monetize or control access to their networks.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currently, and may be in the future, party to intellectual property rights claims and other litigation matters and, if resolved adversely, they could have a significant impact on our business, results of operations, or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a legal proceeding against Entangled Media (the “Entangled Media Litigation”), which has alleged that Dropbox infringes certain of their respective patents. Trial is currently set for September 8, 2026. Any final judgment in the district court may be appealed by either party to the Federal Circuit.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 is not possible presently, with respect to the Entangled Media Litigation, to either (i) determine the final outcome of this matter or (ii) estimate any maximum possible exposure or range of loss. We are also facing litigation arising out of our recent reincorporation from Delaware to Nevada. Regardless of the merit of any such litigation, it may result in additional expenses and distraction for the Company.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failure to protect our intellectual property rights and proprietary information could diminish our brand and other intangible assets.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 xml:space="preserve">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w:t>
      </w:r>
      <w:r>
        <w:rPr>
          <w:rFonts w:ascii="Times New Roman;serif" w:hAnsi="Times New Roman;serif"/>
          <w:b w:val="false"/>
          <w:color w:val="000000"/>
          <w:sz w:val="20"/>
        </w:rPr>
        <w:t>1,900</w:t>
      </w:r>
      <w:r>
        <w:rPr>
          <w:color w:val="000000"/>
          <w:shd w:fill="FFFFFF" w:val="clear"/>
        </w:rPr>
        <w:t xml:space="preserve"> </w:t>
      </w:r>
      <w:r>
        <w:rPr>
          <w:rFonts w:ascii="Times New Roman;serif" w:hAnsi="Times New Roman;serif"/>
          <w:b w:val="false"/>
          <w:color w:val="000000"/>
          <w:sz w:val="20"/>
          <w:shd w:fill="FFFFFF" w:val="clear"/>
        </w:rPr>
        <w:t xml:space="preserve">issued patents and more than </w:t>
      </w:r>
      <w:r>
        <w:rPr>
          <w:rFonts w:ascii="Times New Roman;serif" w:hAnsi="Times New Roman;serif"/>
          <w:b w:val="false"/>
          <w:color w:val="000000"/>
          <w:sz w:val="20"/>
        </w:rPr>
        <w:t>280</w:t>
      </w:r>
      <w:r>
        <w:rPr>
          <w:color w:val="000000"/>
          <w:shd w:fill="FFFFFF" w:val="clear"/>
        </w:rPr>
        <w:t xml:space="preserve"> </w:t>
      </w:r>
      <w:r>
        <w:rPr>
          <w:rFonts w:ascii="Times New Roman;serif" w:hAnsi="Times New Roman;serif"/>
          <w:b w:val="false"/>
          <w:color w:val="000000"/>
          <w:sz w:val="20"/>
          <w:shd w:fill="FFFFFF" w:val="clear"/>
        </w:rPr>
        <w:t>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center"/>
        <w:rPr/>
      </w:pPr>
      <w:r>
        <w:rPr/>
      </w:r>
    </w:p>
    <w:p>
      <w:pPr>
        <w:pStyle w:val="TextBody"/>
        <w:bidi w:val="0"/>
        <w:spacing w:before="0" w:after="0"/>
        <w:ind w:left="0" w:right="0" w:firstLine="360"/>
        <w:jc w:val="center"/>
        <w:rPr/>
      </w:pPr>
      <w:r>
        <w:rPr/>
      </w:r>
    </w:p>
    <w:p>
      <w:pPr>
        <w:pStyle w:val="TextBody"/>
        <w:bidi w:val="0"/>
        <w:spacing w:before="0" w:after="0"/>
        <w:ind w:left="0" w:right="0" w:firstLine="360"/>
        <w:jc w:val="center"/>
        <w:rPr/>
      </w:pPr>
      <w:r>
        <w:rPr/>
      </w:r>
    </w:p>
    <w:p>
      <w:pPr>
        <w:pStyle w:val="TextBody"/>
        <w:bidi w:val="0"/>
        <w:spacing w:before="0" w:after="0"/>
        <w:ind w:left="0" w:right="0" w:firstLine="360"/>
        <w:jc w:val="center"/>
        <w:rPr/>
      </w:pPr>
      <w:r>
        <w:rPr/>
      </w:r>
    </w:p>
    <w:p>
      <w:pPr>
        <w:pStyle w:val="TextBody"/>
        <w:bidi w:val="0"/>
        <w:spacing w:before="0" w:after="0"/>
        <w:ind w:left="0" w:right="0" w:firstLine="360"/>
        <w:jc w:val="center"/>
        <w:rPr/>
      </w:pPr>
      <w:r>
        <w:rPr/>
      </w:r>
    </w:p>
    <w:p>
      <w:pPr>
        <w:pStyle w:val="TextBody"/>
        <w:bidi w:val="0"/>
        <w:spacing w:before="0" w:after="0"/>
        <w:ind w:left="0" w:right="0" w:firstLine="360"/>
        <w:jc w:val="center"/>
        <w:rPr/>
      </w:pPr>
      <w:r>
        <w:rPr/>
      </w:r>
    </w:p>
    <w:p>
      <w:pPr>
        <w:pStyle w:val="TextBody"/>
        <w:bidi w:val="0"/>
        <w:spacing w:before="0" w:after="0"/>
        <w:ind w:left="0" w:right="0" w:firstLine="360"/>
        <w:jc w:val="center"/>
        <w:rPr/>
      </w:pPr>
      <w:r>
        <w:rPr/>
      </w:r>
    </w:p>
    <w:p>
      <w:pPr>
        <w:pStyle w:val="TextBody"/>
        <w:bidi w:val="0"/>
        <w:spacing w:before="0" w:after="0"/>
        <w:ind w:left="0" w:right="0" w:firstLine="360"/>
        <w:jc w:val="center"/>
        <w:rPr/>
      </w:pPr>
      <w:r>
        <w:rPr/>
      </w:r>
    </w:p>
    <w:p>
      <w:pPr>
        <w:pStyle w:val="TextBody"/>
        <w:bidi w:val="0"/>
        <w:spacing w:before="0" w:after="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trading price of our Class A common stock may be volatile, and you could lose all or part of your investment.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may be volatile and could be subject to fluctuations in response to various factors, some of which are beyond our control. Factors that could cause fluctuations in the trading price of our Class A common stock include, but are not limited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time-to-time;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volatility in the trading prices and trading volumes of technology stocks;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sales or announcements of sales of shares of our Class A common stock by us or our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financial projections we may provide to the public, any changes in those projections, or our failure to meet those projections;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by us or our competitors of new products, features, or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changes in our results of operations or fluctuations in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changes in our key metrics;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perceived breaches of, or failures related to, privacy, data protection or data security;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announced or completed transactions, which may include acquisitions of businesses, products, services, or technologies, financing arrangements, or joint ventures or partnerships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significant change in our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inclusion, exclusion, or deletion of our stock from any trading indices;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 and catastrophic events, including earthquakes, fires, floods, tsunamis, or other weather events, power loss, telecommunications failures, software or hardware malfunctions, cyber-attacks, wars or other armed conflicts, terrorist attacks, and pandemics.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the past, following periods of volatility in the overall market and the market price of a particular company’s securities, securities class action litigation has often been instituted against these companies. Any securities litigation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 instituted against us in the future could result in substantial costs and a diversion of our management’s attention and resources.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The multi-class structure of our common stock has the effect of concentrating voting control with those stockholders who held our capital stock prior to the completion of our IPO, and it may depress the trading price of our Class A common stock</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Class A common stock has one vote per share, our Class B common stock has ten votes per share, and our Class C common stock has no voting rights, except as otherwise required by law and subject to any limitations provided in our articles of incorporation. As of June 30, 2026, our directors and executive officers, and their respective affiliates, held in the aggregate 83.3% of the voting power of our capital stock, with Mr. Houston holding approximately 83.3% of the voting power of our capital stock. We are including the Co-Founder Grant (as defined in “Stock-based compensation” included in Part I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or otherwise submitted for stockholder approval. In addition, this may prevent or discourage unsolicited acquisition proposals or offers for our capital stock that other stockholders may feel are in their best interests as one of our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transfers or sales by holders of Class B common stock will generally result in those shares converting to Class A common stock, except for certain transfers described in our articles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articles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because our Class C common stock carries no voting rights (except as otherwise required by law, subject to any limitations provided in our articles of incorporation),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Substantial future sales could depress the market price of our Class A common stock</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relating to our 2028 Notes may dilute the ownership interest of stockholders, or may otherwise depress the price of our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2028 Notes with respect to our conversion obligation in excess of the aggregated principal amount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2028 Notes may engage in short selling to hedge their position in the Notes. Anticipated future issuances of shares of our Class A common stock upon conversion of the 2028 Notes could depress the price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Nevada law and provisions in our articles of incorporation and bylaws, could make a merger, tender offer, or proxy contest difficult, thereby depressing the market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status as a Nevada corporation and the anti-takeover provisions of the Nevada Revised Statutes may discourage, delay, or prevent a change in control by prohibiting or restricting us from engaging in a business combination with an interested stockholder for a period of up to four years after the person becomes an interested stockholder, even if a change of control would be beneficial to our existing stockholders. In addition, our articles of incorporation and bylaws contain provisions that may make the acquisition of our company more difficult,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transaction that would result in a change in control of our company requires the approval of a majority of our outstanding Class B common stock voting as a separate class;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multi-class common stock structure, which provides our holders of Class B common stock with the ability to significantly influence the outcome of matters requiring or otherwise submitted for stockholder approval, even if they own significantly less than a majority of the shares of our outstanding Class A common stock, Class B common stock, and Class C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until the Class B common stock, as a class, converts to Class A common stock, any amendments to our articles of incorporation will require the approval of two-thirds of the combined vote of our then-outstanding shares of Class A common stock and Class B common stock, voting as a single class; and certain amendments to our articles of incorporation will require the approval of a majority of the outstanding shares of Class A common stock and Class B common stock, each voting as a separate class;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following the conversion of our Class B common stock, as a class, to Class A common stock, certain amendments to our articles of incorporation will require the approval of two-thirds of the then outstanding voting power of our stockholders, voting as a single class;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bylaws provide that approval of stockholders holding two-thirds of our outstanding voting power voting as a single class is required for stockholders to amend or adopt any provision of our bylaws;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after the Voting Threshold Date our stockholders will only be able to take action at a meeting of stockholders, and will not be able to take action by written consent for any matter;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until the Voting Threshold Date, our stockholders will be able to act by written consent only if the action is first recommended or approved by the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vacancies on our Board of Directors will be able to be filled only by our Board of Directors and not by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only the chairman of our Board of Directors, our chief executive officer, a majority of our Board of Directors, or, until the Class B common stock, as a class, converts to Class A common stock, stockholders holding thirty percent of the combined voting power of our Class A and Class B common stock are authorized to call a special meeting of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litigation against us may be required to be brought in Nevada;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articles of incorporation authorizes undesignated preferred stock, the terms of which may be established and shares of which may be issued, without the approval of the holders of Class A common stock; 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bylaws designate the Eighth Judicial District Court of the State of Nevada, Clark County,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Nevada Revised Statutes, or the articles of incorporation or the bylaws, or (4) any other action asserting a claim that is governed by the internal affairs doctrine shall be the Eighth Judicial District Court of the State of Nevada, Clark County, Nevada, in all cases subject to the court having jurisdiction over indispensable parties named as defendants.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face relevant litigation and are unable to enforce these provisions, we may incur additional costs associated with resolving the dispute in other jurisdictions, which could harm our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cannot guarantee that our stock repurchase program will be fully implemented or that it will enhance long-term stockholder value.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We initially implemented a stock repurchase program in 2020. In August 2025, the Board of Directors authorized the repurchase of up to an additional </w:t>
      </w:r>
      <w:r>
        <w:rPr>
          <w:rFonts w:ascii="Times New Roman;serif" w:hAnsi="Times New Roman;serif"/>
          <w:b w:val="false"/>
          <w:color w:val="000000"/>
          <w:sz w:val="20"/>
        </w:rPr>
        <w:t xml:space="preserve">$1.5 billion </w:t>
      </w:r>
      <w:r>
        <w:rPr>
          <w:rFonts w:ascii="Times New Roman;serif" w:hAnsi="Times New Roman;serif"/>
          <w:b w:val="false"/>
          <w:color w:val="000000"/>
          <w:sz w:val="20"/>
          <w:shd w:fill="FFFFFF" w:val="clear"/>
        </w:rPr>
        <w:t xml:space="preserve">of the outstanding shares of our Class A common stock and in June 2026, the Board of Directors authorized the repurchase of up to an additional </w:t>
      </w:r>
      <w:r>
        <w:rPr>
          <w:rFonts w:ascii="Times New Roman;serif" w:hAnsi="Times New Roman;serif"/>
          <w:b w:val="false"/>
          <w:color w:val="000000"/>
          <w:sz w:val="20"/>
        </w:rPr>
        <w:t>$900.0 million</w:t>
      </w:r>
      <w:r>
        <w:rPr>
          <w:color w:val="000000"/>
          <w:shd w:fill="FFFFFF" w:val="clear"/>
        </w:rPr>
        <w:t xml:space="preserve"> </w:t>
      </w:r>
      <w:r>
        <w:rPr>
          <w:rFonts w:ascii="Times New Roman;serif" w:hAnsi="Times New Roman;serif"/>
          <w:b w:val="false"/>
          <w:color w:val="000000"/>
          <w:sz w:val="20"/>
          <w:shd w:fill="FFFFFF" w:val="clear"/>
        </w:rPr>
        <w:t xml:space="preserve">of the outstanding shares of our Class A common stock.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we have repurchased approximately</w:t>
      </w:r>
      <w:r>
        <w:rPr>
          <w:color w:val="000000"/>
        </w:rPr>
        <w:t xml:space="preserve"> </w:t>
      </w:r>
      <w:r>
        <w:rPr>
          <w:rFonts w:ascii="Times New Roman;serif" w:hAnsi="Times New Roman;serif"/>
          <w:b w:val="false"/>
          <w:color w:val="000000"/>
          <w:sz w:val="20"/>
        </w:rPr>
        <w:t>$6.4 billion of outstanding shares of</w:t>
      </w:r>
      <w:r>
        <w:rPr>
          <w:color w:val="000000"/>
          <w:shd w:fill="FFFFFF" w:val="clear"/>
        </w:rPr>
        <w:t xml:space="preserve"> </w:t>
      </w:r>
      <w:r>
        <w:rPr>
          <w:rFonts w:ascii="Times New Roman;serif" w:hAnsi="Times New Roman;serif"/>
          <w:b w:val="false"/>
          <w:color w:val="000000"/>
          <w:sz w:val="20"/>
          <w:shd w:fill="FFFFFF" w:val="clear"/>
        </w:rPr>
        <w:t>our Class A common stock, including under prior authorizations. The repurchase program does not have an expiration date and we are not obligated to repurchase a specified number or dollar value of shares. Share repurchases are made from time-to-time in private transactions or open market purchases, as permitted by securities laws and other legal requirements. Any future share repurchases remain subject to the circumstances in place at that time, including prevailing market prices. As a result, the timing and the volume of our share repurchases may fluctuate. In addition, the United States has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the pace or frequency of our repurchases may fluctuate or change, and our Board of Directors may not authorize additional amounts for repurchase in the future. Even if the current or future stock repurchase programs are fully implemented, such programs may not enhance long-term stockholder value.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do not intend to pay dividends or other distributions for the foreseeable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never declared nor paid cash dividends on our capital stock. We currently intend to retain any future earnings to finance the operation and expansion of our business and fund our stock repurchase program, and we do not expect to declare or pay any dividends or other distributions in the foreseeable future. As a result, stockholders must rely on sales of their Class A common stock after price appreciation as the only way to realize any future gains on their investment. In addition, our term loan facility and revolving credit facility contain restrictions on our ability to pay dividends.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center"/>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disrupted by catastrophic events.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Occurrence of any catastrophic event, including earthquake, fire, flood, tsunami, or other weather event, power loss, telecommunications failure, software or hardware malfunctions, cyber-attacks, wars, or terrorist attacks,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our U.S. headquarters is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have exposure to greater than anticipated tax liabilities, which could adversely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subject to income and other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routinely under audit by U.S. federal, state, and local and non-US tax authorities. These audits include questioning the timing and the amount of income and deductions and the allocation of income and deductions among various tax jurisdictions. We believe our tax estimates are reasonable; however, tax authorities may disagree with tax positions we take and if any such tax authority were to successfully challenge any such position, our financial results and operations could be materially and adversely affected. The Internal Revenue Service (IRS) is currently examining our consolidated U.S. federal income tax returns for the periods ending December 31, 2022 through December 31, 2024. We may also be subject to additional tax liabilities due to changes in non-income-based taxes resulting from changes in U.S. federal or state or non-U.S. tax laws, including the implementation of digital services or other similar taxes or taxes imposed in retaliation for any tariffs in the United States,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Furthermore, the loss of expertise and institutional knowledge of employees may negatively impact our ability to maintain adequate controls and procedures.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reported results of operations may be adversely affected by changes in accounting principles generally accepted in the United States.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need additional capital, and we cannot be certain that additional financing will be available on favorable terms,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Historically, we have funded our operations and capital expenditures primarily through equity issuances, cash generated from our operations, and debt financing. Although we currently anticipate that our existing cash, cash equivalents and short-term investments, amounts available under our existing term loan facility and revolving credit facility,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fluctuating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maintain coverage of us, or if one or more of these analysts cease coverage of us or fail to publish reports on us regularly, demand for our securities could decrease, which could cause the price and trading volume of our Class A common stock to decline.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with respect to Dropbox's repurchases of Class A common stock during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quarter ended June 30, 2026. </w:t>
      </w:r>
    </w:p>
    <w:tbl>
      <w:tblPr>
        <w:tblW w:w="10205" w:type="dxa"/>
        <w:jc w:val="center"/>
        <w:tblInd w:w="0" w:type="dxa"/>
        <w:tblLayout w:type="fixed"/>
        <w:tblCellMar>
          <w:top w:w="28" w:type="dxa"/>
          <w:left w:w="28" w:type="dxa"/>
          <w:bottom w:w="28" w:type="dxa"/>
          <w:right w:w="28" w:type="dxa"/>
        </w:tblCellMar>
      </w:tblPr>
      <w:tblGrid>
        <w:gridCol w:w="259"/>
        <w:gridCol w:w="227"/>
        <w:gridCol w:w="229"/>
        <w:gridCol w:w="109"/>
        <w:gridCol w:w="109"/>
        <w:gridCol w:w="109"/>
        <w:gridCol w:w="543"/>
        <w:gridCol w:w="543"/>
        <w:gridCol w:w="545"/>
        <w:gridCol w:w="109"/>
        <w:gridCol w:w="109"/>
        <w:gridCol w:w="109"/>
        <w:gridCol w:w="299"/>
        <w:gridCol w:w="875"/>
        <w:gridCol w:w="154"/>
        <w:gridCol w:w="109"/>
        <w:gridCol w:w="109"/>
        <w:gridCol w:w="109"/>
        <w:gridCol w:w="741"/>
        <w:gridCol w:w="741"/>
        <w:gridCol w:w="744"/>
        <w:gridCol w:w="109"/>
        <w:gridCol w:w="109"/>
        <w:gridCol w:w="109"/>
        <w:gridCol w:w="510"/>
        <w:gridCol w:w="2107"/>
        <w:gridCol w:w="380"/>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Total Number of Shares Purchased (in millions)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Average Price Paid per Share</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 as Part of Publicly Announced Programs</w:t>
            </w:r>
          </w:p>
          <w:p>
            <w:pPr>
              <w:pStyle w:val="TableContents"/>
              <w:bidi w:val="0"/>
              <w:spacing w:lineRule="auto" w:line="240" w:before="0" w:after="0"/>
              <w:jc w:val="center"/>
              <w:rPr/>
            </w:pPr>
            <w:r>
              <w:rPr>
                <w:rFonts w:ascii="Times New Roman;serif" w:hAnsi="Times New Roman;serif"/>
                <w:b w:val="false"/>
                <w:color w:val="000000"/>
                <w:sz w:val="18"/>
              </w:rPr>
              <w:t>(in millions)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Approximate Dollar Value of Shares that May Yet Be Purchased Under Publicly Announced Programs</w:t>
            </w:r>
          </w:p>
          <w:p>
            <w:pPr>
              <w:pStyle w:val="TableContents"/>
              <w:bidi w:val="0"/>
              <w:spacing w:lineRule="auto" w:line="240" w:before="0" w:after="0"/>
              <w:jc w:val="center"/>
              <w:rPr/>
            </w:pPr>
            <w:r>
              <w:rPr>
                <w:rFonts w:ascii="Times New Roman;serif" w:hAnsi="Times New Roman;serif"/>
                <w:b w:val="false"/>
                <w:color w:val="000000"/>
                <w:sz w:val="18"/>
              </w:rPr>
              <w:t>(in millions)</w:t>
            </w:r>
            <w:r>
              <w:rPr>
                <w:rFonts w:ascii="Times New Roman;serif" w:hAnsi="Times New Roman;serif"/>
                <w:b w:val="false"/>
                <w:color w:val="000000"/>
                <w:sz w:val="12"/>
              </w:rPr>
              <w:t>(1)</w:t>
            </w:r>
          </w:p>
        </w:tc>
      </w:tr>
      <w:tr>
        <w:trPr/>
        <w:tc>
          <w:tcPr>
            <w:tcW w:w="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679.83 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591.59 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1,385.13 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The Board of Directors has authorized a share repurchase program for the repurchase of shares of our Class A common stock. As of June 30, 2026, $1.4 billion remained available for repurchases, including an increase of $900.0 million authorized by the Board of Directors in June 2026. Under the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programs do not have an expiration date. See Note 11 "Stockholders' Deficit" to our condensed consolidated financial statements included elsewhere in this Quarterly Report on Form 10-Q.</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18"/>
        </w:rPr>
        <w:t>Average price paid per share includes costs associated with the repurchases, excluding the 1% excise tax imposed as part of the Inflation Reduction Act.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our last fiscal quarter, the following directors and officers, as defined in Rule 16a-1(f), adopted a “Rule 10b5-1 trading arrangement” as defined in Regulation S-K Item 408, as follows: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4, 2026, Ali Dasdan, our Chief Technology Officer, adopted a Rule 10b5-1 trading arrangement providing for the sale from time-to-time of an aggregate of up to 129,680 shares of our Class A common stock, although we expect the total number of such shares sold will ultimately be less than this amount due to withholding for applicable taxes. The trading arrangement is intended to satisfy the affirmative defense in Rule 10b5-1(c). The duration of the trading arrangement is until August 31, 2027, or earlier if all transactions under the trading arrangement are completed.</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4, 2026, Sarah Schubach, our Chief Accounting Officer, adopted a Rule 10b5-1 trading arrangement providing for the sale from time-to-time of an aggregate of up to 53,085 shares of our Class A common stock, although we expect the total number of such shares sold will ultimately be less than this amount due to withholding for applicable taxes. The trading arrangement is intended to satisfy the affirmative defense in Rule 10b5-1(c). The duration of the trading arrangement is until September 3, 2027, or earlier if all transactions under the trading arrangement are completed.</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5, 2026, Lisa Campbell, a member of our Board of Directors, adopted a Rule 10b5-1 trading arrangement providing for the sale from time-to-time of an aggregate of up to 9,134 shares of our Class A common stock. The trading arrangement is intended to satisfy the affirmative defense in Rule 10b5-1(c). The duration of the trading arrangement is until May 31, 2027, or earlier if all transactions under the trading arrangement are completed.</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5, 2026, Will Yoon, our Chief Legal Officer, adopted a Rule 10b5-1 trading arrangement providing for the sale from time-to-time of an aggregate of up to 50,012 shares of our Class A common stock, although we expect the total number of such shares sold will ultimately be less than this amount due to withholding for applicable taxes. The trading arrangement is intended to satisfy the affirmative defense in Rule 10b5-1(c). The duration of the trading arrangement is until December 31, 2026, or earlier if all transactions under the trading arrangement are completed.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11, 2026, Ross Tennenbaum, our Chief Financial Officer, adopted a Rule 10b5-1 trading arrangement providing for the sale from time-to-time of an aggregate of up to 270,589 shares of our Class A common stock, although we expect the total number of such shares sold will ultimately be less than this amount due to withholding for applicable taxes. The trading arrangement is intended to satisfy the affirmative defense in Rule 10b5-1(c). The duration of the trading arrangement is until May 31, 2027, or earlier if all transactions under the trading arrangement are completed.</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11, 2026, Drew Houston, our Co-Chief Executive Officer and chair of our Board of Directors, adopted a Rule 10b5-1 trading arrangement providing for the sale from time-to-time of an aggregate of up to 8,266,666 shares of our Class A common stock and up to 4,605,600 shares of our Class B common stock. The trading arrangement is intended to satisfy the affirmative defense in Rule 10b5-1(c). The duration of the trading arrangement is until October 31, 2027, or earlier if all transactions under the trading arrangement are completed.</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12, 2026, Ashraf Alkarmi, our Co-Chief Executive Officer, adopted a Rule 10b5-1 trading arrangement providing for the sale from time-to-time of an aggregate of up to 211,617 shares of our Class A common stock, although we expect the total number of such shares sold will ultimately be less than this amount due to withholding for applicable taxes. The trading arrangement is intended to satisfy the affirmative defense in Rule 10b5-1(c). The duration of the trading arrangement is until November 30, 2027, or earlier if all transactions under the trading arrangement are completed.</w:t>
      </w:r>
    </w:p>
    <w:p>
      <w:pPr>
        <w:pStyle w:val="TextBody"/>
        <w:bidi w:val="0"/>
        <w:spacing w:before="0" w:after="0"/>
        <w:ind w:left="0" w:right="0" w:firstLine="45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filed the exhibits listed on the accompanying Exhibit Index,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47"/>
        <w:gridCol w:w="1526"/>
        <w:gridCol w:w="1543"/>
        <w:gridCol w:w="109"/>
        <w:gridCol w:w="109"/>
        <w:gridCol w:w="109"/>
        <w:gridCol w:w="170"/>
        <w:gridCol w:w="170"/>
        <w:gridCol w:w="171"/>
        <w:gridCol w:w="109"/>
        <w:gridCol w:w="109"/>
        <w:gridCol w:w="109"/>
        <w:gridCol w:w="240"/>
        <w:gridCol w:w="240"/>
        <w:gridCol w:w="241"/>
        <w:gridCol w:w="109"/>
        <w:gridCol w:w="109"/>
        <w:gridCol w:w="109"/>
        <w:gridCol w:w="442"/>
        <w:gridCol w:w="442"/>
        <w:gridCol w:w="443"/>
        <w:gridCol w:w="109"/>
        <w:gridCol w:w="109"/>
        <w:gridCol w:w="109"/>
        <w:gridCol w:w="170"/>
        <w:gridCol w:w="170"/>
        <w:gridCol w:w="24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 from 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with SEC</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6"/>
                  <w:u w:val="single"/>
                </w:rPr>
                <w:t>Amended and Restated Articles of Incorporation of the Registrant</w:t>
              </w:r>
            </w:hyperlink>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 26,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q226.htm">
              <w:r>
                <w:rPr>
                  <w:rStyle w:val="InternetLink"/>
                  <w:rFonts w:ascii="Times New Roman;serif" w:hAnsi="Times New Roman;serif"/>
                  <w:b w:val="false"/>
                  <w:color w:val="0000FF"/>
                  <w:sz w:val="16"/>
                  <w:u w:val="single"/>
                </w:rPr>
                <w:t>Amended Employment Letter between the Registrant and Ashraf Alkarmi.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q226.htm">
              <w:r>
                <w:rPr>
                  <w:rStyle w:val="InternetLink"/>
                  <w:rFonts w:ascii="Times New Roman;serif" w:hAnsi="Times New Roman;serif"/>
                  <w:b w:val="false"/>
                  <w:color w:val="0000FF"/>
                  <w:sz w:val="16"/>
                  <w:u w:val="single"/>
                </w:rPr>
                <w:t>Change in Control and Severance Agreement between the Registrant and Ashraf Alkarmi.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q226.htm">
              <w:r>
                <w:rPr>
                  <w:rStyle w:val="InternetLink"/>
                  <w:rFonts w:ascii="Times New Roman;serif" w:hAnsi="Times New Roman;serif"/>
                  <w:b w:val="false"/>
                  <w:color w:val="0000FF"/>
                  <w:sz w:val="16"/>
                  <w:u w:val="single"/>
                </w:rPr>
                <w:t>Offer Letter between the Registrant and Mike Torres.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6"/>
                  <w:u w:val="single"/>
                </w:rPr>
                <w:t>Revolving Credit and Guaranty Agreement, dated as of June 1, 2026, by and among the Company, the guarantors party thereto, the lenders and issuing banks party thereto and JPMorgan Chase Bank, N.A., as the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1,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6"/>
                  <w:u w:val="single"/>
                </w:rPr>
                <w:t>Amendment No. 2 to Credit and Guaranty Agreement, dated as of June 1, 2026, by and among the Company, the guarantors party thereto, the lenders party thereto and the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1,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6.htm">
              <w:r>
                <w:rPr>
                  <w:rStyle w:val="InternetLink"/>
                  <w:rFonts w:ascii="Times New Roman;serif" w:hAnsi="Times New Roman;serif"/>
                  <w:b w:val="false"/>
                  <w:color w:val="000080"/>
                  <w:sz w:val="16"/>
                  <w:u w:val="single"/>
                </w:rPr>
                <w:t xml:space="preserve">Certification of </w:t>
              </w:r>
            </w:hyperlink>
            <w:hyperlink w:anchor="exhibit311-q226.htm">
              <w:r>
                <w:rPr>
                  <w:rStyle w:val="InternetLink"/>
                  <w:rFonts w:ascii="Times New Roman;serif" w:hAnsi="Times New Roman;serif"/>
                  <w:b w:val="false"/>
                  <w:color w:val="000080"/>
                  <w:sz w:val="16"/>
                  <w:u w:val="single"/>
                </w:rPr>
                <w:t>Co-</w:t>
              </w:r>
            </w:hyperlink>
            <w:hyperlink w:anchor="exhibit311-q226.htm">
              <w:r>
                <w:rPr>
                  <w:rStyle w:val="InternetLink"/>
                  <w:rFonts w:ascii="Times New Roman;serif" w:hAnsi="Times New Roman;serif"/>
                  <w:b w:val="false"/>
                  <w:color w:val="000080"/>
                  <w:sz w:val="16"/>
                  <w:u w:val="single"/>
                </w:rPr>
                <w:t>Principal Executive Officer</w:t>
              </w:r>
            </w:hyperlink>
            <w:hyperlink w:anchor="exhibit311-q226.htm">
              <w:r>
                <w:rPr>
                  <w:rStyle w:val="InternetLink"/>
                  <w:rFonts w:ascii="Times New Roman;serif" w:hAnsi="Times New Roman;serif"/>
                  <w:b w:val="false"/>
                  <w:color w:val="000080"/>
                  <w:sz w:val="16"/>
                  <w:u w:val="single"/>
                </w:rPr>
                <w:t>,</w:t>
              </w:r>
            </w:hyperlink>
            <w:hyperlink w:anchor="exhibit311-q226.htm">
              <w:r>
                <w:rPr>
                  <w:rStyle w:val="InternetLink"/>
                  <w:rFonts w:ascii="Times New Roman;serif" w:hAnsi="Times New Roman;serif"/>
                  <w:b w:val="false"/>
                  <w:color w:val="000080"/>
                  <w:sz w:val="16"/>
                  <w:u w:val="single"/>
                </w:rPr>
                <w:t xml:space="preserve"> </w:t>
              </w:r>
            </w:hyperlink>
            <w:hyperlink w:anchor="exhibit311-q226.htm">
              <w:r>
                <w:rPr>
                  <w:rStyle w:val="InternetLink"/>
                  <w:rFonts w:ascii="Times New Roman;serif" w:hAnsi="Times New Roman;serif"/>
                  <w:b w:val="false"/>
                  <w:color w:val="000080"/>
                  <w:sz w:val="16"/>
                  <w:u w:val="single"/>
                </w:rPr>
                <w:t xml:space="preserve">Andrew W. Houston, </w:t>
              </w:r>
            </w:hyperlink>
            <w:hyperlink w:anchor="exhibit311-q226.htm">
              <w:r>
                <w:rPr>
                  <w:rStyle w:val="InternetLink"/>
                  <w:rFonts w:ascii="Times New Roman;serif" w:hAnsi="Times New Roman;serif"/>
                  <w:b w:val="false"/>
                  <w:color w:val="000080"/>
                  <w:sz w:val="16"/>
                  <w:u w:val="single"/>
                </w:rPr>
                <w:t>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6.htm">
              <w:r>
                <w:rPr>
                  <w:rStyle w:val="InternetLink"/>
                  <w:rFonts w:ascii="Times New Roman;serif" w:hAnsi="Times New Roman;serif"/>
                  <w:b w:val="false"/>
                  <w:color w:val="0000FF"/>
                  <w:sz w:val="16"/>
                  <w:u w:val="single"/>
                </w:rPr>
                <w:t>Certification of Co-Principal Executive Officer, Ashraf Alkarmi,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3-q226.htm">
              <w:r>
                <w:rPr>
                  <w:rStyle w:val="InternetLink"/>
                  <w:rFonts w:ascii="Times New Roman;serif" w:hAnsi="Times New Roman;serif"/>
                  <w:b w:val="false"/>
                  <w:color w:val="000080"/>
                  <w:sz w:val="16"/>
                  <w:u w:val="single"/>
                </w:rPr>
                <w:t>Certification of Principal Financial Officer</w:t>
              </w:r>
            </w:hyperlink>
            <w:hyperlink w:anchor="exhibit313-q226.htm">
              <w:r>
                <w:rPr>
                  <w:rStyle w:val="InternetLink"/>
                  <w:rFonts w:ascii="Times New Roman;serif" w:hAnsi="Times New Roman;serif"/>
                  <w:b w:val="false"/>
                  <w:color w:val="000080"/>
                  <w:sz w:val="16"/>
                  <w:u w:val="single"/>
                </w:rPr>
                <w:t>, Ross Tenn</w:t>
              </w:r>
            </w:hyperlink>
            <w:hyperlink w:anchor="exhibit313-q226.htm">
              <w:r>
                <w:rPr>
                  <w:rStyle w:val="InternetLink"/>
                  <w:rFonts w:ascii="Times New Roman;serif" w:hAnsi="Times New Roman;serif"/>
                  <w:b w:val="false"/>
                  <w:color w:val="000080"/>
                  <w:sz w:val="16"/>
                  <w:u w:val="single"/>
                </w:rPr>
                <w:t>enbaum,</w:t>
              </w:r>
            </w:hyperlink>
            <w:hyperlink w:anchor="exhibit313-q226.htm">
              <w:r>
                <w:rPr>
                  <w:rStyle w:val="InternetLink"/>
                  <w:rFonts w:ascii="Times New Roman;serif" w:hAnsi="Times New Roman;serif"/>
                  <w:b w:val="false"/>
                  <w:color w:val="000080"/>
                  <w:sz w:val="16"/>
                  <w:u w:val="single"/>
                </w:rPr>
                <w:t xml:space="preserve">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6.htm">
              <w:r>
                <w:rPr>
                  <w:rStyle w:val="InternetLink"/>
                  <w:rFonts w:ascii="Times New Roman;serif" w:hAnsi="Times New Roman;serif"/>
                  <w:b w:val="false"/>
                  <w:color w:val="000080"/>
                  <w:sz w:val="16"/>
                  <w:u w:val="single"/>
                </w:rPr>
                <w:t xml:space="preserve">Certifications of </w:t>
              </w:r>
            </w:hyperlink>
            <w:hyperlink w:anchor="exhibit321-q226.htm">
              <w:r>
                <w:rPr>
                  <w:rStyle w:val="InternetLink"/>
                  <w:rFonts w:ascii="Times New Roman;serif" w:hAnsi="Times New Roman;serif"/>
                  <w:b w:val="false"/>
                  <w:color w:val="000080"/>
                  <w:sz w:val="16"/>
                  <w:u w:val="single"/>
                </w:rPr>
                <w:t>Co-</w:t>
              </w:r>
            </w:hyperlink>
            <w:hyperlink w:anchor="exhibit321-q226.htm">
              <w:r>
                <w:rPr>
                  <w:rStyle w:val="InternetLink"/>
                  <w:rFonts w:ascii="Times New Roman;serif" w:hAnsi="Times New Roman;serif"/>
                  <w:b w:val="false"/>
                  <w:color w:val="000080"/>
                  <w:sz w:val="16"/>
                  <w:u w:val="single"/>
                </w:rPr>
                <w:t>Principal Executive Officer</w:t>
              </w:r>
            </w:hyperlink>
            <w:hyperlink w:anchor="exhibit321-q226.htm">
              <w:r>
                <w:rPr>
                  <w:rStyle w:val="InternetLink"/>
                  <w:rFonts w:ascii="Times New Roman;serif" w:hAnsi="Times New Roman;serif"/>
                  <w:b w:val="false"/>
                  <w:color w:val="000080"/>
                  <w:sz w:val="16"/>
                  <w:u w:val="single"/>
                </w:rPr>
                <w:t>s</w:t>
              </w:r>
            </w:hyperlink>
            <w:hyperlink w:anchor="exhibit321-q226.htm">
              <w:r>
                <w:rPr>
                  <w:rStyle w:val="InternetLink"/>
                  <w:rFonts w:ascii="Times New Roman;serif" w:hAnsi="Times New Roman;serif"/>
                  <w:b w:val="false"/>
                  <w:color w:val="000080"/>
                  <w:sz w:val="16"/>
                  <w:u w:val="single"/>
                </w:rPr>
                <w:t xml:space="preserve">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The following financial statements from the Company's Quarterly Report on Form 10-Q for the quarter ended June 30, 2026,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47" w:before="0" w:after="0"/>
        <w:jc w:val="left"/>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6"/>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694c4f15a60945fab06714dcff9d71cd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71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67"/>
        <w:gridCol w:w="167"/>
        <w:gridCol w:w="167"/>
        <w:gridCol w:w="167"/>
        <w:gridCol w:w="167"/>
        <w:gridCol w:w="167"/>
        <w:gridCol w:w="803"/>
        <w:gridCol w:w="803"/>
        <w:gridCol w:w="119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DROPBOX,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W. Houston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W. Houston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(Co-Principal Executive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439"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09"/>
        <w:gridCol w:w="109"/>
        <w:gridCol w:w="109"/>
        <w:gridCol w:w="819"/>
        <w:gridCol w:w="819"/>
        <w:gridCol w:w="11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Ashraf Alkarmi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Ashraf Alkarmi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(Co-Principal Executive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154"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09"/>
        <w:gridCol w:w="109"/>
        <w:gridCol w:w="109"/>
        <w:gridCol w:w="737"/>
        <w:gridCol w:w="737"/>
        <w:gridCol w:w="10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Ross Tennenbaum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Ross Tennenbaum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145"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 21, 2026</w:t>
      </w:r>
    </w:p>
    <w:p>
      <w:pPr>
        <w:pStyle w:val="TextBody"/>
        <w:bidi w:val="0"/>
        <w:spacing w:before="244"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 Amended Employment Letter</w:t>
      </w:r>
    </w:p>
    <w:p>
      <w:pPr>
        <w:pStyle w:val="TextBody"/>
        <w:bidi w:val="0"/>
        <w:spacing w:lineRule="auto" w:line="288" w:before="274"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Ashraf Alkarmi </w:t>
      </w:r>
    </w:p>
    <w:p>
      <w:pPr>
        <w:pStyle w:val="TextBody"/>
        <w:bidi w:val="0"/>
        <w:spacing w:before="2"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Dear Ashraf,</w:t>
      </w:r>
    </w:p>
    <w:p>
      <w:pPr>
        <w:pStyle w:val="TextBody"/>
        <w:bidi w:val="0"/>
        <w:spacing w:lineRule="auto" w:line="288" w:before="274" w:after="283"/>
        <w:ind w:left="0" w:right="0" w:firstLine="506"/>
        <w:jc w:val="both"/>
        <w:rPr>
          <w:rFonts w:ascii="Times New Roman;serif" w:hAnsi="Times New Roman;serif"/>
          <w:b w:val="false"/>
          <w:color w:val="000000"/>
          <w:sz w:val="24"/>
        </w:rPr>
      </w:pPr>
      <w:r>
        <w:rPr>
          <w:rFonts w:ascii="Times New Roman;serif" w:hAnsi="Times New Roman;serif"/>
          <w:b w:val="false"/>
          <w:color w:val="000000"/>
          <w:sz w:val="24"/>
        </w:rPr>
        <w:t>On behalf of Dropbox Inc. (“Dropbox”), this letter (the “Agreement”) confirms the details of your new role as Co-Chief Executive Officer, effective May 26, 2026, reporting to Dropbox’s Board of Directors (the “Board”) and based in Seattle, Washington. In this role, you will perform the duties and responsibilities assigned to you by the Board. Effective May 26, 2026, the Board will appoint you as a Director of the Company.</w:t>
      </w:r>
    </w:p>
    <w:p>
      <w:pPr>
        <w:pStyle w:val="TextBody"/>
        <w:bidi w:val="0"/>
        <w:spacing w:lineRule="auto" w:line="288" w:before="275" w:after="283"/>
        <w:jc w:val="left"/>
        <w:rPr>
          <w:rFonts w:ascii="Times New Roman;serif" w:hAnsi="Times New Roman;serif"/>
          <w:b w:val="false"/>
          <w:color w:val="000000"/>
          <w:sz w:val="24"/>
        </w:rPr>
      </w:pPr>
      <w:r>
        <w:rPr>
          <w:rFonts w:ascii="Times New Roman;serif" w:hAnsi="Times New Roman;serif"/>
          <w:b w:val="false"/>
          <w:color w:val="000000"/>
          <w:sz w:val="24"/>
        </w:rPr>
        <w:t>The following changes will be effective June 1, 2026:</w:t>
      </w:r>
    </w:p>
    <w:p>
      <w:pPr>
        <w:pStyle w:val="TextBody"/>
        <w:bidi w:val="0"/>
        <w:spacing w:lineRule="auto" w:line="288" w:before="240" w:after="283"/>
        <w:ind w:left="0" w:right="0" w:hanging="360"/>
        <w:jc w:val="both"/>
        <w:rPr/>
      </w:pPr>
      <w:r>
        <w:rPr>
          <w:rFonts w:ascii="Times New Roman;serif" w:hAnsi="Times New Roman;serif"/>
          <w:b w:val="false"/>
          <w:color w:val="000000"/>
          <w:sz w:val="24"/>
        </w:rPr>
        <w:t>1.</w:t>
      </w:r>
      <w:r>
        <w:rPr>
          <w:rFonts w:ascii="Times New Roman;serif" w:hAnsi="Times New Roman;serif"/>
          <w:b/>
          <w:color w:val="000000"/>
          <w:sz w:val="24"/>
          <w:u w:val="single"/>
        </w:rPr>
        <w:t>Base Salary.</w:t>
      </w:r>
      <w:r>
        <w:rPr>
          <w:color w:val="000000"/>
        </w:rPr>
        <w:t xml:space="preserve"> </w:t>
      </w:r>
      <w:r>
        <w:rPr>
          <w:rFonts w:ascii="Times New Roman;serif" w:hAnsi="Times New Roman;serif"/>
          <w:b w:val="false"/>
          <w:color w:val="000000"/>
          <w:sz w:val="24"/>
        </w:rPr>
        <w:t>Your annualized base salary will be adjusted to $825,000 per year, less applicable taxes, deductions, and withholdings, paid in accordance with Dropbox’s normal payroll procedures. Your base salary will be subject to review and adjustment based upon the Company’s normal performance review practices.</w:t>
      </w:r>
    </w:p>
    <w:p>
      <w:pPr>
        <w:pStyle w:val="TextBody"/>
        <w:bidi w:val="0"/>
        <w:spacing w:lineRule="auto" w:line="288" w:before="240" w:after="283"/>
        <w:ind w:left="0" w:right="0" w:hanging="360"/>
        <w:jc w:val="both"/>
        <w:rPr/>
      </w:pPr>
      <w:r>
        <w:rPr>
          <w:rFonts w:ascii="Times New Roman;serif" w:hAnsi="Times New Roman;serif"/>
          <w:b w:val="false"/>
          <w:color w:val="000000"/>
          <w:sz w:val="24"/>
        </w:rPr>
        <w:t>2.</w:t>
      </w:r>
      <w:r>
        <w:rPr>
          <w:rFonts w:ascii="Times New Roman;serif" w:hAnsi="Times New Roman;serif"/>
          <w:b/>
          <w:color w:val="000000"/>
          <w:sz w:val="24"/>
          <w:u w:val="single"/>
        </w:rPr>
        <w:t>Annual Bonus.</w:t>
      </w:r>
      <w:r>
        <w:rPr>
          <w:color w:val="000000"/>
        </w:rPr>
        <w:t xml:space="preserve"> </w:t>
      </w:r>
      <w:r>
        <w:rPr>
          <w:rFonts w:ascii="Times New Roman;serif" w:hAnsi="Times New Roman;serif"/>
          <w:b w:val="false"/>
          <w:color w:val="000000"/>
          <w:sz w:val="24"/>
        </w:rPr>
        <w:t>You will continue to be eligible to receive an annual bonus, at the target amount of 100% of your base salary, contingent upon you achieving performance objectives established by the Board or its authorized committee (collectively the “Committee) in its sole discretion and payable upon achievement of those objectives as determined by the Committee. If any portion of such bonus is earned, it will be paid when practicable after the Committee determines it has been earned. Your annual bonus opportunity will be subject to review and adjustment based upon the Company’s normal performance review practices. No bonus will be earned or received unless you’re still employed by Dropbox on the bonus payment date.</w:t>
      </w:r>
    </w:p>
    <w:p>
      <w:pPr>
        <w:pStyle w:val="TextBody"/>
        <w:bidi w:val="0"/>
        <w:spacing w:before="3" w:after="283"/>
        <w:ind w:left="0" w:right="0" w:hanging="36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color w:val="000000"/>
          <w:sz w:val="24"/>
          <w:u w:val="single"/>
        </w:rPr>
        <w:t>Equity.</w:t>
      </w:r>
      <w:r>
        <w:rPr>
          <w:color w:val="000000"/>
        </w:rPr>
        <w:t xml:space="preserve"> </w:t>
      </w:r>
      <w:r>
        <w:rPr>
          <w:rFonts w:ascii="Times New Roman;serif" w:hAnsi="Times New Roman;serif"/>
          <w:b w:val="false"/>
          <w:color w:val="000000"/>
          <w:sz w:val="24"/>
        </w:rPr>
        <w:t>Subject to the approval of the Committee, you will be granted an award of restricted stock units (“</w:t>
      </w:r>
      <w:r>
        <w:rPr>
          <w:rFonts w:ascii="Times New Roman;serif" w:hAnsi="Times New Roman;serif"/>
          <w:b w:val="false"/>
          <w:i/>
          <w:color w:val="000000"/>
          <w:sz w:val="24"/>
        </w:rPr>
        <w:t>RSUs</w:t>
      </w:r>
      <w:r>
        <w:rPr>
          <w:color w:val="000000"/>
        </w:rPr>
        <w:t>”</w:t>
      </w:r>
      <w:r>
        <w:rPr>
          <w:rFonts w:ascii="Times New Roman;serif" w:hAnsi="Times New Roman;serif"/>
          <w:b w:val="false"/>
          <w:color w:val="000000"/>
          <w:sz w:val="24"/>
        </w:rPr>
        <w:t>) with an approximate value of $12,656,250.00, with the number of shares granted to be determined by the average closing price of Dropbox Class A common stock for the prior month (the “Grant”). The Grant will be subject to the terms of Dropbox’s Equity Award Grant Policy, 2018 Equity Incentive Plan, and the Restricted Stock Unit Agreement between you and Dropbox. Further details on the equity plan and any specific grant will be provided following the approval of the Grant.</w:t>
      </w:r>
    </w:p>
    <w:p>
      <w:pPr>
        <w:pStyle w:val="TextBody"/>
        <w:bidi w:val="0"/>
        <w:spacing w:lineRule="auto" w:line="288" w:before="240" w:after="283"/>
        <w:ind w:left="0" w:right="0" w:hanging="360"/>
        <w:jc w:val="both"/>
        <w:rPr/>
      </w:pPr>
      <w:r>
        <w:rPr>
          <w:rFonts w:ascii="Times New Roman;serif" w:hAnsi="Times New Roman;serif"/>
          <w:b w:val="false"/>
          <w:color w:val="000000"/>
          <w:sz w:val="24"/>
        </w:rPr>
        <w:t>4.</w:t>
      </w:r>
      <w:r>
        <w:rPr>
          <w:rFonts w:ascii="Times New Roman;serif" w:hAnsi="Times New Roman;serif"/>
          <w:b/>
          <w:color w:val="000000"/>
          <w:sz w:val="24"/>
          <w:u w:val="single"/>
        </w:rPr>
        <w:t>Employee Benefits</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You and your family members will continue to be eligible to participate in Dropbox’s standard employee benefits plans as they are provided to Seattle, Washington employees to the extent that you meet their eligibility criteria. This Section 4 does not create any obligation on the part of Dropbox to adopt or maintain any employee benefit plan or program at any time. Dropbox may amend or terminate, any employee benefit plan or program at any time.</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9" w:after="283"/>
        <w:ind w:left="0" w:right="0" w:hanging="360"/>
        <w:jc w:val="both"/>
        <w:rPr/>
      </w:pPr>
      <w:r>
        <w:rPr>
          <w:rFonts w:ascii="Times New Roman;serif" w:hAnsi="Times New Roman;serif"/>
          <w:b w:val="false"/>
          <w:color w:val="000000"/>
          <w:sz w:val="24"/>
        </w:rPr>
        <w:t>5.</w:t>
      </w:r>
      <w:r>
        <w:rPr>
          <w:rFonts w:ascii="Times New Roman;serif" w:hAnsi="Times New Roman;serif"/>
          <w:b/>
          <w:color w:val="000000"/>
          <w:sz w:val="24"/>
          <w:u w:val="single"/>
        </w:rPr>
        <w:t>Severance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You will be eligible to enter into a Change in Control and Severance Agreement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“Severance Agreement”) applicable to you based on your new position within the Company. These protections will supersede all other severance payments and benefits you would otherwise currently be eligible for to, or would become eligible for in the future, under any plan, program or policy that the Company may have in effect from time to time.</w:t>
      </w:r>
    </w:p>
    <w:p>
      <w:pPr>
        <w:pStyle w:val="TextBody"/>
        <w:bidi w:val="0"/>
        <w:spacing w:lineRule="auto" w:line="288" w:before="244" w:after="283"/>
        <w:ind w:left="0" w:right="0" w:hanging="360"/>
        <w:jc w:val="both"/>
        <w:rPr/>
      </w:pPr>
      <w:r>
        <w:rPr>
          <w:rFonts w:ascii="Times New Roman;serif" w:hAnsi="Times New Roman;serif"/>
          <w:b w:val="false"/>
          <w:color w:val="000000"/>
          <w:sz w:val="24"/>
        </w:rPr>
        <w:t>6.</w:t>
      </w:r>
      <w:r>
        <w:rPr>
          <w:rFonts w:ascii="Times New Roman;serif" w:hAnsi="Times New Roman;serif"/>
          <w:b/>
          <w:color w:val="000000"/>
          <w:sz w:val="24"/>
          <w:u w:val="single"/>
        </w:rPr>
        <w:t>Confidentiality Agreement</w:t>
      </w:r>
      <w:r>
        <w:rPr>
          <w:rFonts w:ascii="Times New Roman;serif" w:hAnsi="Times New Roman;serif"/>
          <w:b w:val="false"/>
          <w:i/>
          <w:color w:val="000000"/>
          <w:sz w:val="24"/>
        </w:rPr>
        <w:t xml:space="preserve">. </w:t>
      </w:r>
      <w:r>
        <w:rPr>
          <w:rFonts w:ascii="Times New Roman;serif" w:hAnsi="Times New Roman;serif"/>
          <w:b w:val="false"/>
          <w:color w:val="000000"/>
          <w:sz w:val="24"/>
        </w:rPr>
        <w:t>As an employee of the Company, you will continue to have access to certain confidential information of the Company and you may, during the course of your employment, develop certain information or inventions that will be the property of the Company. To protect the interests of the Company, your acceptance of this Agreement confirms that the terms of the Company’s Employee Invention Assignment and Confidentiality Agreement you previously signed with the Company (the “EIACA”) still apply.</w:t>
      </w:r>
    </w:p>
    <w:p>
      <w:pPr>
        <w:pStyle w:val="TextBody"/>
        <w:bidi w:val="0"/>
        <w:spacing w:lineRule="auto" w:line="288" w:before="240" w:after="283"/>
        <w:ind w:left="0" w:right="0" w:hanging="360"/>
        <w:jc w:val="both"/>
        <w:rPr/>
      </w:pPr>
      <w:r>
        <w:rPr>
          <w:rFonts w:ascii="Times New Roman;serif" w:hAnsi="Times New Roman;serif"/>
          <w:b w:val="false"/>
          <w:color w:val="000000"/>
          <w:sz w:val="24"/>
        </w:rPr>
        <w:t>7.</w:t>
      </w:r>
      <w:r>
        <w:rPr>
          <w:rFonts w:ascii="Times New Roman;serif" w:hAnsi="Times New Roman;serif"/>
          <w:b/>
          <w:color w:val="000000"/>
          <w:sz w:val="24"/>
          <w:u w:val="single"/>
        </w:rPr>
        <w:t>Commitment to Company</w:t>
      </w:r>
      <w:r>
        <w:rPr>
          <w:rFonts w:ascii="Times New Roman;serif" w:hAnsi="Times New Roman;serif"/>
          <w:b w:val="false"/>
          <w:i/>
          <w:color w:val="000000"/>
          <w:sz w:val="24"/>
        </w:rPr>
        <w:t xml:space="preserve">. </w:t>
      </w:r>
      <w:r>
        <w:rPr>
          <w:rFonts w:ascii="Times New Roman;serif" w:hAnsi="Times New Roman;serif"/>
          <w:b w:val="false"/>
          <w:color w:val="000000"/>
          <w:sz w:val="24"/>
        </w:rPr>
        <w:t>During your employment with the Company, you will continue to perform your duties faithfully and to the best of your ability and you will devote your full business efforts and time to the Company. Except as specifically approved by the Committee, you agree that, during the term of your employment with the Company, you will not (i) engage in any other employment, occupation, consulting, business or other activity related to the business in which the Company or any of its subsidiaries or affiliates is now involved, any proposed business of the Company or any of its subsidiaries or affiliates, or any business in which the Company or any of its subsidiaries or affiliates becomes involved during the term of your employment, (ii) assist any other person or organization in competing with the Company or in preparing to engage in competition with the business or proposed business of the Company, or (iii) engage in any other activities that conflict with your obligations to the Company or any of its subsidiaries or affiliates. Similarly, you agree not to bring any third party confidential information to the Company, including that of your former employer, and that in performing your duties for the Company you will not in any way utilize any such information. You will disclose to the Company in writing any other employment, business or activity that you are currently associated with or participate in that competes with the Company.</w:t>
      </w:r>
    </w:p>
    <w:p>
      <w:pPr>
        <w:pStyle w:val="TextBody"/>
        <w:bidi w:val="0"/>
        <w:spacing w:lineRule="auto" w:line="288" w:before="240" w:after="283"/>
        <w:ind w:left="0" w:right="0" w:hanging="360"/>
        <w:jc w:val="both"/>
        <w:rPr/>
      </w:pPr>
      <w:r>
        <w:rPr>
          <w:rFonts w:ascii="Times New Roman;serif" w:hAnsi="Times New Roman;serif"/>
          <w:b w:val="false"/>
          <w:color w:val="000000"/>
          <w:sz w:val="24"/>
        </w:rPr>
        <w:t>8.</w:t>
      </w:r>
      <w:r>
        <w:rPr>
          <w:rFonts w:ascii="Times New Roman;serif" w:hAnsi="Times New Roman;serif"/>
          <w:b/>
          <w:color w:val="000000"/>
          <w:sz w:val="24"/>
          <w:u w:val="single"/>
        </w:rPr>
        <w:t>Protected Activity Not Prohibited</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Nothing in this Agreement or in any other agreement between you or the Company, as applicable, will in any way limit or prohibit you from engaging for a lawful purpose in any Protected Activity. For purposes of this Agreement, “Protected Activity” means filing a charge or complaint, or otherwise communicating, cooperating, or participating with, any state, federal, or other governmental agency, including but not limited to the U.S. Securities and Exchange Commission, the Equal Employment Opportunity Commission, and the National Labor Relations Board. Notwithstanding any restrictions set forth in this Agreement or in any other agreement between you or the Company, as applicable, you understand that you are not required to obtain authorization from the Company prior to disclosing information to, or communicating with, such agencies, nor are you obligated to advise the Company as to any such disclosures or communications. In making any such disclosures or communications, you agree to take all reasonable precautions to prevent any unauthorized use or disclosure of any information that may constitute Confidential Information (within the meaning of the EIACA) to any parties other than the relevant government agencies. You further understand that “Protected Activity” does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not include the disclosure of any Company attorney-client privileged communications, and that any such disclosure without the Company’s written consent will constitute a material breach of this Agreement.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88" w:before="243" w:after="283"/>
        <w:ind w:left="0" w:right="0" w:hanging="361"/>
        <w:jc w:val="both"/>
        <w:rPr/>
      </w:pPr>
      <w:r>
        <w:rPr>
          <w:rFonts w:ascii="Times New Roman;serif" w:hAnsi="Times New Roman;serif"/>
          <w:b w:val="false"/>
          <w:color w:val="000000"/>
          <w:sz w:val="24"/>
        </w:rPr>
        <w:t>9.</w:t>
      </w:r>
      <w:r>
        <w:rPr>
          <w:rFonts w:ascii="Times New Roman;serif" w:hAnsi="Times New Roman;serif"/>
          <w:b/>
          <w:color w:val="000000"/>
          <w:sz w:val="24"/>
          <w:u w:val="single"/>
        </w:rPr>
        <w:t>Arbitration (Not applicable to Sexual Harassment or Discrimination Claims)</w:t>
      </w:r>
      <w:r>
        <w:rPr>
          <w:rFonts w:ascii="Times New Roman;serif" w:hAnsi="Times New Roman;serif"/>
          <w:b w:val="false"/>
          <w:color w:val="000000"/>
          <w:sz w:val="24"/>
        </w:rPr>
        <w:t>. Except as explained in this paragraph, you and Dropbox shall submit to mandatory and exclusive binding arbitration of any and all controversies or claims arising from, or relating to, your employment with Dropbox and/or the termination of your employment that are based upon any federal, state or local ordinance, statute, regulation or constitutional provision. The sole exceptions are claims for workplace sexual harassment and/or discrimination; claims under applicable workers’ compensation law; unemployment insurance claims; actions seeking provisional remedies pursuant to California Code of Civil Procedure Section 1281.8 or equivalent laws in other jurisdictions; and/or claims expressly prohibited by law from being subject to binding arbitration (the “Excluded Claims”). While you’re not required to arbitrate any of the Excluded Claims, you may choose to do so if you’d like once a dispute arises.</w: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It’s entirely up to you. Also, you agree to submit any of the Excluded Claims to pre-suit mediation before filing any civil action alleging such claim(s). This way, the parties will have an early opportunity to try and reach an amicable resolution of their dispute. The mediation will be with a mutually selected neutral mediator from JAMS and Dropbox will pay all reasonable mediation fees. If either Dropbox or you brings both arbitrable and non-arbitrable claims in the same or related action, both agree that the non-arbitrable claims shall be stayed until the conclusion of arbitration, to the extent allowed by law.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THE PARTIES HEREBY WAIVE ANY RIGHTS THEY MAY HAVE TO TRIAL BY JURY IN REGARD TO CLAIMS SUBJECT TO ARBITRATION UNDER THIS AGREEMENT. You and Dropbox agree that the arbitrator shall have the sole authority to determine the arbitrability of all claims. You also agree that any arbitrable claims shall be resolved on an individual basis, and you agree to waive your right, to the extent allowed by applicable law, to consolidate any arbitrable claims with the claims of any other person in a class or collective action. This Agreement does not restrict your right to file administrative claims you may bring before any government agency where, as a matter of law, the parties may not restrict your ability to file such claims (including, but not limited to, the National Labor Relations Board, the Equal Employment Opportunity Commission, and the Department of Labor). However, the parties agree that, to the fullest extent permitted by law and consistent with this Agreement, arbitration shall be the exclusive remedy for the subject matter of such administrative claims. Such arbitration shall be governed by the Federal Arbitration Act and conducted through JAMS in San Francisco, California, before a single neutral arbitrator, in accordance with the employment arbitration rules in effect at that time. The JAMS Employment Arbitration Rules may be found and reviewed at https://www.jamsadr.com/rules-employment-arbitration/. If you are unable to access these rules, please let your Recruiter know and they will provide you a hardcopy. The arbitrator shall issue 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360"/>
        <w:jc w:val="both"/>
        <w:rPr/>
      </w:pPr>
      <w:r>
        <w:rPr>
          <w:rFonts w:ascii="Times New Roman;serif" w:hAnsi="Times New Roman;serif"/>
          <w:b w:val="false"/>
          <w:color w:val="000000"/>
          <w:sz w:val="24"/>
        </w:rPr>
        <w:t>10.</w:t>
      </w:r>
      <w:r>
        <w:rPr>
          <w:rFonts w:ascii="Times New Roman;serif" w:hAnsi="Times New Roman;serif"/>
          <w:b/>
          <w:color w:val="000000"/>
          <w:sz w:val="24"/>
          <w:u w:val="single"/>
        </w:rPr>
        <w:t>At-Will Employment</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Acceptance of this new role does not alter the at-will nature of your employment with Dropbox which means the employment relationship can be terminated by either you or Dropbox for any reason, at any time, with or without prior notice or cause. Any modification or change in your at-will employment status may only occur by a written employment agreement signed by you and Dropbox’s Board or it’s delegate.</w:t>
      </w:r>
    </w:p>
    <w:p>
      <w:pPr>
        <w:pStyle w:val="TextBody"/>
        <w:bidi w:val="0"/>
        <w:spacing w:lineRule="auto" w:line="288" w:before="240" w:after="283"/>
        <w:ind w:left="0" w:right="0" w:hanging="360"/>
        <w:jc w:val="both"/>
        <w:rPr/>
      </w:pPr>
      <w:r>
        <w:rPr>
          <w:rFonts w:ascii="Times New Roman;serif" w:hAnsi="Times New Roman;serif"/>
          <w:b w:val="false"/>
          <w:color w:val="000000"/>
          <w:sz w:val="22"/>
        </w:rPr>
        <w:t>11.</w:t>
      </w:r>
      <w:r>
        <w:rPr>
          <w:rFonts w:ascii="Times New Roman;serif" w:hAnsi="Times New Roman;serif"/>
          <w:b/>
          <w:color w:val="000000"/>
          <w:sz w:val="24"/>
          <w:u w:val="single"/>
        </w:rPr>
        <w:t>Terms of Employment.</w:t>
      </w:r>
      <w:r>
        <w:rPr>
          <w:color w:val="000000"/>
        </w:rPr>
        <w:t xml:space="preserve"> </w:t>
      </w:r>
      <w:r>
        <w:rPr>
          <w:rFonts w:ascii="Times New Roman;serif" w:hAnsi="Times New Roman;serif"/>
          <w:b w:val="false"/>
          <w:color w:val="000000"/>
          <w:sz w:val="24"/>
        </w:rPr>
        <w:t>This Agreement, along with the EIACA, the Severance Agreement, and the Incentive Based Compensation Recovery Policy, constitutes the entire agreement between you and the Company regarding the subject matters discussed herein, and they supersede all prior negotiations, representations or agreements between you and the Company. This Agreement may only be modified by a written agreement signed by you and an authorized member of Dropbox’s Board.</w:t>
      </w:r>
    </w:p>
    <w:p>
      <w:pPr>
        <w:pStyle w:val="TextBody"/>
        <w:bidi w:val="0"/>
        <w:spacing w:before="240" w:after="283"/>
        <w:ind w:left="0" w:right="0" w:hanging="361"/>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1" w:after="283"/>
        <w:ind w:left="0" w:right="0" w:firstLine="505"/>
        <w:jc w:val="both"/>
        <w:rPr>
          <w:rFonts w:ascii="Times New Roman;serif" w:hAnsi="Times New Roman;serif"/>
          <w:b w:val="false"/>
          <w:color w:val="000000"/>
          <w:sz w:val="24"/>
        </w:rPr>
      </w:pPr>
      <w:r>
        <w:rPr>
          <w:rFonts w:ascii="Times New Roman;serif" w:hAnsi="Times New Roman;serif"/>
          <w:b w:val="false"/>
          <w:color w:val="000000"/>
          <w:sz w:val="24"/>
        </w:rPr>
        <w:t>Congratulations on this new role and thanks for all your hard work! Please let me know if you have any additional questions.</w:t>
      </w:r>
    </w:p>
    <w:p>
      <w:pPr>
        <w:pStyle w:val="TextBody"/>
        <w:bidi w:val="0"/>
        <w:spacing w:before="0" w:after="0"/>
        <w:jc w:val="both"/>
        <w:rPr/>
      </w:pPr>
      <w:r>
        <w:rPr/>
      </w:r>
    </w:p>
    <w:tbl>
      <w:tblPr>
        <w:tblW w:w="30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Drew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Drew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0" w:before="0" w:after="0"/>
        <w:jc w:val="both"/>
        <w:rPr>
          <w:rFonts w:ascii="Times New Roman;serif" w:hAnsi="Times New Roman;serif"/>
          <w:b w:val="false"/>
          <w:color w:val="000000"/>
          <w:sz w:val="24"/>
        </w:rPr>
      </w:pPr>
      <w:r>
        <w:rPr>
          <w:rFonts w:ascii="Times New Roman;serif" w:hAnsi="Times New Roman;serif"/>
          <w:b w:val="false"/>
          <w:color w:val="000000"/>
          <w:sz w:val="24"/>
        </w:rPr>
        <w:t>I, Ashraf Alkarmi, have read and understood this Agreement and hereby acknowledge, accept and agree to the terms as set forth herein and further acknowledge that no other commitments were made to me as part of my employment offer except as specifically set forth herein.</w:t>
      </w:r>
    </w:p>
    <w:p>
      <w:pPr>
        <w:pStyle w:val="TextBody"/>
        <w:bidi w:val="0"/>
        <w:spacing w:before="0" w:after="0"/>
        <w:jc w:val="both"/>
        <w:rPr/>
      </w:pPr>
      <w:r>
        <w:rPr/>
      </w:r>
    </w:p>
    <w:p>
      <w:pPr>
        <w:pStyle w:val="TextBody"/>
        <w:bidi w:val="0"/>
        <w:spacing w:before="0" w:after="0"/>
        <w:jc w:val="both"/>
        <w:rPr/>
      </w:pPr>
      <w:r>
        <w:rPr/>
      </w:r>
    </w:p>
    <w:tbl>
      <w:tblPr>
        <w:tblW w:w="3310" w:type="dxa"/>
        <w:jc w:val="left"/>
        <w:tblInd w:w="0" w:type="dxa"/>
        <w:tblLayout w:type="fixed"/>
        <w:tblCellMar>
          <w:top w:w="28" w:type="dxa"/>
          <w:left w:w="28" w:type="dxa"/>
          <w:bottom w:w="28" w:type="dxa"/>
          <w:right w:w="28" w:type="dxa"/>
        </w:tblCellMar>
      </w:tblPr>
      <w:tblGrid>
        <w:gridCol w:w="678"/>
        <w:gridCol w:w="597"/>
        <w:gridCol w:w="599"/>
        <w:gridCol w:w="109"/>
        <w:gridCol w:w="109"/>
        <w:gridCol w:w="109"/>
        <w:gridCol w:w="323"/>
        <w:gridCol w:w="323"/>
        <w:gridCol w:w="463"/>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Ashraf Alkarmi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5/22/2026</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Ashraf Alkarmi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Date</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172"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lineRule="auto" w:line="240" w:before="71" w:after="283"/>
        <w:jc w:val="center"/>
        <w:rPr>
          <w:rFonts w:ascii="Times New Roman;serif" w:hAnsi="Times New Roman;serif"/>
          <w:b/>
          <w:color w:val="000000"/>
          <w:sz w:val="24"/>
        </w:rPr>
      </w:pPr>
      <w:r>
        <w:rPr>
          <w:rFonts w:ascii="Times New Roman;serif" w:hAnsi="Times New Roman;serif"/>
          <w:b/>
          <w:color w:val="000000"/>
          <w:sz w:val="24"/>
        </w:rPr>
        <w:t>DROPBOX, INC.</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CHANGE IN CONTROL AND SEVERANCE AGREEMENT</w:t>
      </w:r>
    </w:p>
    <w:p>
      <w:pPr>
        <w:pStyle w:val="TextBody"/>
        <w:bidi w:val="0"/>
        <w:spacing w:lineRule="auto" w:line="288" w:before="239" w:after="283"/>
        <w:ind w:left="0" w:right="0" w:firstLine="720"/>
        <w:jc w:val="both"/>
        <w:rPr/>
      </w:pPr>
      <w:r>
        <w:rPr>
          <w:rFonts w:ascii="Times New Roman;serif" w:hAnsi="Times New Roman;serif"/>
          <w:b w:val="false"/>
          <w:color w:val="000000"/>
          <w:sz w:val="24"/>
        </w:rPr>
        <w:t>This Change in Control and Severance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between Dropbox,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Ashraf Alkarmi (the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 effective on the date of the Company’s signature below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w:t>
      </w:r>
    </w:p>
    <w:p>
      <w:pPr>
        <w:pStyle w:val="TextBody"/>
        <w:bidi w:val="0"/>
        <w:spacing w:lineRule="auto" w:line="288" w:before="203"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provides certain protections to the Executive in connection with a change in control of the Company or in connection with the involuntary termination of the Executive’s employment under the circumstances described in this Agreement. Certain capitalized terms are defined in Section 7 to the extent not otherwise defined in other Sections of this Agreement.</w:t>
      </w:r>
    </w:p>
    <w:p>
      <w:pPr>
        <w:pStyle w:val="TextBody"/>
        <w:bidi w:val="0"/>
        <w:spacing w:lineRule="auto" w:line="288" w:before="236" w:after="283"/>
        <w:jc w:val="left"/>
        <w:rPr>
          <w:rFonts w:ascii="Times New Roman;serif" w:hAnsi="Times New Roman;serif"/>
          <w:b w:val="false"/>
          <w:color w:val="000000"/>
          <w:sz w:val="24"/>
        </w:rPr>
      </w:pPr>
      <w:r>
        <w:rPr>
          <w:rFonts w:ascii="Times New Roman;serif" w:hAnsi="Times New Roman;serif"/>
          <w:b w:val="false"/>
          <w:color w:val="000000"/>
          <w:sz w:val="24"/>
        </w:rPr>
        <w:t>For good and valuable consideration, the Company and the Executive agree as follows:</w:t>
      </w:r>
    </w:p>
    <w:p>
      <w:pPr>
        <w:pStyle w:val="TextBody"/>
        <w:bidi w:val="0"/>
        <w:spacing w:lineRule="auto" w:line="288" w:before="244" w:after="283"/>
        <w:ind w:left="0" w:right="0" w:hanging="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Term of Agreement</w:t>
      </w:r>
      <w:r>
        <w:rPr>
          <w:rFonts w:ascii="Times New Roman;serif" w:hAnsi="Times New Roman;serif"/>
          <w:b w:val="false"/>
          <w:color w:val="000000"/>
          <w:sz w:val="24"/>
        </w:rPr>
        <w:t>. This Agreement will terminate when all of the obligations under this Agreement have been satisfied.</w:t>
      </w:r>
    </w:p>
    <w:p>
      <w:pPr>
        <w:pStyle w:val="TextBody"/>
        <w:bidi w:val="0"/>
        <w:spacing w:lineRule="auto" w:line="288" w:before="238" w:after="283"/>
        <w:ind w:left="0" w:right="0" w:hanging="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At-Will Employment</w:t>
      </w:r>
      <w:r>
        <w:rPr>
          <w:rFonts w:ascii="Times New Roman;serif" w:hAnsi="Times New Roman;serif"/>
          <w:b w:val="false"/>
          <w:color w:val="000000"/>
          <w:sz w:val="24"/>
        </w:rPr>
        <w:t>.    The Company and the Executive acknowledge that the Executive’s employment is and will continue to be at-will, as defined under applicable law.</w:t>
      </w:r>
    </w:p>
    <w:p>
      <w:pPr>
        <w:pStyle w:val="TextBody"/>
        <w:bidi w:val="0"/>
        <w:spacing w:lineRule="auto" w:line="288" w:before="238" w:after="283"/>
        <w:ind w:left="0" w:right="0" w:hanging="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Severance Benefits</w:t>
      </w:r>
      <w:r>
        <w:rPr>
          <w:rFonts w:ascii="Times New Roman;serif" w:hAnsi="Times New Roman;serif"/>
          <w:b w:val="false"/>
          <w:color w:val="000000"/>
          <w:sz w:val="24"/>
        </w:rPr>
        <w:t>.</w:t>
      </w:r>
    </w:p>
    <w:p>
      <w:pPr>
        <w:pStyle w:val="TextBody"/>
        <w:bidi w:val="0"/>
        <w:spacing w:lineRule="auto" w:line="288" w:before="244"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Non-CIC Qualified Termination</w:t>
      </w:r>
      <w:r>
        <w:rPr>
          <w:rFonts w:ascii="Times New Roman;serif" w:hAnsi="Times New Roman;serif"/>
          <w:b w:val="false"/>
          <w:color w:val="000000"/>
          <w:sz w:val="24"/>
        </w:rPr>
        <w:t>. On a Non-CIC Qualified Termination, and subject to Sections 5 and 6, the Executive will be eligible to receive the following payment and benefits from the Company:</w:t>
      </w:r>
    </w:p>
    <w:p>
      <w:pPr>
        <w:pStyle w:val="TextBody"/>
        <w:bidi w:val="0"/>
        <w:spacing w:lineRule="auto" w:line="288" w:before="238" w:after="283"/>
        <w:ind w:left="0" w:right="0" w:firstLine="2296"/>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Salary Severance</w:t>
      </w:r>
      <w:r>
        <w:rPr>
          <w:rFonts w:ascii="Times New Roman;serif" w:hAnsi="Times New Roman;serif"/>
          <w:b w:val="false"/>
          <w:color w:val="000000"/>
          <w:sz w:val="24"/>
        </w:rPr>
        <w:t>. A lump-sum payment equal to 100% of the Executive’s Base Salary.</w:t>
      </w:r>
    </w:p>
    <w:p>
      <w:pPr>
        <w:pStyle w:val="TextBody"/>
        <w:bidi w:val="0"/>
        <w:spacing w:lineRule="auto" w:line="240" w:before="240" w:after="283"/>
        <w:ind w:left="0" w:right="0" w:firstLine="2296"/>
        <w:jc w:val="both"/>
        <w:rPr/>
      </w:pPr>
      <w:r>
        <w:rPr>
          <w:rFonts w:ascii="Times New Roman;serif" w:hAnsi="Times New Roman;serif"/>
          <w:b w:val="false"/>
          <w:color w:val="000000"/>
          <w:sz w:val="24"/>
        </w:rPr>
        <w:t>(ii)</w:t>
      </w:r>
      <w:r>
        <w:rPr>
          <w:rFonts w:ascii="Times New Roman;serif" w:hAnsi="Times New Roman;serif"/>
          <w:b w:val="false"/>
          <w:color w:val="000000"/>
          <w:sz w:val="22"/>
          <w:u w:val="single"/>
        </w:rPr>
        <w:t>Health Benefit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4"/>
        </w:rPr>
        <w:t>Subject to Section 3(d), the Company will pay the premiums for the Executive and the Executive’s eligible dependents to continue healthcare coverage under COBRA at the rates then in effect for active employees, subject to any subsequent changes in rates that are generally applicable to the Company’s active employees (the “</w:t>
      </w:r>
      <w:r>
        <w:rPr>
          <w:rFonts w:ascii="Times New Roman;serif" w:hAnsi="Times New Roman;serif"/>
          <w:b/>
          <w:color w:val="000000"/>
          <w:sz w:val="24"/>
        </w:rPr>
        <w:t>Health Benefit</w:t>
      </w:r>
      <w:r>
        <w:rPr>
          <w:color w:val="000000"/>
        </w:rPr>
        <w:t>”</w:t>
      </w:r>
      <w:r>
        <w:rPr>
          <w:rFonts w:ascii="Times New Roman;serif" w:hAnsi="Times New Roman;serif"/>
          <w:b w:val="false"/>
          <w:color w:val="000000"/>
          <w:sz w:val="24"/>
        </w:rPr>
        <w:t>), until the earlier of (A) a period of 12 months from the date of the Executive’s termination of employment,</w:t>
      </w:r>
    </w:p>
    <w:p>
      <w:pPr>
        <w:pStyle w:val="TextBody"/>
        <w:bidi w:val="0"/>
        <w:spacing w:lineRule="auto" w:line="280" w:before="0" w:after="0"/>
        <w:jc w:val="both"/>
        <w:rPr>
          <w:rFonts w:ascii="Times New Roman;serif" w:hAnsi="Times New Roman;serif"/>
          <w:b w:val="false"/>
          <w:color w:val="000000"/>
          <w:sz w:val="24"/>
        </w:rPr>
      </w:pPr>
      <w:r>
        <w:rPr>
          <w:rFonts w:ascii="Times New Roman;serif" w:hAnsi="Times New Roman;serif"/>
          <w:b w:val="false"/>
          <w:color w:val="000000"/>
          <w:sz w:val="24"/>
        </w:rPr>
        <w:t>(B) the date upon which the Executive and/or the Executive’s eligible dependents becomes covered under similar plans or (C) the date upon which the Executive ceases to be eligible for coverage under COBRA or other applicable law or policy governing such coverage.</w:t>
      </w:r>
    </w:p>
    <w:p>
      <w:pPr>
        <w:pStyle w:val="TextBody"/>
        <w:bidi w:val="0"/>
        <w:spacing w:lineRule="auto" w:line="240" w:before="240" w:after="283"/>
        <w:ind w:left="0" w:right="0" w:firstLine="2296"/>
        <w:jc w:val="both"/>
        <w:rPr/>
      </w:pPr>
      <w:r>
        <w:rPr>
          <w:rFonts w:ascii="Times New Roman;serif" w:hAnsi="Times New Roman;serif"/>
          <w:b w:val="false"/>
          <w:color w:val="000000"/>
          <w:sz w:val="22"/>
        </w:rPr>
        <w:t>(iii)</w:t>
      </w:r>
      <w:r>
        <w:rPr>
          <w:rFonts w:ascii="Times New Roman;serif" w:hAnsi="Times New Roman;serif"/>
          <w:b w:val="false"/>
          <w:color w:val="000000"/>
          <w:sz w:val="24"/>
          <w:u w:val="single"/>
        </w:rPr>
        <w:t>Equity Vesting</w:t>
      </w:r>
      <w:r>
        <w:rPr>
          <w:rFonts w:ascii="Times New Roman;serif" w:hAnsi="Times New Roman;serif"/>
          <w:b w:val="false"/>
          <w:color w:val="000000"/>
          <w:sz w:val="24"/>
        </w:rPr>
        <w:t>. The Executive’s then-outstanding time-based equity awards each will vest as to the number of shares subject to the time-based equity awards that were otherwise scheduled to vest had the Executive remained employed with the Company for 3 months following the date of the Executive’s Non-CIC Qualified Termination. In the case of an equity award with performance-based vesting, all performance goals and other vesting criteria will be treated as set forth in the applicable equity award agreement governing such award. Any restricted stock units, performance shares, performance units, and/or similar full value awards that vest under this paragraph will be settled on the 61st day following the Non-CIC Qualified Termination.</w:t>
      </w:r>
    </w:p>
    <w:p>
      <w:pPr>
        <w:pStyle w:val="TextBody"/>
        <w:bidi w:val="0"/>
        <w:spacing w:before="240" w:after="283"/>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CIC Qualified Termination</w:t>
      </w:r>
      <w:r>
        <w:rPr>
          <w:rFonts w:ascii="Times New Roman;serif" w:hAnsi="Times New Roman;serif"/>
          <w:b w:val="false"/>
          <w:color w:val="000000"/>
          <w:sz w:val="24"/>
        </w:rPr>
        <w:t>. On a CIC Qualified Termination, and subject to Sections 5 and 6, the Executive will be eligible to receive the following payment and benefits from the Company:</w:t>
      </w:r>
    </w:p>
    <w:p>
      <w:pPr>
        <w:pStyle w:val="TextBody"/>
        <w:bidi w:val="0"/>
        <w:spacing w:lineRule="auto" w:line="288" w:before="238" w:after="283"/>
        <w:ind w:left="0" w:right="0" w:firstLine="2296"/>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Salary Severance</w:t>
      </w:r>
      <w:r>
        <w:rPr>
          <w:rFonts w:ascii="Times New Roman;serif" w:hAnsi="Times New Roman;serif"/>
          <w:b w:val="false"/>
          <w:color w:val="000000"/>
          <w:sz w:val="24"/>
        </w:rPr>
        <w:t>. A lump-sum payment equal to 100% of the Executive’s Base Salary.</w:t>
      </w:r>
    </w:p>
    <w:p>
      <w:pPr>
        <w:pStyle w:val="TextBody"/>
        <w:bidi w:val="0"/>
        <w:spacing w:lineRule="auto" w:line="240" w:before="240" w:after="283"/>
        <w:ind w:left="0" w:right="0" w:firstLine="2296"/>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Bonus Severance</w:t>
      </w:r>
      <w:r>
        <w:rPr>
          <w:rFonts w:ascii="Times New Roman;serif" w:hAnsi="Times New Roman;serif"/>
          <w:b w:val="false"/>
          <w:color w:val="000000"/>
          <w:sz w:val="24"/>
        </w:rPr>
        <w:t>. A lump-sum payment equal to 100% of the Executive’s target annual bonus as in effect for the fiscal year in which the CIC Qualified Termination occurs.</w:t>
      </w:r>
    </w:p>
    <w:p>
      <w:pPr>
        <w:pStyle w:val="TextBody"/>
        <w:bidi w:val="0"/>
        <w:spacing w:lineRule="auto" w:line="240" w:before="240" w:after="283"/>
        <w:ind w:left="0" w:right="0" w:firstLine="2296"/>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Health Benefit</w:t>
      </w:r>
      <w:r>
        <w:rPr>
          <w:rFonts w:ascii="Times New Roman;serif" w:hAnsi="Times New Roman;serif"/>
          <w:b w:val="false"/>
          <w:color w:val="000000"/>
          <w:sz w:val="24"/>
        </w:rPr>
        <w:t>. Subject to Section 3(d), the Company will provide the Health Benefit until the earlier of (A) a period of 12 months from the date of the Executive’s termination of employment, (B) the date upon which the Executive and/or the Executive’s eligible dependents becomes covered under similar plans or (C) the date upon which the Executive ceases to be eligible for coverage under COBRA or other applicable law or policy governing such coverage.</w:t>
      </w:r>
    </w:p>
    <w:p>
      <w:pPr>
        <w:pStyle w:val="TextBody"/>
        <w:bidi w:val="0"/>
        <w:spacing w:lineRule="auto" w:line="240" w:before="240" w:after="283"/>
        <w:ind w:left="0" w:right="0" w:firstLine="2296"/>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Equity Vesting</w:t>
      </w:r>
      <w:r>
        <w:rPr>
          <w:rFonts w:ascii="Times New Roman;serif" w:hAnsi="Times New Roman;serif"/>
          <w:b w:val="false"/>
          <w:color w:val="000000"/>
          <w:sz w:val="24"/>
        </w:rPr>
        <w:t>. 100% of the then-unvested shares subject to each of the Executive’s then-outstanding equity awards will vest and, in the case of options and stock appreciation rights, will become exercisable (for avoidance of doubt, no more than 100% of the shares subject to the then-outstanding portion of an equity award may vest and become exercisable under this provision). In the case of an equity award with performance-based vesting, unless otherwise specified in the applicable equity award agreement governing such award, all performance goals and other vesting criteria will be deemed achieved at 100% of target levels. Any restricted stock units, performance shares, performance units, and/or similar full value awards that vest under this paragraph will be settled on the 61st day following the CIC Qualified Termination. For the avoidance of doubt, if the Executive’s Qualified Termination occurs prior to a Change in Control, then any unvested portion of the Executive’s then-outstanding equity awards will remain outstanding for 3 months or the occurrence of a Change in Control (whichever is earlier) so that any benefits due on a CIC Qualified Termination can be provided if a Change in Control occurs within 3 months following the Qualified Termination (provided that in no event will the Executive’s stock options or similar equity awards remain outstanding beyond the equity award’s maximum term to expiration). In that case, if no Change in Control occurs within 3 months following a Qualified Termination, any unvested portion of the Executive’s equity awards automatically will be forfeited permanently on the 3-month anniversary of the Qualified Termination without having vested.</w:t>
      </w:r>
    </w:p>
    <w:p>
      <w:pPr>
        <w:pStyle w:val="TextBody"/>
        <w:bidi w:val="0"/>
        <w:spacing w:lineRule="auto" w:line="288" w:before="244"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other than a Qualified Termination</w:t>
      </w:r>
      <w:r>
        <w:rPr>
          <w:rFonts w:ascii="Times New Roman;serif" w:hAnsi="Times New Roman;serif"/>
          <w:b w:val="false"/>
          <w:color w:val="000000"/>
          <w:sz w:val="24"/>
        </w:rPr>
        <w:t>. If the termination of Executive’s employment with the Company Group is not a Qualified Termination, then the Executive will not be eligible to receive severance or other benefits.</w:t>
      </w:r>
    </w:p>
    <w:p>
      <w:pPr>
        <w:pStyle w:val="TextBody"/>
        <w:bidi w:val="0"/>
        <w:spacing w:lineRule="auto" w:line="288" w:before="238"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Conditions to Receipt of Health Benefit</w:t>
      </w:r>
      <w:r>
        <w:rPr>
          <w:rFonts w:ascii="Times New Roman;serif" w:hAnsi="Times New Roman;serif"/>
          <w:b w:val="false"/>
          <w:color w:val="000000"/>
          <w:sz w:val="24"/>
        </w:rPr>
        <w:t>. To the extent the Executive is covered under the Company’s U.S. health plans as of the time of the Executive’s Qualified Termination, the Executive’s receipt of the Health Benefit is subject to the Executive electing COBRA continuation coverage within the time period prescribed pursuant to COBRA for the Executive and the Executive’s eligible dependents. If the Company determines in its sole discretion that it cannot provide the Health Benefit without potentially violating, or being subject to an excise tax under, applicable law (including, without limitation, Section 2716 of the Public Health Service Act),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- 2 -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jc w:val="both"/>
        <w:rPr/>
      </w:pPr>
      <w:r>
        <w:rPr>
          <w:rFonts w:ascii="Times New Roman;serif" w:hAnsi="Times New Roman;serif"/>
          <w:b w:val="false"/>
          <w:color w:val="000000"/>
          <w:sz w:val="24"/>
        </w:rPr>
        <w:t>the Company will in lieu thereof provide to the Executive a taxable monthly payment payable on the Company’s regularly scheduled payroll dates (except as provided by the following sentence), in an amount equal to the monthly COBRA premium that the Executive would be required to pay to continue Executive’s group health coverage in effect on the date of Executive’s Qualified Termination (which amount will be based on the rates then in effect for active employees, subject to any subsequent changes in rates that are generally applicable to the Company’s active employees) (each, a “</w:t>
      </w:r>
      <w:r>
        <w:rPr>
          <w:rFonts w:ascii="Times New Roman;serif" w:hAnsi="Times New Roman;serif"/>
          <w:b/>
          <w:color w:val="000000"/>
          <w:sz w:val="24"/>
        </w:rPr>
        <w:t>Health Replacement Payment</w:t>
      </w:r>
      <w:r>
        <w:rPr>
          <w:color w:val="000000"/>
        </w:rPr>
        <w:t>”</w:t>
      </w:r>
      <w:r>
        <w:rPr>
          <w:rFonts w:ascii="Times New Roman;serif" w:hAnsi="Times New Roman;serif"/>
          <w:b w:val="false"/>
          <w:color w:val="000000"/>
          <w:sz w:val="24"/>
        </w:rPr>
        <w:t>), which Health Replacement Payments will be made regardless of whether the Executive elects COBRA continuation coverage and will end on the earlier of (x) the date upon which the Executive obtains other employment or (y) the date the Company has paid an amount totaling the number of Health Replacement Payments equal to the number of months in the applicable Health Benefit period. For the avoidance of doubt, the Health Replacement Payments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Health Replacement Payments without violating applicable law (including, without limitation, Section 2716 of the Public Health Service Act), the Executive will not receive the Health Replacement Payments or any further Health Benefit.</w:t>
      </w:r>
    </w:p>
    <w:p>
      <w:pPr>
        <w:pStyle w:val="TextBody"/>
        <w:bidi w:val="0"/>
        <w:spacing w:lineRule="auto" w:line="288" w:before="240" w:after="283"/>
        <w:ind w:left="0" w:right="0" w:firstLine="1441"/>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Non-Duplication of Payment or Benefits</w:t>
      </w:r>
      <w:r>
        <w:rPr>
          <w:rFonts w:ascii="Times New Roman;serif" w:hAnsi="Times New Roman;serif"/>
          <w:b w:val="false"/>
          <w:color w:val="000000"/>
          <w:sz w:val="24"/>
        </w:rPr>
        <w:t xml:space="preserve">. If (i) the Executive’s Qualified Termination occurs prior to a Change in Control that qualifies Executive for severance payments and benefits under Section 3(a) </w:t>
      </w:r>
      <w:r>
        <w:rPr>
          <w:rFonts w:ascii="Times New Roman;serif" w:hAnsi="Times New Roman;serif"/>
          <w:b w:val="false"/>
          <w:color w:val="000000"/>
          <w:sz w:val="24"/>
          <w:u w:val="single"/>
        </w:rPr>
        <w:t>and</w:t>
      </w:r>
      <w:r>
        <w:rPr>
          <w:color w:val="000000"/>
        </w:rPr>
        <w:t xml:space="preserve"> </w:t>
      </w:r>
      <w:r>
        <w:rPr>
          <w:rFonts w:ascii="Times New Roman;serif" w:hAnsi="Times New Roman;serif"/>
          <w:b w:val="false"/>
          <w:color w:val="000000"/>
          <w:sz w:val="24"/>
        </w:rPr>
        <w:t>(ii) a Change in Control occurs within the 3-month period following Executive’s Qualified Termination that qualifies Executive for severance payments and benefits under Section 3(b), then (A) the Executive will cease receiving any further payments or benefits under Section 3(a) and (B) the Executive will receive the payments and benefits under Section 3(b) instead but each of the payments and benefits otherwise payable under Section 3(b) will be offset by the corresponding payments or benefits the Executive already received under Section 3(a). Notwithstanding any provision of this Agreement to the contrary, if the Executive is entitled to any cash severance, continued health coverage benefits, or vesting acceleration of any equity awards (other than under this Agreement) by operation of applicable law or under a plan, policy, contract, or arrangement sponsored by or to which any member of the Company Group is a party in connection with the Executive’s separation (“</w:t>
      </w:r>
      <w:r>
        <w:rPr>
          <w:rFonts w:ascii="Times New Roman;serif" w:hAnsi="Times New Roman;serif"/>
          <w:b/>
          <w:color w:val="000000"/>
          <w:sz w:val="24"/>
        </w:rPr>
        <w:t>Other Benefits</w:t>
      </w:r>
      <w:r>
        <w:rPr>
          <w:color w:val="000000"/>
        </w:rPr>
        <w:t>”</w:t>
      </w:r>
      <w:r>
        <w:rPr>
          <w:rFonts w:ascii="Times New Roman;serif" w:hAnsi="Times New Roman;serif"/>
          <w:b w:val="false"/>
          <w:color w:val="000000"/>
          <w:sz w:val="24"/>
        </w:rPr>
        <w:t>), then the corresponding severance payments and benefits under this Agreement will be reduced by the amount of Other Benefits paid or provided to the Executive.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Death of the Executive</w:t>
      </w:r>
      <w:r>
        <w:rPr>
          <w:rFonts w:ascii="Times New Roman;serif" w:hAnsi="Times New Roman;serif"/>
          <w:b w:val="false"/>
          <w:color w:val="000000"/>
          <w:sz w:val="24"/>
        </w:rPr>
        <w:t>. If the Executive dies before all payments or benefits the Executive is entitled to receive under this Agreement have been paid, the unpaid amounts will be paid to the Executive’s designated beneficiary, if living, or otherwise to the Executive’s personal representative in a lump-sum payment as soon as possible following the Executive’s death.</w:t>
      </w:r>
    </w:p>
    <w:p>
      <w:pPr>
        <w:pStyle w:val="TextBody"/>
        <w:bidi w:val="0"/>
        <w:spacing w:lineRule="auto" w:line="288" w:before="242"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Transfer between the Company Group</w:t>
      </w:r>
      <w:r>
        <w:rPr>
          <w:rFonts w:ascii="Times New Roman;serif" w:hAnsi="Times New Roman;serif"/>
          <w:b w:val="false"/>
          <w:color w:val="000000"/>
          <w:sz w:val="24"/>
        </w:rPr>
        <w:t>. For purposes of this Agreement, if the Executive is involuntarily transferred from one member of the Company Group to another, the transfer will not be a termination without Cause but may give the Executive the ability to resign for Good Reason, subject to Section 7(k).</w:t>
      </w:r>
    </w:p>
    <w:p>
      <w:pPr>
        <w:pStyle w:val="TextBody"/>
        <w:bidi w:val="0"/>
        <w:spacing w:before="0" w:after="0"/>
        <w:jc w:val="left"/>
        <w:rPr/>
      </w:pPr>
      <w:r>
        <w:rPr/>
      </w:r>
    </w:p>
    <w:p>
      <w:pPr>
        <w:pStyle w:val="TextBody"/>
        <w:bidi w:val="0"/>
        <w:spacing w:before="38"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Exclusive Remedy</w:t>
      </w:r>
      <w:r>
        <w:rPr>
          <w:rFonts w:ascii="Times New Roman;serif" w:hAnsi="Times New Roman;serif"/>
          <w:b w:val="false"/>
          <w:color w:val="000000"/>
          <w:sz w:val="24"/>
        </w:rPr>
        <w:t>. In the event of a termination of the Executive’s employment with the Company Group, the provisions of this Agreement are intended to be and are exclusive and in lieu of any other rights or remedies to which the Executive may otherwise be entitled, whether at law, tort or contract, or in equity. The Executive will be entitled to no benefits, compensation or other payments or rights upon termination of employment other than those benefits expressly set forth in this Agreement, subject to applicable law.</w:t>
      </w:r>
    </w:p>
    <w:p>
      <w:pPr>
        <w:pStyle w:val="TextBody"/>
        <w:bidi w:val="0"/>
        <w:spacing w:lineRule="auto" w:line="288" w:before="240" w:after="283"/>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Accrued Compensation</w:t>
      </w:r>
      <w:r>
        <w:rPr>
          <w:rFonts w:ascii="Times New Roman;serif" w:hAnsi="Times New Roman;serif"/>
          <w:b w:val="false"/>
          <w:color w:val="000000"/>
          <w:sz w:val="24"/>
        </w:rPr>
        <w:t>. On any termination of the Executive’s employment with the Company Group, the Executive will be entitled to receive all accrued but unpaid vacation (if any), expense reimbursements, wages, and other benefits due to the Executive under any Company-provided plans, policies, and arrangements. For the avoidance of doubt, receipt of accrued compensation is not subject to the Release Requirement discussed in Section 5(a).</w:t>
      </w:r>
    </w:p>
    <w:p>
      <w:pPr>
        <w:pStyle w:val="TextBody"/>
        <w:bidi w:val="0"/>
        <w:spacing w:lineRule="auto" w:line="288" w:before="241" w:after="283"/>
        <w:ind w:left="0" w:right="0" w:hanging="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Conditions to Receipt of Severance</w:t>
      </w:r>
      <w:r>
        <w:rPr>
          <w:rFonts w:ascii="Times New Roman;serif" w:hAnsi="Times New Roman;serif"/>
          <w:b w:val="false"/>
          <w:color w:val="000000"/>
          <w:sz w:val="24"/>
        </w:rPr>
        <w:t>.</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Separation Agreement and Release of Claims</w:t>
      </w:r>
      <w:r>
        <w:rPr>
          <w:rFonts w:ascii="Times New Roman;serif" w:hAnsi="Times New Roman;serif"/>
          <w:b w:val="false"/>
          <w:color w:val="000000"/>
          <w:sz w:val="24"/>
        </w:rPr>
        <w:t>. The Executive’s receipt of any severance payments or benefits upon the Executive’s Qualified Termination under Section 3 is subject to the Executive signing and not revoking the Company’s then-standard separation agreement and release of claims (which may include an agreement not to disparage any member of the Company Group, a confidentiality clause, non-solicit provisions, an agreement to assist in any litigation matters, and other standard terms and conditions) (the “</w:t>
      </w:r>
      <w:r>
        <w:rPr>
          <w:rFonts w:ascii="Times New Roman;serif" w:hAnsi="Times New Roman;serif"/>
          <w:b/>
          <w:color w:val="000000"/>
          <w:sz w:val="24"/>
        </w:rPr>
        <w:t>Release</w:t>
      </w:r>
      <w:r>
        <w:rPr>
          <w:color w:val="000000"/>
        </w:rPr>
        <w:t xml:space="preserve">” </w:t>
      </w:r>
      <w:r>
        <w:rPr>
          <w:rFonts w:ascii="Times New Roman;serif" w:hAnsi="Times New Roman;serif"/>
          <w:b w:val="false"/>
          <w:color w:val="000000"/>
          <w:sz w:val="24"/>
        </w:rPr>
        <w:t>and that requirement, the “</w:t>
      </w:r>
      <w:r>
        <w:rPr>
          <w:rFonts w:ascii="Times New Roman;serif" w:hAnsi="Times New Roman;serif"/>
          <w:b/>
          <w:color w:val="000000"/>
          <w:sz w:val="24"/>
        </w:rPr>
        <w:t>Release Requirement</w:t>
      </w:r>
      <w:r>
        <w:rPr>
          <w:color w:val="000000"/>
        </w:rPr>
        <w:t>”</w:t>
      </w:r>
      <w:r>
        <w:rPr>
          <w:rFonts w:ascii="Times New Roman;serif" w:hAnsi="Times New Roman;serif"/>
          <w:b w:val="false"/>
          <w:color w:val="000000"/>
          <w:sz w:val="24"/>
        </w:rPr>
        <w:t>), which must become effective and irrevocable no later than the 60th day following the Executive’s Qualified Termination (the “</w:t>
      </w:r>
      <w:r>
        <w:rPr>
          <w:rFonts w:ascii="Times New Roman;serif" w:hAnsi="Times New Roman;serif"/>
          <w:b/>
          <w:color w:val="000000"/>
          <w:sz w:val="24"/>
        </w:rPr>
        <w:t>Release Deadline</w:t>
      </w:r>
      <w:r>
        <w:rPr>
          <w:color w:val="000000"/>
        </w:rPr>
        <w:t>”</w:t>
      </w:r>
      <w:r>
        <w:rPr>
          <w:rFonts w:ascii="Times New Roman;serif" w:hAnsi="Times New Roman;serif"/>
          <w:b w:val="false"/>
          <w:color w:val="000000"/>
          <w:sz w:val="24"/>
        </w:rPr>
        <w:t>). If the Release does not become effective and irrevocable by the Release Deadline, the Executive will forfeit any right to severance payments or benefits under Section 3. In no event will severance payments or benefits under Section 3 be earned or provided until the Release actually becomes effective and irrevocable. If earned, none of the severance payments and benefits payable upon the Executive’s Qualified Termination under Section 3 will be paid or otherwise provided prior to the 60th day following the Executive’s Qualified Termination except that the vesting of options or stock appreciation rights under Section 3(a)(iii) or Section 3(b)(iv) will occur on the date the Release becomes effective and irrevocable. Except with respect to (1) the extent that payments are delayed under Section 5(c), or (2) the timing of vesting or settlement of equity awards under Section 3(a)(iii) or Section 3(b)(iv) or as provided herein, on the first regular payroll pay day following the 60th day following the Executive’s Qualified Termination, the Company will pay or provide the Executive the severance payments and benefits that the Executive would otherwise have received under Section 3 on or prior to that date, with the balance of the severance payments and benefits being paid or provided as originally scheduled.</w:t>
      </w:r>
    </w:p>
    <w:p>
      <w:pPr>
        <w:pStyle w:val="TextBody"/>
        <w:bidi w:val="0"/>
        <w:spacing w:lineRule="auto" w:line="288" w:before="242" w:after="283"/>
        <w:ind w:left="0" w:right="0" w:firstLine="1441"/>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Return of Company Property</w:t>
      </w:r>
      <w:r>
        <w:rPr>
          <w:rFonts w:ascii="Times New Roman;serif" w:hAnsi="Times New Roman;serif"/>
          <w:b w:val="false"/>
          <w:color w:val="000000"/>
          <w:sz w:val="24"/>
        </w:rPr>
        <w:t>. The Executive’s receipt of any severance payments or benefits upon the Executive’s Qualified Termination under Section 3 is subject to the Executive having returned all documents and other property provided to Executive by any member of the Company Group (with the exception of a copy of the Employee Handbook and personnel documents specifically relating to Executive), developed or obtained by Executive in connection with Executive’s employment with the Company Group, or otherwise belonging to the Company Group, by no later than 10 days following the date of the Qualified Termination.</w:t>
      </w:r>
    </w:p>
    <w:p>
      <w:pPr>
        <w:pStyle w:val="TextBody"/>
        <w:bidi w:val="0"/>
        <w:spacing w:before="75" w:after="283"/>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- 4 -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ind w:left="0" w:right="0" w:firstLine="1441"/>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Section 409A</w:t>
      </w:r>
      <w:r>
        <w:rPr>
          <w:rFonts w:ascii="Times New Roman;serif" w:hAnsi="Times New Roman;serif"/>
          <w:b w:val="false"/>
          <w:color w:val="000000"/>
          <w:sz w:val="24"/>
        </w:rPr>
        <w:t>. The Company intends that all payments and benefits provided under this Agreement or otherwise are exempt from, or comply with, the requirements of Section 409A of the Code and any guidance promulgated under Section 409A of the Code (collectively, “</w:t>
      </w:r>
      <w:r>
        <w:rPr>
          <w:rFonts w:ascii="Times New Roman;serif" w:hAnsi="Times New Roman;serif"/>
          <w:b/>
          <w:color w:val="000000"/>
          <w:sz w:val="24"/>
        </w:rPr>
        <w:t>Section 409A</w:t>
      </w:r>
      <w:r>
        <w:rPr>
          <w:color w:val="000000"/>
        </w:rPr>
        <w:t>”</w:t>
      </w:r>
      <w:r>
        <w:rPr>
          <w:rFonts w:ascii="Times New Roman;serif" w:hAnsi="Times New Roman;serif"/>
          <w:b w:val="false"/>
          <w:color w:val="000000"/>
          <w:sz w:val="24"/>
        </w:rPr>
        <w:t>) so that none of the payments or benefits will be subject to the additional tax imposed under Section 409A, and any ambiguities in this Agreement will be interpreted in accordance with this intent. No payment or benefits to be paid to the Executive, if any, under this Agreement or otherwise, when considered together with any other severance payments or separation benefits that are considered deferred compensation under Section 409A (together, the “</w:t>
      </w:r>
      <w:r>
        <w:rPr>
          <w:rFonts w:ascii="Times New Roman;serif" w:hAnsi="Times New Roman;serif"/>
          <w:b/>
          <w:color w:val="000000"/>
          <w:sz w:val="24"/>
        </w:rPr>
        <w:t>Deferred Payments</w:t>
      </w:r>
      <w:r>
        <w:rPr>
          <w:color w:val="000000"/>
        </w:rPr>
        <w:t>”</w:t>
      </w:r>
      <w:r>
        <w:rPr>
          <w:rFonts w:ascii="Times New Roman;serif" w:hAnsi="Times New Roman;serif"/>
          <w:b w:val="false"/>
          <w:color w:val="000000"/>
          <w:sz w:val="24"/>
        </w:rPr>
        <w:t>) will be paid or otherwise provided until the Executive has a “separation from service” within the meaning of Section 409A. If, at the time of the Executive’s termination of employment, the Executive is a “specified employee” within the meaning of Section 409A, then the payment of the Deferred Payments will be delayed to the extent necessary to avoid the imposition of the additional tax imposed under Section 409A, which generally means that the Executive will receive payment on the first payroll date that occurs on or after the date that is 6 months and 1 day following the Executive’s termination of employment. The Company reserves the right to amend this Agreement as it considers necessary or advisable, in its sole discretion and without the consent of the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U.S. Treasury Regulation Section 1.409A-2(b)(2). In no event will any member of the Company Group have any liability or obligation to reimburse, indemnify or hold harmless the Executive for any taxes, penalties and interest that may be imposed, or other costs that may be incurred, on the Executive as a result of Section 409A.</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Confidential Information Agreement</w:t>
      </w:r>
      <w:r>
        <w:rPr>
          <w:rFonts w:ascii="Times New Roman;serif" w:hAnsi="Times New Roman;serif"/>
          <w:b w:val="false"/>
          <w:color w:val="000000"/>
          <w:sz w:val="24"/>
        </w:rPr>
        <w:t>. The Executive’s receipt of any severance payments or benefits upon the Executive’s Qualified Termination under Section 3 is subject to the Executive continuing to comply with the terms of any confidential information agreement executed by Executive in favor of the Company and the provisions of this Agreement. In the event the Executive breaches the provisions of this Section 5(d), all continuing payments and benefits to which the Executive may otherwise be entitled to pursuant to Section 3 will immediately cease.</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Resignation of Officer and Director Positions</w:t>
      </w:r>
      <w:r>
        <w:rPr>
          <w:rFonts w:ascii="Times New Roman;serif" w:hAnsi="Times New Roman;serif"/>
          <w:b w:val="false"/>
          <w:color w:val="000000"/>
          <w:sz w:val="24"/>
        </w:rPr>
        <w:t>. The Executive’s receipt of any severance payments or benefits upon the Executive’s Qualified Termination under Section 3 is subject to the Executive having resigned from all officer and director positions with all members of the Company Group and Executive executing any documents the Company may require in connection with the same.</w:t>
      </w:r>
    </w:p>
    <w:p>
      <w:pPr>
        <w:pStyle w:val="TextBody"/>
        <w:bidi w:val="0"/>
        <w:spacing w:lineRule="auto" w:line="288" w:before="240" w:after="283"/>
        <w:ind w:left="0" w:right="0" w:hanging="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Limitation on Payments</w:t>
      </w:r>
      <w:r>
        <w:rPr>
          <w:rFonts w:ascii="Times New Roman;serif" w:hAnsi="Times New Roman;serif"/>
          <w:b w:val="false"/>
          <w:color w:val="000000"/>
          <w:sz w:val="24"/>
        </w:rPr>
        <w:t>.</w:t>
      </w:r>
    </w:p>
    <w:p>
      <w:pPr>
        <w:pStyle w:val="TextBody"/>
        <w:bidi w:val="0"/>
        <w:spacing w:lineRule="auto" w:line="288" w:before="244"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Reduction of Severance Benefits</w:t>
      </w:r>
      <w:r>
        <w:rPr>
          <w:rFonts w:ascii="Times New Roman;serif" w:hAnsi="Times New Roman;serif"/>
          <w:b w:val="false"/>
          <w:color w:val="000000"/>
          <w:sz w:val="24"/>
        </w:rPr>
        <w:t>. If any payment or benefit that the Executive would receive from any Company Group member or any other party whether in connection with the provisions in this Agreement or otherwise (the “</w:t>
      </w:r>
      <w:r>
        <w:rPr>
          <w:rFonts w:ascii="Times New Roman;serif" w:hAnsi="Times New Roman;serif"/>
          <w:b/>
          <w:color w:val="000000"/>
          <w:sz w:val="24"/>
        </w:rPr>
        <w:t>Payment</w:t>
      </w:r>
      <w:r>
        <w:rPr>
          <w:color w:val="000000"/>
        </w:rPr>
        <w:t>”</w:t>
      </w:r>
      <w:r>
        <w:rPr>
          <w:rFonts w:ascii="Times New Roman;serif" w:hAnsi="Times New Roman;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erif" w:hAnsi="Times New Roman;serif"/>
          <w:b/>
          <w:color w:val="000000"/>
          <w:sz w:val="24"/>
        </w:rPr>
        <w:t>Excise Tax</w:t>
      </w:r>
      <w:r>
        <w:rPr>
          <w:color w:val="000000"/>
        </w:rPr>
        <w:t>”</w:t>
      </w:r>
      <w:r>
        <w:rPr>
          <w:rFonts w:ascii="Times New Roman;serif" w:hAnsi="Times New Roman;serif"/>
          <w:b w:val="false"/>
          <w:color w:val="000000"/>
          <w:sz w:val="24"/>
        </w:rPr>
        <w:t>), then the Payment will be equal to the Best Results Amount. The “</w:t>
      </w:r>
      <w:r>
        <w:rPr>
          <w:rFonts w:ascii="Times New Roman;serif" w:hAnsi="Times New Roman;serif"/>
          <w:b/>
          <w:color w:val="000000"/>
          <w:sz w:val="24"/>
        </w:rPr>
        <w:t>Best Results Amount</w:t>
      </w:r>
      <w:r>
        <w:rPr>
          <w:color w:val="000000"/>
        </w:rPr>
        <w:t xml:space="preserve">” </w:t>
      </w:r>
      <w:r>
        <w:rPr>
          <w:rFonts w:ascii="Times New Roman;serif" w:hAnsi="Times New Roman;serif"/>
          <w:b w:val="false"/>
          <w:color w:val="000000"/>
          <w:sz w:val="24"/>
        </w:rPr>
        <w:t>will be either (x) the full amount of</w:t>
      </w:r>
    </w:p>
    <w:p>
      <w:pPr>
        <w:pStyle w:val="TextBody"/>
        <w:bidi w:val="0"/>
        <w:spacing w:before="74" w:after="283"/>
        <w:jc w:val="center"/>
        <w:rPr/>
      </w:pPr>
      <w:r>
        <w:rPr/>
      </w:r>
    </w:p>
    <w:p>
      <w:pPr>
        <w:pStyle w:val="TextBody"/>
        <w:bidi w:val="0"/>
        <w:spacing w:lineRule="auto" w:line="240"/>
        <w:jc w:val="center"/>
        <w:rPr>
          <w:rFonts w:ascii="Times New Roman;serif" w:hAnsi="Times New Roman;serif"/>
          <w:b w:val="false"/>
          <w:color w:val="000000"/>
          <w:sz w:val="24"/>
        </w:rPr>
      </w:pPr>
      <w:r>
        <w:rPr>
          <w:rFonts w:ascii="Times New Roman;serif" w:hAnsi="Times New Roman;serif"/>
          <w:b w:val="false"/>
          <w:color w:val="000000"/>
          <w:sz w:val="24"/>
        </w:rPr>
        <w:t>- 5 -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jc w:val="both"/>
        <w:rPr>
          <w:rFonts w:ascii="Times New Roman;serif" w:hAnsi="Times New Roman;serif"/>
          <w:b w:val="false"/>
          <w:color w:val="000000"/>
          <w:sz w:val="24"/>
        </w:rPr>
      </w:pPr>
      <w:r>
        <w:rPr>
          <w:rFonts w:ascii="Times New Roman;serif" w:hAnsi="Times New Roman;serif"/>
          <w:b w:val="false"/>
          <w:color w:val="000000"/>
          <w:sz w:val="24"/>
        </w:rPr>
        <w:t>the Payment or (y) a lesser amount that would result in no portion of the Payment being subject to the Excise Tax, whichever of those amounts, taking into account the applicable federal, state and local employment taxes, income taxes and the Excise Tax, results in the Executive’s receipt, on an after-tax basis, of the greater amount. If a reduction in payments or benefits constituting parachute payments is necessary so that the Payment equals the Best Results Amount, reduction will occur in the following order: (A) reduction of cash payments in reverse chronological order (that is, the cash payment owed on the latest date following the occurrence of the event triggering the excise tax will be the first cash payment to be reduced); (B) cancellation of equity awards that were granted “contingent on a change in ownership or control” within the meaning of Section 280G of the Code in the reverse order of date of grant of the awards (that is, the most recently granted equity awards will be cancelled first); (C) reduction of the accelerated vesting of Equity Awards in the reverse order of date of grant of the awards (that is, the vesting of the most recently granted equity awards will be cancelled first); and (D) reduction of employee benefits in reverse chronological order (that is, the benefit owed on the latest date following the occurrence of the event triggering the excise tax will be the first benefit to be reduced). In no event will the Executive have any discretion with respect to the ordering of Payment reductions. The Executive will be solely responsible for the payment of all personal tax liability that is incurred as a result of the payments and benefits received under this Agreement, and the Executive will not be reimbursed, indemnified, or held harmless by any member of the Company Group for any of those payments of personal tax liability.</w:t>
      </w:r>
    </w:p>
    <w:p>
      <w:pPr>
        <w:pStyle w:val="TextBody"/>
        <w:bidi w:val="0"/>
        <w:spacing w:lineRule="auto" w:line="288" w:before="239" w:after="283"/>
        <w:ind w:left="0" w:right="0" w:firstLine="1441"/>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Determination of Excise Tax Liability</w:t>
      </w:r>
      <w:r>
        <w:rPr>
          <w:rFonts w:ascii="Times New Roman;serif" w:hAnsi="Times New Roman;serif"/>
          <w:b w:val="false"/>
          <w:color w:val="000000"/>
          <w:sz w:val="24"/>
        </w:rPr>
        <w:t>. Unless the Company and the Executive otherwise agree in writing, the Company will select a professional services firm (the “</w:t>
      </w:r>
      <w:r>
        <w:rPr>
          <w:rFonts w:ascii="Times New Roman;serif" w:hAnsi="Times New Roman;serif"/>
          <w:b/>
          <w:color w:val="000000"/>
          <w:sz w:val="24"/>
        </w:rPr>
        <w:t>Firm</w:t>
      </w:r>
      <w:r>
        <w:rPr>
          <w:color w:val="000000"/>
        </w:rPr>
        <w:t>”</w:t>
      </w:r>
      <w:r>
        <w:rPr>
          <w:rFonts w:ascii="Times New Roman;serif" w:hAnsi="Times New Roman;serif"/>
          <w:b w:val="false"/>
          <w:color w:val="000000"/>
          <w:sz w:val="24"/>
        </w:rPr>
        <w:t>) to make all of the determinations required to be made under this Section 6. The Company will request that the Firm provide detailed supporting calculations both to the Company and the Executive prior to the date on which the event that triggers the Payment occurs if administratively feasible, or subsequent to that date if events occur that result in parachute payments to the Executive at that time. For purposes of making the calculations required by this Section 6, the Firm may make reasonable assumptions and approximations concerning applicable taxes and may rely on reasonable, good faith determinations concerning the application of the Code. The Company and the Executive will furnish to the Firm any information and documents as the Firm may reasonably request in order to make a determination under this Section 6. The Company will bear all costs the Firm may reasonably incur in connection with any calculations contemplated by this Section 6. Any determination by the Firm will be binding upon the Company and the Executive, and the Company will have no liability to the Executive for the determinations of the Firm.</w:t>
      </w:r>
    </w:p>
    <w:p>
      <w:pPr>
        <w:pStyle w:val="TextBody"/>
        <w:bidi w:val="0"/>
        <w:spacing w:lineRule="auto" w:line="288" w:before="242" w:after="283"/>
        <w:ind w:left="0" w:right="0" w:hanging="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Definitions</w:t>
      </w:r>
      <w:r>
        <w:rPr>
          <w:rFonts w:ascii="Times New Roman;serif" w:hAnsi="Times New Roman;serif"/>
          <w:b w:val="false"/>
          <w:color w:val="000000"/>
          <w:sz w:val="24"/>
        </w:rPr>
        <w:t>. The following terms referred to in this Agreement will have the following meanings:</w:t>
      </w:r>
    </w:p>
    <w:p>
      <w:pPr>
        <w:pStyle w:val="TextBody"/>
        <w:bidi w:val="0"/>
        <w:spacing w:lineRule="auto" w:line="288" w:before="238" w:after="283"/>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Base Salary</w:t>
      </w:r>
      <w:r>
        <w:rPr>
          <w:color w:val="000000"/>
        </w:rPr>
        <w:t xml:space="preserve">” </w:t>
      </w:r>
      <w:r>
        <w:rPr>
          <w:rFonts w:ascii="Times New Roman;serif" w:hAnsi="Times New Roman;serif"/>
          <w:b w:val="false"/>
          <w:color w:val="000000"/>
          <w:sz w:val="24"/>
        </w:rPr>
        <w:t>means the Executive’s annual base salary as in effect immediately prior to the Executive’s Qualified Termination (or if the termination is due to a resignation for Good Reason based on a material reduction in base salary, then the Executive’s annual base salary in effect immediately prior to the reduction) or, if the Executive’s Qualified Termination is a CIC Qualified Termination and the amount is greater, at the level in effect immediately prior to the Change in Control.</w:t>
      </w:r>
    </w:p>
    <w:p>
      <w:pPr>
        <w:pStyle w:val="TextBody"/>
        <w:bidi w:val="0"/>
        <w:spacing w:lineRule="auto" w:line="288" w:before="245" w:after="283"/>
        <w:ind w:left="0" w:right="0" w:firstLine="1440"/>
        <w:jc w:val="left"/>
        <w:rPr/>
      </w:pPr>
      <w:r>
        <w:rPr>
          <w:rFonts w:ascii="Times New Roman;serif" w:hAnsi="Times New Roman;serif"/>
          <w:b w:val="false"/>
          <w:color w:val="000000"/>
          <w:sz w:val="24"/>
        </w:rPr>
        <w:t>(b)</w:t>
      </w:r>
      <w:r>
        <w:rPr>
          <w:color w:val="000000"/>
        </w:rPr>
        <w:t>“</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means the Company’s Board of Directors.</w:t>
      </w:r>
    </w:p>
    <w:p>
      <w:pPr>
        <w:pStyle w:val="TextBody"/>
        <w:bidi w:val="0"/>
        <w:spacing w:lineRule="auto" w:line="288" w:before="73" w:after="283"/>
        <w:jc w:val="center"/>
        <w:rPr>
          <w:rFonts w:ascii="Times New Roman;serif" w:hAnsi="Times New Roman;serif"/>
          <w:b w:val="false"/>
          <w:color w:val="000000"/>
          <w:sz w:val="24"/>
        </w:rPr>
      </w:pPr>
      <w:r>
        <w:rPr>
          <w:rFonts w:ascii="Times New Roman;serif" w:hAnsi="Times New Roman;serif"/>
          <w:b w:val="false"/>
          <w:color w:val="000000"/>
          <w:sz w:val="24"/>
        </w:rPr>
        <w:t>- 6 -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ind w:left="0" w:right="0" w:firstLine="144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means the occurrence of any of the following: (i) any willful, material violation by the Executive of any law or regulation applicable to the business of any Company Group member, the Executive’s conviction for, or plea of guilty or no contest to, a felony or a crime involving moral turpitude, or any willful perpetration by the Executive of a common law fraud, (ii) the Executive’s commission of an act of personal dishonesty which involves personal profit in connection with any Company Group member or any other entity having a business relationship with any Company Group member, (iii) any material breach by the Executive of any provision of any agreement or understanding between any Company Group member and the Executive regarding the terms of the Executive’s service as an employee, officer, director or consultant to any Company Group member, including without limitation, the willful and continued failure or refusal of the Executive to perform the material duties required of the Executive as an employee, officer, director or consultant of any Company Group member, other than as a result of having a Disability, or a breach of any applicable invention assignment and confidentiality agreement or similar agreement between any Company Group member and the Executive, (iv) the Executive’s disregard of the policies of any Company Group member so as to cause loss, damage or injury to the property, reputation or employees of any Company Group member, or (v) any other misconduct by the Executive which is materially injurious to the financial condition or business reputation of, or is otherwise materially injurious to, any Company Group member. For (iii) to be triggered, (A) the breach must continue for more than 30 days following written notice by the Company or an Affiliate, (B) the notice must specify in reasonable detail the conduct at issue, and (C) following this cure period, the Company (which, outside the Change in Control Period, shall be the Board through a majority vote of the disinterested directors) determines Cause exists.</w:t>
      </w:r>
    </w:p>
    <w:p>
      <w:pPr>
        <w:pStyle w:val="TextBody"/>
        <w:bidi w:val="0"/>
        <w:spacing w:lineRule="auto" w:line="288" w:before="241" w:after="283"/>
        <w:ind w:left="0" w:right="0" w:firstLine="1440"/>
        <w:jc w:val="left"/>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means the occurrence of any of the following events:</w:t>
      </w:r>
    </w:p>
    <w:p>
      <w:pPr>
        <w:pStyle w:val="TextBody"/>
        <w:bidi w:val="0"/>
        <w:spacing w:lineRule="auto" w:line="288" w:before="239" w:after="283"/>
        <w:ind w:left="0" w:right="0" w:firstLine="2296"/>
        <w:jc w:val="both"/>
        <w:rPr/>
      </w:pPr>
      <w:r>
        <w:rPr>
          <w:rFonts w:ascii="Times New Roman;serif" w:hAnsi="Times New Roman;serif"/>
          <w:b w:val="false"/>
          <w:color w:val="000000"/>
          <w:sz w:val="24"/>
        </w:rPr>
        <w:t>(i)A change in the ownership of the Company which occurs on the date that any one person, or more than one person acting as a group (“</w:t>
      </w:r>
      <w:r>
        <w:rPr>
          <w:rFonts w:ascii="Times New Roman;serif" w:hAnsi="Times New Roman;serif"/>
          <w:b/>
          <w:color w:val="000000"/>
          <w:sz w:val="24"/>
        </w:rPr>
        <w:t>Person</w:t>
      </w:r>
      <w:r>
        <w:rPr>
          <w:color w:val="000000"/>
        </w:rPr>
        <w:t>”</w:t>
      </w:r>
      <w:r>
        <w:rPr>
          <w:rFonts w:ascii="Times New Roman;serif" w:hAnsi="Times New Roman;serif"/>
          <w:b w:val="false"/>
          <w:color w:val="000000"/>
          <w:sz w:val="24"/>
        </w:rPr>
        <w:t>), acquires ownership of the stock of the Company that, together with the stock held by such Person, constitutes more than 50% of the total voting power of the stock of the Company; provided, however, that for purposes of this subsection, (A) the acquisition of additional stock by any one Person, who is considered to own more than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lineRule="auto" w:line="288" w:before="240" w:after="283"/>
        <w:ind w:left="0" w:right="0" w:firstLine="2296"/>
        <w:jc w:val="both"/>
        <w:rPr>
          <w:rFonts w:ascii="Times New Roman;serif" w:hAnsi="Times New Roman;serif"/>
          <w:b w:val="false"/>
          <w:color w:val="000000"/>
          <w:sz w:val="24"/>
        </w:rPr>
      </w:pPr>
      <w:r>
        <w:rPr>
          <w:rFonts w:ascii="Times New Roman;serif" w:hAnsi="Times New Roman;serif"/>
          <w:b w:val="false"/>
          <w:color w:val="000000"/>
          <w:sz w:val="24"/>
        </w:rPr>
        <w:t>(ii)A change in the effective control of the Company which occurs on the date that a majority of members of the Board is replaced during any 12-month period by members of the Board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lineRule="auto" w:line="288" w:before="73" w:after="283"/>
        <w:jc w:val="center"/>
        <w:rPr>
          <w:rFonts w:ascii="Times New Roman;serif" w:hAnsi="Times New Roman;serif"/>
          <w:b w:val="false"/>
          <w:color w:val="000000"/>
          <w:sz w:val="24"/>
        </w:rPr>
      </w:pPr>
      <w:r>
        <w:rPr>
          <w:rFonts w:ascii="Times New Roman;serif" w:hAnsi="Times New Roman;serif"/>
          <w:b w:val="false"/>
          <w:color w:val="000000"/>
          <w:sz w:val="24"/>
        </w:rPr>
        <w:t>- 7 -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2296"/>
        <w:jc w:val="both"/>
        <w:rPr>
          <w:rFonts w:ascii="Times New Roman;serif" w:hAnsi="Times New Roman;serif"/>
          <w:b w:val="false"/>
          <w:color w:val="000000"/>
          <w:sz w:val="24"/>
        </w:rPr>
      </w:pPr>
      <w:r>
        <w:rPr>
          <w:rFonts w:ascii="Times New Roman;serif" w:hAnsi="Times New Roman;serif"/>
          <w:b w:val="false"/>
          <w:color w:val="000000"/>
          <w:sz w:val="24"/>
        </w:rPr>
        <w:t>(iii)A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lineRule="auto" w:line="280" w:before="241" w:after="283"/>
        <w:ind w:left="0" w:right="0" w:firstLine="2161"/>
        <w:jc w:val="both"/>
        <w:rPr>
          <w:rFonts w:ascii="Times New Roman;serif" w:hAnsi="Times New Roman;serif"/>
          <w:b w:val="false"/>
          <w:color w:val="000000"/>
          <w:sz w:val="24"/>
        </w:rPr>
      </w:pPr>
      <w:r>
        <w:rPr>
          <w:rFonts w:ascii="Times New Roman;serif" w:hAnsi="Times New Roman;serif"/>
          <w:b w:val="false"/>
          <w:color w:val="000000"/>
          <w:sz w:val="24"/>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lineRule="auto" w:line="288" w:before="234" w:after="283"/>
        <w:ind w:left="0" w:right="0" w:firstLine="2161"/>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 transaction will not be deemed a Change in Control unless the transaction qualifies as a change in control event within the meaning of Section 409A.</w:t>
      </w:r>
    </w:p>
    <w:p>
      <w:pPr>
        <w:pStyle w:val="TextBody"/>
        <w:bidi w:val="0"/>
        <w:spacing w:lineRule="auto" w:line="288" w:before="238" w:after="283"/>
        <w:ind w:left="0" w:right="0" w:firstLine="2161"/>
        <w:jc w:val="both"/>
        <w:rPr>
          <w:rFonts w:ascii="Times New Roman;serif" w:hAnsi="Times New Roman;serif"/>
          <w:b w:val="false"/>
          <w:color w:val="000000"/>
          <w:sz w:val="24"/>
        </w:rPr>
      </w:pPr>
      <w:r>
        <w:rPr>
          <w:rFonts w:ascii="Times New Roman;serif" w:hAnsi="Times New Roman;serif"/>
          <w:b w:val="false"/>
          <w:color w:val="000000"/>
          <w:sz w:val="24"/>
        </w:rPr>
        <w:t>Further and for the avoidance of doubt, a transaction will not constitute a Change in Control if: (i) its primary purpose is to change the jurisdiction of the Company’s incorporation, or (ii) its primary purpose is to create a holding company that will be owned in substantially the same proportions by the persons who held the Company’s securities immediately before such transaction.</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(e)</w:t>
      </w:r>
      <w:r>
        <w:rPr>
          <w:color w:val="000000"/>
        </w:rPr>
        <w:t>“</w:t>
      </w:r>
      <w:r>
        <w:rPr>
          <w:rFonts w:ascii="Times New Roman;serif" w:hAnsi="Times New Roman;serif"/>
          <w:b/>
          <w:color w:val="000000"/>
          <w:sz w:val="24"/>
        </w:rPr>
        <w:t>Change in Control Period</w:t>
      </w:r>
      <w:r>
        <w:rPr>
          <w:color w:val="000000"/>
        </w:rPr>
        <w:t xml:space="preserve">” </w:t>
      </w:r>
      <w:r>
        <w:rPr>
          <w:rFonts w:ascii="Times New Roman;serif" w:hAnsi="Times New Roman;serif"/>
          <w:b w:val="false"/>
          <w:color w:val="000000"/>
          <w:sz w:val="24"/>
        </w:rPr>
        <w:t>means the period beginning 3 months prior to a Change in Control and ending 12 months following a Change in Control.</w:t>
      </w:r>
    </w:p>
    <w:p>
      <w:pPr>
        <w:pStyle w:val="TextBody"/>
        <w:bidi w:val="0"/>
        <w:spacing w:lineRule="auto" w:line="288" w:before="244" w:after="283"/>
        <w:ind w:left="0" w:right="0" w:firstLine="1440"/>
        <w:jc w:val="left"/>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COBRA</w:t>
      </w:r>
      <w:r>
        <w:rPr>
          <w:color w:val="000000"/>
        </w:rPr>
        <w:t xml:space="preserve">” </w:t>
      </w:r>
      <w:r>
        <w:rPr>
          <w:rFonts w:ascii="Times New Roman;serif" w:hAnsi="Times New Roman;serif"/>
          <w:b w:val="false"/>
          <w:color w:val="000000"/>
          <w:sz w:val="24"/>
        </w:rPr>
        <w:t>means the Consolidated Omnibus Budget Reconciliation Act of 1985, as amended.</w:t>
      </w:r>
    </w:p>
    <w:p>
      <w:pPr>
        <w:pStyle w:val="TextBody"/>
        <w:bidi w:val="0"/>
        <w:spacing w:lineRule="auto" w:line="288" w:before="238" w:after="283"/>
        <w:ind w:left="0" w:right="0" w:firstLine="1440"/>
        <w:jc w:val="left"/>
        <w:rPr/>
      </w:pPr>
      <w:r>
        <w:rPr>
          <w:rFonts w:ascii="Times New Roman;serif" w:hAnsi="Times New Roman;serif"/>
          <w:b w:val="false"/>
          <w:color w:val="000000"/>
          <w:sz w:val="24"/>
        </w:rPr>
        <w:t>(g)</w:t>
      </w: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239" w:after="283"/>
        <w:ind w:left="0" w:right="0" w:firstLine="1440"/>
        <w:jc w:val="left"/>
        <w:rPr/>
      </w:pPr>
      <w:r>
        <w:rPr>
          <w:rFonts w:ascii="Times New Roman;serif" w:hAnsi="Times New Roman;serif"/>
          <w:b w:val="false"/>
          <w:color w:val="000000"/>
          <w:sz w:val="24"/>
        </w:rPr>
        <w:t>(h)</w:t>
      </w:r>
      <w:r>
        <w:rPr>
          <w:color w:val="000000"/>
        </w:rPr>
        <w:t>“</w:t>
      </w:r>
      <w:r>
        <w:rPr>
          <w:rFonts w:ascii="Times New Roman;serif" w:hAnsi="Times New Roman;serif"/>
          <w:b/>
          <w:color w:val="000000"/>
          <w:sz w:val="24"/>
        </w:rPr>
        <w:t>Company Group</w:t>
      </w:r>
      <w:r>
        <w:rPr>
          <w:color w:val="000000"/>
        </w:rPr>
        <w:t xml:space="preserve">” </w:t>
      </w:r>
      <w:r>
        <w:rPr>
          <w:rFonts w:ascii="Times New Roman;serif" w:hAnsi="Times New Roman;serif"/>
          <w:b w:val="false"/>
          <w:color w:val="000000"/>
          <w:sz w:val="24"/>
        </w:rPr>
        <w:t>means the Company and its subsidiaries.</w:t>
      </w:r>
    </w:p>
    <w:p>
      <w:pPr>
        <w:pStyle w:val="TextBody"/>
        <w:bidi w:val="0"/>
        <w:spacing w:lineRule="auto" w:line="280" w:before="240" w:after="283"/>
        <w:ind w:left="0" w:right="0" w:firstLine="1440"/>
        <w:jc w:val="left"/>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means a disability, whether temporary or permanent, partial or total, as determined by the Board or its authorized committee.</w:t>
      </w:r>
    </w:p>
    <w:p>
      <w:pPr>
        <w:pStyle w:val="TextBody"/>
        <w:bidi w:val="0"/>
        <w:spacing w:before="250"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ind w:left="0" w:right="0" w:firstLine="1440"/>
        <w:jc w:val="both"/>
        <w:rPr/>
      </w:pPr>
      <w:r>
        <w:rPr>
          <w:rFonts w:ascii="Times New Roman;serif" w:hAnsi="Times New Roman;serif"/>
          <w:b w:val="false"/>
          <w:color w:val="000000"/>
          <w:sz w:val="24"/>
        </w:rPr>
        <w:t>(j)</w:t>
      </w:r>
      <w:r>
        <w:rPr>
          <w:color w:val="000000"/>
        </w:rPr>
        <w:t>“</w:t>
      </w:r>
      <w:r>
        <w:rPr>
          <w:rFonts w:ascii="Times New Roman;serif" w:hAnsi="Times New Roman;serif"/>
          <w:b/>
          <w:color w:val="000000"/>
          <w:sz w:val="24"/>
        </w:rPr>
        <w:t>Employment Letter</w:t>
      </w:r>
      <w:r>
        <w:rPr>
          <w:color w:val="000000"/>
        </w:rPr>
        <w:t xml:space="preserve">” </w:t>
      </w:r>
      <w:r>
        <w:rPr>
          <w:rFonts w:ascii="Times New Roman;serif" w:hAnsi="Times New Roman;serif"/>
          <w:b w:val="false"/>
          <w:color w:val="000000"/>
          <w:sz w:val="24"/>
        </w:rPr>
        <w:t>means the employment letter between the Company and the Executive dated May 21, 2026 (the “</w:t>
      </w:r>
      <w:r>
        <w:rPr>
          <w:rFonts w:ascii="Times New Roman;serif" w:hAnsi="Times New Roman;serif"/>
          <w:b/>
          <w:color w:val="000000"/>
          <w:sz w:val="24"/>
        </w:rPr>
        <w:t>Employment Letter</w:t>
      </w:r>
      <w:r>
        <w:rPr>
          <w:color w:val="000000"/>
        </w:rPr>
        <w:t>”</w:t>
      </w:r>
      <w:r>
        <w:rPr>
          <w:rFonts w:ascii="Times New Roman;serif" w:hAnsi="Times New Roman;serif"/>
          <w:b w:val="false"/>
          <w:color w:val="000000"/>
          <w:sz w:val="24"/>
        </w:rPr>
        <w:t>).</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(k)</w:t>
      </w:r>
      <w:r>
        <w:rPr>
          <w:color w:val="000000"/>
        </w:rPr>
        <w:t>“</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means the termination of the Executive’s employment with the Company Group by the Executive after the occurrence of one or more of the following events without the Executive’s express written consent: (i) a material reduction of the Executive’s duties, authorities, or responsibilities relative to the Executive’s duties, authorities, or responsibilities in effect immediately prior to the reduction; (ii) a reduction by a Company Group member in the Executive’s rate of annual base salary by more than 20%; provided, however, that, a reduction of annual base salary that also applies to substantially all other similarly situated employees of the Company Group members will not constitute “Good Reason”; (iii) a material change in the geographic location of the Executive’s primary work facility or location by more than 50 miles from the Executive’s then present location; provided, that a relocation to a location that is within 50 miles from the Executive’s then-present primary residence will not be considered a material change in geographic location, or (iv) failure of a successor corporation to assume the obligations under this Agreement as contemplated by Section 8(a).</w:t>
      </w:r>
    </w:p>
    <w:p>
      <w:pPr>
        <w:pStyle w:val="TextBody"/>
        <w:bidi w:val="0"/>
        <w:spacing w:lineRule="auto" w:line="288" w:before="243" w:after="283"/>
        <w:ind w:left="0" w:right="0" w:firstLine="780"/>
        <w:jc w:val="both"/>
        <w:rPr/>
      </w:pPr>
      <w:r>
        <w:rPr>
          <w:rFonts w:ascii="Times New Roman;serif" w:hAnsi="Times New Roman;serif"/>
          <w:b w:val="false"/>
          <w:color w:val="000000"/>
          <w:sz w:val="24"/>
        </w:rPr>
        <w:t>In order for the termination of the Executive’s employment with a Company Group member to be for Good Reason, the Executive must not terminate employment without first providing written notice to the Company of the acts or omissions constituting the grounds for “Good Reason” within 30 days of the initial existence of the grounds for “Good Reason” and a cure period of 30 days following the date of written notice (the “</w:t>
      </w:r>
      <w:r>
        <w:rPr>
          <w:rFonts w:ascii="Times New Roman;serif" w:hAnsi="Times New Roman;serif"/>
          <w:b/>
          <w:color w:val="000000"/>
          <w:sz w:val="24"/>
        </w:rPr>
        <w:t>Cure Period</w:t>
      </w:r>
      <w:r>
        <w:rPr>
          <w:color w:val="000000"/>
        </w:rPr>
        <w:t>”</w:t>
      </w:r>
      <w:r>
        <w:rPr>
          <w:rFonts w:ascii="Times New Roman;serif" w:hAnsi="Times New Roman;serif"/>
          <w:b w:val="false"/>
          <w:color w:val="000000"/>
          <w:sz w:val="24"/>
        </w:rPr>
        <w:t>), the grounds must not have been cured during that time, and the Executive must terminate the Executive’s employment within 30 days following the Cure Period.</w:t>
      </w:r>
    </w:p>
    <w:p>
      <w:pPr>
        <w:pStyle w:val="TextBody"/>
        <w:bidi w:val="0"/>
        <w:spacing w:lineRule="auto" w:line="288" w:before="239" w:after="283"/>
        <w:ind w:left="0" w:right="0" w:firstLine="720"/>
        <w:jc w:val="both"/>
        <w:rPr/>
      </w:pPr>
      <w:r>
        <w:rPr>
          <w:color w:val="000000"/>
        </w:rPr>
        <w:t>“</w:t>
      </w:r>
      <w:r>
        <w:rPr>
          <w:rFonts w:ascii="Times New Roman;serif" w:hAnsi="Times New Roman;serif"/>
          <w:b/>
          <w:color w:val="000000"/>
          <w:sz w:val="24"/>
        </w:rPr>
        <w:t>Qualified Termination</w:t>
      </w:r>
      <w:r>
        <w:rPr>
          <w:color w:val="000000"/>
        </w:rPr>
        <w:t xml:space="preserve">” </w:t>
      </w:r>
      <w:r>
        <w:rPr>
          <w:rFonts w:ascii="Times New Roman;serif" w:hAnsi="Times New Roman;serif"/>
          <w:b w:val="false"/>
          <w:color w:val="000000"/>
          <w:sz w:val="24"/>
        </w:rPr>
        <w:t>means a termination of the Executive’s employment either (i) outside of the Change in Control Period, (A) by a Company Group member without Cause (excluding by reason of Executive’s death or Disability) or (B) by the Executive for Good Reason (a “</w:t>
      </w:r>
      <w:r>
        <w:rPr>
          <w:rFonts w:ascii="Times New Roman;serif" w:hAnsi="Times New Roman;serif"/>
          <w:b/>
          <w:color w:val="000000"/>
          <w:sz w:val="24"/>
        </w:rPr>
        <w:t>Non-CIC Qualified Termination</w:t>
      </w:r>
      <w:r>
        <w:rPr>
          <w:color w:val="000000"/>
        </w:rPr>
        <w:t>”</w:t>
      </w:r>
      <w:r>
        <w:rPr>
          <w:rFonts w:ascii="Times New Roman;serif" w:hAnsi="Times New Roman;serif"/>
          <w:b w:val="false"/>
          <w:color w:val="000000"/>
          <w:sz w:val="24"/>
        </w:rPr>
        <w:t>); or (ii) during the Change in Control Period, (A) by a Company Group Member without Cause (excluding by reason of Executive’s death or Disability), or (B) by the Executive for Good Reason (a “</w:t>
      </w:r>
      <w:r>
        <w:rPr>
          <w:rFonts w:ascii="Times New Roman;serif" w:hAnsi="Times New Roman;serif"/>
          <w:b/>
          <w:color w:val="000000"/>
          <w:sz w:val="24"/>
        </w:rPr>
        <w:t>CIC Qualified Termination</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hanging="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Successors</w:t>
      </w:r>
      <w:r>
        <w:rPr>
          <w:rFonts w:ascii="Times New Roman;serif" w:hAnsi="Times New Roman;serif"/>
          <w:b w:val="false"/>
          <w:color w:val="000000"/>
          <w:sz w:val="24"/>
        </w:rPr>
        <w:t>.</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The Company’s Successors</w:t>
      </w:r>
      <w:r>
        <w:rPr>
          <w:rFonts w:ascii="Times New Roman;serif" w:hAnsi="Times New Roman;serif"/>
          <w:b w:val="false"/>
          <w:color w:val="000000"/>
          <w:sz w:val="24"/>
        </w:rPr>
        <w:t>. Any successor (whether direct or indirect and whether by purchase, merger, consolidation, liquidation or otherwise) to all or substantially all of the Company Group’s business and/or assets must assume the obligations under this Agreement and agree expressly to perform the obligations under this Agreement in the same manner and to the same extent as the Company would be required to perform those obligations in the absence of a succession. For all purposes under this Agreement, the terms “Company” and “Company Group” will include any successor to their business and/or assets which executes and delivers the assumption agreement described in this Section 8(a) or which becomes bound by the terms of this Agreement by operation of law.</w:t>
      </w:r>
    </w:p>
    <w:p>
      <w:pPr>
        <w:pStyle w:val="TextBody"/>
        <w:bidi w:val="0"/>
        <w:spacing w:lineRule="auto" w:line="288" w:before="242" w:after="283"/>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The Executive’s Successors</w:t>
      </w:r>
      <w:r>
        <w:rPr>
          <w:rFonts w:ascii="Times New Roman;serif" w:hAnsi="Times New Roman;serif"/>
          <w:b w:val="false"/>
          <w:color w:val="000000"/>
          <w:sz w:val="24"/>
        </w:rPr>
        <w:t>. The terms of this Agreement and all rights of the Executive under this Agreement will inure to the benefit of, and be enforceable by, the Executive’s</w:t>
      </w:r>
    </w:p>
    <w:p>
      <w:pPr>
        <w:pStyle w:val="TextBody"/>
        <w:bidi w:val="0"/>
        <w:spacing w:before="147" w:after="283"/>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- 9 -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jc w:val="left"/>
        <w:rPr>
          <w:rFonts w:ascii="Times New Roman;serif" w:hAnsi="Times New Roman;serif"/>
          <w:b w:val="false"/>
          <w:color w:val="000000"/>
          <w:sz w:val="24"/>
        </w:rPr>
      </w:pPr>
      <w:r>
        <w:rPr>
          <w:rFonts w:ascii="Times New Roman;serif" w:hAnsi="Times New Roman;serif"/>
          <w:b w:val="false"/>
          <w:color w:val="000000"/>
          <w:sz w:val="24"/>
        </w:rPr>
        <w:t>personal or legal representatives, executors, administrators, successors, heirs, distributees, devisees, and legatees.</w:t>
      </w:r>
    </w:p>
    <w:p>
      <w:pPr>
        <w:pStyle w:val="TextBody"/>
        <w:bidi w:val="0"/>
        <w:spacing w:lineRule="auto" w:line="288" w:before="239" w:after="283"/>
        <w:ind w:left="0" w:right="0" w:hanging="719"/>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Notice</w:t>
      </w:r>
      <w:r>
        <w:rPr>
          <w:rFonts w:ascii="Times New Roman;serif" w:hAnsi="Times New Roman;serif"/>
          <w:b w:val="false"/>
          <w:color w:val="000000"/>
          <w:sz w:val="24"/>
        </w:rPr>
        <w:t>.</w:t>
      </w:r>
    </w:p>
    <w:p>
      <w:pPr>
        <w:pStyle w:val="TextBody"/>
        <w:bidi w:val="0"/>
        <w:spacing w:lineRule="auto" w:line="280" w:before="239"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All notices and other communications required or permitted under this Agreement shall be in writing and will be effectively given (i) upon actual delivery to the party to be notified, (ii) upon transmission by e-mail, (iii) 24 hours after confirmed facsimile transmission,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(iv) 1 business day after deposit with a recognized overnight courier or (v) 3 business days after deposit with the U.S. Postal Service by first class certified or registered mail, return receipt requested, postage prepaid, addressed (A) if to the Executive, at the address the Executive shall have most recently furnished to the Company in writing, (B) if to the Company, at the following address:</w:t>
      </w:r>
    </w:p>
    <w:p>
      <w:pPr>
        <w:pStyle w:val="TextBody"/>
        <w:bidi w:val="0"/>
        <w:spacing w:lineRule="auto" w:line="288" w:before="235" w:after="283"/>
        <w:jc w:val="left"/>
        <w:rPr>
          <w:rFonts w:ascii="Times New Roman;serif" w:hAnsi="Times New Roman;serif"/>
          <w:b w:val="false"/>
          <w:color w:val="000000"/>
          <w:sz w:val="24"/>
        </w:rPr>
      </w:pPr>
      <w:r>
        <w:rPr>
          <w:rFonts w:ascii="Times New Roman;serif" w:hAnsi="Times New Roman;serif"/>
          <w:b w:val="false"/>
          <w:color w:val="000000"/>
          <w:sz w:val="24"/>
        </w:rPr>
        <w:t>Dropbox, Inc. 1800 Owens Street</w:t>
      </w:r>
    </w:p>
    <w:p>
      <w:pPr>
        <w:pStyle w:val="TextBody"/>
        <w:bidi w:val="0"/>
        <w:spacing w:lineRule="atLeast" w:line="274" w:before="0" w:after="0"/>
        <w:jc w:val="left"/>
        <w:rPr>
          <w:rFonts w:ascii="Times New Roman;serif" w:hAnsi="Times New Roman;serif"/>
          <w:b w:val="false"/>
          <w:color w:val="000000"/>
          <w:sz w:val="24"/>
        </w:rPr>
      </w:pPr>
      <w:r>
        <w:rPr>
          <w:rFonts w:ascii="Times New Roman;serif" w:hAnsi="Times New Roman;serif"/>
          <w:b w:val="false"/>
          <w:color w:val="000000"/>
          <w:sz w:val="24"/>
        </w:rPr>
        <w:t>Suite 200</w:t>
      </w:r>
    </w:p>
    <w:p>
      <w:pPr>
        <w:pStyle w:val="TextBody"/>
        <w:bidi w:val="0"/>
        <w:spacing w:lineRule="auto" w:line="280" w:before="0" w:after="0"/>
        <w:jc w:val="left"/>
        <w:rPr>
          <w:rFonts w:ascii="Times New Roman;serif" w:hAnsi="Times New Roman;serif"/>
          <w:b w:val="false"/>
          <w:color w:val="000000"/>
          <w:sz w:val="24"/>
        </w:rPr>
      </w:pPr>
      <w:r>
        <w:rPr>
          <w:rFonts w:ascii="Times New Roman;serif" w:hAnsi="Times New Roman;serif"/>
          <w:b w:val="false"/>
          <w:color w:val="000000"/>
          <w:sz w:val="24"/>
        </w:rPr>
        <w:t>San Francisco, CA 94158 Attention: General Counsel</w:t>
      </w:r>
    </w:p>
    <w:p>
      <w:pPr>
        <w:pStyle w:val="TextBody"/>
        <w:bidi w:val="0"/>
        <w:spacing w:lineRule="auto" w:line="288" w:before="258"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Notice of Termination</w:t>
      </w:r>
      <w:r>
        <w:rPr>
          <w:rFonts w:ascii="Times New Roman;serif" w:hAnsi="Times New Roman;serif"/>
          <w:b w:val="false"/>
          <w:color w:val="000000"/>
          <w:sz w:val="24"/>
        </w:rPr>
        <w:t>. Any termination of Executive by a Company Group member for Cause will be communicated by a notice of termination to the Executive, and any termination by the Executive for Good Reason will be communicated by a notice of termination to the Company, in each case given in accordance with Section 9(a) of this Agreement.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30 days after the later of (i) the giving of the notice or (ii) the end of any applicable cure period).</w:t>
      </w:r>
    </w:p>
    <w:p>
      <w:pPr>
        <w:pStyle w:val="TextBody"/>
        <w:bidi w:val="0"/>
        <w:spacing w:lineRule="auto" w:line="288" w:before="238" w:after="283"/>
        <w:ind w:left="0" w:right="0" w:hanging="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Miscellaneous Provisions</w:t>
      </w:r>
      <w:r>
        <w:rPr>
          <w:rFonts w:ascii="Times New Roman;serif" w:hAnsi="Times New Roman;serif"/>
          <w:b w:val="false"/>
          <w:color w:val="000000"/>
          <w:sz w:val="24"/>
        </w:rPr>
        <w:t>.</w:t>
      </w:r>
    </w:p>
    <w:p>
      <w:pPr>
        <w:pStyle w:val="TextBody"/>
        <w:bidi w:val="0"/>
        <w:spacing w:lineRule="auto" w:line="288" w:before="244"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Resignation</w:t>
      </w:r>
      <w:r>
        <w:rPr>
          <w:rFonts w:ascii="Times New Roman;serif" w:hAnsi="Times New Roman;serif"/>
          <w:b w:val="false"/>
          <w:color w:val="000000"/>
          <w:sz w:val="24"/>
        </w:rPr>
        <w:t>. The termination of the Executive’s employment for any reason will also constitute, without any further required action by the Executive, the Executive’s voluntary resignation from all officer and/or director positions held at any member of the Company Group, and at the Board’s request, the Executive will execute any documents reasonably necessary to reflect that resignation.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Duty to Mitigate</w:t>
      </w:r>
      <w:r>
        <w:rPr>
          <w:rFonts w:ascii="Times New Roman;serif" w:hAnsi="Times New Roman;serif"/>
          <w:b w:val="false"/>
          <w:color w:val="000000"/>
          <w:sz w:val="24"/>
        </w:rPr>
        <w:t>. The Executive will not be required to mitigate the amount of any payment contemplated by this Agreement, nor will any payment be reduced by any earnings that the Executive may receive from any other source except as specified in Section 3(e).</w:t>
      </w:r>
    </w:p>
    <w:p>
      <w:pPr>
        <w:pStyle w:val="TextBody"/>
        <w:bidi w:val="0"/>
        <w:spacing w:lineRule="auto" w:line="288" w:before="238"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Waiver; Amendment</w:t>
      </w:r>
      <w:r>
        <w:rPr>
          <w:rFonts w:ascii="Times New Roman;serif" w:hAnsi="Times New Roman;serif"/>
          <w:b w:val="false"/>
          <w:color w:val="000000"/>
          <w:sz w:val="24"/>
        </w:rPr>
        <w:t>. No provision of this Agreement will be modified, waived or discharged unless the modification, waiver or discharge is agreed to in writing and signed by an authorized officer of the Company (other than the Executive) and by the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before="198" w:after="283"/>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- 10 -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Headings</w:t>
      </w:r>
      <w:r>
        <w:rPr>
          <w:rFonts w:ascii="Times New Roman;serif" w:hAnsi="Times New Roman;serif"/>
          <w:b w:val="false"/>
          <w:color w:val="000000"/>
          <w:sz w:val="24"/>
        </w:rPr>
        <w:t>. All captions and section headings used in this Agreement are for convenient reference only and do not form a part of this Agreement.</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together with the Employment Letter,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for the avoidance of doubt, any other employment letter or agreement, severance policy or program, or equity award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This Agreement will be governed by the laws of the State of California without regard to California’s conflicts of law rules that may result in the application of the laws of any jurisdiction other than California. To the extent that any lawsuit is permitted under this Agreement, Employee hereby expressly consents to the personal and exclusive jurisdiction and venue of the state and federal courts located in California for any lawsuit filed against the Executive by the Company.</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Arbitration</w:t>
      </w:r>
      <w:r>
        <w:rPr>
          <w:rFonts w:ascii="Times New Roman;serif" w:hAnsi="Times New Roman;serif"/>
          <w:b w:val="false"/>
          <w:color w:val="000000"/>
          <w:sz w:val="24"/>
        </w:rPr>
        <w:t>. Any and all controversies, claims, or disputes with anyone under this Agreement (including the Company and any employee, officer, director, stockholder or benefit plan of the Company in their capacity as such or otherwise) arising out of, relating to, or resulting from Executive’s employment with the Company Group, shall be subject to arbitration in accordance with the provisions of the Employment Letter.</w:t>
      </w:r>
    </w:p>
    <w:p>
      <w:pPr>
        <w:pStyle w:val="TextBody"/>
        <w:bidi w:val="0"/>
        <w:spacing w:lineRule="auto" w:line="280"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or provisions of this Agreement will not affect the validity or enforceability of any other provision of this Agreement, which will remain in full force and effect.</w:t>
      </w:r>
    </w:p>
    <w:p>
      <w:pPr>
        <w:pStyle w:val="TextBody"/>
        <w:bidi w:val="0"/>
        <w:spacing w:lineRule="auto" w:line="288" w:before="235"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Withholding</w:t>
      </w:r>
      <w:r>
        <w:rPr>
          <w:rFonts w:ascii="Times New Roman;serif" w:hAnsi="Times New Roman;serif"/>
          <w:b w:val="false"/>
          <w:color w:val="000000"/>
          <w:sz w:val="24"/>
        </w:rPr>
        <w:t>. All payments and benefits under this Agreement will be paid less applicable withholding taxes. The Company is authorized to withhold from any payments or benefits all federal, state, local, and/or foreign taxes required to be withheld from the payments or benefits and make any other required payroll deductions. No member of the Company Group will pay the Executive’s taxes arising from or relating to any payments or benefits under this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will be deemed an original, but all of which together will constitute one and the same instrument.</w:t>
      </w:r>
    </w:p>
    <w:p>
      <w:pPr>
        <w:pStyle w:val="TextBody"/>
        <w:bidi w:val="0"/>
        <w:spacing w:lineRule="auto" w:line="288" w:before="238" w:after="283"/>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6" w:after="283"/>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- 11 -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its signature below, each of the parties signifies its acceptance of the terms of this Agreement, in the case of the Company by its duly authorized officer.</w:t>
      </w:r>
    </w:p>
    <w:p>
      <w:pPr>
        <w:pStyle w:val="TextBody"/>
        <w:bidi w:val="0"/>
        <w:spacing w:before="0" w:after="0"/>
        <w:jc w:val="left"/>
        <w:rPr/>
      </w:pPr>
      <w:r>
        <w:rPr/>
      </w:r>
    </w:p>
    <w:p>
      <w:pPr>
        <w:pStyle w:val="TextBody"/>
        <w:bidi w:val="0"/>
        <w:spacing w:before="0" w:after="0"/>
        <w:jc w:val="left"/>
        <w:rPr/>
      </w:pPr>
      <w:r>
        <w:rPr/>
      </w:r>
    </w:p>
    <w:tbl>
      <w:tblPr>
        <w:tblW w:w="4393" w:type="dxa"/>
        <w:jc w:val="left"/>
        <w:tblInd w:w="0" w:type="dxa"/>
        <w:tblLayout w:type="fixed"/>
        <w:tblCellMar>
          <w:top w:w="28" w:type="dxa"/>
          <w:left w:w="28" w:type="dxa"/>
          <w:bottom w:w="28" w:type="dxa"/>
          <w:right w:w="28" w:type="dxa"/>
        </w:tblCellMar>
      </w:tblPr>
      <w:tblGrid>
        <w:gridCol w:w="506"/>
        <w:gridCol w:w="444"/>
        <w:gridCol w:w="446"/>
        <w:gridCol w:w="109"/>
        <w:gridCol w:w="109"/>
        <w:gridCol w:w="109"/>
        <w:gridCol w:w="415"/>
        <w:gridCol w:w="415"/>
        <w:gridCol w:w="415"/>
        <w:gridCol w:w="415"/>
        <w:gridCol w:w="415"/>
        <w:gridCol w:w="595"/>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DROPBOX, INC.</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/s/ Melanie Rosenwasser</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Melanie Rosenwasser</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 Chief People Officer</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Date:</w:t>
            </w:r>
          </w:p>
        </w:tc>
        <w:tc>
          <w:tcPr>
            <w:tcW w:w="14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4275" w:type="dxa"/>
        <w:jc w:val="left"/>
        <w:tblInd w:w="0" w:type="dxa"/>
        <w:tblLayout w:type="fixed"/>
        <w:tblCellMar>
          <w:top w:w="28" w:type="dxa"/>
          <w:left w:w="28" w:type="dxa"/>
          <w:bottom w:w="28" w:type="dxa"/>
          <w:right w:w="28" w:type="dxa"/>
        </w:tblCellMar>
      </w:tblPr>
      <w:tblGrid>
        <w:gridCol w:w="576"/>
        <w:gridCol w:w="507"/>
        <w:gridCol w:w="508"/>
        <w:gridCol w:w="109"/>
        <w:gridCol w:w="109"/>
        <w:gridCol w:w="109"/>
        <w:gridCol w:w="296"/>
        <w:gridCol w:w="296"/>
        <w:gridCol w:w="296"/>
        <w:gridCol w:w="429"/>
        <w:gridCol w:w="429"/>
        <w:gridCol w:w="611"/>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Ashraf Alkarmi</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Ashraf Alkarmi</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Date:</w:t>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4"/>
              </w:rPr>
            </w:pPr>
            <w:r>
              <w:rPr>
                <w:rFonts w:ascii="Times New Roman;serif" w:hAnsi="Times New Roman;serif"/>
                <w:b w:val="false"/>
                <w:color w:val="000000"/>
                <w:sz w:val="24"/>
              </w:rPr>
              <w:t>05 / 22 /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78" w:after="283"/>
        <w:jc w:val="left"/>
        <w:rPr>
          <w:color w:val="000000"/>
        </w:rPr>
      </w:pPr>
      <w:r>
        <w:rPr>
          <w:color w:val="000000"/>
        </w:rPr>
        <w:t>                            </w:t>
      </w:r>
    </w:p>
    <w:p>
      <w:pPr>
        <w:pStyle w:val="TextBody"/>
        <w:bidi w:val="0"/>
        <w:spacing w:before="71"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53" w:after="283"/>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- 12 -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4" w:after="283"/>
        <w:jc w:val="right"/>
        <w:rPr>
          <w:rFonts w:ascii="Times New Roman;serif" w:hAnsi="Times New Roman;serif"/>
          <w:b/>
          <w:color w:val="000000"/>
          <w:sz w:val="24"/>
        </w:rPr>
      </w:pPr>
      <w:r>
        <w:rPr>
          <w:rFonts w:ascii="Times New Roman;serif" w:hAnsi="Times New Roman;serif"/>
          <w:b/>
          <w:color w:val="000000"/>
          <w:sz w:val="24"/>
        </w:rPr>
        <w:t>Exhibit 10.3</w:t>
      </w:r>
    </w:p>
    <w:p>
      <w:pPr>
        <w:pStyle w:val="TextBody"/>
        <w:bidi w:val="0"/>
        <w:spacing w:lineRule="auto" w:line="288" w:before="174" w:after="283"/>
        <w:jc w:val="left"/>
        <w:rPr>
          <w:rFonts w:ascii="Times New Roman;serif" w:hAnsi="Times New Roman;serif"/>
          <w:b w:val="false"/>
          <w:color w:val="000000"/>
          <w:sz w:val="24"/>
        </w:rPr>
      </w:pPr>
      <w:r>
        <w:rPr>
          <w:rFonts w:ascii="Times New Roman;serif" w:hAnsi="Times New Roman;serif"/>
          <w:b w:val="false"/>
          <w:color w:val="000000"/>
          <w:sz w:val="24"/>
        </w:rPr>
        <w:t>May 6, 2026</w:t>
      </w:r>
    </w:p>
    <w:p>
      <w:pPr>
        <w:pStyle w:val="TextBody"/>
        <w:bidi w:val="0"/>
        <w:spacing w:lineRule="auto" w:line="288" w:before="276" w:after="283"/>
        <w:jc w:val="left"/>
        <w:rPr>
          <w:rFonts w:ascii="Times New Roman;serif" w:hAnsi="Times New Roman;serif"/>
          <w:b w:val="false"/>
          <w:color w:val="000000"/>
          <w:sz w:val="24"/>
        </w:rPr>
      </w:pPr>
      <w:r>
        <w:rPr>
          <w:rFonts w:ascii="Times New Roman;serif" w:hAnsi="Times New Roman;serif"/>
          <w:b w:val="false"/>
          <w:color w:val="000000"/>
          <w:sz w:val="24"/>
        </w:rPr>
        <w:t xml:space="preserve">Mike Torres </w:t>
      </w:r>
    </w:p>
    <w:p>
      <w:pPr>
        <w:pStyle w:val="TextBody"/>
        <w:bidi w:val="0"/>
        <w:spacing w:lineRule="auto" w:line="288" w:before="246" w:after="283"/>
        <w:jc w:val="center"/>
        <w:rPr>
          <w:rFonts w:ascii="Times New Roman;serif" w:hAnsi="Times New Roman;serif"/>
          <w:b/>
          <w:color w:val="000000"/>
          <w:sz w:val="28"/>
          <w:u w:val="single"/>
        </w:rPr>
      </w:pPr>
      <w:r>
        <w:rPr>
          <w:rFonts w:ascii="Times New Roman;serif" w:hAnsi="Times New Roman;serif"/>
          <w:b/>
          <w:color w:val="000000"/>
          <w:sz w:val="28"/>
          <w:u w:val="single"/>
        </w:rPr>
        <w:t>Offer of Employment by Dropbox, Inc.</w:t>
      </w:r>
    </w:p>
    <w:p>
      <w:pPr>
        <w:pStyle w:val="TextBody"/>
        <w:bidi w:val="0"/>
        <w:spacing w:lineRule="auto" w:line="288" w:before="233" w:after="283"/>
        <w:jc w:val="both"/>
        <w:rPr>
          <w:rFonts w:ascii="Times New Roman;serif" w:hAnsi="Times New Roman;serif"/>
          <w:b w:val="false"/>
          <w:color w:val="000000"/>
          <w:sz w:val="24"/>
        </w:rPr>
      </w:pPr>
      <w:r>
        <w:rPr>
          <w:rFonts w:ascii="Times New Roman;serif" w:hAnsi="Times New Roman;serif"/>
          <w:b w:val="false"/>
          <w:color w:val="000000"/>
          <w:sz w:val="24"/>
        </w:rPr>
        <w:t>Dear Mike:</w:t>
      </w:r>
    </w:p>
    <w:p>
      <w:pPr>
        <w:pStyle w:val="TextBody"/>
        <w:bidi w:val="0"/>
        <w:spacing w:before="240" w:after="283"/>
        <w:jc w:val="left"/>
        <w:rPr/>
      </w:pPr>
      <w:r>
        <w:rPr/>
      </w:r>
    </w:p>
    <w:p>
      <w:pPr>
        <w:pStyle w:val="TextBody"/>
        <w:bidi w:val="0"/>
        <w:spacing w:lineRule="auto" w:line="288" w:before="0" w:after="0"/>
        <w:jc w:val="both"/>
        <w:rPr/>
      </w:pPr>
      <w:r>
        <w:rPr>
          <w:rFonts w:ascii="Times New Roman;serif" w:hAnsi="Times New Roman;serif"/>
          <w:b w:val="false"/>
          <w:color w:val="000000"/>
          <w:sz w:val="24"/>
        </w:rPr>
        <w:t>On behalf of Dropbox, Inc. (“Dropbox”), we are pleased to offer you full-time employment in US - Washington - Seattle Metro, USA commencing on July 7, 2026, unless otherwise agreed to by you and Dropbox.</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Dropbox is a Virtual First company which means that your primary work experience will be remote. You will initially have the position of Chief Product Officer, Level MGR9 and will initially report to the Chief Executive Officer The terms of this Agreement are as follows:</w:t>
      </w:r>
    </w:p>
    <w:p>
      <w:pPr>
        <w:pStyle w:val="TextBody"/>
        <w:bidi w:val="0"/>
        <w:spacing w:lineRule="auto" w:line="288" w:before="174" w:after="283"/>
        <w:ind w:left="0" w:right="0" w:firstLine="719"/>
        <w:jc w:val="both"/>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Compensation</w:t>
      </w:r>
    </w:p>
    <w:p>
      <w:pPr>
        <w:pStyle w:val="TextBody"/>
        <w:bidi w:val="0"/>
        <w:spacing w:before="0" w:after="0"/>
        <w:ind w:left="0" w:right="0" w:hanging="720"/>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Salary. Your starting annualized salary will be $550,000.00 per year, paid in accordance with Dropbox’s normal payroll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Dropbox will pay you the below start bonus on your first regular pay date (subject to your continuous full-time employment through that date) through regular payroll and subject to normal withholding. Should you depart before the 1-year anniversary of that payment, it will be subject to a repayment obligation pursuant to the Bonus Repayment Agreement provided to you along with this Agreement.</w:t>
      </w:r>
    </w:p>
    <w:p>
      <w:pPr>
        <w:pStyle w:val="TextBody"/>
        <w:bidi w:val="0"/>
        <w:spacing w:before="114" w:after="283"/>
        <w:ind w:left="0" w:right="0" w:firstLine="720"/>
        <w:jc w:val="center"/>
        <w:rPr/>
      </w:pPr>
      <w:r>
        <w:rPr/>
        <w:drawing>
          <wp:inline distT="0" distB="0" distL="0" distR="0">
            <wp:extent cx="4876800" cy="14605"/>
            <wp:effectExtent l="0" t="0" r="0" b="0"/>
            <wp:docPr id="1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 descr=""/>
                    <pic:cNvPicPr>
                      <a:picLocks noChangeAspect="1" noChangeArrowheads="1"/>
                    </pic:cNvPicPr>
                  </pic:nvPicPr>
                  <pic:blipFill>
                    <a:blip r:embed="rId5"/>
                    <a:stretch>
                      <a:fillRect/>
                    </a:stretch>
                  </pic:blipFill>
                  <pic:spPr bwMode="auto">
                    <a:xfrm>
                      <a:off x="0" y="0"/>
                      <a:ext cx="4876800" cy="14605"/>
                    </a:xfrm>
                    <a:prstGeom prst="rect">
                      <a:avLst/>
                    </a:prstGeom>
                  </pic:spPr>
                </pic:pic>
              </a:graphicData>
            </a:graphic>
          </wp:inline>
        </w:drawing>
      </w:r>
    </w:p>
    <w:p>
      <w:pPr>
        <w:pStyle w:val="TextBody"/>
        <w:bidi w:val="0"/>
        <w:spacing w:lineRule="auto" w:line="288" w:before="133" w:after="283"/>
        <w:jc w:val="center"/>
        <w:rPr>
          <w:rFonts w:ascii="Times New Roman;serif" w:hAnsi="Times New Roman;serif"/>
          <w:b w:val="false"/>
          <w:color w:val="000000"/>
          <w:sz w:val="24"/>
        </w:rPr>
      </w:pPr>
      <w:r>
        <w:rPr>
          <w:rFonts w:ascii="Times New Roman;serif" w:hAnsi="Times New Roman;serif"/>
          <w:b w:val="false"/>
          <w:color w:val="000000"/>
          <w:sz w:val="24"/>
        </w:rPr>
        <w:t>$500,000.00</w:t>
      </w:r>
    </w:p>
    <w:p>
      <w:pPr>
        <w:pStyle w:val="TextBody"/>
        <w:bidi w:val="0"/>
        <w:spacing w:before="114" w:after="283"/>
        <w:ind w:left="0" w:right="0" w:firstLine="720"/>
        <w:jc w:val="center"/>
        <w:rPr/>
      </w:pPr>
      <w:r>
        <w:rPr/>
        <w:drawing>
          <wp:inline distT="0" distB="0" distL="0" distR="0">
            <wp:extent cx="4876800" cy="14605"/>
            <wp:effectExtent l="0" t="0" r="0" b="0"/>
            <wp:docPr id="1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 descr=""/>
                    <pic:cNvPicPr>
                      <a:picLocks noChangeAspect="1" noChangeArrowheads="1"/>
                    </pic:cNvPicPr>
                  </pic:nvPicPr>
                  <pic:blipFill>
                    <a:blip r:embed="rId6"/>
                    <a:stretch>
                      <a:fillRect/>
                    </a:stretch>
                  </pic:blipFill>
                  <pic:spPr bwMode="auto">
                    <a:xfrm>
                      <a:off x="0" y="0"/>
                      <a:ext cx="4876800" cy="14605"/>
                    </a:xfrm>
                    <a:prstGeom prst="rect">
                      <a:avLst/>
                    </a:prstGeom>
                  </pic:spPr>
                </pic:pic>
              </a:graphicData>
            </a:graphic>
          </wp:inline>
        </w:drawing>
      </w:r>
    </w:p>
    <w:p>
      <w:pPr>
        <w:pStyle w:val="TextBody"/>
        <w:bidi w:val="0"/>
        <w:spacing w:before="11" w:after="283"/>
        <w:jc w:val="center"/>
        <w:rPr/>
      </w:pPr>
      <w:r>
        <w:rPr/>
      </w:r>
    </w:p>
    <w:p>
      <w:pPr>
        <w:pStyle w:val="TextBody"/>
        <w:bidi w:val="0"/>
        <w:spacing w:lineRule="auto" w:line="288" w:before="1"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Bonus. You will be eligible to receive an annual bonus of 100% of your base salary, contingent upon Dropbox's annual performance and your annual performance rating. No bonus will be earned or received unless you are continuously employed in an eligible position throughout the applicable performance year and remain employed through the payment date. If you have been employed by Dropbox for less than a year, any bonus earned will be prorated. If you start on or after November 1 of your starting year, you will not be eligible for the bonus for that year but will be eligible in future years, subject to the bonus policy.</w:t>
      </w:r>
    </w:p>
    <w:p>
      <w:pPr>
        <w:pStyle w:val="TextBody"/>
        <w:bidi w:val="0"/>
        <w:spacing w:before="0" w:after="0"/>
        <w:jc w:val="left"/>
        <w:rPr/>
      </w:pPr>
      <w:r>
        <w:rPr/>
      </w:r>
    </w:p>
    <w:p>
      <w:pPr>
        <w:pStyle w:val="TextBody"/>
        <w:bidi w:val="0"/>
        <w:spacing w:before="201" w:after="283"/>
        <w:jc w:val="left"/>
        <w:rPr/>
      </w:pPr>
      <w:r>
        <w:rPr/>
        <w:drawing>
          <wp:inline distT="0" distB="0" distL="0" distR="0">
            <wp:extent cx="1828800" cy="14605"/>
            <wp:effectExtent l="0" t="0" r="0" b="0"/>
            <wp:docPr id="1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 descr=""/>
                    <pic:cNvPicPr>
                      <a:picLocks noChangeAspect="1" noChangeArrowheads="1"/>
                    </pic:cNvPicPr>
                  </pic:nvPicPr>
                  <pic:blipFill>
                    <a:blip r:embed="rId7"/>
                    <a:stretch>
                      <a:fillRect/>
                    </a:stretch>
                  </pic:blipFill>
                  <pic:spPr bwMode="auto">
                    <a:xfrm>
                      <a:off x="0" y="0"/>
                      <a:ext cx="1828800" cy="14605"/>
                    </a:xfrm>
                    <a:prstGeom prst="rect">
                      <a:avLst/>
                    </a:prstGeom>
                  </pic:spPr>
                </pic:pic>
              </a:graphicData>
            </a:graphic>
          </wp:inline>
        </w:drawing>
      </w:r>
    </w:p>
    <w:p>
      <w:pPr>
        <w:pStyle w:val="TextBody"/>
        <w:bidi w:val="0"/>
        <w:spacing w:lineRule="auto" w:line="288"/>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0"/>
        </w:rPr>
        <w:t>Nothing in this Agreement, including Section 10, requires that a change to your start date be in a writing signed by both parties. An electronic agreement to your new start date by both parties will be sufficient.</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4" w:after="283"/>
        <w:ind w:left="0" w:right="0" w:firstLine="719"/>
        <w:jc w:val="both"/>
        <w:rPr/>
      </w:pPr>
      <w:r>
        <w:rPr>
          <w:rFonts w:ascii="Times New Roman;serif" w:hAnsi="Times New Roman;serif"/>
          <w:b w:val="false"/>
          <w:color w:val="000000"/>
          <w:sz w:val="24"/>
        </w:rPr>
        <w:t>Equity. We will recommend to the Dropbox Board of Directors (or its delegate) that you be granted restricted stock units (“</w:t>
      </w:r>
      <w:r>
        <w:rPr>
          <w:rFonts w:ascii="Times New Roman;serif" w:hAnsi="Times New Roman;serif"/>
          <w:b w:val="false"/>
          <w:i/>
          <w:color w:val="000000"/>
          <w:sz w:val="24"/>
        </w:rPr>
        <w:t>RSUs</w:t>
      </w:r>
      <w:r>
        <w:rPr>
          <w:color w:val="000000"/>
        </w:rPr>
        <w:t>”</w:t>
      </w:r>
      <w:r>
        <w:rPr>
          <w:rFonts w:ascii="Times New Roman;serif" w:hAnsi="Times New Roman;serif"/>
          <w:b w:val="false"/>
          <w:color w:val="000000"/>
          <w:sz w:val="24"/>
        </w:rPr>
        <w:t>) with an approximate current value of $29,100,000.00 under Dropbox’s equity incentive plan, with the number of shares granted to be determined by the average closing price of Dropbox common stock for the prior month (the “Grant”). The Grant will be subject to the terms of Dropbox’s Equity Award Grant Policy, equity incentive plan, and the Restricted Stock Unit Agreement between you and Dropbox. This Grant is further subject to the Board’s approval and the promise to recommend the approval does not create an obligation for Dropbox to issue any equity grant. Further details on the equity plan will be provided upon the Board’s (or its delegate’s) approval of the Grant. If approved, the Grant will be scheduled to vest in accordance with the following schedule: 5.93% of the RSUs will vest on each quarterly vesting date thereafter until the one (1)-year anniversary of the vesting commencement date of the Grant, 6.14% of the RSUs will vest on each quarterly vesting date thereafter until the two (2)-year anniversary of the vesting commencement date of the Grant, 6.36% of the RSUs will vest on each quarterly vesting date thereafter until the three (3)-year anniversary of the vesting commencement date of the Grant, and 6.57% of the RSUs will vest on each quarterly vesting date until the four (4) year anniversary of the vesting commencement date of the Grant, subject to your continuing to be a “service provider” (as such term is defined in the 2018 Equity Incentive Plan) through each such date.</w:t>
      </w:r>
    </w:p>
    <w:p>
      <w:pPr>
        <w:pStyle w:val="TextBody"/>
        <w:bidi w:val="0"/>
        <w:spacing w:lineRule="auto" w:line="288" w:before="241" w:after="283"/>
        <w:ind w:left="0" w:right="0" w:firstLine="719"/>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Benefits</w:t>
      </w:r>
      <w:r>
        <w:rPr>
          <w:rFonts w:ascii="Times New Roman;serif" w:hAnsi="Times New Roman;serif"/>
          <w:b w:val="false"/>
          <w:color w:val="000000"/>
          <w:sz w:val="24"/>
        </w:rPr>
        <w:t>. You and your family members will be eligible to participate in Dropbox’s standard employee benefits plans as they are provided to US - Washington - Seattle Metro, USA employees to the extent that you meet their eligibility criteria. This Section 2 does not create any obligation on the part of Dropbox to adopt or maintain any employee benefit plan or program at any time. Dropbox may amend or terminate, any employee benefit plan or program at any time.</w:t>
      </w:r>
    </w:p>
    <w:p>
      <w:pPr>
        <w:pStyle w:val="TextBody"/>
        <w:bidi w:val="0"/>
        <w:spacing w:lineRule="auto" w:line="288" w:before="241" w:after="283"/>
        <w:ind w:left="0" w:right="0" w:firstLine="719"/>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Compliance with Applicable Law and Company Policies; Compensation Recovery</w:t>
      </w:r>
      <w:r>
        <w:rPr>
          <w:rFonts w:ascii="Times New Roman;serif" w:hAnsi="Times New Roman;serif"/>
          <w:b w:val="false"/>
          <w:color w:val="000000"/>
          <w:sz w:val="24"/>
        </w:rPr>
        <w:t>. You must comply with applicable law, the Company’s Worldwide Code of Business Conduct and Ethics, and the Company’s corporate policies, as applicable, including without limitation, any compensation recovery policies maintained by the Company from time to time. Notwithstanding anything to the contrary herein, (i) compliance with applicable law, the Company’s Worldwide Code of Business Conduct and Ethics, and the Company’s corporate policies, as applicable, will be a pre-condition to earning, or vesting in, any incentive compensation, and (ii) any incentive compensation which is subject to the Company’s Incentive-Based Compensation Recovery Policy will not be earned or vested, even if already granted, paid or settled, until such policy ceases to apply to such compensation and any other conditions applicable to such compensation are satisfied.</w:t>
      </w:r>
    </w:p>
    <w:p>
      <w:pPr>
        <w:pStyle w:val="TextBody"/>
        <w:bidi w:val="0"/>
        <w:spacing w:before="0" w:after="0"/>
        <w:ind w:left="0" w:right="0" w:firstLine="1079"/>
        <w:jc w:val="both"/>
        <w:rPr/>
      </w:pPr>
      <w:r>
        <w:rPr/>
      </w:r>
    </w:p>
    <w:p>
      <w:pPr>
        <w:pStyle w:val="TextBody"/>
        <w:bidi w:val="0"/>
        <w:spacing w:lineRule="auto" w:line="288"/>
        <w:ind w:left="0" w:right="0" w:firstLine="719"/>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Confidentiality.</w:t>
      </w:r>
      <w:r>
        <w:rPr>
          <w:color w:val="000000"/>
        </w:rPr>
        <w:t xml:space="preserve"> </w:t>
      </w:r>
      <w:r>
        <w:rPr>
          <w:rFonts w:ascii="Times New Roman;serif" w:hAnsi="Times New Roman;serif"/>
          <w:b w:val="false"/>
          <w:color w:val="000000"/>
          <w:sz w:val="24"/>
        </w:rPr>
        <w:t>As an employee of Dropbox, you will have access to certain confidential information of Dropbox and you may, during the course of your employment, develop certain information or inventions that will be Dropbox property. To protect Dropbox’s interests, you will need to sign Dropbox's standard “Employee Invention Assignment and Confidentiality Agreement” (“EIACA”) as a condition of your employment. We do not want you to, and we direct you not to, bring with you any confidential or proprietary material of any former employer or other party or to violate any other obligations you may have to any former employer or other party. You represent that your signing of this offer letter, agreement(s) concerning equity incentives granted to you, if any, and Dropbox’s EIACA and your commencement of employment with Dropbox will not violate or conflict with the terms of any agreement currently in place between you and current or past employers or other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19"/>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Duty of Loyalty.</w:t>
      </w:r>
      <w:r>
        <w:rPr>
          <w:color w:val="000000"/>
        </w:rPr>
        <w:t xml:space="preserve"> </w:t>
      </w:r>
      <w:r>
        <w:rPr>
          <w:rFonts w:ascii="Times New Roman;serif" w:hAnsi="Times New Roman;serif"/>
          <w:b w:val="false"/>
          <w:color w:val="000000"/>
          <w:sz w:val="24"/>
        </w:rPr>
        <w:t>During the period that you render services to Dropbox, you agree to not engage in any employment, business or activity that is in any way competitive with the business or proposed business of Dropbox. You will disclose to Dropbox in writing any other employment, business or activity that you are currently associated with or participate in that competes or may compete with Dropbox. During the period that you render services to Dropbox, you will not assist any other person or organization in competing with Dropbox or in preparing to engage in competition with the business or proposed business of Dropbox.</w:t>
      </w:r>
    </w:p>
    <w:p>
      <w:pPr>
        <w:pStyle w:val="TextBody"/>
        <w:bidi w:val="0"/>
        <w:spacing w:lineRule="auto" w:line="288" w:before="240" w:after="283"/>
        <w:ind w:left="0" w:right="0" w:firstLine="719"/>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At-Will Employment.</w:t>
      </w:r>
      <w:r>
        <w:rPr>
          <w:color w:val="000000"/>
        </w:rPr>
        <w:t xml:space="preserve"> </w:t>
      </w:r>
      <w:r>
        <w:rPr>
          <w:rFonts w:ascii="Times New Roman;serif" w:hAnsi="Times New Roman;serif"/>
          <w:b w:val="false"/>
          <w:color w:val="000000"/>
          <w:sz w:val="24"/>
        </w:rPr>
        <w:t>If you decide to accept our offer, and we hope that you will, you will be an at-will employee of Dropbox, which means the employment relationship can be terminated by either you or Dropbox for any reason, at any time, with or without prior notice or cause. Any statements or representations to the contrary (and, indeed, any statements contradicting any provision in this letter) should be regarded by you as ineffective. Further, your participation in any equity or benefit program should not be regarded as assuring you of continuing employment for any period of time. Any modification or change in your at-will employment status may only occur by a written employment agreement signed by you and Dropbox’s Chief Executive Officer or his delegate. Dropbox reserves the right to modify the terms of your employment, as well as any of the terms set forth in this letter or in any other policy, letter or agreement.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Authorization to Work.</w:t>
      </w:r>
      <w:r>
        <w:rPr>
          <w:color w:val="000000"/>
        </w:rPr>
        <w:t xml:space="preserve"> </w:t>
      </w:r>
      <w:r>
        <w:rPr>
          <w:rFonts w:ascii="Times New Roman;serif" w:hAnsi="Times New Roman;serif"/>
          <w:b w:val="false"/>
          <w:color w:val="000000"/>
          <w:sz w:val="24"/>
        </w:rPr>
        <w:t>Within three business days after starting your new position you will need to present documentation demonstrating that you have authorization to work in the United States. This offer of employment will be void if you fail to timely provide such authorization. If you have questions about this requirement, which applies to U.S. citizens and non-U.S. citizens alike, you may contact your supervisor.</w:t>
      </w:r>
    </w:p>
    <w:p>
      <w:pPr>
        <w:pStyle w:val="TextBody"/>
        <w:bidi w:val="0"/>
        <w:spacing w:lineRule="auto" w:line="288" w:before="240" w:after="283"/>
        <w:ind w:left="0" w:right="0" w:firstLine="719"/>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Arbitration (Not applicable to Sexual Harassment or Discrimination Claims)</w:t>
      </w:r>
      <w:r>
        <w:rPr>
          <w:rFonts w:ascii="Times New Roman;serif" w:hAnsi="Times New Roman;serif"/>
          <w:b w:val="false"/>
          <w:color w:val="000000"/>
          <w:sz w:val="24"/>
        </w:rPr>
        <w:t>. Except as explained in this paragraph, you and Dropbox shall submit to mandatory and exclusive binding arbitration of any and all controversies or claims arising from, or relating to, your employment with Dropbox and/or the termination of your employment that are based upon any federal, state or local ordinance, statute, regulation or constitutional provision. The sole exceptions are claims for workplace sexual harassment and/or discrimination; claims under applicable workers’ compensation law; unemployment insurance claims; actions seeking provisional remedies pursuant to California Code of Civil Procedure Section 1281.8 or equivalent laws in other jurisdictions; and/or claims expressly prohibited by law from being subject to binding arbitration (the “Excluded Claims”). While you’re not required to arbitrate any of the Excluded Claims, you may choose to do so if you’d like once a dispute arises. It’s entirely up to you.</w:t>
      </w:r>
    </w:p>
    <w:p>
      <w:pPr>
        <w:pStyle w:val="TextBody"/>
        <w:bidi w:val="0"/>
        <w:spacing w:before="0" w:after="0"/>
        <w:ind w:left="0" w:right="0" w:firstLine="1079"/>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Also, you agree to submit any of the Excluded Claims to pre-suit mediation before filing any civil action alleging such claim(s). This way, the parties will have an early opportunity to try and reach an amicable resolution of their dispute. The mediation will be with a mutually selected neutral mediator from JAMS and Dropbox will pay all reasonable mediation fees. If either Dropbox or you brings both arbitrable and non-arbitrable claims in the same or related action, both agree that the non-arbitrable claims shall be stayed until the conclusion of arbitration, to the extent allowed by law.</w:t>
      </w:r>
    </w:p>
    <w:p>
      <w:pPr>
        <w:pStyle w:val="TextBody"/>
        <w:bidi w:val="0"/>
        <w:spacing w:before="2" w:after="283"/>
        <w:jc w:val="left"/>
        <w:rPr/>
      </w:pPr>
      <w:r>
        <w:rPr/>
      </w:r>
    </w:p>
    <w:p>
      <w:pPr>
        <w:pStyle w:val="TextBody"/>
        <w:bidi w:val="0"/>
        <w:spacing w:before="0" w:after="0"/>
        <w:ind w:left="0" w:right="0" w:firstLine="1439"/>
        <w:jc w:val="left"/>
        <w:rPr/>
      </w:pPr>
      <w:r>
        <w:rPr/>
      </w:r>
    </w:p>
    <w:p>
      <w:pPr>
        <w:pStyle w:val="TextBody"/>
        <w:bidi w:val="0"/>
        <w:spacing w:before="0" w:after="0"/>
        <w:ind w:left="0" w:right="0" w:firstLine="1439"/>
        <w:jc w:val="left"/>
        <w:rPr/>
      </w:pPr>
      <w:r>
        <w:rPr/>
      </w:r>
    </w:p>
    <w:p>
      <w:pPr>
        <w:pStyle w:val="TextBody"/>
        <w:bidi w:val="0"/>
        <w:ind w:left="0" w:right="0" w:firstLine="1439"/>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39"/>
        <w:jc w:val="left"/>
        <w:rPr>
          <w:rFonts w:ascii="Times New Roman;serif" w:hAnsi="Times New Roman;serif"/>
          <w:b w:val="false"/>
          <w:color w:val="000000"/>
          <w:sz w:val="24"/>
        </w:rPr>
      </w:pPr>
      <w:r>
        <w:rPr>
          <w:rFonts w:ascii="Times New Roman;serif" w:hAnsi="Times New Roman;serif"/>
          <w:b w:val="false"/>
          <w:color w:val="000000"/>
          <w:sz w:val="24"/>
        </w:rPr>
        <w:t>THE PARTIES HEREBY WAIVE ANY RIGHTS THEY MAY HAVE TO TRIAL BY JURY IN REGARD TO CLAIMS SUBJECT TO ARBITRATION UNDER THIS</w:t>
      </w:r>
    </w:p>
    <w:p>
      <w:pPr>
        <w:pStyle w:val="TextBody"/>
        <w:bidi w:val="0"/>
        <w:spacing w:lineRule="auto" w:line="288" w:before="0" w:after="0"/>
        <w:jc w:val="both"/>
        <w:rPr/>
      </w:pPr>
      <w:r>
        <w:rPr>
          <w:rFonts w:ascii="Times New Roman;serif" w:hAnsi="Times New Roman;serif"/>
          <w:b w:val="false"/>
          <w:color w:val="000000"/>
          <w:sz w:val="24"/>
        </w:rPr>
        <w:t>AGREEMENT. You and Dropbox agree that the arbitrator shall have the sole authority to determine the arbitrability of all claims. You also agree that any arbitrable claims shall be resolved on an individual basis, and you agree to waive your right, to the extent allowed by applicable law, to consolidate any arbitrable claims with the claims of any other person in a class or collective action. This Agreement does not restrict your right to file administrative claims you may bring before any government agency where, as a matter of law, the parties may not restrict your ability to file such claims (including, but not limited to, the National Labor Relations Board, the Equal Employment Opportunity Commission, and the Department of Labor). However, the parties agree that, to the fullest extent permitted by law and consistent with this Agreement, arbitration shall be the exclusive remedy for the subject matter of such administrative claims. Such arbitration shall be governed by the Federal Arbitration Act and conducted through the American Arbitration Association in the city closest to your work location where the AAA has an office, before a single neutral arbitrator, in accordance with the employment arbitration rules in effect at that time</w:t>
      </w:r>
      <w:r>
        <w:rPr>
          <w:rFonts w:ascii="Times New Roman;serif" w:hAnsi="Times New Roman;serif"/>
          <w:b w:val="false"/>
          <w:i/>
          <w:color w:val="000000"/>
          <w:sz w:val="24"/>
        </w:rPr>
        <w:t xml:space="preserve">; </w:t>
      </w:r>
      <w:r>
        <w:rPr>
          <w:rFonts w:ascii="Times New Roman;serif" w:hAnsi="Times New Roman;serif"/>
          <w:b w:val="false"/>
          <w:color w:val="000000"/>
          <w:sz w:val="24"/>
        </w:rPr>
        <w:t>alternatively, the parties may mutually agree on a location for arbitration through the AAA. The AAA Employment Arbitration Rules and Mediation may be found and reviewed at http://www.adr.org and click on “Rules and Procedures.” If you are unable to access these rules, please let the Recruiter know and they will provide you a hardcopy. The arbitrator shall issue 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pStyle w:val="TextBody"/>
        <w:bidi w:val="0"/>
        <w:spacing w:lineRule="auto" w:line="288" w:before="206" w:after="283"/>
        <w:ind w:left="0" w:right="0" w:firstLine="719"/>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Background Check.</w:t>
      </w:r>
      <w:r>
        <w:rPr>
          <w:color w:val="000000"/>
        </w:rPr>
        <w:t xml:space="preserve"> </w:t>
      </w:r>
      <w:r>
        <w:rPr>
          <w:rFonts w:ascii="Times New Roman;serif" w:hAnsi="Times New Roman;serif"/>
          <w:b w:val="false"/>
          <w:color w:val="000000"/>
          <w:sz w:val="24"/>
        </w:rPr>
        <w:t>This offer and your employment are contingent upon satisfactory verification of criminal, education, and employment background. You will not be able to begin your employment until the verification has been completed, and this offer may be rescinded based upon information obtained from your background check, consistent with the applicable law.</w:t>
      </w:r>
    </w:p>
    <w:p>
      <w:pPr>
        <w:pStyle w:val="TextBody"/>
        <w:bidi w:val="0"/>
        <w:spacing w:before="0" w:after="0"/>
        <w:ind w:left="0" w:right="0" w:firstLine="1079"/>
        <w:jc w:val="both"/>
        <w:rPr/>
      </w:pPr>
      <w:r>
        <w:rPr/>
      </w:r>
    </w:p>
    <w:p>
      <w:pPr>
        <w:pStyle w:val="TextBody"/>
        <w:bidi w:val="0"/>
        <w:spacing w:before="0" w:after="0"/>
        <w:ind w:left="0" w:right="0" w:hanging="360"/>
        <w:jc w:val="both"/>
        <w:rPr/>
      </w:pPr>
      <w:r>
        <w:rPr/>
      </w:r>
    </w:p>
    <w:p>
      <w:pPr>
        <w:pStyle w:val="TextBody"/>
        <w:bidi w:val="0"/>
        <w:spacing w:lineRule="auto" w:line="288"/>
        <w:ind w:left="0" w:right="0" w:firstLine="719"/>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Identity Verification</w:t>
      </w:r>
      <w:r>
        <w:rPr>
          <w:rFonts w:ascii="Times New Roman;serif" w:hAnsi="Times New Roman;serif"/>
          <w:b/>
          <w:color w:val="000000"/>
          <w:sz w:val="24"/>
        </w:rPr>
        <w:t xml:space="preserve">. </w:t>
      </w:r>
      <w:r>
        <w:rPr>
          <w:rFonts w:ascii="Times New Roman;serif" w:hAnsi="Times New Roman;serif"/>
          <w:b w:val="false"/>
          <w:color w:val="000000"/>
          <w:sz w:val="24"/>
        </w:rPr>
        <w:t>This offer and your employment are contingent upon identity verification. This process may involve document verification, biometric authentication, or other verification methods subject to applicable laws. Your failure to complete or pass identity verification may result in the rescission of this offer or, if already employed, termination, subject to applicable law. Please be advised that Dropbox does not collect, store, or otherwise access biometric information collected by the third-party verification service provider(s) used for worker identity verification.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4" w:after="283"/>
        <w:ind w:left="0" w:right="0" w:firstLine="719"/>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Complete Agreement</w:t>
      </w:r>
      <w:r>
        <w:rPr>
          <w:rFonts w:ascii="Times New Roman;serif" w:hAnsi="Times New Roman;serif"/>
          <w:b w:val="false"/>
          <w:color w:val="000000"/>
          <w:sz w:val="24"/>
        </w:rPr>
        <w:t>. This Agreement and the EIACA constitute the entire agreement relating to your employment and supersedes all prior offers, written or oral, with respect to your employment by Dropbox. Except as otherwise stated above, this Agreement may only be modified by an agreement in writing signed by both parties.</w:t>
      </w:r>
    </w:p>
    <w:p>
      <w:pPr>
        <w:pStyle w:val="TextBody"/>
        <w:bidi w:val="0"/>
        <w:spacing w:lineRule="auto" w:line="288" w:before="240" w:after="283"/>
        <w:ind w:left="0" w:right="0" w:firstLine="719"/>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Governing Law.</w:t>
      </w:r>
      <w:r>
        <w:rPr>
          <w:color w:val="000000"/>
        </w:rPr>
        <w:t xml:space="preserve"> </w:t>
      </w:r>
      <w:r>
        <w:rPr>
          <w:rFonts w:ascii="Times New Roman;serif" w:hAnsi="Times New Roman;serif"/>
          <w:b w:val="false"/>
          <w:color w:val="000000"/>
          <w:sz w:val="24"/>
        </w:rPr>
        <w:t>This Agreement, except to the extent governed by the Federal Arbitration Act, will be governed by the law of the state in which you work for Dropbox.</w:t>
      </w:r>
    </w:p>
    <w:p>
      <w:pPr>
        <w:pStyle w:val="TextBody"/>
        <w:bidi w:val="0"/>
        <w:spacing w:lineRule="auto" w:line="288" w:before="240" w:after="283"/>
        <w:ind w:left="0" w:right="0" w:firstLine="719"/>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Acceptance.</w:t>
      </w:r>
      <w:r>
        <w:rPr>
          <w:color w:val="000000"/>
        </w:rPr>
        <w:t xml:space="preserve"> </w:t>
      </w:r>
      <w:r>
        <w:rPr>
          <w:rFonts w:ascii="Times New Roman;serif" w:hAnsi="Times New Roman;serif"/>
          <w:b w:val="false"/>
          <w:color w:val="000000"/>
          <w:sz w:val="24"/>
        </w:rPr>
        <w:t>This offer will remain open until May 13, 2026 and is contingent upon you beginning continuous full-time employment by the commencement date above and in the location identified above. This offer, except to the extent governed by the Federal Arbitration Act, will be governed by US - Washington - Seattle Metro, USA law. Your signature will acknowledge that you have read and understood and agree to the terms of this offer and any attachments.</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look forward to welcoming you to Dropbox.</w:t>
      </w:r>
    </w:p>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Drew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Drew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bl>
    <w:p>
      <w:pPr>
        <w:pStyle w:val="TextBody"/>
        <w:bidi w:val="0"/>
        <w:spacing w:before="240" w:after="283"/>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have read and understood this offer letter and hereby acknowledge, accept and agree to the terms as set forth above and further acknowledge that no other commitments were made to me as part of my employment offer except as specifically set forth herein.</w:t>
      </w:r>
    </w:p>
    <w:p>
      <w:pPr>
        <w:pStyle w:val="TextBody"/>
        <w:bidi w:val="0"/>
        <w:spacing w:before="0" w:after="0"/>
        <w:jc w:val="both"/>
        <w:rPr/>
      </w:pPr>
      <w:r>
        <w:rPr/>
      </w:r>
    </w:p>
    <w:tbl>
      <w:tblPr>
        <w:tblW w:w="3445" w:type="dxa"/>
        <w:jc w:val="left"/>
        <w:tblInd w:w="0" w:type="dxa"/>
        <w:tblLayout w:type="fixed"/>
        <w:tblCellMar>
          <w:top w:w="28" w:type="dxa"/>
          <w:left w:w="28" w:type="dxa"/>
          <w:bottom w:w="28" w:type="dxa"/>
          <w:right w:w="28" w:type="dxa"/>
        </w:tblCellMar>
      </w:tblPr>
      <w:tblGrid>
        <w:gridCol w:w="651"/>
        <w:gridCol w:w="572"/>
        <w:gridCol w:w="576"/>
        <w:gridCol w:w="109"/>
        <w:gridCol w:w="109"/>
        <w:gridCol w:w="109"/>
        <w:gridCol w:w="384"/>
        <w:gridCol w:w="384"/>
        <w:gridCol w:w="551"/>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/s/ </w:t>
            </w:r>
            <w:r>
              <w:rPr>
                <w:rFonts w:ascii="Times New Roman;serif" w:hAnsi="Times New Roman;serif"/>
                <w:b w:val="false"/>
                <w:color w:val="000000"/>
                <w:sz w:val="22"/>
              </w:rPr>
              <w:t>Michael Torres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5/11/2026</w:t>
            </w:r>
          </w:p>
        </w:tc>
      </w:tr>
      <w:tr>
        <w:trPr/>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66" w:before="0" w:after="0"/>
              <w:jc w:val="left"/>
              <w:rPr>
                <w:rFonts w:ascii="Times New Roman;serif" w:hAnsi="Times New Roman;serif"/>
                <w:b w:val="false"/>
                <w:color w:val="000000"/>
                <w:sz w:val="24"/>
              </w:rPr>
            </w:pPr>
            <w:r>
              <w:rPr>
                <w:rFonts w:ascii="Times New Roman;serif" w:hAnsi="Times New Roman;serif"/>
                <w:b w:val="false"/>
                <w:color w:val="000000"/>
                <w:sz w:val="24"/>
              </w:rPr>
              <w:t>Mike Torres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Date Signed</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5" w:after="283"/>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CO-PRINCIPAL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Andrew W. Houston,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Dropbox,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3830" w:type="dxa"/>
        <w:jc w:val="right"/>
        <w:tblInd w:w="0" w:type="dxa"/>
        <w:tblLayout w:type="fixed"/>
        <w:tblCellMar>
          <w:top w:w="28" w:type="dxa"/>
          <w:left w:w="28" w:type="dxa"/>
          <w:bottom w:w="28" w:type="dxa"/>
          <w:right w:w="28" w:type="dxa"/>
        </w:tblCellMar>
      </w:tblPr>
      <w:tblGrid>
        <w:gridCol w:w="124"/>
        <w:gridCol w:w="109"/>
        <w:gridCol w:w="109"/>
        <w:gridCol w:w="238"/>
        <w:gridCol w:w="238"/>
        <w:gridCol w:w="238"/>
        <w:gridCol w:w="808"/>
        <w:gridCol w:w="808"/>
        <w:gridCol w:w="1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Co-Chief Executive Officer</w:t>
              <w:br/>
              <w:t>(Co-Principal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CO-PRINCIPAL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Ashraf Alkarmi,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Dropbox,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3831" w:type="dxa"/>
        <w:jc w:val="right"/>
        <w:tblInd w:w="0" w:type="dxa"/>
        <w:tblLayout w:type="fixed"/>
        <w:tblCellMar>
          <w:top w:w="28" w:type="dxa"/>
          <w:left w:w="28" w:type="dxa"/>
          <w:bottom w:w="28" w:type="dxa"/>
          <w:right w:w="28" w:type="dxa"/>
        </w:tblCellMar>
      </w:tblPr>
      <w:tblGrid>
        <w:gridCol w:w="124"/>
        <w:gridCol w:w="109"/>
        <w:gridCol w:w="109"/>
        <w:gridCol w:w="238"/>
        <w:gridCol w:w="238"/>
        <w:gridCol w:w="238"/>
        <w:gridCol w:w="811"/>
        <w:gridCol w:w="811"/>
        <w:gridCol w:w="11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Ashraf Alkarmi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Ashraf Alkarmi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Co-Chief Executive Officer</w:t>
              <w:br/>
              <w:t>(Co-Principal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Ross Tennenbaum,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Dropbox,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3470" w:type="dxa"/>
        <w:jc w:val="right"/>
        <w:tblInd w:w="0" w:type="dxa"/>
        <w:tblLayout w:type="fixed"/>
        <w:tblCellMar>
          <w:top w:w="28" w:type="dxa"/>
          <w:left w:w="28" w:type="dxa"/>
          <w:bottom w:w="28" w:type="dxa"/>
          <w:right w:w="28" w:type="dxa"/>
        </w:tblCellMar>
      </w:tblPr>
      <w:tblGrid>
        <w:gridCol w:w="124"/>
        <w:gridCol w:w="109"/>
        <w:gridCol w:w="109"/>
        <w:gridCol w:w="238"/>
        <w:gridCol w:w="238"/>
        <w:gridCol w:w="238"/>
        <w:gridCol w:w="705"/>
        <w:gridCol w:w="705"/>
        <w:gridCol w:w="10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Ross Tennenbaum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Ross Tennenbaum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CERTIFICATIONS OF CO-PRINCIPAL EXECUTIVE OFFICERS AND PRINCIPAL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 Andrew W. Houston, certify, pursuant to 18 U.S.C. Section 1350, as adopted pursuant to Section 906 of the Sarbanes-Oxley Act of 2002, that the Quarterly Report on Form 10-Q of Dropbox, Inc. for the fiscal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6132" w:type="dxa"/>
        <w:jc w:val="center"/>
        <w:tblInd w:w="0" w:type="dxa"/>
        <w:tblLayout w:type="fixed"/>
        <w:tblCellMar>
          <w:top w:w="28" w:type="dxa"/>
          <w:left w:w="28" w:type="dxa"/>
          <w:bottom w:w="28" w:type="dxa"/>
          <w:right w:w="28" w:type="dxa"/>
        </w:tblCellMar>
      </w:tblPr>
      <w:tblGrid>
        <w:gridCol w:w="244"/>
        <w:gridCol w:w="215"/>
        <w:gridCol w:w="216"/>
        <w:gridCol w:w="519"/>
        <w:gridCol w:w="519"/>
        <w:gridCol w:w="521"/>
        <w:gridCol w:w="238"/>
        <w:gridCol w:w="238"/>
        <w:gridCol w:w="243"/>
        <w:gridCol w:w="930"/>
        <w:gridCol w:w="930"/>
        <w:gridCol w:w="1319"/>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15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August 7, 2026</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Andrew W. Houston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179"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Andrew W. Houston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17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Co-Chief Executive Officer</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EFEFE" w:val="clear"/>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color w:val="000000"/>
                <w:sz w:val="22"/>
              </w:rPr>
            </w:pPr>
            <w:r>
              <w:rPr>
                <w:rFonts w:ascii="Times New Roman;serif" w:hAnsi="Times New Roman;serif"/>
                <w:b w:val="false"/>
                <w:color w:val="000000"/>
                <w:sz w:val="22"/>
              </w:rPr>
              <w:t>(Co-Principal Executive Officer)</w:t>
            </w:r>
          </w:p>
        </w:tc>
      </w:tr>
    </w:tbl>
    <w:p>
      <w:pPr>
        <w:pStyle w:val="TextBody"/>
        <w:bidi w:val="0"/>
        <w:spacing w:lineRule="auto" w:line="288" w:before="4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 Ashraf Alkarmi, certify, pursuant to 18 U.S.C. Section 1350, as adopted pursuant to Section 906 of the Sarbanes-Oxley Act of 2002, that the Quarterly Report on Form 10-Q of Dropbox, Inc. for the fiscal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6133" w:type="dxa"/>
        <w:jc w:val="left"/>
        <w:tblInd w:w="0" w:type="dxa"/>
        <w:tblLayout w:type="fixed"/>
        <w:tblCellMar>
          <w:top w:w="28" w:type="dxa"/>
          <w:left w:w="28" w:type="dxa"/>
          <w:bottom w:w="28" w:type="dxa"/>
          <w:right w:w="28" w:type="dxa"/>
        </w:tblCellMar>
      </w:tblPr>
      <w:tblGrid>
        <w:gridCol w:w="244"/>
        <w:gridCol w:w="215"/>
        <w:gridCol w:w="216"/>
        <w:gridCol w:w="519"/>
        <w:gridCol w:w="519"/>
        <w:gridCol w:w="521"/>
        <w:gridCol w:w="238"/>
        <w:gridCol w:w="238"/>
        <w:gridCol w:w="243"/>
        <w:gridCol w:w="930"/>
        <w:gridCol w:w="930"/>
        <w:gridCol w:w="1320"/>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15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August 7, 2026</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Ashraf Alkarmi</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180"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Ashraf Alkarmi</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180"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Co-Chief Executive Officer</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EFE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(Co-Principal Executive Officer)</w:t>
            </w:r>
          </w:p>
        </w:tc>
      </w:tr>
    </w:tbl>
    <w:p>
      <w:pPr>
        <w:pStyle w:val="TextBody"/>
        <w:bidi w:val="0"/>
        <w:spacing w:lineRule="auto" w:line="288" w:before="4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 Ross Tennenbaum, certify, pursuant to 18 U.S.C. Section 1350, as adopted pursuant to Section 906 of the Sarbanes-Oxley Act of 2002, that the Quarterly Report on Form 10-Q of Dropbox, Inc. for the fiscal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5712" w:type="dxa"/>
        <w:jc w:val="center"/>
        <w:tblInd w:w="0" w:type="dxa"/>
        <w:tblLayout w:type="fixed"/>
        <w:tblCellMar>
          <w:top w:w="28" w:type="dxa"/>
          <w:left w:w="28" w:type="dxa"/>
          <w:bottom w:w="28" w:type="dxa"/>
          <w:right w:w="28" w:type="dxa"/>
        </w:tblCellMar>
      </w:tblPr>
      <w:tblGrid>
        <w:gridCol w:w="244"/>
        <w:gridCol w:w="215"/>
        <w:gridCol w:w="216"/>
        <w:gridCol w:w="519"/>
        <w:gridCol w:w="519"/>
        <w:gridCol w:w="521"/>
        <w:gridCol w:w="238"/>
        <w:gridCol w:w="238"/>
        <w:gridCol w:w="243"/>
        <w:gridCol w:w="807"/>
        <w:gridCol w:w="807"/>
        <w:gridCol w:w="1145"/>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15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August 7, 2026</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Ross Tennenbaum</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759"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Ross Tennenbaum</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5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7623/000146762326000036/a31ex-dropboxxfinalpropose.htm" TargetMode="External"/><Relationship Id="rId3" Type="http://schemas.openxmlformats.org/officeDocument/2006/relationships/hyperlink" Target="https://www.sec.gov/Archives/edgar/data/1467623/000146762326000040/june2026exhibit101.htm" TargetMode="External"/><Relationship Id="rId4" Type="http://schemas.openxmlformats.org/officeDocument/2006/relationships/hyperlink" Target="https://www.sec.gov/Archives/edgar/data/1467623/000146762326000040/june2026exhibit102.htm" TargetMode="External"/><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64971</Words>
  <Characters>353010</Characters>
  <CharactersWithSpaces>415501</CharactersWithSpaces>
  <Paragraphs>3956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