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2"/>
            <w:vMerge w:val="restart"/>
          </w:tcPr>
          <w:p>
            <w:pPr>
              <w:spacing w:after="0" w:line="187" w:lineRule="exact"/>
              <w:rPr>
                <w:rFonts w:ascii="Times New Roman" w:cs="Times New Roman" w:eastAsia="Times New Roman" w:hAnsi="Times New Roman"/>
                <w:sz w:val="17"/>
                <w:szCs w:val="17"/>
                <w:color w:val="0000EE"/>
                <w:w w:val="96"/>
              </w:rPr>
            </w:pPr>
            <w:hyperlink r:id="rId13">
              <w:r>
                <w:rPr>
                  <w:rFonts w:ascii="Times New Roman" w:cs="Times New Roman" w:eastAsia="Times New Roman" w:hAnsi="Times New Roman"/>
                  <w:sz w:val="17"/>
                  <w:szCs w:val="17"/>
                  <w:color w:val="0000EE"/>
                  <w:w w:val="96"/>
                </w:rPr>
                <w:t>Moore Andrew William</w:t>
              </w:r>
            </w:hyperlink>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Borders>
              <w:bottom w:val="single" w:sz="8" w:color="0000EE"/>
            </w:tcBorders>
            <w:gridSpan w:val="2"/>
            <w:vMerge w:val="continue"/>
          </w:tcPr>
          <w:p>
            <w:pPr>
              <w:spacing w:after="0"/>
              <w:rPr>
                <w:sz w:val="4"/>
                <w:szCs w:val="4"/>
                <w:color w:val="auto"/>
              </w:rPr>
            </w:pPr>
          </w:p>
        </w:tc>
        <w:tc>
          <w:tcPr>
            <w:tcW w:w="14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gridSpan w:val="2"/>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05/15/2025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3"/>
                <w:szCs w:val="13"/>
                <w:color w:val="0000FF"/>
              </w:rPr>
              <w:t>SUITE 200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3"/>
          </w:tcPr>
          <w:p>
            <w:pPr>
              <w:spacing w:after="0"/>
              <w:rPr>
                <w:sz w:val="6"/>
                <w:szCs w:val="6"/>
                <w:color w:val="auto"/>
              </w:rPr>
            </w:pPr>
          </w:p>
        </w:tc>
        <w:tc>
          <w:tcPr>
            <w:tcW w:w="148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94158</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0"/>
                <w:szCs w:val="10"/>
                <w:color w:val="auto"/>
              </w:rPr>
              <w:t>(City)</w:t>
            </w: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05/15/2025</w:t>
            </w: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3"/>
                <w:szCs w:val="13"/>
                <w:color w:val="0000FF"/>
              </w:rPr>
              <w:t>8,443</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3"/>
                <w:szCs w:val="13"/>
                <w:color w:val="0000FF"/>
              </w:rPr>
              <w:t>22,548</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480" w:type="dxa"/>
            <w:vAlign w:val="bottom"/>
            <w:tcBorders>
              <w:top w:val="single" w:sz="8" w:color="2C2C2C"/>
            </w:tcBorders>
          </w:tcPr>
          <w:p>
            <w:pPr>
              <w:spacing w:after="0"/>
              <w:rPr>
                <w:sz w:val="14"/>
                <w:szCs w:val="14"/>
                <w:color w:val="auto"/>
              </w:rPr>
            </w:pPr>
          </w:p>
        </w:tc>
        <w:tc>
          <w:tcPr>
            <w:tcW w:w="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48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1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2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in full on the earlier of May 15, 2026 or the day prior to the date of the Issuer's next annual meeting of stockholders.</w:t>
      </w:r>
    </w:p>
    <w:p>
      <w:pPr>
        <w:spacing w:after="0" w:line="3"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05/19/2025</w:t>
            </w:r>
          </w:p>
        </w:tc>
      </w:tr>
      <w:tr>
        <w:trPr>
          <w:trHeight w:val="178"/>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02635"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2025-05-19T16:15:14Z</dcterms:created>
  <dcterms:modified xsi:type="dcterms:W3CDTF">2025-05-19T16:15:14Z</dcterms:modified>
</cp:coreProperties>
</file>