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MYLOD ROBERT J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05/20/2021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gridSpan w:val="2"/>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93"/>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9"/>
              </w:rPr>
              <w:t>9,335</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tcBorders>
              <w:bottom w:val="single" w:sz="8" w:color="2C2C2C"/>
            </w:tcBorders>
            <w:gridSpan w:val="3"/>
          </w:tcPr>
          <w:p>
            <w:pPr>
              <w:jc w:val="center"/>
              <w:ind w:right="240"/>
              <w:spacing w:after="0"/>
              <w:rPr>
                <w:sz w:val="20"/>
                <w:szCs w:val="20"/>
                <w:color w:val="auto"/>
              </w:rPr>
            </w:pPr>
            <w:r>
              <w:rPr>
                <w:rFonts w:ascii="Arial" w:cs="Arial" w:eastAsia="Arial" w:hAnsi="Arial"/>
                <w:sz w:val="17"/>
                <w:szCs w:val="17"/>
                <w:color w:val="0000FF"/>
              </w:rPr>
              <w:t>88,243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0000FF"/>
              </w:rPr>
              <w:t>222,698</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gridSpan w:val="17"/>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20, 2022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20, 2022 or the day prior to the date of the Issuer's next annual meeting of stockholders. In the event the Reporting Person ceases to be a Service Provider, the unvested restricted stock units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by Annox Capital, LLC ("Annox"). The Reporting Person is the managing member of Annox and has sole voting and investment control over the shares held by Annox.</w:t>
      </w:r>
    </w:p>
    <w:p>
      <w:pPr>
        <w:sectPr>
          <w:pgSz w:w="11900" w:h="16838" w:orient="portrait"/>
          <w:cols w:equalWidth="0" w:num="1">
            <w:col w:w="11080"/>
          </w:cols>
          <w:pgMar w:left="460" w:top="225" w:right="359" w:bottom="1440" w:gutter="0" w:footer="0" w:header="0"/>
          <w:type w:val="continuous"/>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460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2021-05-24T18:51:47Z</dcterms:created>
  <dcterms:modified xsi:type="dcterms:W3CDTF">2021-05-24T18:51:47Z</dcterms:modified>
</cp:coreProperties>
</file>