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434816.xml.htm"/>
      <w:bookmarkStart w:id="1" w:name="kswkform4_17734348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Peacock Karen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21,295</w:t>
            </w:r>
            <w:r>
              <w:rPr>
                <w:rFonts w:ascii="Times;serif" w:hAnsi="Times;serif"/>
                <w:color w:val="008000"/>
                <w:position w:val="7"/>
                <w:sz w:val="16"/>
                <w:sz w:val="20"/>
                <w:shd w:fill="FFFFFF" w:val="clear"/>
              </w:rPr>
              <w:t>(2)</w:t>
            </w:r>
            <w:r>
              <w:rPr/>
              <w:t xml:space="preserve"> </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December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May 15, 2026 or the day prior to the date of the Issuer's next annual meeting of stockholders.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section16powerofattorney.htm"/>
      <w:bookmarkStart w:id="3" w:name="kssection16powerofattorney"/>
      <w:bookmarkEnd w:id="2"/>
      <w:bookmarkEnd w:id="3"/>
      <w:r>
        <w:rPr/>
        <w:drawing>
          <wp:inline distT="0" distB="0" distL="0" distR="0">
            <wp:extent cx="10687050"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687050"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6299"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656</Words>
  <Characters>3525</Characters>
  <CharactersWithSpaces>4123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