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DROPBOX,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26210C104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04/01/2025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26210C104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10,099,898.00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10,099,898.00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10,099,898.00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26210C104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Holdings Corporation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10,099,898.00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10,099,898.00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10,099,898.00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DROPBOX,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OWENS STREET, SUITE 200,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Renaissance Technologies LLC ("RTC") and Renaissance Technologies Holdings Corporation ("RTHC").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800 Third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RTC is a Delaware limited liability company, and RTHC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26210C104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10099898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10099898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10099898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funds managed by RTC have the right to receive dividends and proceeds from the sale of the securities which are the subject of this report.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Renaissance Technologies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Brian Felczak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4956"/>
        <w:gridCol w:w="4956"/>
      </w:tblGrid>
      <w:tr>
        <w:trPr/>
        <w:tc>
          <w:tcPr>
            <w:tcW w:w="4956" w:type="dxa"/>
            <w:tcBorders/>
            <w:vAlign w:val="center"/>
          </w:tcPr>
          <w:p>
            <w:pPr>
              <w:pStyle w:val="TableContents"/>
              <w:bidi w:val="0"/>
              <w:spacing w:before="0" w:after="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0"/>
                    <w:jc w:val="left"/>
                    <w:rPr/>
                  </w:pPr>
                  <w:r>
                    <w:rPr/>
                    <w:t>Renaissance Technologies Holdings Corporation</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Brian Felczak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In accordance with Rule 13d-1(k) under the Securities Exchange Act of 1934, as amended, each of the undersigned agrees to the filing on behalf of each of a Statement on Schedule 13G, and all amendments thereto, with respect to the Class A Common Stock, par value $0.00001 per share of DROPBOX, INC.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1055</Words>
  <Characters>5458</Characters>
  <CharactersWithSpaces>6478</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