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25,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jc w:val="right"/>
              <w:ind w:right="714"/>
              <w:spacing w:after="0"/>
              <w:rPr>
                <w:sz w:val="20"/>
                <w:szCs w:val="20"/>
                <w:color w:val="auto"/>
              </w:rPr>
            </w:pPr>
            <w:r>
              <w:rPr>
                <w:rFonts w:ascii="Arial" w:cs="Arial" w:eastAsia="Arial" w:hAnsi="Arial"/>
                <w:sz w:val="18"/>
                <w:szCs w:val="18"/>
                <w:b w:val="1"/>
                <w:bCs w:val="1"/>
                <w:color w:val="auto"/>
              </w:rPr>
              <w:t>26-0138832</w:t>
            </w:r>
          </w:p>
        </w:tc>
      </w:tr>
      <w:tr>
        <w:trPr>
          <w:trHeight w:val="148"/>
        </w:trPr>
        <w:tc>
          <w:tcPr>
            <w:tcW w:w="5660" w:type="dxa"/>
            <w:vAlign w:val="bottom"/>
            <w:gridSpan w:val="3"/>
          </w:tcPr>
          <w:p>
            <w:pPr>
              <w:jc w:val="center"/>
              <w:ind w:right="26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60" w:type="dxa"/>
            <w:vAlign w:val="bottom"/>
          </w:tcPr>
          <w:p>
            <w:pPr>
              <w:jc w:val="center"/>
              <w:ind w:left="9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6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94"/>
              </w:rPr>
              <w:t>incorporation or organization)</w:t>
            </w:r>
          </w:p>
        </w:tc>
        <w:tc>
          <w:tcPr>
            <w:tcW w:w="2660" w:type="dxa"/>
            <w:vAlign w:val="bottom"/>
          </w:tcPr>
          <w:p>
            <w:pPr>
              <w:jc w:val="center"/>
              <w:ind w:left="94"/>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08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Dropbox, Inc.</w:t>
            </w:r>
          </w:p>
        </w:tc>
        <w:tc>
          <w:tcPr>
            <w:tcW w:w="26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333 Brannan Street</w:t>
            </w:r>
          </w:p>
        </w:tc>
        <w:tc>
          <w:tcPr>
            <w:tcW w:w="2660" w:type="dxa"/>
            <w:vAlign w:val="bottom"/>
          </w:tcPr>
          <w:p>
            <w:pPr>
              <w:spacing w:after="0"/>
              <w:rPr>
                <w:sz w:val="18"/>
                <w:szCs w:val="18"/>
                <w:color w:val="auto"/>
              </w:rPr>
            </w:pPr>
          </w:p>
        </w:tc>
      </w:tr>
      <w:tr>
        <w:trPr>
          <w:trHeight w:val="216"/>
        </w:trPr>
        <w:tc>
          <w:tcPr>
            <w:tcW w:w="5660" w:type="dxa"/>
            <w:vAlign w:val="bottom"/>
            <w:gridSpan w:val="3"/>
          </w:tcPr>
          <w:p>
            <w:pPr>
              <w:jc w:val="center"/>
              <w:ind w:left="2755"/>
              <w:spacing w:after="0"/>
              <w:rPr>
                <w:sz w:val="20"/>
                <w:szCs w:val="20"/>
                <w:color w:val="auto"/>
              </w:rPr>
            </w:pPr>
            <w:r>
              <w:rPr>
                <w:rFonts w:ascii="Arial" w:cs="Arial" w:eastAsia="Arial" w:hAnsi="Arial"/>
                <w:sz w:val="18"/>
                <w:szCs w:val="18"/>
                <w:b w:val="1"/>
                <w:bCs w:val="1"/>
                <w:color w:val="auto"/>
                <w:w w:val="90"/>
              </w:rPr>
              <w:t>San Francisco, California 94107</w:t>
            </w:r>
          </w:p>
        </w:tc>
        <w:tc>
          <w:tcPr>
            <w:tcW w:w="2660" w:type="dxa"/>
            <w:vAlign w:val="bottom"/>
          </w:tcPr>
          <w:p>
            <w:pPr>
              <w:spacing w:after="0"/>
              <w:rPr>
                <w:sz w:val="18"/>
                <w:szCs w:val="18"/>
                <w:color w:val="auto"/>
              </w:rPr>
            </w:pPr>
          </w:p>
        </w:tc>
      </w:tr>
      <w:tr>
        <w:trPr>
          <w:trHeight w:val="212"/>
        </w:trPr>
        <w:tc>
          <w:tcPr>
            <w:tcW w:w="5400" w:type="dxa"/>
            <w:vAlign w:val="bottom"/>
            <w:gridSpan w:val="2"/>
          </w:tcPr>
          <w:p>
            <w:pPr>
              <w:jc w:val="center"/>
              <w:ind w:left="2995"/>
              <w:spacing w:after="0"/>
              <w:rPr>
                <w:sz w:val="20"/>
                <w:szCs w:val="20"/>
                <w:color w:val="auto"/>
              </w:rPr>
            </w:pPr>
            <w:r>
              <w:rPr>
                <w:rFonts w:ascii="Arial" w:cs="Arial" w:eastAsia="Arial" w:hAnsi="Arial"/>
                <w:sz w:val="18"/>
                <w:szCs w:val="18"/>
                <w:b w:val="1"/>
                <w:bCs w:val="1"/>
                <w:color w:val="auto"/>
                <w:w w:val="90"/>
              </w:rPr>
              <w:t>(415) 857-6800</w:t>
            </w: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86"/>
        </w:trPr>
        <w:tc>
          <w:tcPr>
            <w:tcW w:w="8320" w:type="dxa"/>
            <w:vAlign w:val="bottom"/>
            <w:gridSpan w:val="4"/>
          </w:tcPr>
          <w:p>
            <w:pPr>
              <w:jc w:val="center"/>
              <w:ind w:left="75"/>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36"/>
        </w:trPr>
        <w:tc>
          <w:tcPr>
            <w:tcW w:w="30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03"/>
        </w:trPr>
        <w:tc>
          <w:tcPr>
            <w:tcW w:w="3080" w:type="dxa"/>
            <w:vAlign w:val="bottom"/>
          </w:tcPr>
          <w:p>
            <w:pPr>
              <w:spacing w:after="0"/>
              <w:rPr>
                <w:sz w:val="24"/>
                <w:szCs w:val="24"/>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2018 Equity Incentive Plan</w:t>
            </w:r>
          </w:p>
        </w:tc>
        <w:tc>
          <w:tcPr>
            <w:tcW w:w="2660" w:type="dxa"/>
            <w:vAlign w:val="bottom"/>
          </w:tcPr>
          <w:p>
            <w:pPr>
              <w:spacing w:after="0"/>
              <w:rPr>
                <w:sz w:val="24"/>
                <w:szCs w:val="24"/>
                <w:color w:val="auto"/>
              </w:rPr>
            </w:pPr>
          </w:p>
        </w:tc>
      </w:tr>
      <w:tr>
        <w:trPr>
          <w:trHeight w:val="186"/>
        </w:trPr>
        <w:tc>
          <w:tcPr>
            <w:tcW w:w="3080" w:type="dxa"/>
            <w:vAlign w:val="bottom"/>
          </w:tcPr>
          <w:p>
            <w:pPr>
              <w:spacing w:after="0"/>
              <w:rPr>
                <w:sz w:val="16"/>
                <w:szCs w:val="16"/>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(Full title of the plan)</w:t>
            </w:r>
          </w:p>
        </w:tc>
        <w:tc>
          <w:tcPr>
            <w:tcW w:w="2660" w:type="dxa"/>
            <w:vAlign w:val="bottom"/>
          </w:tcPr>
          <w:p>
            <w:pPr>
              <w:spacing w:after="0"/>
              <w:rPr>
                <w:sz w:val="16"/>
                <w:szCs w:val="16"/>
                <w:color w:val="auto"/>
              </w:rPr>
            </w:pPr>
          </w:p>
        </w:tc>
      </w:tr>
      <w:tr>
        <w:trPr>
          <w:trHeight w:val="350"/>
        </w:trPr>
        <w:tc>
          <w:tcPr>
            <w:tcW w:w="30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07"/>
        </w:trPr>
        <w:tc>
          <w:tcPr>
            <w:tcW w:w="3080" w:type="dxa"/>
            <w:vAlign w:val="bottom"/>
          </w:tcPr>
          <w:p>
            <w:pPr>
              <w:spacing w:after="0"/>
              <w:rPr>
                <w:sz w:val="24"/>
                <w:szCs w:val="24"/>
                <w:color w:val="auto"/>
              </w:rPr>
            </w:pPr>
          </w:p>
        </w:tc>
        <w:tc>
          <w:tcPr>
            <w:tcW w:w="2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Andrew W. Houston</w:t>
            </w:r>
          </w:p>
        </w:tc>
        <w:tc>
          <w:tcPr>
            <w:tcW w:w="26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Chief Executive Officer</w:t>
            </w:r>
          </w:p>
        </w:tc>
        <w:tc>
          <w:tcPr>
            <w:tcW w:w="26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Dropbox, Inc.</w:t>
            </w:r>
          </w:p>
        </w:tc>
        <w:tc>
          <w:tcPr>
            <w:tcW w:w="26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333 Brannan Street</w:t>
            </w:r>
          </w:p>
        </w:tc>
        <w:tc>
          <w:tcPr>
            <w:tcW w:w="2660" w:type="dxa"/>
            <w:vAlign w:val="bottom"/>
          </w:tcPr>
          <w:p>
            <w:pPr>
              <w:spacing w:after="0"/>
              <w:rPr>
                <w:sz w:val="18"/>
                <w:szCs w:val="18"/>
                <w:color w:val="auto"/>
              </w:rPr>
            </w:pPr>
          </w:p>
        </w:tc>
      </w:tr>
      <w:tr>
        <w:trPr>
          <w:trHeight w:val="216"/>
        </w:trPr>
        <w:tc>
          <w:tcPr>
            <w:tcW w:w="5660" w:type="dxa"/>
            <w:vAlign w:val="bottom"/>
            <w:gridSpan w:val="3"/>
          </w:tcPr>
          <w:p>
            <w:pPr>
              <w:jc w:val="center"/>
              <w:ind w:left="2755"/>
              <w:spacing w:after="0"/>
              <w:rPr>
                <w:sz w:val="20"/>
                <w:szCs w:val="20"/>
                <w:color w:val="auto"/>
              </w:rPr>
            </w:pPr>
            <w:r>
              <w:rPr>
                <w:rFonts w:ascii="Arial" w:cs="Arial" w:eastAsia="Arial" w:hAnsi="Arial"/>
                <w:sz w:val="18"/>
                <w:szCs w:val="18"/>
                <w:b w:val="1"/>
                <w:bCs w:val="1"/>
                <w:color w:val="auto"/>
                <w:w w:val="90"/>
              </w:rPr>
              <w:t>San Francisco, California 94107</w:t>
            </w:r>
          </w:p>
        </w:tc>
        <w:tc>
          <w:tcPr>
            <w:tcW w:w="2660" w:type="dxa"/>
            <w:vAlign w:val="bottom"/>
          </w:tcPr>
          <w:p>
            <w:pPr>
              <w:spacing w:after="0"/>
              <w:rPr>
                <w:sz w:val="18"/>
                <w:szCs w:val="18"/>
                <w:color w:val="auto"/>
              </w:rPr>
            </w:pPr>
          </w:p>
        </w:tc>
      </w:tr>
      <w:tr>
        <w:trPr>
          <w:trHeight w:val="212"/>
        </w:trPr>
        <w:tc>
          <w:tcPr>
            <w:tcW w:w="5400" w:type="dxa"/>
            <w:vAlign w:val="bottom"/>
            <w:gridSpan w:val="2"/>
          </w:tcPr>
          <w:p>
            <w:pPr>
              <w:jc w:val="center"/>
              <w:ind w:left="2995"/>
              <w:spacing w:after="0"/>
              <w:rPr>
                <w:sz w:val="20"/>
                <w:szCs w:val="20"/>
                <w:color w:val="auto"/>
              </w:rPr>
            </w:pPr>
            <w:r>
              <w:rPr>
                <w:rFonts w:ascii="Arial" w:cs="Arial" w:eastAsia="Arial" w:hAnsi="Arial"/>
                <w:sz w:val="18"/>
                <w:szCs w:val="18"/>
                <w:b w:val="1"/>
                <w:bCs w:val="1"/>
                <w:color w:val="auto"/>
                <w:w w:val="90"/>
              </w:rPr>
              <w:t>(415) 857-6800</w:t>
            </w: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86"/>
        </w:trPr>
        <w:tc>
          <w:tcPr>
            <w:tcW w:w="8320" w:type="dxa"/>
            <w:vAlign w:val="bottom"/>
            <w:gridSpan w:val="4"/>
          </w:tcPr>
          <w:p>
            <w:pPr>
              <w:jc w:val="center"/>
              <w:ind w:left="75"/>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336"/>
        </w:trPr>
        <w:tc>
          <w:tcPr>
            <w:tcW w:w="30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426"/>
        </w:trPr>
        <w:tc>
          <w:tcPr>
            <w:tcW w:w="3080" w:type="dxa"/>
            <w:vAlign w:val="bottom"/>
          </w:tcPr>
          <w:p>
            <w:pPr>
              <w:spacing w:after="0"/>
              <w:rPr>
                <w:sz w:val="24"/>
                <w:szCs w:val="24"/>
                <w:color w:val="auto"/>
              </w:rPr>
            </w:pP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4"/>
              </w:rPr>
              <w:t>Copies to:</w:t>
            </w:r>
          </w:p>
        </w:tc>
        <w:tc>
          <w:tcPr>
            <w:tcW w:w="2660" w:type="dxa"/>
            <w:vAlign w:val="bottom"/>
          </w:tcPr>
          <w:p>
            <w:pPr>
              <w:spacing w:after="0"/>
              <w:rPr>
                <w:sz w:val="24"/>
                <w:szCs w:val="24"/>
                <w:color w:val="auto"/>
              </w:rPr>
            </w:pPr>
          </w:p>
        </w:tc>
      </w:tr>
      <w:tr>
        <w:trPr>
          <w:trHeight w:val="441"/>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89"/>
              </w:rPr>
              <w:t>Tony Jeffries, Esq.</w:t>
            </w:r>
          </w:p>
        </w:tc>
        <w:tc>
          <w:tcPr>
            <w:tcW w:w="2660" w:type="dxa"/>
            <w:vAlign w:val="bottom"/>
          </w:tcPr>
          <w:p>
            <w:pPr>
              <w:jc w:val="center"/>
              <w:ind w:left="94"/>
              <w:spacing w:after="0"/>
              <w:rPr>
                <w:sz w:val="20"/>
                <w:szCs w:val="20"/>
                <w:color w:val="auto"/>
              </w:rPr>
            </w:pPr>
            <w:r>
              <w:rPr>
                <w:rFonts w:ascii="Arial" w:cs="Arial" w:eastAsia="Arial" w:hAnsi="Arial"/>
                <w:sz w:val="18"/>
                <w:szCs w:val="18"/>
                <w:b w:val="1"/>
                <w:bCs w:val="1"/>
                <w:color w:val="auto"/>
                <w:w w:val="92"/>
              </w:rPr>
              <w:t>Bart E. Volkmer, Esq.</w:t>
            </w:r>
          </w:p>
        </w:tc>
      </w:tr>
      <w:tr>
        <w:trPr>
          <w:trHeight w:val="216"/>
        </w:trPr>
        <w:tc>
          <w:tcPr>
            <w:tcW w:w="566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1"/>
              </w:rPr>
              <w:t>Lisa L. Stimmell, Esq.</w:t>
            </w:r>
          </w:p>
        </w:tc>
        <w:tc>
          <w:tcPr>
            <w:tcW w:w="2660" w:type="dxa"/>
            <w:vAlign w:val="bottom"/>
          </w:tcPr>
          <w:p>
            <w:pPr>
              <w:jc w:val="center"/>
              <w:ind w:left="94"/>
              <w:spacing w:after="0"/>
              <w:rPr>
                <w:sz w:val="20"/>
                <w:szCs w:val="20"/>
                <w:color w:val="auto"/>
              </w:rPr>
            </w:pPr>
            <w:r>
              <w:rPr>
                <w:rFonts w:ascii="Arial" w:cs="Arial" w:eastAsia="Arial" w:hAnsi="Arial"/>
                <w:sz w:val="18"/>
                <w:szCs w:val="18"/>
                <w:b w:val="1"/>
                <w:bCs w:val="1"/>
                <w:color w:val="auto"/>
                <w:w w:val="91"/>
              </w:rPr>
              <w:t>Mary Anne Becking, Esq.</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89"/>
              </w:rPr>
              <w:t>Shannon R. Delahaye, Esq.</w:t>
            </w:r>
          </w:p>
        </w:tc>
        <w:tc>
          <w:tcPr>
            <w:tcW w:w="2660" w:type="dxa"/>
            <w:vAlign w:val="bottom"/>
          </w:tcPr>
          <w:p>
            <w:pPr>
              <w:jc w:val="center"/>
              <w:ind w:left="94"/>
              <w:spacing w:after="0"/>
              <w:rPr>
                <w:sz w:val="20"/>
                <w:szCs w:val="20"/>
                <w:color w:val="auto"/>
              </w:rPr>
            </w:pPr>
            <w:r>
              <w:rPr>
                <w:rFonts w:ascii="Arial" w:cs="Arial" w:eastAsia="Arial" w:hAnsi="Arial"/>
                <w:sz w:val="18"/>
                <w:szCs w:val="18"/>
                <w:b w:val="1"/>
                <w:bCs w:val="1"/>
                <w:color w:val="auto"/>
                <w:w w:val="93"/>
              </w:rPr>
              <w:t>Cara M. Angelmar, Esq.</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2660" w:type="dxa"/>
            <w:vAlign w:val="bottom"/>
          </w:tcPr>
          <w:p>
            <w:pPr>
              <w:jc w:val="center"/>
              <w:ind w:left="114"/>
              <w:spacing w:after="0"/>
              <w:rPr>
                <w:sz w:val="20"/>
                <w:szCs w:val="20"/>
                <w:color w:val="auto"/>
              </w:rPr>
            </w:pPr>
            <w:r>
              <w:rPr>
                <w:rFonts w:ascii="Arial" w:cs="Arial" w:eastAsia="Arial" w:hAnsi="Arial"/>
                <w:sz w:val="18"/>
                <w:szCs w:val="18"/>
                <w:b w:val="1"/>
                <w:bCs w:val="1"/>
                <w:color w:val="auto"/>
                <w:w w:val="92"/>
              </w:rPr>
              <w:t>Dropbox, Inc.</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3"/>
              </w:rPr>
              <w:t>650 Page Mill Road</w:t>
            </w:r>
          </w:p>
        </w:tc>
        <w:tc>
          <w:tcPr>
            <w:tcW w:w="2660" w:type="dxa"/>
            <w:vAlign w:val="bottom"/>
          </w:tcPr>
          <w:p>
            <w:pPr>
              <w:jc w:val="center"/>
              <w:ind w:left="94"/>
              <w:spacing w:after="0"/>
              <w:rPr>
                <w:sz w:val="20"/>
                <w:szCs w:val="20"/>
                <w:color w:val="auto"/>
              </w:rPr>
            </w:pPr>
            <w:r>
              <w:rPr>
                <w:rFonts w:ascii="Arial" w:cs="Arial" w:eastAsia="Arial" w:hAnsi="Arial"/>
                <w:sz w:val="18"/>
                <w:szCs w:val="18"/>
                <w:b w:val="1"/>
                <w:bCs w:val="1"/>
                <w:color w:val="auto"/>
                <w:w w:val="90"/>
              </w:rPr>
              <w:t>333 Brannan Street</w:t>
            </w:r>
          </w:p>
        </w:tc>
      </w:tr>
      <w:tr>
        <w:trPr>
          <w:trHeight w:val="216"/>
        </w:trPr>
        <w:tc>
          <w:tcPr>
            <w:tcW w:w="56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1"/>
              </w:rPr>
              <w:t>Palo Alto, California 94304</w:t>
            </w:r>
          </w:p>
        </w:tc>
        <w:tc>
          <w:tcPr>
            <w:tcW w:w="2660" w:type="dxa"/>
            <w:vAlign w:val="bottom"/>
          </w:tcPr>
          <w:p>
            <w:pPr>
              <w:jc w:val="center"/>
              <w:ind w:left="114"/>
              <w:spacing w:after="0"/>
              <w:rPr>
                <w:sz w:val="20"/>
                <w:szCs w:val="20"/>
                <w:color w:val="auto"/>
              </w:rPr>
            </w:pPr>
            <w:r>
              <w:rPr>
                <w:rFonts w:ascii="Arial" w:cs="Arial" w:eastAsia="Arial" w:hAnsi="Arial"/>
                <w:sz w:val="18"/>
                <w:szCs w:val="18"/>
                <w:b w:val="1"/>
                <w:bCs w:val="1"/>
                <w:color w:val="auto"/>
                <w:w w:val="90"/>
              </w:rPr>
              <w:t>San Francisco, California 94107</w:t>
            </w:r>
          </w:p>
        </w:tc>
      </w:tr>
      <w:tr>
        <w:trPr>
          <w:trHeight w:val="234"/>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(650) 493-9300</w:t>
            </w: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tcPr>
          <w:p>
            <w:pPr>
              <w:jc w:val="right"/>
              <w:ind w:right="594"/>
              <w:spacing w:after="0"/>
              <w:rPr>
                <w:sz w:val="20"/>
                <w:szCs w:val="20"/>
                <w:color w:val="auto"/>
              </w:rPr>
            </w:pPr>
            <w:r>
              <w:rPr>
                <w:rFonts w:ascii="Arial" w:cs="Arial" w:eastAsia="Arial" w:hAnsi="Arial"/>
                <w:sz w:val="18"/>
                <w:szCs w:val="18"/>
                <w:b w:val="1"/>
                <w:bCs w:val="1"/>
                <w:color w:val="auto"/>
              </w:rPr>
              <w:t>(415) 857-6800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231140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49" w:right="439" w:bottom="0" w:gutter="0" w:footer="0" w:header="0"/>
        </w:sectPr>
      </w:pPr>
    </w:p>
    <w:bookmarkStart w:id="1" w:name="page2"/>
    <w:bookmarkEnd w:id="1"/>
    <w:tbl>
      <w:tblPr>
        <w:tblLayout w:type="fixed"/>
        <w:tblInd w:w="2" w:type="dxa"/>
        <w:tblCellMar>
          <w:top w:w="0" w:type="dxa"/>
          <w:left w:w="0" w:type="dxa"/>
          <w:bottom w:w="0" w:type="dxa"/>
          <w:right w:w="0" w:type="dxa"/>
        </w:tblCellMar>
      </w:tblPr>
      <w:tr>
        <w:trPr>
          <w:trHeight w:val="139"/>
        </w:trPr>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ind w:left="1"/>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Class A Common Stock, $0.00001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issuance pursuant to the 2018 Equity Incentive Plan</w:t>
            </w:r>
          </w:p>
        </w:tc>
        <w:tc>
          <w:tcPr>
            <w:tcW w:w="1540" w:type="dxa"/>
            <w:vAlign w:val="bottom"/>
            <w:tcBorders>
              <w:bottom w:val="single" w:sz="8" w:color="auto"/>
              <w:right w:val="single" w:sz="8" w:color="auto"/>
            </w:tcBorders>
          </w:tcPr>
          <w:p>
            <w:pPr>
              <w:jc w:val="right"/>
              <w:ind w:right="121"/>
              <w:spacing w:after="0"/>
              <w:rPr>
                <w:sz w:val="20"/>
                <w:szCs w:val="20"/>
                <w:color w:val="auto"/>
              </w:rPr>
            </w:pPr>
            <w:r>
              <w:rPr>
                <w:rFonts w:ascii="Arial" w:cs="Arial" w:eastAsia="Arial" w:hAnsi="Arial"/>
                <w:sz w:val="18"/>
                <w:szCs w:val="18"/>
                <w:color w:val="auto"/>
              </w:rPr>
              <w:t>21,218,065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$23.62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$501,064,604.98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$60,730.00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right"/>
              <w:ind w:right="261"/>
              <w:spacing w:after="0"/>
              <w:rPr>
                <w:sz w:val="20"/>
                <w:szCs w:val="20"/>
                <w:color w:val="auto"/>
              </w:rPr>
            </w:pPr>
            <w:r>
              <w:rPr>
                <w:rFonts w:ascii="Arial" w:cs="Arial" w:eastAsia="Arial" w:hAnsi="Arial"/>
                <w:sz w:val="18"/>
                <w:szCs w:val="18"/>
                <w:color w:val="auto"/>
              </w:rPr>
              <w:t>21,218,065</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$501,064,604.98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$60,730.00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2" w:right="60" w:hanging="442"/>
        <w:spacing w:after="0" w:line="269" w:lineRule="auto"/>
        <w:tabs>
          <w:tab w:leader="none" w:pos="442"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this Registration Statement covers any additional shares of the Registrant’s Class A common stock (“</w:t>
      </w:r>
      <w:r>
        <w:rPr>
          <w:rFonts w:ascii="Arial" w:cs="Arial" w:eastAsia="Arial" w:hAnsi="Arial"/>
          <w:sz w:val="17"/>
          <w:szCs w:val="17"/>
          <w:b w:val="1"/>
          <w:bCs w:val="1"/>
          <w:color w:val="auto"/>
        </w:rPr>
        <w:t>Class A Common Stock</w:t>
      </w:r>
      <w:r>
        <w:rPr>
          <w:rFonts w:ascii="Arial" w:cs="Arial" w:eastAsia="Arial" w:hAnsi="Arial"/>
          <w:sz w:val="17"/>
          <w:szCs w:val="17"/>
          <w:color w:val="auto"/>
        </w:rPr>
        <w:t>”) that become issuable under the Registrant’s 2018 Equity Incentive Plan (the “</w:t>
      </w:r>
      <w:r>
        <w:rPr>
          <w:rFonts w:ascii="Arial" w:cs="Arial" w:eastAsia="Arial" w:hAnsi="Arial"/>
          <w:sz w:val="17"/>
          <w:szCs w:val="17"/>
          <w:b w:val="1"/>
          <w:bCs w:val="1"/>
          <w:color w:val="auto"/>
        </w:rPr>
        <w:t>2018 Plan</w:t>
      </w:r>
      <w:r>
        <w:rPr>
          <w:rFonts w:ascii="Arial" w:cs="Arial" w:eastAsia="Arial" w:hAnsi="Arial"/>
          <w:sz w:val="17"/>
          <w:szCs w:val="17"/>
          <w:color w:val="auto"/>
        </w:rPr>
        <w:t>”) by reason of any stock dividend, stock split, recapitalization or other similar transaction effected without the Registrant’s receipt of consideration which results in an increase in the number of the outstanding shares of Class A Common Stock.</w:t>
      </w:r>
    </w:p>
    <w:p>
      <w:pPr>
        <w:spacing w:after="0" w:line="1" w:lineRule="exact"/>
        <w:rPr>
          <w:rFonts w:ascii="Arial" w:cs="Arial" w:eastAsia="Arial" w:hAnsi="Arial"/>
          <w:sz w:val="17"/>
          <w:szCs w:val="17"/>
          <w:color w:val="auto"/>
        </w:rPr>
      </w:pPr>
    </w:p>
    <w:p>
      <w:pPr>
        <w:ind w:left="442" w:right="220" w:hanging="442"/>
        <w:spacing w:after="0" w:line="250" w:lineRule="auto"/>
        <w:tabs>
          <w:tab w:leader="none" w:pos="44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of 21,218,065 shares of the Registrant’s Class A common stock reserved for issuance under, and which annual increase is provided for, in the 2018 Plan.</w:t>
      </w:r>
    </w:p>
    <w:p>
      <w:pPr>
        <w:ind w:left="442" w:right="80" w:hanging="442"/>
        <w:spacing w:after="0" w:line="255" w:lineRule="auto"/>
        <w:tabs>
          <w:tab w:leader="none" w:pos="44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$23.62 per share, the average of the high and low sale prices of the Registrant’s Class A common stock as reported on the NASDAQ Global Select Stock Market on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2"/>
          </w:cols>
          <w:pgMar w:left="438" w:top="5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EXPLANATORY NOTE</w:t>
      </w:r>
    </w:p>
    <w:p>
      <w:pPr>
        <w:spacing w:after="0" w:line="225" w:lineRule="exact"/>
        <w:rPr>
          <w:sz w:val="20"/>
          <w:szCs w:val="20"/>
          <w:color w:val="auto"/>
        </w:rPr>
      </w:pPr>
    </w:p>
    <w:p>
      <w:pPr>
        <w:ind w:firstLine="881"/>
        <w:spacing w:after="0" w:line="256" w:lineRule="auto"/>
        <w:rPr>
          <w:sz w:val="20"/>
          <w:szCs w:val="20"/>
          <w:color w:val="auto"/>
        </w:rPr>
      </w:pPr>
      <w:r>
        <w:rPr>
          <w:rFonts w:ascii="Arial" w:cs="Arial" w:eastAsia="Arial" w:hAnsi="Arial"/>
          <w:sz w:val="18"/>
          <w:szCs w:val="18"/>
          <w:color w:val="auto"/>
        </w:rPr>
        <w:t>This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registers additional shares of Class A common stock of Dropbox, Inc. (the “</w:t>
      </w:r>
      <w:r>
        <w:rPr>
          <w:rFonts w:ascii="Arial" w:cs="Arial" w:eastAsia="Arial" w:hAnsi="Arial"/>
          <w:sz w:val="18"/>
          <w:szCs w:val="18"/>
          <w:b w:val="1"/>
          <w:bCs w:val="1"/>
          <w:color w:val="auto"/>
        </w:rPr>
        <w:t>Registrant</w:t>
      </w:r>
      <w:r>
        <w:rPr>
          <w:rFonts w:ascii="Arial" w:cs="Arial" w:eastAsia="Arial" w:hAnsi="Arial"/>
          <w:sz w:val="18"/>
          <w:szCs w:val="18"/>
          <w:color w:val="auto"/>
        </w:rPr>
        <w:t>”) reserved for issuance under the Registrant’s 2018 Equity Incentive Plan (the “</w:t>
      </w:r>
      <w:r>
        <w:rPr>
          <w:rFonts w:ascii="Arial" w:cs="Arial" w:eastAsia="Arial" w:hAnsi="Arial"/>
          <w:sz w:val="18"/>
          <w:szCs w:val="18"/>
          <w:b w:val="1"/>
          <w:bCs w:val="1"/>
          <w:color w:val="auto"/>
        </w:rPr>
        <w:t>2018 Plan</w:t>
      </w:r>
      <w:r>
        <w:rPr>
          <w:rFonts w:ascii="Arial" w:cs="Arial" w:eastAsia="Arial" w:hAnsi="Arial"/>
          <w:sz w:val="18"/>
          <w:szCs w:val="18"/>
          <w:color w:val="auto"/>
        </w:rPr>
        <w:t>”). The number of shares of the Registrant’s Class A common stock available for grant and issuance under the 2018 Plan is subject to an annual increase on the first day of each fiscal year starting on January 1, 2019, by an amount equal to the least of (i) 41,368,326 shares, (ii) five percent (5%) of the outstanding shares of all classes of the Company’s common stock on the last day of the immediately preceding fiscal year or (iii) such number of shares determined by the Registrant’s board of directors.</w:t>
      </w:r>
    </w:p>
    <w:p>
      <w:pPr>
        <w:spacing w:after="0" w:line="191" w:lineRule="exact"/>
        <w:rPr>
          <w:sz w:val="20"/>
          <w:szCs w:val="20"/>
          <w:color w:val="auto"/>
        </w:rPr>
      </w:pPr>
    </w:p>
    <w:p>
      <w:pPr>
        <w:ind w:right="220" w:firstLine="881"/>
        <w:spacing w:after="0" w:line="308" w:lineRule="auto"/>
        <w:rPr>
          <w:sz w:val="20"/>
          <w:szCs w:val="20"/>
          <w:color w:val="auto"/>
        </w:rPr>
      </w:pPr>
      <w:r>
        <w:rPr>
          <w:rFonts w:ascii="Arial" w:cs="Arial" w:eastAsia="Arial" w:hAnsi="Arial"/>
          <w:sz w:val="17"/>
          <w:szCs w:val="17"/>
          <w:color w:val="auto"/>
        </w:rPr>
        <w:t>This Registration Statement registers an aggregate of 21,218,065 shares of the Registrant’s Class A common stock available for grant and issuance under the 2018 Plan, all of which became available for grant and issuance under the 2018 Plan on January 1, 2019.</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360" w:firstLine="881"/>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 The Registrant’s Annual Report on Form 10-K for the fiscal year ended December 31, 2018, filed with the Commission on February 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w:t>
      </w:r>
    </w:p>
    <w:p>
      <w:pPr>
        <w:spacing w:after="0" w:line="211" w:lineRule="exact"/>
        <w:rPr>
          <w:sz w:val="20"/>
          <w:szCs w:val="20"/>
          <w:color w:val="auto"/>
        </w:rPr>
      </w:pPr>
    </w:p>
    <w:p>
      <w:pPr>
        <w:jc w:val="both"/>
        <w:ind w:right="440" w:firstLine="879"/>
        <w:spacing w:after="0" w:line="286" w:lineRule="auto"/>
        <w:tabs>
          <w:tab w:leader="none" w:pos="113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Class A Common Stock contained in the Company’s Registration Statement on Form 8-A (File No. 001-38434) filed with the Commission on March 19, 2018, pursuant to Section 12(b)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including any amendment or report filed for the purpose of updating such description.</w:t>
      </w:r>
    </w:p>
    <w:p>
      <w:pPr>
        <w:spacing w:after="0" w:line="165"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190" w:right="459" w:bottom="1440" w:gutter="0" w:footer="0" w:header="0"/>
        </w:sectPr>
      </w:pPr>
    </w:p>
    <w:bookmarkStart w:id="3" w:name="page4"/>
    <w:bookmarkEnd w:id="3"/>
    <w:p>
      <w:pPr>
        <w:jc w:val="center"/>
        <w:ind w:right="8200"/>
        <w:spacing w:after="0"/>
        <w:tabs>
          <w:tab w:leader="none" w:pos="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060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jc w:val="center"/>
        <w:ind w:right="81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500" w:firstLine="881"/>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right="280" w:firstLine="881"/>
        <w:spacing w:after="0" w:line="286" w:lineRule="auto"/>
        <w:rPr>
          <w:sz w:val="20"/>
          <w:szCs w:val="20"/>
          <w:color w:val="auto"/>
        </w:rPr>
      </w:pPr>
      <w:r>
        <w:rPr>
          <w:rFonts w:ascii="Arial" w:cs="Arial" w:eastAsia="Arial" w:hAnsi="Arial"/>
          <w:sz w:val="17"/>
          <w:szCs w:val="17"/>
          <w:color w:val="auto"/>
        </w:rPr>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71" w:lineRule="exact"/>
        <w:rPr>
          <w:sz w:val="20"/>
          <w:szCs w:val="20"/>
          <w:color w:val="auto"/>
        </w:rPr>
      </w:pPr>
    </w:p>
    <w:p>
      <w:pPr>
        <w:ind w:left="860" w:hanging="430"/>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130" w:lineRule="exact"/>
        <w:rPr>
          <w:rFonts w:ascii="Arial" w:cs="Arial" w:eastAsia="Arial" w:hAnsi="Arial"/>
          <w:sz w:val="18"/>
          <w:szCs w:val="18"/>
          <w:color w:val="auto"/>
        </w:rPr>
      </w:pPr>
    </w:p>
    <w:p>
      <w:pPr>
        <w:ind w:left="860" w:hanging="430"/>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60" w:right="720" w:hanging="430"/>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60" w:hanging="430"/>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65"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9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limitation of liability and indemnification provisions in the Registrant’s amended and restated certificate of incorporation, amended and restated bylaws, and the indemnification agreements that the Registrant has entered into</w:t>
      </w:r>
    </w:p>
    <w:p>
      <w:pPr>
        <w:sectPr>
          <w:pgSz w:w="11900" w:h="16838" w:orient="portrait"/>
          <w:cols w:equalWidth="0" w:num="1">
            <w:col w:w="11000"/>
          </w:cols>
          <w:pgMar w:left="440" w:top="190" w:right="459" w:bottom="1440" w:gutter="0" w:footer="0" w:header="0"/>
        </w:sectPr>
      </w:pPr>
    </w:p>
    <w:bookmarkStart w:id="4" w:name="page5"/>
    <w:bookmarkEnd w:id="4"/>
    <w:p>
      <w:pPr>
        <w:ind w:left="2"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t>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78" w:lineRule="exact"/>
        <w:rPr>
          <w:sz w:val="20"/>
          <w:szCs w:val="20"/>
          <w:color w:val="auto"/>
        </w:rPr>
      </w:pPr>
    </w:p>
    <w:p>
      <w:pPr>
        <w:ind w:left="2" w:right="420" w:firstLine="440"/>
        <w:spacing w:after="0" w:line="301" w:lineRule="auto"/>
        <w:rPr>
          <w:sz w:val="20"/>
          <w:szCs w:val="20"/>
          <w:color w:val="auto"/>
        </w:rPr>
      </w:pPr>
      <w:r>
        <w:rPr>
          <w:rFonts w:ascii="Arial" w:cs="Arial" w:eastAsia="Arial" w:hAnsi="Arial"/>
          <w:sz w:val="16"/>
          <w:szCs w:val="16"/>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57" w:lineRule="exact"/>
        <w:rPr>
          <w:sz w:val="20"/>
          <w:szCs w:val="20"/>
          <w:color w:val="auto"/>
        </w:rPr>
      </w:pPr>
    </w:p>
    <w:p>
      <w:pPr>
        <w:ind w:left="2" w:right="260" w:firstLine="440"/>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315" w:lineRule="exact"/>
        <w:rPr>
          <w:sz w:val="20"/>
          <w:szCs w:val="20"/>
          <w:color w:val="auto"/>
        </w:rPr>
      </w:pPr>
    </w:p>
    <w:tbl>
      <w:tblPr>
        <w:tblLayout w:type="fixed"/>
        <w:tblInd w:w="2" w:type="dxa"/>
        <w:tblCellMar>
          <w:top w:w="0" w:type="dxa"/>
          <w:left w:w="0" w:type="dxa"/>
          <w:bottom w:w="0" w:type="dxa"/>
          <w:right w:w="0" w:type="dxa"/>
        </w:tblCellMar>
      </w:tblPr>
      <w:tr>
        <w:trPr>
          <w:trHeight w:val="234"/>
        </w:trPr>
        <w:tc>
          <w:tcPr>
            <w:tcW w:w="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Item 7.</w:t>
            </w:r>
          </w:p>
        </w:tc>
        <w:tc>
          <w:tcPr>
            <w:tcW w:w="7520" w:type="dxa"/>
            <w:vAlign w:val="bottom"/>
            <w:gridSpan w:val="8"/>
          </w:tcPr>
          <w:p>
            <w:pPr>
              <w:ind w:left="18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8"/>
          </w:tcPr>
          <w:p>
            <w:pPr>
              <w:ind w:left="1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80"/>
        </w:trPr>
        <w:tc>
          <w:tcPr>
            <w:tcW w:w="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Item 8.</w:t>
            </w:r>
          </w:p>
        </w:tc>
        <w:tc>
          <w:tcPr>
            <w:tcW w:w="7520" w:type="dxa"/>
            <w:vAlign w:val="bottom"/>
            <w:gridSpan w:val="8"/>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24"/>
                <w:szCs w:val="24"/>
                <w:color w:val="auto"/>
              </w:rPr>
            </w:pPr>
          </w:p>
        </w:tc>
        <w:tc>
          <w:tcPr>
            <w:tcW w:w="7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rPr>
            </w:pPr>
            <w:hyperlink r:id="rId21">
              <w:r>
                <w:rPr>
                  <w:rFonts w:ascii="Arial" w:cs="Arial" w:eastAsia="Arial" w:hAnsi="Arial"/>
                  <w:sz w:val="18"/>
                  <w:szCs w:val="18"/>
                  <w:color w:val="0000EE"/>
                </w:rPr>
                <w:t>Form of Class A common stock certificate.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rPr>
            </w:pPr>
            <w:hyperlink r:id="rId22">
              <w:r>
                <w:rPr>
                  <w:rFonts w:ascii="Arial" w:cs="Arial" w:eastAsia="Arial" w:hAnsi="Arial"/>
                  <w:sz w:val="18"/>
                  <w:szCs w:val="18"/>
                  <w:color w:val="0000EE"/>
                </w:rPr>
                <w:t>Dropbox, Inc. 2018 Equity Incentive Plan and related form agreements.</w:t>
              </w:r>
            </w:hyperlink>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Opinion of Wilson Sonsini Goodrich &amp; Rosati, P.C.</w:t>
            </w:r>
          </w:p>
        </w:tc>
        <w:tc>
          <w:tcPr>
            <w:tcW w:w="1420" w:type="dxa"/>
            <w:vAlign w:val="bottom"/>
            <w:tcBorders>
              <w:top w:val="single" w:sz="8" w:color="0000EE"/>
            </w:tcBorders>
            <w:gridSpan w:val="3"/>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2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0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24.1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(contained on signature page hereto).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2" w:right="280" w:hanging="442"/>
        <w:spacing w:after="0" w:line="258" w:lineRule="auto"/>
        <w:tabs>
          <w:tab w:leader="none" w:pos="442"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Incorporated by reference to Exhibit 4.1 filed with the Registrant’s Registration Statement on Form S-1/A (Registration No. 333-223182), filed with the Commission on March 12, 2018.</w:t>
      </w:r>
    </w:p>
    <w:p>
      <w:pPr>
        <w:spacing w:after="0" w:line="1" w:lineRule="exact"/>
        <w:rPr>
          <w:rFonts w:ascii="Arial" w:cs="Arial" w:eastAsia="Arial" w:hAnsi="Arial"/>
          <w:sz w:val="15"/>
          <w:szCs w:val="15"/>
          <w:color w:val="auto"/>
        </w:rPr>
      </w:pPr>
    </w:p>
    <w:p>
      <w:pPr>
        <w:ind w:left="442" w:hanging="442"/>
        <w:spacing w:after="0" w:line="260" w:lineRule="auto"/>
        <w:tabs>
          <w:tab w:leader="none" w:pos="442"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Incorporated by reference to Exhibit 10.2 filed with the Registrant’s Registration Statement on Form S-1 (Registration No. 333-223182), filed with the Commission on March 21, 2018.</w:t>
      </w:r>
    </w:p>
    <w:p>
      <w:pPr>
        <w:sectPr>
          <w:pgSz w:w="11900" w:h="16838" w:orient="portrait"/>
          <w:cols w:equalWidth="0" w:num="1">
            <w:col w:w="11022"/>
          </w:cols>
          <w:pgMar w:left="438" w:top="194" w:right="439" w:bottom="1440" w:gutter="0" w:footer="0" w:header="0"/>
        </w:sectPr>
      </w:pPr>
    </w:p>
    <w:bookmarkStart w:id="5" w:name="page6"/>
    <w:bookmarkEnd w:id="5"/>
    <w:p>
      <w:pPr>
        <w:ind w:left="2"/>
        <w:spacing w:after="0"/>
        <w:tabs>
          <w:tab w:leader="none" w:pos="86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38060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882" w:hanging="882"/>
        <w:spacing w:after="0"/>
        <w:tabs>
          <w:tab w:leader="none" w:pos="88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22" w:hanging="545"/>
        <w:spacing w:after="0"/>
        <w:tabs>
          <w:tab w:leader="none" w:pos="1422"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862" w:hanging="431"/>
        <w:spacing w:after="0"/>
        <w:tabs>
          <w:tab w:leader="none" w:pos="1862"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862" w:right="20" w:hanging="431"/>
        <w:spacing w:after="0" w:line="254" w:lineRule="auto"/>
        <w:tabs>
          <w:tab w:leader="none" w:pos="1862"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rFonts w:ascii="Arial" w:cs="Arial" w:eastAsia="Arial" w:hAnsi="Arial"/>
          <w:sz w:val="18"/>
          <w:szCs w:val="18"/>
          <w:color w:val="auto"/>
        </w:rPr>
      </w:pPr>
    </w:p>
    <w:p>
      <w:pPr>
        <w:ind w:left="1862" w:right="600" w:hanging="431"/>
        <w:spacing w:after="0" w:line="277" w:lineRule="auto"/>
        <w:tabs>
          <w:tab w:leader="none" w:pos="1862"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2" w:right="36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ind w:left="1422" w:right="60" w:hanging="545"/>
        <w:spacing w:after="0" w:line="263" w:lineRule="auto"/>
        <w:tabs>
          <w:tab w:leader="none" w:pos="142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422" w:right="120" w:hanging="545"/>
        <w:spacing w:after="0" w:line="277" w:lineRule="auto"/>
        <w:tabs>
          <w:tab w:leader="none" w:pos="1422"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882" w:hanging="882"/>
        <w:spacing w:after="0" w:line="257" w:lineRule="auto"/>
        <w:tabs>
          <w:tab w:leader="none" w:pos="88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882" w:right="60" w:hanging="882"/>
        <w:spacing w:after="0" w:line="290" w:lineRule="auto"/>
        <w:tabs>
          <w:tab w:leader="none" w:pos="88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22"/>
          </w:cols>
          <w:pgMar w:left="438" w:top="190" w:right="4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SIGNATURES</w:t>
      </w:r>
    </w:p>
    <w:p>
      <w:pPr>
        <w:spacing w:after="0" w:line="229" w:lineRule="exact"/>
        <w:rPr>
          <w:sz w:val="20"/>
          <w:szCs w:val="20"/>
          <w:color w:val="auto"/>
        </w:rPr>
      </w:pPr>
    </w:p>
    <w:p>
      <w:pPr>
        <w:ind w:right="20" w:firstLine="881"/>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 Francisco, California, on the 25th day of February, 2019.</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V. Vashee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W. Houston, Ajay V. Vashee,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pacing w:after="0" w:line="166" w:lineRule="exact"/>
        <w:rPr>
          <w:sz w:val="20"/>
          <w:szCs w:val="20"/>
          <w:color w:val="auto"/>
        </w:rPr>
      </w:pPr>
    </w:p>
    <w:p>
      <w:pPr>
        <w:ind w:right="2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600" w:type="dxa"/>
            <w:vAlign w:val="bottom"/>
            <w:gridSpan w:val="2"/>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90"/>
              </w:rPr>
              <w:t>Title</w:t>
            </w:r>
          </w:p>
        </w:tc>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200" w:type="dxa"/>
            <w:vAlign w:val="bottom"/>
            <w:gridSpan w:val="3"/>
          </w:tcPr>
          <w:p>
            <w:pPr>
              <w:spacing w:after="0"/>
              <w:rPr>
                <w:sz w:val="20"/>
                <w:szCs w:val="20"/>
                <w:color w:val="auto"/>
              </w:rPr>
            </w:pPr>
            <w:r>
              <w:rPr>
                <w:rFonts w:ascii="Arial" w:cs="Arial" w:eastAsia="Arial" w:hAnsi="Arial"/>
                <w:sz w:val="18"/>
                <w:szCs w:val="18"/>
                <w:color w:val="auto"/>
              </w:rPr>
              <w:t>/s/ Andrew W. Houston</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Chairman</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Andrew W. Houston</w:t>
            </w:r>
          </w:p>
        </w:tc>
        <w:tc>
          <w:tcPr>
            <w:tcW w:w="10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Ajay V. Vashee</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Ajay V. Vashee</w:t>
            </w:r>
          </w:p>
        </w:tc>
        <w:tc>
          <w:tcPr>
            <w:tcW w:w="10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Timothy J. Regan</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Timothy J. Regan</w:t>
            </w:r>
          </w:p>
        </w:tc>
        <w:tc>
          <w:tcPr>
            <w:tcW w:w="100" w:type="dxa"/>
            <w:vAlign w:val="bottom"/>
          </w:tcPr>
          <w:p>
            <w:pPr>
              <w:spacing w:after="0"/>
              <w:rPr>
                <w:sz w:val="19"/>
                <w:szCs w:val="19"/>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Donald W. Blair</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Donald W. Blair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Arash Ferdowsi</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Arash Ferdowsi</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Paul E. Jacobs</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Paul E. Jacobs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Robert J. Mylod, Jr.</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Robert J. Mylod, Jr.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Condoleezza Rice</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Condoleezza Rice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R. Bryan Schreier</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 Bryan Schreier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200" w:type="dxa"/>
            <w:vAlign w:val="bottom"/>
            <w:gridSpan w:val="3"/>
          </w:tcPr>
          <w:p>
            <w:pPr>
              <w:spacing w:after="0"/>
              <w:rPr>
                <w:sz w:val="20"/>
                <w:szCs w:val="20"/>
                <w:color w:val="auto"/>
              </w:rPr>
            </w:pPr>
            <w:r>
              <w:rPr>
                <w:rFonts w:ascii="Arial" w:cs="Arial" w:eastAsia="Arial" w:hAnsi="Arial"/>
                <w:sz w:val="18"/>
                <w:szCs w:val="18"/>
                <w:color w:val="auto"/>
              </w:rPr>
              <w:t>/s/ Margaret C. Whitman</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580" w:type="dxa"/>
            <w:vAlign w:val="bottom"/>
            <w:gridSpan w:val="3"/>
          </w:tcPr>
          <w:p>
            <w:pPr>
              <w:jc w:val="center"/>
              <w:ind w:left="1170"/>
              <w:spacing w:after="0"/>
              <w:rPr>
                <w:sz w:val="20"/>
                <w:szCs w:val="20"/>
                <w:color w:val="auto"/>
              </w:rPr>
            </w:pPr>
            <w:r>
              <w:rPr>
                <w:rFonts w:ascii="Arial" w:cs="Arial" w:eastAsia="Arial" w:hAnsi="Arial"/>
                <w:sz w:val="18"/>
                <w:szCs w:val="18"/>
                <w:color w:val="auto"/>
                <w:w w:val="89"/>
              </w:rPr>
              <w:t>February 25, 2019</w:t>
            </w:r>
          </w:p>
        </w:tc>
      </w:tr>
      <w:tr>
        <w:trPr>
          <w:trHeight w:val="224"/>
        </w:trPr>
        <w:tc>
          <w:tcPr>
            <w:tcW w:w="4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Margaret C. Whitman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0920"/>
          </w:cols>
          <w:pgMar w:left="440" w:top="190" w:right="5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 94304-1050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3214370"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214370" cy="368935"/>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650.493.9300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650.493.6811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www.wsgr.com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Brannan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3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We have examined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be filed by Dropbox,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with the Securities and Exchange Commission on or about the date hereof, relating to the registration under the Securities Act of 1933, as amended, of 21,218,065 shares of the Company’s Class A common stock, par value $0.00001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reserved for issuance pursuant to the Dropbox, Inc. 2018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4"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4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20"/>
          </w:cols>
          <w:pgMar w:left="440" w:top="4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2018 Equity Incentive Plan of Dropbox, Inc. of our report dated February 22, 2019, with respect to the consolidated financial statements of Dropbox, Inc. included in its Annual Report (Form 10-K) for the year ended December 31, 2018, filed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sectPr>
      <w:pgSz w:w="11900" w:h="16838" w:orient="portrait"/>
      <w:cols w:equalWidth="0" w:num="1">
        <w:col w:w="11020"/>
      </w:cols>
      <w:pgMar w:left="440" w:top="4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2EB141F2"/>
    <w:multiLevelType w:val="hybridMultilevel"/>
    <w:lvl w:ilvl="0">
      <w:lvlJc w:val="left"/>
      <w:lvlText w:val="%1"/>
      <w:numFmt w:val="upperLetter"/>
      <w:start w:val="1"/>
    </w:lvl>
    <w:lvl w:ilvl="1">
      <w:lvlJc w:val="left"/>
      <w:lvlText w:val="(%2)"/>
      <w:numFmt w:val="decimal"/>
      <w:start w:val="2"/>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1" Type="http://schemas.openxmlformats.org/officeDocument/2006/relationships/hyperlink" Target="http://www.sec.gov/Archives/edgar/data/1467623/000119312518078140/d451946dex41.htm" TargetMode="External"/><Relationship Id="rId22" Type="http://schemas.openxmlformats.org/officeDocument/2006/relationships/hyperlink" Target="http://www.sec.gov/Archives/edgar/data/1467623/000119312518089786/d55352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2019-12-15T16:54:00Z</dcterms:created>
  <dcterms:modified xsi:type="dcterms:W3CDTF">2019-12-15T16:54:00Z</dcterms:modified>
</cp:coreProperties>
</file>