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primarydocument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Ferdowsi Arash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FRANCISCO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DBX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6"/>
              <w:gridCol w:w="1065"/>
              <w:gridCol w:w="456"/>
              <w:gridCol w:w="1065"/>
            </w:tblGrid>
            <w:tr>
              <w:trPr/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Co-Founder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9"/>
        <w:gridCol w:w="904"/>
        <w:gridCol w:w="773"/>
        <w:gridCol w:w="576"/>
        <w:gridCol w:w="376"/>
        <w:gridCol w:w="939"/>
        <w:gridCol w:w="463"/>
        <w:gridCol w:w="718"/>
        <w:gridCol w:w="1291"/>
        <w:gridCol w:w="1008"/>
        <w:gridCol w:w="1032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2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2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4,400,000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1071"/>
        <w:gridCol w:w="831"/>
        <w:gridCol w:w="90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28,586,583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50,000 shares of Class B Common Stock were converted into 50,000 shares of Class A Common Stock at the election of the Reporting Person and had no expiration date.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Arash Ferdowsi Revocable Trust u/a/d 4/20/2012, for which the Reporting Person serves as trustee.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Mary Anne Becking,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34434" TargetMode="External"/><Relationship Id="rId4" Type="http://schemas.openxmlformats.org/officeDocument/2006/relationships/hyperlink" Target="../../../../cgi-bin/browse-edgar%3F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641</Words>
  <CharactersWithSpaces>3973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