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2740660</wp:posOffset>
            </wp:positionH>
            <wp:positionV relativeFrom="paragraph">
              <wp:posOffset>201930</wp:posOffset>
            </wp:positionV>
            <wp:extent cx="1775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34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2740660</wp:posOffset>
            </wp:positionH>
            <wp:positionV relativeFrom="paragraph">
              <wp:posOffset>-130175</wp:posOffset>
            </wp:positionV>
            <wp:extent cx="17754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 w:lineRule="exact"/>
        <w:rPr>
          <w:sz w:val="24"/>
          <w:szCs w:val="24"/>
          <w:color w:val="auto"/>
        </w:rPr>
      </w:pPr>
    </w:p>
    <w:p>
      <w:pPr>
        <w:ind w:left="4020" w:right="2080" w:hanging="4016"/>
        <w:spacing w:after="0" w:line="261" w:lineRule="auto"/>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QUARTERLY REPORT PURSUANT TO SECTION 13 OR 15(d) OF THE SECURITIES EXCHANGE ACT OF 1934</w:t>
      </w:r>
      <w:r>
        <w:rPr>
          <w:rFonts w:ascii="Arial" w:cs="Arial" w:eastAsia="Arial" w:hAnsi="Arial"/>
          <w:sz w:val="18"/>
          <w:szCs w:val="18"/>
          <w:color w:val="auto"/>
        </w:rPr>
        <w:t xml:space="preserve"> For the quarterly period ended March 31, 2019</w:t>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3760" w:right="2000" w:hanging="3752"/>
        <w:spacing w:after="0" w:line="266" w:lineRule="auto"/>
        <w:tabs>
          <w:tab w:leader="none" w:pos="21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from________to________</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001-38434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317500</wp:posOffset>
            </wp:positionV>
            <wp:extent cx="3009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Dropbox, Inc.</w:t>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167640</wp:posOffset>
            </wp:positionV>
            <wp:extent cx="3009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20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26-0138832</w:t>
      </w:r>
    </w:p>
    <w:p>
      <w:pPr>
        <w:spacing w:after="0" w:line="188" w:lineRule="exact"/>
        <w:rPr>
          <w:sz w:val="24"/>
          <w:szCs w:val="24"/>
          <w:color w:val="auto"/>
        </w:rPr>
      </w:pPr>
    </w:p>
    <w:p>
      <w:pPr>
        <w:sectPr>
          <w:pgSz w:w="11900" w:h="16838" w:orient="portrait"/>
          <w:cols w:equalWidth="0" w:num="2">
            <w:col w:w="8700" w:space="720"/>
            <w:col w:w="1960"/>
          </w:cols>
          <w:pgMar w:left="240" w:top="229" w:right="279" w:bottom="1440" w:gutter="0" w:footer="0" w:header="0"/>
          <w:type w:val="continuous"/>
        </w:sectPr>
      </w:pPr>
    </w:p>
    <w:p>
      <w:pPr>
        <w:ind w:left="5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7800" w:space="720"/>
            <w:col w:w="2860"/>
          </w:cols>
          <w:pgMar w:left="240" w:top="229" w:right="279" w:bottom="1440" w:gutter="0" w:footer="0" w:header="0"/>
          <w:type w:val="continuous"/>
        </w:sectPr>
      </w:pPr>
    </w:p>
    <w:p>
      <w:pPr>
        <w:spacing w:after="0" w:line="1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-127635</wp:posOffset>
            </wp:positionV>
            <wp:extent cx="3009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333 Brannan Street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Francisco, California 94107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(415) 857-6800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168910</wp:posOffset>
            </wp:positionV>
            <wp:extent cx="3009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2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27" w:lineRule="exact"/>
        <w:rPr>
          <w:sz w:val="24"/>
          <w:szCs w:val="24"/>
          <w:color w:val="auto"/>
        </w:rPr>
      </w:pPr>
    </w:p>
    <w:p>
      <w:pPr>
        <w:ind w:right="40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127" w:lineRule="exact"/>
        <w:rPr>
          <w:sz w:val="24"/>
          <w:szCs w:val="24"/>
          <w:color w:val="auto"/>
        </w:rPr>
      </w:pPr>
    </w:p>
    <w:p>
      <w:pPr>
        <w:ind w:right="240" w:firstLine="324"/>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4"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32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80" w:type="dxa"/>
            <w:vAlign w:val="bottom"/>
          </w:tcPr>
          <w:p>
            <w:pPr>
              <w:jc w:val="right"/>
              <w:ind w:right="128"/>
              <w:spacing w:after="0" w:line="141" w:lineRule="exact"/>
              <w:rPr>
                <w:sz w:val="20"/>
                <w:szCs w:val="20"/>
                <w:color w:val="auto"/>
              </w:rPr>
            </w:pPr>
            <w:r>
              <w:rPr>
                <w:rFonts w:ascii="MS PGothic" w:cs="MS PGothic" w:eastAsia="MS PGothic" w:hAnsi="MS PGothic"/>
                <w:sz w:val="14"/>
                <w:szCs w:val="14"/>
                <w:color w:val="auto"/>
              </w:rPr>
              <w:t>☐</w:t>
            </w:r>
          </w:p>
        </w:tc>
        <w:tc>
          <w:tcPr>
            <w:tcW w:w="3740" w:type="dxa"/>
            <w:vAlign w:val="bottom"/>
          </w:tcPr>
          <w:p>
            <w:pPr>
              <w:ind w:left="200"/>
              <w:spacing w:after="0"/>
              <w:rPr>
                <w:sz w:val="20"/>
                <w:szCs w:val="20"/>
                <w:color w:val="auto"/>
              </w:rPr>
            </w:pPr>
            <w:r>
              <w:rPr>
                <w:rFonts w:ascii="Arial" w:cs="Arial" w:eastAsia="Arial" w:hAnsi="Arial"/>
                <w:sz w:val="14"/>
                <w:szCs w:val="14"/>
                <w:color w:val="auto"/>
              </w:rPr>
              <w:t>Accelerated filer</w:t>
            </w:r>
          </w:p>
        </w:tc>
        <w:tc>
          <w:tcPr>
            <w:tcW w:w="2080" w:type="dxa"/>
            <w:vAlign w:val="bottom"/>
          </w:tcPr>
          <w:p>
            <w:pPr>
              <w:ind w:left="19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92"/>
        </w:trPr>
        <w:tc>
          <w:tcPr>
            <w:tcW w:w="3240" w:type="dxa"/>
            <w:vAlign w:val="bottom"/>
          </w:tcPr>
          <w:p>
            <w:pPr>
              <w:spacing w:after="0"/>
              <w:rPr>
                <w:sz w:val="20"/>
                <w:szCs w:val="20"/>
                <w:color w:val="auto"/>
              </w:rPr>
            </w:pPr>
            <w:r>
              <w:rPr>
                <w:rFonts w:ascii="Arial" w:cs="Arial" w:eastAsia="Arial" w:hAnsi="Arial"/>
                <w:sz w:val="14"/>
                <w:szCs w:val="14"/>
                <w:color w:val="auto"/>
              </w:rPr>
              <w:t>Non-accelerated filer</w:t>
            </w:r>
          </w:p>
        </w:tc>
        <w:tc>
          <w:tcPr>
            <w:tcW w:w="2280" w:type="dxa"/>
            <w:vAlign w:val="bottom"/>
          </w:tcPr>
          <w:p>
            <w:pPr>
              <w:jc w:val="right"/>
              <w:ind w:right="128"/>
              <w:spacing w:after="0"/>
              <w:rPr>
                <w:sz w:val="20"/>
                <w:szCs w:val="20"/>
                <w:color w:val="auto"/>
              </w:rPr>
            </w:pPr>
            <w:r>
              <w:rPr>
                <w:rFonts w:ascii="Arial" w:cs="Arial" w:eastAsia="Arial" w:hAnsi="Arial"/>
                <w:sz w:val="14"/>
                <w:szCs w:val="14"/>
                <w:color w:val="auto"/>
              </w:rPr>
              <w:t>x</w:t>
            </w:r>
          </w:p>
        </w:tc>
        <w:tc>
          <w:tcPr>
            <w:tcW w:w="3740" w:type="dxa"/>
            <w:vAlign w:val="bottom"/>
          </w:tcPr>
          <w:p>
            <w:pPr>
              <w:ind w:left="200"/>
              <w:spacing w:after="0"/>
              <w:rPr>
                <w:sz w:val="20"/>
                <w:szCs w:val="20"/>
                <w:color w:val="auto"/>
              </w:rPr>
            </w:pPr>
            <w:r>
              <w:rPr>
                <w:rFonts w:ascii="Arial" w:cs="Arial" w:eastAsia="Arial" w:hAnsi="Arial"/>
                <w:sz w:val="14"/>
                <w:szCs w:val="14"/>
                <w:color w:val="auto"/>
              </w:rPr>
              <w:t>Smaller reporting company</w:t>
            </w:r>
          </w:p>
        </w:tc>
        <w:tc>
          <w:tcPr>
            <w:tcW w:w="2080" w:type="dxa"/>
            <w:vAlign w:val="bottom"/>
          </w:tcPr>
          <w:p>
            <w:pPr>
              <w:ind w:left="19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432"/>
        </w:trPr>
        <w:tc>
          <w:tcPr>
            <w:tcW w:w="3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740" w:type="dxa"/>
            <w:vAlign w:val="bottom"/>
          </w:tcPr>
          <w:p>
            <w:pPr>
              <w:ind w:left="200"/>
              <w:spacing w:after="0"/>
              <w:rPr>
                <w:sz w:val="20"/>
                <w:szCs w:val="20"/>
                <w:color w:val="auto"/>
              </w:rPr>
            </w:pPr>
            <w:r>
              <w:rPr>
                <w:rFonts w:ascii="Arial" w:cs="Arial" w:eastAsia="Arial" w:hAnsi="Arial"/>
                <w:sz w:val="14"/>
                <w:szCs w:val="14"/>
                <w:color w:val="auto"/>
              </w:rPr>
              <w:t>Emerging growth company</w:t>
            </w:r>
          </w:p>
        </w:tc>
        <w:tc>
          <w:tcPr>
            <w:tcW w:w="2080" w:type="dxa"/>
            <w:vAlign w:val="bottom"/>
          </w:tcPr>
          <w:p>
            <w:pPr>
              <w:ind w:left="19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7"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9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90"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380"/>
          </w:cols>
          <w:pgMar w:left="240" w:top="229" w:right="279" w:bottom="1440" w:gutter="0" w:footer="0" w:header="0"/>
          <w:type w:val="continuous"/>
        </w:sectPr>
      </w:pPr>
    </w:p>
    <w:bookmarkStart w:id="1" w:name="page2"/>
    <w:bookmarkEnd w:id="1"/>
    <w:tbl>
      <w:tblPr>
        <w:tblLayout w:type="fixed"/>
        <w:tblInd w:w="92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2680" w:type="dxa"/>
            <w:vAlign w:val="bottom"/>
            <w:gridSpan w:val="2"/>
          </w:tcPr>
          <w:p>
            <w:pPr>
              <w:jc w:val="right"/>
              <w:ind w:right="1528"/>
              <w:spacing w:after="0"/>
              <w:rPr>
                <w:sz w:val="20"/>
                <w:szCs w:val="20"/>
                <w:color w:val="auto"/>
              </w:rPr>
            </w:pPr>
            <w:r>
              <w:rPr>
                <w:rFonts w:ascii="Arial" w:cs="Arial" w:eastAsia="Arial" w:hAnsi="Arial"/>
                <w:sz w:val="14"/>
                <w:szCs w:val="14"/>
                <w:b w:val="1"/>
                <w:bCs w:val="1"/>
                <w:color w:val="auto"/>
                <w:w w:val="87"/>
              </w:rPr>
              <w:t>Title of each class</w:t>
            </w:r>
          </w:p>
        </w:tc>
        <w:tc>
          <w:tcPr>
            <w:tcW w:w="174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w w:val="94"/>
              </w:rPr>
              <w:t>Trading Symbol(s)</w:t>
            </w:r>
          </w:p>
        </w:tc>
        <w:tc>
          <w:tcPr>
            <w:tcW w:w="1560" w:type="dxa"/>
            <w:vAlign w:val="bottom"/>
          </w:tcPr>
          <w:p>
            <w:pPr>
              <w:spacing w:after="0"/>
              <w:rPr>
                <w:sz w:val="14"/>
                <w:szCs w:val="14"/>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123"/>
        </w:trPr>
        <w:tc>
          <w:tcPr>
            <w:tcW w:w="1020" w:type="dxa"/>
            <w:vAlign w:val="bottom"/>
          </w:tcPr>
          <w:p>
            <w:pPr>
              <w:spacing w:after="0" w:line="123" w:lineRule="exact"/>
              <w:rPr>
                <w:sz w:val="20"/>
                <w:szCs w:val="20"/>
                <w:color w:val="auto"/>
              </w:rPr>
            </w:pPr>
            <w:r>
              <w:rPr>
                <w:rFonts w:ascii="Arial" w:cs="Arial" w:eastAsia="Arial" w:hAnsi="Arial"/>
                <w:sz w:val="14"/>
                <w:szCs w:val="14"/>
                <w:color w:val="auto"/>
                <w:w w:val="91"/>
              </w:rPr>
              <w:t>Class A Common</w:t>
            </w:r>
          </w:p>
        </w:tc>
        <w:tc>
          <w:tcPr>
            <w:tcW w:w="10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Stock, par value $</w:t>
            </w:r>
          </w:p>
        </w:tc>
        <w:tc>
          <w:tcPr>
            <w:tcW w:w="1600" w:type="dxa"/>
            <w:vAlign w:val="bottom"/>
          </w:tcPr>
          <w:p>
            <w:pPr>
              <w:spacing w:after="0" w:line="123" w:lineRule="exact"/>
              <w:rPr>
                <w:sz w:val="20"/>
                <w:szCs w:val="20"/>
                <w:color w:val="auto"/>
              </w:rPr>
            </w:pPr>
            <w:r>
              <w:rPr>
                <w:rFonts w:ascii="Arial" w:cs="Arial" w:eastAsia="Arial" w:hAnsi="Arial"/>
                <w:sz w:val="14"/>
                <w:szCs w:val="14"/>
                <w:color w:val="auto"/>
              </w:rPr>
              <w:t>0.00001 per share</w:t>
            </w:r>
          </w:p>
        </w:tc>
        <w:tc>
          <w:tcPr>
            <w:tcW w:w="580" w:type="dxa"/>
            <w:vAlign w:val="bottom"/>
          </w:tcPr>
          <w:p>
            <w:pPr>
              <w:spacing w:after="0"/>
              <w:rPr>
                <w:sz w:val="10"/>
                <w:szCs w:val="10"/>
                <w:color w:val="auto"/>
              </w:rPr>
            </w:pPr>
          </w:p>
        </w:tc>
        <w:tc>
          <w:tcPr>
            <w:tcW w:w="11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DBX</w:t>
            </w:r>
          </w:p>
        </w:tc>
        <w:tc>
          <w:tcPr>
            <w:tcW w:w="1560" w:type="dxa"/>
            <w:vAlign w:val="bottom"/>
          </w:tcPr>
          <w:p>
            <w:pPr>
              <w:spacing w:after="0"/>
              <w:rPr>
                <w:sz w:val="10"/>
                <w:szCs w:val="10"/>
                <w:color w:val="auto"/>
              </w:rPr>
            </w:pPr>
          </w:p>
        </w:tc>
        <w:tc>
          <w:tcPr>
            <w:tcW w:w="23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The NASDAQ Stock Market LLC</w:t>
            </w:r>
          </w:p>
        </w:tc>
        <w:tc>
          <w:tcPr>
            <w:tcW w:w="20" w:type="dxa"/>
            <w:vAlign w:val="bottom"/>
          </w:tcPr>
          <w:p>
            <w:pPr>
              <w:spacing w:after="0"/>
              <w:rPr>
                <w:sz w:val="10"/>
                <w:szCs w:val="10"/>
                <w:color w:val="auto"/>
              </w:rPr>
            </w:pPr>
          </w:p>
        </w:tc>
      </w:tr>
      <w:tr>
        <w:trPr>
          <w:trHeight w:val="182"/>
        </w:trPr>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(Nasdaq Global Select Market)</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328930</wp:posOffset>
            </wp:positionV>
            <wp:extent cx="6303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239"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As of May 6, 2019, there were 227,146,748 shares of the registrants’ Class A common stock outstanding (which excludes 14,733,333 shares of Class A common stock subject to restricted stock awards that were granted pursuant to the Co-Founder Grants, and vest upon the satisfaction of a service condition and achievement of certain stock price goals), 242,146,748 shares of the registrant’s Class B common stock outstanding, and no shares of the registrant’s Class C common stock outstanding.</w:t>
      </w:r>
    </w:p>
    <w:p>
      <w:pPr>
        <w:sectPr>
          <w:pgSz w:w="11900" w:h="16838" w:orient="portrait"/>
          <w:cols w:equalWidth="0" w:num="1">
            <w:col w:w="11420"/>
          </w:cols>
          <w:pgMar w:left="240" w:top="654"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left="110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2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PART I. FINANCIAL INFORMATION</w:t>
        </w:r>
      </w:hyperlink>
    </w:p>
    <w:p>
      <w:pPr>
        <w:spacing w:after="0" w:line="86" w:lineRule="exact"/>
        <w:rPr>
          <w:sz w:val="20"/>
          <w:szCs w:val="20"/>
          <w:color w:val="auto"/>
        </w:rPr>
      </w:pPr>
    </w:p>
    <w:p>
      <w:pPr>
        <w:ind w:left="40"/>
        <w:spacing w:after="0"/>
        <w:tabs>
          <w:tab w:leader="none" w:pos="1060" w:val="left"/>
        </w:tabs>
        <w:rPr>
          <w:rFonts w:ascii="Arial" w:cs="Arial" w:eastAsia="Arial" w:hAnsi="Arial"/>
          <w:sz w:val="14"/>
          <w:szCs w:val="14"/>
          <w:u w:val="single" w:color="auto"/>
          <w:color w:val="0000EE"/>
        </w:rPr>
      </w:pPr>
      <w:r>
        <w:rPr>
          <w:rFonts w:ascii="Arial" w:cs="Arial" w:eastAsia="Arial" w:hAnsi="Arial"/>
          <w:sz w:val="16"/>
          <w:szCs w:val="16"/>
          <w:color w:val="auto"/>
        </w:rPr>
        <w:t>Item 1.</w:t>
      </w:r>
      <w:r>
        <w:rPr>
          <w:sz w:val="20"/>
          <w:szCs w:val="20"/>
          <w:color w:val="auto"/>
        </w:rPr>
        <w:tab/>
      </w:r>
      <w:hyperlink w:anchor="page6">
        <w:r>
          <w:rPr>
            <w:rFonts w:ascii="Arial" w:cs="Arial" w:eastAsia="Arial" w:hAnsi="Arial"/>
            <w:sz w:val="14"/>
            <w:szCs w:val="14"/>
            <w:u w:val="single" w:color="auto"/>
            <w:color w:val="0000EE"/>
          </w:rPr>
          <w:t>Condensed Consolidated Financial Statements (Unaudited)</w:t>
        </w:r>
      </w:hyperlink>
    </w:p>
    <w:p>
      <w:pPr>
        <w:spacing w:after="0" w:line="73" w:lineRule="exact"/>
        <w:rPr>
          <w:sz w:val="20"/>
          <w:szCs w:val="20"/>
          <w:color w:val="auto"/>
        </w:rPr>
      </w:pPr>
    </w:p>
    <w:p>
      <w:pPr>
        <w:ind w:left="108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Balance Sheets as of March 31, 2019 and December 31, 2018</w:t>
        </w:r>
      </w:hyperlink>
    </w:p>
    <w:p>
      <w:pPr>
        <w:spacing w:after="0" w:line="86" w:lineRule="exact"/>
        <w:rPr>
          <w:sz w:val="20"/>
          <w:szCs w:val="20"/>
          <w:color w:val="auto"/>
        </w:rPr>
      </w:pPr>
    </w:p>
    <w:p>
      <w:pPr>
        <w:ind w:left="1080"/>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Condensed Consolidated Statements of Operations for the Three Months Ended March 31, 2019 and 2018</w:t>
        </w:r>
      </w:hyperlink>
    </w:p>
    <w:p>
      <w:pPr>
        <w:spacing w:after="0" w:line="98" w:lineRule="exact"/>
        <w:rPr>
          <w:sz w:val="20"/>
          <w:szCs w:val="20"/>
          <w:color w:val="auto"/>
        </w:rPr>
      </w:pPr>
    </w:p>
    <w:p>
      <w:pPr>
        <w:ind w:left="108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Condensed Consolidated Statements of Comprehensive Loss for the Three Months Ended March 31, 2019 and 2018</w:t>
        </w:r>
      </w:hyperlink>
    </w:p>
    <w:p>
      <w:pPr>
        <w:spacing w:after="0" w:line="109" w:lineRule="exact"/>
        <w:rPr>
          <w:sz w:val="20"/>
          <w:szCs w:val="20"/>
          <w:color w:val="auto"/>
        </w:rPr>
      </w:pPr>
    </w:p>
    <w:p>
      <w:pPr>
        <w:ind w:left="1080"/>
        <w:spacing w:after="0"/>
        <w:rPr>
          <w:rFonts w:ascii="Arial" w:cs="Arial" w:eastAsia="Arial" w:hAnsi="Arial"/>
          <w:sz w:val="14"/>
          <w:szCs w:val="14"/>
          <w:u w:val="single" w:color="auto"/>
          <w:color w:val="0000EE"/>
        </w:rPr>
      </w:pPr>
      <w:hyperlink w:anchor="page9">
        <w:r>
          <w:rPr>
            <w:rFonts w:ascii="Arial" w:cs="Arial" w:eastAsia="Arial" w:hAnsi="Arial"/>
            <w:sz w:val="14"/>
            <w:szCs w:val="14"/>
            <w:u w:val="single" w:color="auto"/>
            <w:color w:val="0000EE"/>
          </w:rPr>
          <w:t>Condensed Consolidated Statements of Stockholders' Equity for the Three Months Ended March 31, 2019 and 2018</w:t>
        </w:r>
      </w:hyperlink>
    </w:p>
    <w:p>
      <w:pPr>
        <w:spacing w:after="0" w:line="109" w:lineRule="exact"/>
        <w:rPr>
          <w:sz w:val="20"/>
          <w:szCs w:val="20"/>
          <w:color w:val="auto"/>
        </w:rPr>
      </w:pPr>
    </w:p>
    <w:p>
      <w:pPr>
        <w:ind w:left="1080"/>
        <w:spacing w:after="0"/>
        <w:rPr>
          <w:rFonts w:ascii="Arial" w:cs="Arial" w:eastAsia="Arial" w:hAnsi="Arial"/>
          <w:sz w:val="15"/>
          <w:szCs w:val="15"/>
          <w:u w:val="single" w:color="auto"/>
          <w:color w:val="0000EE"/>
        </w:rPr>
      </w:pPr>
      <w:hyperlink w:anchor="page11">
        <w:r>
          <w:rPr>
            <w:rFonts w:ascii="Arial" w:cs="Arial" w:eastAsia="Arial" w:hAnsi="Arial"/>
            <w:sz w:val="15"/>
            <w:szCs w:val="15"/>
            <w:u w:val="single" w:color="auto"/>
            <w:color w:val="0000EE"/>
          </w:rPr>
          <w:t>Condensed Consolidated Statements of Cash Flows for the Three Months Ended March 31, 2019 and 2018</w:t>
        </w:r>
      </w:hyperlink>
    </w:p>
    <w:p>
      <w:pPr>
        <w:spacing w:after="0" w:line="98" w:lineRule="exact"/>
        <w:rPr>
          <w:sz w:val="20"/>
          <w:szCs w:val="20"/>
          <w:color w:val="auto"/>
        </w:rPr>
      </w:pPr>
    </w:p>
    <w:p>
      <w:pPr>
        <w:ind w:left="1080"/>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Notes to Condensed Consolidated Financial Statements</w:t>
        </w:r>
      </w:hyperlink>
    </w:p>
    <w:p>
      <w:pPr>
        <w:spacing w:after="0" w:line="86" w:lineRule="exact"/>
        <w:rPr>
          <w:sz w:val="20"/>
          <w:szCs w:val="20"/>
          <w:color w:val="auto"/>
        </w:rPr>
      </w:pPr>
    </w:p>
    <w:p>
      <w:pPr>
        <w:ind w:left="40"/>
        <w:spacing w:after="0"/>
        <w:tabs>
          <w:tab w:leader="none" w:pos="1060" w:val="left"/>
        </w:tabs>
        <w:rPr>
          <w:rFonts w:ascii="Arial" w:cs="Arial" w:eastAsia="Arial" w:hAnsi="Arial"/>
          <w:sz w:val="14"/>
          <w:szCs w:val="14"/>
          <w:u w:val="single" w:color="auto"/>
          <w:color w:val="0000EE"/>
        </w:rPr>
      </w:pPr>
      <w:r>
        <w:rPr>
          <w:rFonts w:ascii="Arial" w:cs="Arial" w:eastAsia="Arial" w:hAnsi="Arial"/>
          <w:sz w:val="16"/>
          <w:szCs w:val="16"/>
          <w:color w:val="auto"/>
        </w:rPr>
        <w:t>Item 2.</w:t>
      </w:r>
      <w:r>
        <w:rPr>
          <w:sz w:val="20"/>
          <w:szCs w:val="20"/>
          <w:color w:val="auto"/>
        </w:rPr>
        <w:tab/>
      </w:r>
      <w:hyperlink w:anchor="page35">
        <w:r>
          <w:rPr>
            <w:rFonts w:ascii="Arial" w:cs="Arial" w:eastAsia="Arial" w:hAnsi="Arial"/>
            <w:sz w:val="14"/>
            <w:szCs w:val="14"/>
            <w:u w:val="single" w:color="auto"/>
            <w:color w:val="0000EE"/>
          </w:rPr>
          <w:t>Management's Discussion and Analysis of Financial Condition and Results of Operations</w:t>
        </w:r>
      </w:hyperlink>
    </w:p>
    <w:p>
      <w:pPr>
        <w:spacing w:after="0" w:line="73" w:lineRule="exact"/>
        <w:rPr>
          <w:sz w:val="20"/>
          <w:szCs w:val="20"/>
          <w:color w:val="auto"/>
        </w:rPr>
      </w:pPr>
    </w:p>
    <w:p>
      <w:pPr>
        <w:ind w:left="40"/>
        <w:spacing w:after="0"/>
        <w:tabs>
          <w:tab w:leader="none" w:pos="1060" w:val="left"/>
        </w:tabs>
        <w:rPr>
          <w:rFonts w:ascii="Arial" w:cs="Arial" w:eastAsia="Arial" w:hAnsi="Arial"/>
          <w:sz w:val="14"/>
          <w:szCs w:val="14"/>
          <w:u w:val="single" w:color="auto"/>
          <w:color w:val="0000EE"/>
        </w:rPr>
      </w:pPr>
      <w:r>
        <w:rPr>
          <w:rFonts w:ascii="Arial" w:cs="Arial" w:eastAsia="Arial" w:hAnsi="Arial"/>
          <w:sz w:val="16"/>
          <w:szCs w:val="16"/>
          <w:color w:val="auto"/>
        </w:rPr>
        <w:t>Item 3.</w:t>
      </w:r>
      <w:r>
        <w:rPr>
          <w:sz w:val="20"/>
          <w:szCs w:val="20"/>
          <w:color w:val="auto"/>
        </w:rPr>
        <w:tab/>
      </w:r>
      <w:hyperlink w:anchor="page52">
        <w:r>
          <w:rPr>
            <w:rFonts w:ascii="Arial" w:cs="Arial" w:eastAsia="Arial" w:hAnsi="Arial"/>
            <w:sz w:val="14"/>
            <w:szCs w:val="14"/>
            <w:u w:val="single" w:color="auto"/>
            <w:color w:val="0000EE"/>
          </w:rPr>
          <w:t>Quantitative and Qualitative Disclosures About Market Risk</w:t>
        </w:r>
      </w:hyperlink>
    </w:p>
    <w:p>
      <w:pPr>
        <w:spacing w:after="0" w:line="73" w:lineRule="exact"/>
        <w:rPr>
          <w:sz w:val="20"/>
          <w:szCs w:val="20"/>
          <w:color w:val="auto"/>
        </w:rPr>
      </w:pPr>
    </w:p>
    <w:p>
      <w:pPr>
        <w:ind w:left="40"/>
        <w:spacing w:after="0"/>
        <w:tabs>
          <w:tab w:leader="none" w:pos="1060" w:val="left"/>
        </w:tabs>
        <w:rPr>
          <w:rFonts w:ascii="Arial" w:cs="Arial" w:eastAsia="Arial" w:hAnsi="Arial"/>
          <w:sz w:val="14"/>
          <w:szCs w:val="14"/>
          <w:u w:val="single" w:color="auto"/>
          <w:color w:val="0000EE"/>
        </w:rPr>
      </w:pPr>
      <w:r>
        <w:rPr>
          <w:rFonts w:ascii="Arial" w:cs="Arial" w:eastAsia="Arial" w:hAnsi="Arial"/>
          <w:sz w:val="16"/>
          <w:szCs w:val="16"/>
          <w:color w:val="auto"/>
        </w:rPr>
        <w:t>Item 4.</w:t>
      </w:r>
      <w:r>
        <w:rPr>
          <w:sz w:val="20"/>
          <w:szCs w:val="20"/>
          <w:color w:val="auto"/>
        </w:rPr>
        <w:tab/>
      </w:r>
      <w:hyperlink w:anchor="page53">
        <w:r>
          <w:rPr>
            <w:rFonts w:ascii="Arial" w:cs="Arial" w:eastAsia="Arial" w:hAnsi="Arial"/>
            <w:sz w:val="14"/>
            <w:szCs w:val="14"/>
            <w:u w:val="single" w:color="auto"/>
            <w:color w:val="0000EE"/>
          </w:rPr>
          <w:t>Controls and Procedures</w:t>
        </w:r>
      </w:hyperlink>
    </w:p>
    <w:p>
      <w:pPr>
        <w:spacing w:after="0" w:line="397" w:lineRule="exact"/>
        <w:rPr>
          <w:sz w:val="20"/>
          <w:szCs w:val="20"/>
          <w:color w:val="auto"/>
        </w:rPr>
      </w:pPr>
    </w:p>
    <w:p>
      <w:pPr>
        <w:jc w:val="center"/>
        <w:ind w:left="1120"/>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PART II. OTHER INFORMATION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Page</w:t>
      </w:r>
    </w:p>
    <w:p>
      <w:pPr>
        <w:spacing w:after="0" w:line="370" w:lineRule="exact"/>
        <w:rPr>
          <w:sz w:val="20"/>
          <w:szCs w:val="20"/>
          <w:color w:val="auto"/>
        </w:rPr>
      </w:pPr>
    </w:p>
    <w:p>
      <w:pPr>
        <w:jc w:val="right"/>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6</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6</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9</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11</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12</w:t>
        </w:r>
      </w:hyperlink>
    </w:p>
    <w:p>
      <w:pPr>
        <w:spacing w:after="0" w:line="73" w:lineRule="exact"/>
        <w:rPr>
          <w:sz w:val="20"/>
          <w:szCs w:val="20"/>
          <w:color w:val="auto"/>
        </w:rPr>
      </w:pPr>
    </w:p>
    <w:p>
      <w:pPr>
        <w:jc w:val="right"/>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35</w:t>
        </w:r>
      </w:hyperlink>
    </w:p>
    <w:p>
      <w:pPr>
        <w:spacing w:after="0" w:line="73" w:lineRule="exact"/>
        <w:rPr>
          <w:sz w:val="20"/>
          <w:szCs w:val="20"/>
          <w:color w:val="auto"/>
        </w:rPr>
      </w:pPr>
    </w:p>
    <w:p>
      <w:pPr>
        <w:jc w:val="right"/>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52</w:t>
        </w:r>
      </w:hyperlink>
    </w:p>
    <w:p>
      <w:pPr>
        <w:spacing w:after="0" w:line="73" w:lineRule="exact"/>
        <w:rPr>
          <w:sz w:val="20"/>
          <w:szCs w:val="20"/>
          <w:color w:val="auto"/>
        </w:rPr>
      </w:pPr>
    </w:p>
    <w:p>
      <w:pPr>
        <w:jc w:val="right"/>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53</w:t>
        </w:r>
      </w:hyperlink>
    </w:p>
    <w:p>
      <w:pPr>
        <w:spacing w:after="0" w:line="654" w:lineRule="exact"/>
        <w:rPr>
          <w:sz w:val="20"/>
          <w:szCs w:val="20"/>
          <w:color w:val="auto"/>
        </w:rPr>
      </w:pPr>
    </w:p>
    <w:p>
      <w:pPr>
        <w:sectPr>
          <w:pgSz w:w="11900" w:h="16838" w:orient="portrait"/>
          <w:cols w:equalWidth="0" w:num="2">
            <w:col w:w="10340" w:space="720"/>
            <w:col w:w="340"/>
          </w:cols>
          <w:pgMar w:left="240" w:top="121" w:right="259" w:bottom="1440" w:gutter="0" w:footer="0" w:header="0"/>
        </w:sectPr>
      </w:pPr>
    </w:p>
    <w:tbl>
      <w:tblPr>
        <w:tblLayout w:type="fixed"/>
        <w:tblInd w:w="40"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1200" w:type="dxa"/>
            <w:vAlign w:val="bottom"/>
            <w:gridSpan w:val="5"/>
          </w:tcPr>
          <w:p>
            <w:pPr>
              <w:spacing w:after="0"/>
              <w:rPr>
                <w:rFonts w:ascii="Arial" w:cs="Arial" w:eastAsia="Arial" w:hAnsi="Arial"/>
                <w:sz w:val="16"/>
                <w:szCs w:val="16"/>
                <w:color w:val="0000EE"/>
                <w:w w:val="89"/>
              </w:rPr>
            </w:pPr>
            <w:hyperlink w:anchor="page54">
              <w:r>
                <w:rPr>
                  <w:rFonts w:ascii="Arial" w:cs="Arial" w:eastAsia="Arial" w:hAnsi="Arial"/>
                  <w:sz w:val="16"/>
                  <w:szCs w:val="16"/>
                  <w:color w:val="0000EE"/>
                  <w:w w:val="89"/>
                </w:rPr>
                <w:t>Legal Proceedings</w:t>
              </w:r>
            </w:hyperlink>
          </w:p>
        </w:tc>
        <w:tc>
          <w:tcPr>
            <w:tcW w:w="4480" w:type="dxa"/>
            <w:vAlign w:val="bottom"/>
          </w:tcPr>
          <w:p>
            <w:pPr>
              <w:spacing w:after="0"/>
              <w:rPr>
                <w:sz w:val="16"/>
                <w:szCs w:val="16"/>
                <w:color w:val="auto"/>
              </w:rPr>
            </w:pPr>
          </w:p>
        </w:tc>
        <w:tc>
          <w:tcPr>
            <w:tcW w:w="4640" w:type="dxa"/>
            <w:vAlign w:val="bottom"/>
            <w:gridSpan w:val="2"/>
          </w:tcPr>
          <w:p>
            <w:pPr>
              <w:jc w:val="right"/>
              <w:spacing w:after="0"/>
              <w:rPr>
                <w:rFonts w:ascii="Arial" w:cs="Arial" w:eastAsia="Arial" w:hAnsi="Arial"/>
                <w:sz w:val="16"/>
                <w:szCs w:val="16"/>
                <w:color w:val="0000EE"/>
              </w:rPr>
            </w:pPr>
            <w:hyperlink w:anchor="page54">
              <w:r>
                <w:rPr>
                  <w:rFonts w:ascii="Arial" w:cs="Arial" w:eastAsia="Arial" w:hAnsi="Arial"/>
                  <w:sz w:val="16"/>
                  <w:szCs w:val="16"/>
                  <w:color w:val="0000EE"/>
                </w:rPr>
                <w:t>54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1A.</w:t>
            </w:r>
          </w:p>
        </w:tc>
        <w:tc>
          <w:tcPr>
            <w:tcW w:w="1200" w:type="dxa"/>
            <w:vAlign w:val="bottom"/>
            <w:gridSpan w:val="5"/>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Risk Factors</w:t>
              </w:r>
            </w:hyperlink>
          </w:p>
        </w:tc>
        <w:tc>
          <w:tcPr>
            <w:tcW w:w="4480" w:type="dxa"/>
            <w:vAlign w:val="bottom"/>
          </w:tcPr>
          <w:p>
            <w:pPr>
              <w:spacing w:after="0"/>
              <w:rPr>
                <w:sz w:val="20"/>
                <w:szCs w:val="20"/>
                <w:color w:val="auto"/>
              </w:rPr>
            </w:pPr>
          </w:p>
        </w:tc>
        <w:tc>
          <w:tcPr>
            <w:tcW w:w="4640" w:type="dxa"/>
            <w:vAlign w:val="bottom"/>
            <w:gridSpan w:val="2"/>
          </w:tcPr>
          <w:p>
            <w:pPr>
              <w:jc w:val="right"/>
              <w:spacing w:after="0"/>
              <w:rPr>
                <w:rFonts w:ascii="Arial" w:cs="Arial" w:eastAsia="Arial" w:hAnsi="Arial"/>
                <w:sz w:val="16"/>
                <w:szCs w:val="16"/>
                <w:color w:val="0000EE"/>
              </w:rPr>
            </w:pPr>
            <w:hyperlink w:anchor="page55">
              <w:r>
                <w:rPr>
                  <w:rFonts w:ascii="Arial" w:cs="Arial" w:eastAsia="Arial" w:hAnsi="Arial"/>
                  <w:sz w:val="16"/>
                  <w:szCs w:val="16"/>
                  <w:color w:val="0000EE"/>
                </w:rPr>
                <w:t>55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6.</w:t>
            </w:r>
          </w:p>
        </w:tc>
        <w:tc>
          <w:tcPr>
            <w:tcW w:w="540" w:type="dxa"/>
            <w:vAlign w:val="bottom"/>
          </w:tcPr>
          <w:p>
            <w:pPr>
              <w:spacing w:after="0"/>
              <w:rPr>
                <w:rFonts w:ascii="Arial" w:cs="Arial" w:eastAsia="Arial" w:hAnsi="Arial"/>
                <w:sz w:val="16"/>
                <w:szCs w:val="16"/>
                <w:color w:val="0000EE"/>
                <w:w w:val="92"/>
              </w:rPr>
            </w:pPr>
            <w:hyperlink w:anchor="page79">
              <w:r>
                <w:rPr>
                  <w:rFonts w:ascii="Arial" w:cs="Arial" w:eastAsia="Arial" w:hAnsi="Arial"/>
                  <w:sz w:val="16"/>
                  <w:szCs w:val="16"/>
                  <w:color w:val="0000EE"/>
                  <w:w w:val="92"/>
                </w:rPr>
                <w:t>Exhibits</w:t>
              </w:r>
            </w:hyperlink>
          </w:p>
        </w:tc>
        <w:tc>
          <w:tcPr>
            <w:tcW w:w="260" w:type="dxa"/>
            <w:vAlign w:val="bottom"/>
            <w:gridSpan w:val="2"/>
          </w:tcPr>
          <w:p>
            <w:pPr>
              <w:spacing w:after="0"/>
              <w:rPr>
                <w:sz w:val="20"/>
                <w:szCs w:val="20"/>
                <w:color w:val="auto"/>
              </w:rPr>
            </w:pPr>
          </w:p>
        </w:tc>
        <w:tc>
          <w:tcPr>
            <w:tcW w:w="4880" w:type="dxa"/>
            <w:vAlign w:val="bottom"/>
            <w:gridSpan w:val="3"/>
          </w:tcPr>
          <w:p>
            <w:pPr>
              <w:spacing w:after="0"/>
              <w:rPr>
                <w:sz w:val="20"/>
                <w:szCs w:val="20"/>
                <w:color w:val="auto"/>
              </w:rPr>
            </w:pPr>
          </w:p>
        </w:tc>
        <w:tc>
          <w:tcPr>
            <w:tcW w:w="4640" w:type="dxa"/>
            <w:vAlign w:val="bottom"/>
            <w:gridSpan w:val="2"/>
          </w:tcPr>
          <w:p>
            <w:pPr>
              <w:jc w:val="right"/>
              <w:spacing w:after="0"/>
              <w:rPr>
                <w:rFonts w:ascii="Arial" w:cs="Arial" w:eastAsia="Arial" w:hAnsi="Arial"/>
                <w:sz w:val="16"/>
                <w:szCs w:val="16"/>
                <w:color w:val="0000EE"/>
              </w:rPr>
            </w:pPr>
            <w:hyperlink w:anchor="page79">
              <w:r>
                <w:rPr>
                  <w:rFonts w:ascii="Arial" w:cs="Arial" w:eastAsia="Arial" w:hAnsi="Arial"/>
                  <w:sz w:val="16"/>
                  <w:szCs w:val="16"/>
                  <w:color w:val="0000EE"/>
                </w:rPr>
                <w:t>79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5680" w:type="dxa"/>
            <w:vAlign w:val="bottom"/>
            <w:gridSpan w:val="6"/>
          </w:tcPr>
          <w:p>
            <w:pPr>
              <w:spacing w:after="0"/>
              <w:rPr>
                <w:rFonts w:ascii="Arial" w:cs="Arial" w:eastAsia="Arial" w:hAnsi="Arial"/>
                <w:sz w:val="16"/>
                <w:szCs w:val="16"/>
                <w:color w:val="0000EE"/>
              </w:rPr>
            </w:pPr>
            <w:hyperlink w:anchor="page80">
              <w:r>
                <w:rPr>
                  <w:rFonts w:ascii="Arial" w:cs="Arial" w:eastAsia="Arial" w:hAnsi="Arial"/>
                  <w:sz w:val="16"/>
                  <w:szCs w:val="16"/>
                  <w:color w:val="0000EE"/>
                </w:rPr>
                <w:t>Exhibit Index</w:t>
              </w:r>
            </w:hyperlink>
          </w:p>
        </w:tc>
        <w:tc>
          <w:tcPr>
            <w:tcW w:w="4640" w:type="dxa"/>
            <w:vAlign w:val="bottom"/>
            <w:gridSpan w:val="2"/>
          </w:tcPr>
          <w:p>
            <w:pPr>
              <w:jc w:val="right"/>
              <w:spacing w:after="0"/>
              <w:rPr>
                <w:rFonts w:ascii="Arial" w:cs="Arial" w:eastAsia="Arial" w:hAnsi="Arial"/>
                <w:sz w:val="16"/>
                <w:szCs w:val="16"/>
                <w:color w:val="0000EE"/>
              </w:rPr>
            </w:pPr>
            <w:hyperlink w:anchor="page80">
              <w:r>
                <w:rPr>
                  <w:rFonts w:ascii="Arial" w:cs="Arial" w:eastAsia="Arial" w:hAnsi="Arial"/>
                  <w:sz w:val="16"/>
                  <w:szCs w:val="16"/>
                  <w:color w:val="0000EE"/>
                </w:rPr>
                <w:t>80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tcBorders>
              <w:top w:val="single" w:sz="8" w:color="0000EE"/>
            </w:tcBorders>
            <w:gridSpan w:val="2"/>
            <w:vMerge w:val="restart"/>
          </w:tcPr>
          <w:p>
            <w:pPr>
              <w:spacing w:after="0"/>
              <w:rPr>
                <w:rFonts w:ascii="Arial" w:cs="Arial" w:eastAsia="Arial" w:hAnsi="Arial"/>
                <w:sz w:val="16"/>
                <w:szCs w:val="16"/>
                <w:color w:val="0000EE"/>
                <w:w w:val="86"/>
              </w:rPr>
            </w:pPr>
            <w:hyperlink w:anchor="page81">
              <w:r>
                <w:rPr>
                  <w:rFonts w:ascii="Arial" w:cs="Arial" w:eastAsia="Arial" w:hAnsi="Arial"/>
                  <w:sz w:val="16"/>
                  <w:szCs w:val="16"/>
                  <w:color w:val="0000EE"/>
                  <w:w w:val="86"/>
                </w:rPr>
                <w:t>Signatures</w:t>
              </w:r>
            </w:hyperlink>
          </w:p>
        </w:tc>
        <w:tc>
          <w:tcPr>
            <w:tcW w:w="200" w:type="dxa"/>
            <w:vAlign w:val="bottom"/>
            <w:tcBorders>
              <w:top w:val="single" w:sz="8" w:color="0000EE"/>
            </w:tcBorders>
            <w:gridSpan w:val="2"/>
            <w:vMerge w:val="restart"/>
          </w:tcPr>
          <w:p>
            <w:pPr>
              <w:spacing w:after="0" w:line="20" w:lineRule="exact"/>
              <w:rPr>
                <w:sz w:val="1"/>
                <w:szCs w:val="1"/>
                <w:color w:val="auto"/>
              </w:rPr>
            </w:pPr>
          </w:p>
        </w:tc>
        <w:tc>
          <w:tcPr>
            <w:tcW w:w="4800" w:type="dxa"/>
            <w:vAlign w:val="bottom"/>
            <w:gridSpan w:val="2"/>
            <w:vMerge w:val="restart"/>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4800" w:type="dxa"/>
            <w:vAlign w:val="bottom"/>
            <w:gridSpan w:val="2"/>
            <w:vMerge w:val="continue"/>
          </w:tcPr>
          <w:p>
            <w:pPr>
              <w:spacing w:after="0"/>
              <w:rPr>
                <w:sz w:val="20"/>
                <w:szCs w:val="20"/>
                <w:color w:val="auto"/>
              </w:rPr>
            </w:pPr>
          </w:p>
        </w:tc>
        <w:tc>
          <w:tcPr>
            <w:tcW w:w="4640" w:type="dxa"/>
            <w:vAlign w:val="bottom"/>
            <w:gridSpan w:val="2"/>
          </w:tcPr>
          <w:p>
            <w:pPr>
              <w:jc w:val="right"/>
              <w:spacing w:after="0"/>
              <w:rPr>
                <w:rFonts w:ascii="Arial" w:cs="Arial" w:eastAsia="Arial" w:hAnsi="Arial"/>
                <w:sz w:val="16"/>
                <w:szCs w:val="16"/>
                <w:color w:val="0000EE"/>
              </w:rPr>
            </w:pPr>
            <w:hyperlink w:anchor="page81">
              <w:r>
                <w:rPr>
                  <w:rFonts w:ascii="Arial" w:cs="Arial" w:eastAsia="Arial" w:hAnsi="Arial"/>
                  <w:sz w:val="16"/>
                  <w:szCs w:val="16"/>
                  <w:color w:val="0000EE"/>
                </w:rPr>
                <w:t>81</w:t>
              </w:r>
            </w:hyperlink>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1" w:right="2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FORWARD-LOOKING STATEMENTS</w:t>
      </w:r>
    </w:p>
    <w:p>
      <w:pPr>
        <w:spacing w:after="0" w:line="30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89" w:lineRule="exact"/>
        <w:rPr>
          <w:sz w:val="20"/>
          <w:szCs w:val="20"/>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and upgrade paying users;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new users or convert registered users to paying users;</w:t>
      </w:r>
    </w:p>
    <w:p>
      <w:pPr>
        <w:spacing w:after="0" w:line="225" w:lineRule="exact"/>
        <w:rPr>
          <w:rFonts w:ascii="Arial" w:cs="Arial" w:eastAsia="Arial" w:hAnsi="Arial"/>
          <w:sz w:val="18"/>
          <w:szCs w:val="18"/>
          <w:color w:val="auto"/>
        </w:rPr>
      </w:pPr>
    </w:p>
    <w:p>
      <w:pPr>
        <w:ind w:left="740" w:right="80" w:hanging="327"/>
        <w:spacing w:after="0" w:line="277"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financial performance, including trends in revenue, costs of revenue, gross profit or gross margin, operating expenses, paying users, and free cash flow;</w:t>
      </w:r>
    </w:p>
    <w:p>
      <w:pPr>
        <w:spacing w:after="0" w:line="170"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demand for our platform or for content collaboration solutions in general;</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possible harm caused by significant disruption of service or loss or unauthorized access to users’ content;</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integrate our platform with others;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successfully in competitive markets;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respond to rapid technological changes;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and management of future growth;</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grow due to our lack of a significant outbound sales force;</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large organizations as users;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offer high-quality customer support;</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our international expansion;</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 highly qualified personnel;</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our brand;</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prevent serious errors or defects in our platform;</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identify, acquire, and integrate companies and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Quarterly Report on Form 10-Q.</w:t>
      </w:r>
    </w:p>
    <w:p>
      <w:pPr>
        <w:spacing w:after="0" w:line="22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1"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1"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 FINANCIAL INFORMATION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2019</w:t>
            </w:r>
          </w:p>
        </w:tc>
        <w:tc>
          <w:tcPr>
            <w:tcW w:w="260" w:type="dxa"/>
            <w:vAlign w:val="bottom"/>
          </w:tcPr>
          <w:p>
            <w:pPr>
              <w:spacing w:after="0"/>
              <w:rPr>
                <w:sz w:val="20"/>
                <w:szCs w:val="20"/>
                <w:color w:val="auto"/>
              </w:rPr>
            </w:pPr>
          </w:p>
        </w:tc>
        <w:tc>
          <w:tcPr>
            <w:tcW w:w="1900" w:type="dxa"/>
            <w:vAlign w:val="bottom"/>
          </w:tcPr>
          <w:p>
            <w:pPr>
              <w:jc w:val="right"/>
              <w:ind w:right="270"/>
              <w:spacing w:after="0"/>
              <w:rPr>
                <w:sz w:val="20"/>
                <w:szCs w:val="20"/>
                <w:color w:val="auto"/>
              </w:rPr>
            </w:pPr>
            <w:r>
              <w:rPr>
                <w:rFonts w:ascii="Arial" w:cs="Arial" w:eastAsia="Arial" w:hAnsi="Arial"/>
                <w:sz w:val="18"/>
                <w:szCs w:val="18"/>
                <w:b w:val="1"/>
                <w:bCs w:val="1"/>
                <w:color w:val="auto"/>
                <w:w w:val="93"/>
              </w:rPr>
              <w:t>December 31, 2018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6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519.3</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556.0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and other receivables, net</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1,210.2</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and 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Finance lease obligation</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liability, non-current</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Finance lease obligation, non-current</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 non-current liabilities</w:t>
            </w:r>
            <w:r>
              <w:rPr>
                <w:rFonts w:ascii="Arial" w:cs="Arial" w:eastAsia="Arial" w:hAnsi="Arial"/>
                <w:sz w:val="25"/>
                <w:szCs w:val="25"/>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0"/>
                <w:szCs w:val="20"/>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1,423.7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1,017.3</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(1,674.7)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(1,659.5)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704.9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676.8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360" w:firstLine="8"/>
        <w:spacing w:after="0" w:line="252" w:lineRule="auto"/>
        <w:tabs>
          <w:tab w:leader="none" w:pos="192"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As of December 31, 2018 the Company had non-current deferred rent of $81.0 million. As of March 31, 2019, deferred rent is now included in the determination of the Company's operating lease right-of-use asset due to the adoption of ASC 842.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360" w:type="dxa"/>
            <w:vAlign w:val="bottom"/>
            <w:tcBorders>
              <w:top w:val="single" w:sz="8" w:color="0000EE"/>
            </w:tcBorders>
          </w:tcPr>
          <w:p>
            <w:pPr>
              <w:spacing w:after="0"/>
              <w:rPr>
                <w:sz w:val="24"/>
                <w:szCs w:val="24"/>
                <w:color w:val="auto"/>
              </w:rPr>
            </w:pPr>
          </w:p>
        </w:tc>
        <w:tc>
          <w:tcPr>
            <w:tcW w:w="6980" w:type="dxa"/>
            <w:vAlign w:val="bottom"/>
          </w:tcPr>
          <w:p>
            <w:pPr>
              <w:jc w:val="center"/>
              <w:ind w:left="1650"/>
              <w:spacing w:after="0"/>
              <w:rPr>
                <w:sz w:val="20"/>
                <w:szCs w:val="20"/>
                <w:color w:val="auto"/>
              </w:rPr>
            </w:pPr>
            <w:r>
              <w:rPr>
                <w:rFonts w:ascii="Arial" w:cs="Arial" w:eastAsia="Arial" w:hAnsi="Arial"/>
                <w:sz w:val="18"/>
                <w:szCs w:val="18"/>
                <w:b w:val="1"/>
                <w:bCs w:val="1"/>
                <w:color w:val="auto"/>
                <w:w w:val="99"/>
              </w:rPr>
              <w:t>DROPBOX, INC.</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360" w:type="dxa"/>
            <w:vAlign w:val="bottom"/>
          </w:tcPr>
          <w:p>
            <w:pPr>
              <w:spacing w:after="0"/>
              <w:rPr>
                <w:sz w:val="19"/>
                <w:szCs w:val="19"/>
                <w:color w:val="auto"/>
              </w:rPr>
            </w:pPr>
          </w:p>
        </w:tc>
        <w:tc>
          <w:tcPr>
            <w:tcW w:w="794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980" w:type="dxa"/>
            <w:vAlign w:val="bottom"/>
          </w:tcPr>
          <w:p>
            <w:pPr>
              <w:jc w:val="center"/>
              <w:ind w:left="1630"/>
              <w:spacing w:after="0"/>
              <w:rPr>
                <w:sz w:val="20"/>
                <w:szCs w:val="20"/>
                <w:color w:val="auto"/>
              </w:rPr>
            </w:pPr>
            <w:r>
              <w:rPr>
                <w:rFonts w:ascii="Arial" w:cs="Arial" w:eastAsia="Arial" w:hAnsi="Arial"/>
                <w:sz w:val="18"/>
                <w:szCs w:val="18"/>
                <w:i w:val="1"/>
                <w:iCs w:val="1"/>
                <w:color w:val="auto"/>
                <w:w w:val="91"/>
              </w:rPr>
              <w:t>(In millions, except per share data)</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6980" w:type="dxa"/>
            <w:vAlign w:val="bottom"/>
          </w:tcPr>
          <w:p>
            <w:pPr>
              <w:jc w:val="center"/>
              <w:ind w:left="1650"/>
              <w:spacing w:after="0"/>
              <w:rPr>
                <w:sz w:val="20"/>
                <w:szCs w:val="20"/>
                <w:color w:val="auto"/>
              </w:rPr>
            </w:pPr>
            <w:r>
              <w:rPr>
                <w:rFonts w:ascii="Arial" w:cs="Arial" w:eastAsia="Arial" w:hAnsi="Arial"/>
                <w:sz w:val="18"/>
                <w:szCs w:val="18"/>
                <w:i w:val="1"/>
                <w:iCs w:val="1"/>
                <w:color w:val="auto"/>
                <w:w w:val="93"/>
              </w:rPr>
              <w:t>(Unaudited)</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36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080" w:type="dxa"/>
            <w:vAlign w:val="bottom"/>
            <w:gridSpan w:val="5"/>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36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385.6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gridSpan w:val="2"/>
          </w:tcPr>
          <w:p>
            <w:pPr>
              <w:ind w:left="28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(1)(2)</w:t>
            </w:r>
          </w:p>
        </w:tc>
        <w:tc>
          <w:tcPr>
            <w:tcW w:w="9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287.2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70"/>
        </w:trPr>
        <w:tc>
          <w:tcPr>
            <w:tcW w:w="83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5"/>
                <w:szCs w:val="25"/>
                <w:color w:val="auto"/>
                <w:vertAlign w:val="superscript"/>
              </w:rPr>
              <w:t>(1)(2)</w:t>
            </w:r>
            <w:r>
              <w:rPr>
                <w:rFonts w:ascii="Arial" w:cs="Arial" w:eastAsia="Arial" w:hAnsi="Arial"/>
                <w:sz w:val="18"/>
                <w:szCs w:val="18"/>
                <w:color w:val="auto"/>
              </w:rPr>
              <w:t>:</w:t>
            </w:r>
          </w:p>
        </w:tc>
        <w:tc>
          <w:tcPr>
            <w:tcW w:w="9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101.5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308.5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661.6</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Interest income (expense), net</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Loss before income taxes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(465.5)</w:t>
            </w:r>
          </w:p>
        </w:tc>
        <w:tc>
          <w:tcPr>
            <w:tcW w:w="0" w:type="dxa"/>
            <w:vAlign w:val="bottom"/>
          </w:tcPr>
          <w:p>
            <w:pPr>
              <w:spacing w:after="0"/>
              <w:rPr>
                <w:sz w:val="1"/>
                <w:szCs w:val="1"/>
                <w:color w:val="auto"/>
              </w:rPr>
            </w:pPr>
          </w:p>
        </w:tc>
      </w:tr>
      <w:tr>
        <w:trPr>
          <w:trHeight w:val="67"/>
        </w:trPr>
        <w:tc>
          <w:tcPr>
            <w:tcW w:w="1360" w:type="dxa"/>
            <w:vAlign w:val="bottom"/>
            <w:tcBorders>
              <w:bottom w:val="single" w:sz="8" w:color="CCEEFF"/>
            </w:tcBorders>
          </w:tcPr>
          <w:p>
            <w:pPr>
              <w:spacing w:after="0"/>
              <w:rPr>
                <w:sz w:val="5"/>
                <w:szCs w:val="5"/>
                <w:color w:val="auto"/>
              </w:rPr>
            </w:pPr>
          </w:p>
        </w:tc>
        <w:tc>
          <w:tcPr>
            <w:tcW w:w="698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w w:val="93"/>
              </w:rPr>
              <w:t>Weighted-average shares used in computing net loss per share attributable to common stockholders, basic and</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34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vMerge w:val="restart"/>
          </w:tcPr>
          <w:p>
            <w:pPr>
              <w:jc w:val="right"/>
              <w:ind w:right="10"/>
              <w:spacing w:after="0"/>
              <w:rPr>
                <w:sz w:val="20"/>
                <w:szCs w:val="20"/>
                <w:color w:val="auto"/>
              </w:rPr>
            </w:pPr>
            <w:r>
              <w:rPr>
                <w:rFonts w:ascii="Arial" w:cs="Arial" w:eastAsia="Arial" w:hAnsi="Arial"/>
                <w:sz w:val="18"/>
                <w:szCs w:val="18"/>
                <w:color w:val="auto"/>
                <w:w w:val="93"/>
              </w:rPr>
              <w:t>410.5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37"/>
        </w:trPr>
        <w:tc>
          <w:tcPr>
            <w:tcW w:w="834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Includes stock-based compensation as follows (in millions):</w:t>
      </w:r>
    </w:p>
    <w:p>
      <w:pPr>
        <w:spacing w:after="0" w:line="325"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15"/>
        </w:trPr>
        <w:tc>
          <w:tcPr>
            <w:tcW w:w="8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282.9</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93.4</w:t>
            </w:r>
          </w:p>
        </w:tc>
      </w:tr>
    </w:tbl>
    <w:p>
      <w:pPr>
        <w:spacing w:after="0" w:line="233" w:lineRule="exact"/>
        <w:rPr>
          <w:sz w:val="20"/>
          <w:szCs w:val="20"/>
          <w:color w:val="auto"/>
        </w:rPr>
      </w:pPr>
    </w:p>
    <w:p>
      <w:pPr>
        <w:jc w:val="both"/>
        <w:ind w:left="340" w:right="280" w:hanging="332"/>
        <w:spacing w:after="0" w:line="225" w:lineRule="auto"/>
        <w:tabs>
          <w:tab w:leader="none" w:pos="34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During the three months ended March 31, 2018, the Company recognized the cumulative unrecognized stock-based compensation of $418.7 million related to two-tier restricted stock units upon the effectiveness of the registration statement for the Company's IPO. See Note 1, "Description of the Business and Summary of Significant Accounting Policies" for further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50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61"/>
        </w:trPr>
        <w:tc>
          <w:tcPr>
            <w:tcW w:w="1360" w:type="dxa"/>
            <w:vAlign w:val="bottom"/>
            <w:tcBorders>
              <w:top w:val="single" w:sz="8" w:color="0000EE"/>
            </w:tcBorders>
          </w:tcPr>
          <w:p>
            <w:pPr>
              <w:spacing w:after="0"/>
              <w:rPr>
                <w:sz w:val="24"/>
                <w:szCs w:val="24"/>
                <w:color w:val="auto"/>
              </w:rPr>
            </w:pPr>
          </w:p>
        </w:tc>
        <w:tc>
          <w:tcPr>
            <w:tcW w:w="3660" w:type="dxa"/>
            <w:vAlign w:val="bottom"/>
          </w:tcPr>
          <w:p>
            <w:pPr>
              <w:spacing w:after="0"/>
              <w:rPr>
                <w:sz w:val="24"/>
                <w:szCs w:val="24"/>
                <w:color w:val="auto"/>
              </w:rPr>
            </w:pPr>
          </w:p>
        </w:tc>
        <w:tc>
          <w:tcPr>
            <w:tcW w:w="4340" w:type="dxa"/>
            <w:vAlign w:val="bottom"/>
            <w:gridSpan w:val="2"/>
          </w:tcPr>
          <w:p>
            <w:pPr>
              <w:jc w:val="center"/>
              <w:ind w:right="2850"/>
              <w:spacing w:after="0"/>
              <w:rPr>
                <w:sz w:val="20"/>
                <w:szCs w:val="20"/>
                <w:color w:val="auto"/>
              </w:rPr>
            </w:pPr>
            <w:r>
              <w:rPr>
                <w:rFonts w:ascii="Arial" w:cs="Arial" w:eastAsia="Arial" w:hAnsi="Arial"/>
                <w:sz w:val="18"/>
                <w:szCs w:val="18"/>
                <w:b w:val="1"/>
                <w:bCs w:val="1"/>
                <w:color w:val="auto"/>
                <w:w w:val="99"/>
              </w:rPr>
              <w:t>DROPBOX, INC.</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0"/>
        </w:trPr>
        <w:tc>
          <w:tcPr>
            <w:tcW w:w="1360" w:type="dxa"/>
            <w:vAlign w:val="bottom"/>
          </w:tcPr>
          <w:p>
            <w:pPr>
              <w:spacing w:after="0"/>
              <w:rPr>
                <w:sz w:val="19"/>
                <w:szCs w:val="19"/>
                <w:color w:val="auto"/>
              </w:rPr>
            </w:pPr>
          </w:p>
        </w:tc>
        <w:tc>
          <w:tcPr>
            <w:tcW w:w="800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9"/>
              </w:rPr>
              <w:t>CONDENSED CONSOLIDATED STATEMENTS OF COMPREHENSIVE LOSS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340" w:type="dxa"/>
            <w:vAlign w:val="bottom"/>
            <w:gridSpan w:val="2"/>
          </w:tcPr>
          <w:p>
            <w:pPr>
              <w:jc w:val="center"/>
              <w:ind w:right="2870"/>
              <w:spacing w:after="0"/>
              <w:rPr>
                <w:sz w:val="20"/>
                <w:szCs w:val="20"/>
                <w:color w:val="auto"/>
              </w:rPr>
            </w:pPr>
            <w:r>
              <w:rPr>
                <w:rFonts w:ascii="Arial" w:cs="Arial" w:eastAsia="Arial" w:hAnsi="Arial"/>
                <w:sz w:val="18"/>
                <w:szCs w:val="18"/>
                <w:i w:val="1"/>
                <w:iCs w:val="1"/>
                <w:color w:val="auto"/>
                <w:w w:val="97"/>
              </w:rPr>
              <w:t>(In millions)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340" w:type="dxa"/>
            <w:vAlign w:val="bottom"/>
            <w:gridSpan w:val="2"/>
          </w:tcPr>
          <w:p>
            <w:pPr>
              <w:jc w:val="center"/>
              <w:ind w:right="2850"/>
              <w:spacing w:after="0"/>
              <w:rPr>
                <w:sz w:val="20"/>
                <w:szCs w:val="20"/>
                <w:color w:val="auto"/>
              </w:rPr>
            </w:pPr>
            <w:r>
              <w:rPr>
                <w:rFonts w:ascii="Arial" w:cs="Arial" w:eastAsia="Arial" w:hAnsi="Arial"/>
                <w:sz w:val="18"/>
                <w:szCs w:val="18"/>
                <w:i w:val="1"/>
                <w:iCs w:val="1"/>
                <w:color w:val="auto"/>
                <w:w w:val="93"/>
              </w:rPr>
              <w:t>(Unaudited)</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0"/>
        </w:trPr>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080" w:type="dxa"/>
            <w:vAlign w:val="bottom"/>
            <w:gridSpan w:val="5"/>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13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13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15"/>
        </w:trPr>
        <w:tc>
          <w:tcPr>
            <w:tcW w:w="136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340" w:type="dxa"/>
            <w:vAlign w:val="bottom"/>
            <w:tcBorders>
              <w:bottom w:val="single" w:sz="8" w:color="CCEEFF"/>
            </w:tcBorders>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(465.5)</w:t>
            </w: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13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foreign currency translation adjustments</w:t>
            </w:r>
          </w:p>
        </w:tc>
        <w:tc>
          <w:tcPr>
            <w:tcW w:w="3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5020" w:type="dxa"/>
            <w:vAlign w:val="bottom"/>
            <w:gridSpan w:val="2"/>
          </w:tcPr>
          <w:p>
            <w:pPr>
              <w:ind w:left="280"/>
              <w:spacing w:after="0"/>
              <w:rPr>
                <w:sz w:val="20"/>
                <w:szCs w:val="20"/>
                <w:color w:val="auto"/>
              </w:rPr>
            </w:pPr>
            <w:r>
              <w:rPr>
                <w:rFonts w:ascii="Arial" w:cs="Arial" w:eastAsia="Arial" w:hAnsi="Arial"/>
                <w:sz w:val="18"/>
                <w:szCs w:val="18"/>
                <w:color w:val="auto"/>
                <w:w w:val="89"/>
              </w:rPr>
              <w:t>Change in net unrealized gains (losses) on short-term investments</w:t>
            </w:r>
          </w:p>
        </w:tc>
        <w:tc>
          <w:tcPr>
            <w:tcW w:w="3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13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3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37"/>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Comprehensive loss</w:t>
            </w:r>
          </w:p>
        </w:tc>
        <w:tc>
          <w:tcPr>
            <w:tcW w:w="332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(464.1)</w:t>
            </w:r>
          </w:p>
        </w:tc>
      </w:tr>
      <w:tr>
        <w:trPr>
          <w:trHeight w:val="27"/>
        </w:trPr>
        <w:tc>
          <w:tcPr>
            <w:tcW w:w="13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13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8"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8"/>
          </w:tcPr>
          <w:p>
            <w:pPr>
              <w:ind w:left="20"/>
              <w:spacing w:after="0"/>
              <w:rPr>
                <w:sz w:val="20"/>
                <w:szCs w:val="20"/>
                <w:color w:val="auto"/>
              </w:rPr>
            </w:pPr>
            <w:r>
              <w:rPr>
                <w:rFonts w:ascii="Arial" w:cs="Arial" w:eastAsia="Arial" w:hAnsi="Arial"/>
                <w:sz w:val="18"/>
                <w:szCs w:val="18"/>
                <w:b w:val="1"/>
                <w:bCs w:val="1"/>
                <w:color w:val="auto"/>
                <w:w w:val="90"/>
              </w:rPr>
              <w:t>Three months ended March 31, 2018</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640" w:type="dxa"/>
            <w:vAlign w:val="bottom"/>
          </w:tcPr>
          <w:p>
            <w:pPr>
              <w:spacing w:after="0"/>
              <w:rPr>
                <w:sz w:val="18"/>
                <w:szCs w:val="18"/>
                <w:color w:val="auto"/>
              </w:rPr>
            </w:pPr>
          </w:p>
        </w:tc>
        <w:tc>
          <w:tcPr>
            <w:tcW w:w="1580" w:type="dxa"/>
            <w:vAlign w:val="bottom"/>
            <w:gridSpan w:val="5"/>
            <w:vMerge w:val="restart"/>
          </w:tcPr>
          <w:p>
            <w:pPr>
              <w:jc w:val="center"/>
              <w:ind w:right="80"/>
              <w:spacing w:after="0"/>
              <w:rPr>
                <w:sz w:val="20"/>
                <w:szCs w:val="20"/>
                <w:color w:val="auto"/>
              </w:rPr>
            </w:pPr>
            <w:r>
              <w:rPr>
                <w:rFonts w:ascii="Arial" w:cs="Arial" w:eastAsia="Arial" w:hAnsi="Arial"/>
                <w:sz w:val="18"/>
                <w:szCs w:val="18"/>
                <w:b w:val="1"/>
                <w:bCs w:val="1"/>
                <w:color w:val="auto"/>
                <w:w w:val="90"/>
              </w:rPr>
              <w:t>Convertible</w:t>
            </w:r>
          </w:p>
        </w:tc>
        <w:tc>
          <w:tcPr>
            <w:tcW w:w="1580" w:type="dxa"/>
            <w:vAlign w:val="bottom"/>
            <w:gridSpan w:val="5"/>
            <w:vMerge w:val="restart"/>
          </w:tcPr>
          <w:p>
            <w:pPr>
              <w:jc w:val="right"/>
              <w:ind w:right="140"/>
              <w:spacing w:after="0"/>
              <w:rPr>
                <w:sz w:val="20"/>
                <w:szCs w:val="20"/>
                <w:color w:val="auto"/>
              </w:rPr>
            </w:pPr>
            <w:r>
              <w:rPr>
                <w:rFonts w:ascii="Arial" w:cs="Arial" w:eastAsia="Arial" w:hAnsi="Arial"/>
                <w:sz w:val="18"/>
                <w:szCs w:val="18"/>
                <w:b w:val="1"/>
                <w:bCs w:val="1"/>
                <w:color w:val="auto"/>
                <w:w w:val="90"/>
              </w:rPr>
              <w:t>Class A and Class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640" w:type="dxa"/>
            <w:vAlign w:val="bottom"/>
          </w:tcPr>
          <w:p>
            <w:pPr>
              <w:spacing w:after="0"/>
              <w:rPr>
                <w:sz w:val="15"/>
                <w:szCs w:val="15"/>
                <w:color w:val="auto"/>
              </w:rPr>
            </w:pPr>
          </w:p>
        </w:tc>
        <w:tc>
          <w:tcPr>
            <w:tcW w:w="1580" w:type="dxa"/>
            <w:vAlign w:val="bottom"/>
            <w:gridSpan w:val="5"/>
            <w:vMerge w:val="continue"/>
          </w:tcPr>
          <w:p>
            <w:pPr>
              <w:spacing w:after="0"/>
              <w:rPr>
                <w:sz w:val="15"/>
                <w:szCs w:val="15"/>
                <w:color w:val="auto"/>
              </w:rPr>
            </w:pPr>
          </w:p>
        </w:tc>
        <w:tc>
          <w:tcPr>
            <w:tcW w:w="1580" w:type="dxa"/>
            <w:vAlign w:val="bottom"/>
            <w:gridSpan w:val="5"/>
            <w:vMerge w:val="continue"/>
          </w:tcPr>
          <w:p>
            <w:pPr>
              <w:spacing w:after="0"/>
              <w:rPr>
                <w:sz w:val="15"/>
                <w:szCs w:val="15"/>
                <w:color w:val="auto"/>
              </w:rPr>
            </w:pPr>
          </w:p>
        </w:tc>
        <w:tc>
          <w:tcPr>
            <w:tcW w:w="1020" w:type="dxa"/>
            <w:vAlign w:val="bottom"/>
            <w:gridSpan w:val="3"/>
          </w:tcPr>
          <w:p>
            <w:pPr>
              <w:ind w:left="40"/>
              <w:spacing w:after="0" w:line="181" w:lineRule="exact"/>
              <w:rPr>
                <w:sz w:val="20"/>
                <w:szCs w:val="20"/>
                <w:color w:val="auto"/>
              </w:rPr>
            </w:pPr>
            <w:r>
              <w:rPr>
                <w:rFonts w:ascii="Arial" w:cs="Arial" w:eastAsia="Arial" w:hAnsi="Arial"/>
                <w:sz w:val="18"/>
                <w:szCs w:val="18"/>
                <w:b w:val="1"/>
                <w:bCs w:val="1"/>
                <w:color w:val="auto"/>
              </w:rPr>
              <w:t>Additional</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center"/>
              <w:ind w:right="360"/>
              <w:spacing w:after="0" w:line="181" w:lineRule="exact"/>
              <w:rPr>
                <w:sz w:val="20"/>
                <w:szCs w:val="20"/>
                <w:color w:val="auto"/>
              </w:rPr>
            </w:pPr>
            <w:r>
              <w:rPr>
                <w:rFonts w:ascii="Arial" w:cs="Arial" w:eastAsia="Arial" w:hAnsi="Arial"/>
                <w:sz w:val="18"/>
                <w:szCs w:val="18"/>
                <w:b w:val="1"/>
                <w:bCs w:val="1"/>
                <w:color w:val="auto"/>
                <w:w w:val="88"/>
              </w:rPr>
              <w:t>other</w:t>
            </w:r>
          </w:p>
        </w:tc>
        <w:tc>
          <w:tcPr>
            <w:tcW w:w="220" w:type="dxa"/>
            <w:vAlign w:val="bottom"/>
          </w:tcPr>
          <w:p>
            <w:pPr>
              <w:spacing w:after="0"/>
              <w:rPr>
                <w:sz w:val="15"/>
                <w:szCs w:val="15"/>
                <w:color w:val="auto"/>
              </w:rPr>
            </w:pPr>
          </w:p>
        </w:tc>
        <w:tc>
          <w:tcPr>
            <w:tcW w:w="920" w:type="dxa"/>
            <w:vAlign w:val="bottom"/>
          </w:tcPr>
          <w:p>
            <w:pPr>
              <w:jc w:val="right"/>
              <w:ind w:right="290"/>
              <w:spacing w:after="0" w:line="181"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1580" w:type="dxa"/>
            <w:vAlign w:val="bottom"/>
            <w:gridSpan w:val="5"/>
          </w:tcPr>
          <w:p>
            <w:pPr>
              <w:jc w:val="center"/>
              <w:ind w:right="80"/>
              <w:spacing w:after="0" w:line="176" w:lineRule="exact"/>
              <w:rPr>
                <w:sz w:val="20"/>
                <w:szCs w:val="20"/>
                <w:color w:val="auto"/>
              </w:rPr>
            </w:pPr>
            <w:r>
              <w:rPr>
                <w:rFonts w:ascii="Arial" w:cs="Arial" w:eastAsia="Arial" w:hAnsi="Arial"/>
                <w:sz w:val="18"/>
                <w:szCs w:val="18"/>
                <w:b w:val="1"/>
                <w:bCs w:val="1"/>
                <w:color w:val="auto"/>
                <w:w w:val="90"/>
              </w:rPr>
              <w:t>preferred stock</w:t>
            </w:r>
          </w:p>
        </w:tc>
        <w:tc>
          <w:tcPr>
            <w:tcW w:w="1580" w:type="dxa"/>
            <w:vAlign w:val="bottom"/>
            <w:gridSpan w:val="5"/>
          </w:tcPr>
          <w:p>
            <w:pPr>
              <w:ind w:left="120"/>
              <w:spacing w:after="0" w:line="176" w:lineRule="exact"/>
              <w:rPr>
                <w:sz w:val="20"/>
                <w:szCs w:val="20"/>
                <w:color w:val="auto"/>
              </w:rPr>
            </w:pPr>
            <w:r>
              <w:rPr>
                <w:rFonts w:ascii="Arial" w:cs="Arial" w:eastAsia="Arial" w:hAnsi="Arial"/>
                <w:sz w:val="18"/>
                <w:szCs w:val="18"/>
                <w:b w:val="1"/>
                <w:bCs w:val="1"/>
                <w:color w:val="auto"/>
                <w:w w:val="99"/>
              </w:rPr>
              <w:t>B common stock</w:t>
            </w:r>
          </w:p>
        </w:tc>
        <w:tc>
          <w:tcPr>
            <w:tcW w:w="140" w:type="dxa"/>
            <w:vAlign w:val="bottom"/>
          </w:tcPr>
          <w:p>
            <w:pPr>
              <w:spacing w:after="0"/>
              <w:rPr>
                <w:sz w:val="15"/>
                <w:szCs w:val="1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paid-in</w:t>
            </w:r>
          </w:p>
        </w:tc>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9"/>
              </w:rPr>
              <w:t>Accumulated</w:t>
            </w:r>
          </w:p>
        </w:tc>
        <w:tc>
          <w:tcPr>
            <w:tcW w:w="130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86"/>
              </w:rPr>
              <w:t>comprehensive</w:t>
            </w:r>
          </w:p>
        </w:tc>
        <w:tc>
          <w:tcPr>
            <w:tcW w:w="11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0"/>
              </w:rPr>
              <w:t>stockholders’</w:t>
            </w:r>
          </w:p>
        </w:tc>
        <w:tc>
          <w:tcPr>
            <w:tcW w:w="0" w:type="dxa"/>
            <w:vAlign w:val="bottom"/>
          </w:tcPr>
          <w:p>
            <w:pPr>
              <w:spacing w:after="0"/>
              <w:rPr>
                <w:sz w:val="1"/>
                <w:szCs w:val="1"/>
                <w:color w:val="auto"/>
              </w:rPr>
            </w:pPr>
          </w:p>
        </w:tc>
      </w:tr>
      <w:tr>
        <w:trPr>
          <w:trHeight w:val="56"/>
        </w:trPr>
        <w:tc>
          <w:tcPr>
            <w:tcW w:w="36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rPr>
              <w:t>deficit</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income (loss)</w:t>
            </w:r>
          </w:p>
        </w:tc>
        <w:tc>
          <w:tcPr>
            <w:tcW w:w="22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615.3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Release of restricted stock units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repurchased for tax withholdings on</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 of restricted stock</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29"/>
        </w:trPr>
        <w:tc>
          <w:tcPr>
            <w:tcW w:w="3640" w:type="dxa"/>
            <w:vAlign w:val="bottom"/>
          </w:tcPr>
          <w:p>
            <w:pPr>
              <w:ind w:left="40"/>
              <w:spacing w:after="0"/>
              <w:rPr>
                <w:sz w:val="20"/>
                <w:szCs w:val="20"/>
                <w:color w:val="auto"/>
              </w:rPr>
            </w:pPr>
            <w:r>
              <w:rPr>
                <w:rFonts w:ascii="Arial" w:cs="Arial" w:eastAsia="Arial" w:hAnsi="Arial"/>
                <w:sz w:val="18"/>
                <w:szCs w:val="18"/>
                <w:color w:val="auto"/>
                <w:w w:val="94"/>
              </w:rPr>
              <w:t>Conversion of preferred stock to common stock</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40"/>
              <w:spacing w:after="0"/>
              <w:rPr>
                <w:sz w:val="20"/>
                <w:szCs w:val="20"/>
                <w:color w:val="auto"/>
              </w:rPr>
            </w:pPr>
            <w:r>
              <w:rPr>
                <w:rFonts w:ascii="Arial" w:cs="Arial" w:eastAsia="Arial" w:hAnsi="Arial"/>
                <w:sz w:val="18"/>
                <w:szCs w:val="18"/>
                <w:color w:val="auto"/>
              </w:rPr>
              <w:t>in connection with initial public offering</w:t>
            </w:r>
          </w:p>
        </w:tc>
        <w:tc>
          <w:tcPr>
            <w:tcW w:w="68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(615.3)</w:t>
            </w:r>
          </w:p>
        </w:tc>
        <w:tc>
          <w:tcPr>
            <w:tcW w:w="1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615.3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Issuance of common stock in connection with</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initial public offering and private placement, 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of underwriters' discounts and commissions and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costs</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631.3</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Exercise of stock options and awards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0" w:type="dxa"/>
            <w:vAlign w:val="bottom"/>
          </w:tcPr>
          <w:p>
            <w:pPr>
              <w:spacing w:after="0"/>
              <w:rPr>
                <w:sz w:val="1"/>
                <w:szCs w:val="1"/>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2,104.9</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(1,600.4)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510.1</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360" w:type="dxa"/>
            <w:vAlign w:val="bottom"/>
            <w:tcBorders>
              <w:top w:val="single" w:sz="8" w:color="0000EE"/>
            </w:tcBorders>
          </w:tcPr>
          <w:p>
            <w:pPr>
              <w:spacing w:after="0"/>
              <w:rPr>
                <w:sz w:val="24"/>
                <w:szCs w:val="24"/>
                <w:color w:val="auto"/>
              </w:rPr>
            </w:pPr>
          </w:p>
        </w:tc>
        <w:tc>
          <w:tcPr>
            <w:tcW w:w="2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8"/>
          </w:tcPr>
          <w:p>
            <w:pPr>
              <w:ind w:left="20"/>
              <w:spacing w:after="0"/>
              <w:rPr>
                <w:sz w:val="20"/>
                <w:szCs w:val="20"/>
                <w:color w:val="auto"/>
              </w:rPr>
            </w:pPr>
            <w:r>
              <w:rPr>
                <w:rFonts w:ascii="Arial" w:cs="Arial" w:eastAsia="Arial" w:hAnsi="Arial"/>
                <w:sz w:val="18"/>
                <w:szCs w:val="18"/>
                <w:b w:val="1"/>
                <w:bCs w:val="1"/>
                <w:color w:val="auto"/>
                <w:w w:val="90"/>
              </w:rPr>
              <w:t>Three months ended March 31, 2019</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80" w:type="dxa"/>
            <w:vAlign w:val="bottom"/>
            <w:gridSpan w:val="5"/>
            <w:vMerge w:val="restart"/>
          </w:tcPr>
          <w:p>
            <w:pPr>
              <w:ind w:left="300"/>
              <w:spacing w:after="0"/>
              <w:rPr>
                <w:sz w:val="20"/>
                <w:szCs w:val="20"/>
                <w:color w:val="auto"/>
              </w:rPr>
            </w:pPr>
            <w:r>
              <w:rPr>
                <w:rFonts w:ascii="Arial" w:cs="Arial" w:eastAsia="Arial" w:hAnsi="Arial"/>
                <w:sz w:val="18"/>
                <w:szCs w:val="18"/>
                <w:b w:val="1"/>
                <w:bCs w:val="1"/>
                <w:color w:val="auto"/>
              </w:rPr>
              <w:t>Convertible</w:t>
            </w:r>
          </w:p>
        </w:tc>
        <w:tc>
          <w:tcPr>
            <w:tcW w:w="158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auto"/>
                <w:w w:val="96"/>
              </w:rPr>
              <w:t>Class A and Class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580" w:type="dxa"/>
            <w:vAlign w:val="bottom"/>
            <w:gridSpan w:val="5"/>
            <w:vMerge w:val="continue"/>
          </w:tcPr>
          <w:p>
            <w:pPr>
              <w:spacing w:after="0"/>
              <w:rPr>
                <w:sz w:val="15"/>
                <w:szCs w:val="15"/>
                <w:color w:val="auto"/>
              </w:rPr>
            </w:pPr>
          </w:p>
        </w:tc>
        <w:tc>
          <w:tcPr>
            <w:tcW w:w="1580" w:type="dxa"/>
            <w:vAlign w:val="bottom"/>
            <w:gridSpan w:val="5"/>
            <w:vMerge w:val="continue"/>
          </w:tcPr>
          <w:p>
            <w:pPr>
              <w:spacing w:after="0"/>
              <w:rPr>
                <w:sz w:val="15"/>
                <w:szCs w:val="15"/>
                <w:color w:val="auto"/>
              </w:rPr>
            </w:pPr>
          </w:p>
        </w:tc>
        <w:tc>
          <w:tcPr>
            <w:tcW w:w="1020" w:type="dxa"/>
            <w:vAlign w:val="bottom"/>
            <w:gridSpan w:val="3"/>
          </w:tcPr>
          <w:p>
            <w:pPr>
              <w:ind w:left="40"/>
              <w:spacing w:after="0" w:line="181" w:lineRule="exact"/>
              <w:rPr>
                <w:sz w:val="20"/>
                <w:szCs w:val="20"/>
                <w:color w:val="auto"/>
              </w:rPr>
            </w:pPr>
            <w:r>
              <w:rPr>
                <w:rFonts w:ascii="Arial" w:cs="Arial" w:eastAsia="Arial" w:hAnsi="Arial"/>
                <w:sz w:val="18"/>
                <w:szCs w:val="18"/>
                <w:b w:val="1"/>
                <w:bCs w:val="1"/>
                <w:color w:val="auto"/>
              </w:rPr>
              <w:t>Additional</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center"/>
              <w:ind w:right="360"/>
              <w:spacing w:after="0" w:line="181" w:lineRule="exact"/>
              <w:rPr>
                <w:sz w:val="20"/>
                <w:szCs w:val="20"/>
                <w:color w:val="auto"/>
              </w:rPr>
            </w:pPr>
            <w:r>
              <w:rPr>
                <w:rFonts w:ascii="Arial" w:cs="Arial" w:eastAsia="Arial" w:hAnsi="Arial"/>
                <w:sz w:val="18"/>
                <w:szCs w:val="18"/>
                <w:b w:val="1"/>
                <w:bCs w:val="1"/>
                <w:color w:val="auto"/>
                <w:w w:val="88"/>
              </w:rPr>
              <w:t>other</w:t>
            </w:r>
          </w:p>
        </w:tc>
        <w:tc>
          <w:tcPr>
            <w:tcW w:w="220" w:type="dxa"/>
            <w:vAlign w:val="bottom"/>
          </w:tcPr>
          <w:p>
            <w:pPr>
              <w:spacing w:after="0"/>
              <w:rPr>
                <w:sz w:val="15"/>
                <w:szCs w:val="15"/>
                <w:color w:val="auto"/>
              </w:rPr>
            </w:pPr>
          </w:p>
        </w:tc>
        <w:tc>
          <w:tcPr>
            <w:tcW w:w="920" w:type="dxa"/>
            <w:vAlign w:val="bottom"/>
          </w:tcPr>
          <w:p>
            <w:pPr>
              <w:jc w:val="right"/>
              <w:ind w:right="290"/>
              <w:spacing w:after="0" w:line="181"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580" w:type="dxa"/>
            <w:vAlign w:val="bottom"/>
            <w:gridSpan w:val="5"/>
          </w:tcPr>
          <w:p>
            <w:pPr>
              <w:ind w:left="160"/>
              <w:spacing w:after="0" w:line="176" w:lineRule="exact"/>
              <w:rPr>
                <w:sz w:val="20"/>
                <w:szCs w:val="20"/>
                <w:color w:val="auto"/>
              </w:rPr>
            </w:pPr>
            <w:r>
              <w:rPr>
                <w:rFonts w:ascii="Arial" w:cs="Arial" w:eastAsia="Arial" w:hAnsi="Arial"/>
                <w:sz w:val="18"/>
                <w:szCs w:val="18"/>
                <w:b w:val="1"/>
                <w:bCs w:val="1"/>
                <w:color w:val="auto"/>
              </w:rPr>
              <w:t>preferred stock</w:t>
            </w:r>
          </w:p>
        </w:tc>
        <w:tc>
          <w:tcPr>
            <w:tcW w:w="1580" w:type="dxa"/>
            <w:vAlign w:val="bottom"/>
            <w:gridSpan w:val="5"/>
          </w:tcPr>
          <w:p>
            <w:pPr>
              <w:ind w:left="120"/>
              <w:spacing w:after="0" w:line="176" w:lineRule="exact"/>
              <w:rPr>
                <w:sz w:val="20"/>
                <w:szCs w:val="20"/>
                <w:color w:val="auto"/>
              </w:rPr>
            </w:pPr>
            <w:r>
              <w:rPr>
                <w:rFonts w:ascii="Arial" w:cs="Arial" w:eastAsia="Arial" w:hAnsi="Arial"/>
                <w:sz w:val="18"/>
                <w:szCs w:val="18"/>
                <w:b w:val="1"/>
                <w:bCs w:val="1"/>
                <w:color w:val="auto"/>
                <w:w w:val="99"/>
              </w:rPr>
              <w:t>B common stock</w:t>
            </w:r>
          </w:p>
        </w:tc>
        <w:tc>
          <w:tcPr>
            <w:tcW w:w="140" w:type="dxa"/>
            <w:vAlign w:val="bottom"/>
          </w:tcPr>
          <w:p>
            <w:pPr>
              <w:spacing w:after="0"/>
              <w:rPr>
                <w:sz w:val="15"/>
                <w:szCs w:val="1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paid-in</w:t>
            </w:r>
          </w:p>
        </w:tc>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9"/>
              </w:rPr>
              <w:t>Accumulated</w:t>
            </w:r>
          </w:p>
        </w:tc>
        <w:tc>
          <w:tcPr>
            <w:tcW w:w="130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86"/>
              </w:rPr>
              <w:t>comprehensive</w:t>
            </w:r>
          </w:p>
        </w:tc>
        <w:tc>
          <w:tcPr>
            <w:tcW w:w="11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0"/>
              </w:rPr>
              <w:t>stockholders’</w:t>
            </w:r>
          </w:p>
        </w:tc>
        <w:tc>
          <w:tcPr>
            <w:tcW w:w="0" w:type="dxa"/>
            <w:vAlign w:val="bottom"/>
          </w:tcPr>
          <w:p>
            <w:pPr>
              <w:spacing w:after="0"/>
              <w:rPr>
                <w:sz w:val="1"/>
                <w:szCs w:val="1"/>
                <w:color w:val="auto"/>
              </w:rPr>
            </w:pPr>
          </w:p>
        </w:tc>
      </w:tr>
      <w:tr>
        <w:trPr>
          <w:trHeight w:val="56"/>
        </w:trPr>
        <w:tc>
          <w:tcPr>
            <w:tcW w:w="1360" w:type="dxa"/>
            <w:vAlign w:val="bottom"/>
          </w:tcPr>
          <w:p>
            <w:pPr>
              <w:spacing w:after="0"/>
              <w:rPr>
                <w:sz w:val="4"/>
                <w:szCs w:val="4"/>
                <w:color w:val="auto"/>
              </w:rPr>
            </w:pPr>
          </w:p>
        </w:tc>
        <w:tc>
          <w:tcPr>
            <w:tcW w:w="22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rPr>
              <w:t>deficit</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income (loss)</w:t>
            </w:r>
          </w:p>
        </w:tc>
        <w:tc>
          <w:tcPr>
            <w:tcW w:w="22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676.8</w:t>
            </w:r>
          </w:p>
        </w:tc>
        <w:tc>
          <w:tcPr>
            <w:tcW w:w="0" w:type="dxa"/>
            <w:vAlign w:val="bottom"/>
          </w:tcPr>
          <w:p>
            <w:pPr>
              <w:spacing w:after="0"/>
              <w:rPr>
                <w:sz w:val="1"/>
                <w:szCs w:val="1"/>
                <w:color w:val="auto"/>
              </w:rPr>
            </w:pPr>
          </w:p>
        </w:tc>
      </w:tr>
      <w:tr>
        <w:trPr>
          <w:trHeight w:val="229"/>
        </w:trPr>
        <w:tc>
          <w:tcPr>
            <w:tcW w:w="3640" w:type="dxa"/>
            <w:vAlign w:val="bottom"/>
            <w:gridSpan w:val="2"/>
          </w:tcPr>
          <w:p>
            <w:pPr>
              <w:ind w:left="40"/>
              <w:spacing w:after="0"/>
              <w:rPr>
                <w:sz w:val="20"/>
                <w:szCs w:val="20"/>
                <w:color w:val="auto"/>
              </w:rPr>
            </w:pPr>
            <w:r>
              <w:rPr>
                <w:rFonts w:ascii="Arial" w:cs="Arial" w:eastAsia="Arial" w:hAnsi="Arial"/>
                <w:sz w:val="18"/>
                <w:szCs w:val="18"/>
                <w:color w:val="auto"/>
                <w:w w:val="97"/>
              </w:rPr>
              <w:t>Cumulative-effect adjustment from adoption of</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ASC 842</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Release of restricted stock units</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Shares repurchased for tax withholdings on</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release of restricted stock</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 of stock options and awards</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Assumed stock options in connection with</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acquisition</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7"/>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6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20"/>
                <w:szCs w:val="20"/>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2,377.8</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(1,674.7)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81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61"/>
        </w:trPr>
        <w:tc>
          <w:tcPr>
            <w:tcW w:w="1360" w:type="dxa"/>
            <w:vAlign w:val="bottom"/>
            <w:tcBorders>
              <w:top w:val="single" w:sz="8" w:color="0000EE"/>
            </w:tcBorders>
          </w:tcPr>
          <w:p>
            <w:pPr>
              <w:spacing w:after="0"/>
              <w:rPr>
                <w:sz w:val="24"/>
                <w:szCs w:val="24"/>
                <w:color w:val="auto"/>
              </w:rPr>
            </w:pPr>
          </w:p>
        </w:tc>
        <w:tc>
          <w:tcPr>
            <w:tcW w:w="676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DROPBOX, INC.</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0"/>
        </w:trPr>
        <w:tc>
          <w:tcPr>
            <w:tcW w:w="1360" w:type="dxa"/>
            <w:vAlign w:val="bottom"/>
          </w:tcPr>
          <w:p>
            <w:pPr>
              <w:spacing w:after="0"/>
              <w:rPr>
                <w:sz w:val="19"/>
                <w:szCs w:val="19"/>
                <w:color w:val="auto"/>
              </w:rPr>
            </w:pPr>
          </w:p>
        </w:tc>
        <w:tc>
          <w:tcPr>
            <w:tcW w:w="776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6760" w:type="dxa"/>
            <w:vAlign w:val="bottom"/>
          </w:tcPr>
          <w:p>
            <w:pPr>
              <w:jc w:val="center"/>
              <w:ind w:left="1850"/>
              <w:spacing w:after="0"/>
              <w:rPr>
                <w:sz w:val="20"/>
                <w:szCs w:val="20"/>
                <w:color w:val="auto"/>
              </w:rPr>
            </w:pPr>
            <w:r>
              <w:rPr>
                <w:rFonts w:ascii="Arial" w:cs="Arial" w:eastAsia="Arial" w:hAnsi="Arial"/>
                <w:sz w:val="18"/>
                <w:szCs w:val="18"/>
                <w:i w:val="1"/>
                <w:iCs w:val="1"/>
                <w:color w:val="auto"/>
                <w:w w:val="97"/>
              </w:rPr>
              <w:t>(In millions)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6760" w:type="dxa"/>
            <w:vAlign w:val="bottom"/>
          </w:tcPr>
          <w:p>
            <w:pPr>
              <w:jc w:val="center"/>
              <w:ind w:left="1870"/>
              <w:spacing w:after="0"/>
              <w:rPr>
                <w:sz w:val="20"/>
                <w:szCs w:val="20"/>
                <w:color w:val="auto"/>
              </w:rPr>
            </w:pPr>
            <w:r>
              <w:rPr>
                <w:rFonts w:ascii="Arial" w:cs="Arial" w:eastAsia="Arial" w:hAnsi="Arial"/>
                <w:sz w:val="18"/>
                <w:szCs w:val="18"/>
                <w:i w:val="1"/>
                <w:iCs w:val="1"/>
                <w:color w:val="auto"/>
                <w:w w:val="93"/>
              </w:rPr>
              <w:t>(Unaudited)</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13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330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15"/>
        </w:trPr>
        <w:tc>
          <w:tcPr>
            <w:tcW w:w="136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(465.5)</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35.9</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486.5</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Amortization of deferred commissions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 and other receivables, net</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and other current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Accrued compensation and benefits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Other non-current liabilities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Tenant improvement allowance reimbursement</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61.8</w:t>
            </w:r>
          </w:p>
        </w:tc>
      </w:tr>
      <w:tr>
        <w:trPr>
          <w:trHeight w:val="27"/>
        </w:trPr>
        <w:tc>
          <w:tcPr>
            <w:tcW w:w="1360" w:type="dxa"/>
            <w:vAlign w:val="bottom"/>
            <w:tcBorders>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Capital expenditures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paid for business combinations, net of cash acquired</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(172.1)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Purchases of short-term investments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(180.8)</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sales of short-term investments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Proceeds from maturities of short-term investments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(173.3)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(193.1)</w:t>
            </w:r>
          </w:p>
        </w:tc>
      </w:tr>
      <w:tr>
        <w:trPr>
          <w:trHeight w:val="27"/>
        </w:trPr>
        <w:tc>
          <w:tcPr>
            <w:tcW w:w="1360" w:type="dxa"/>
            <w:vAlign w:val="bottom"/>
            <w:tcBorders>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financing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w w:val="92"/>
              </w:rPr>
              <w:t>Proceeds from initial public offering and private placement, net of underwriters' discounts and commissions</w:t>
            </w:r>
          </w:p>
        </w:tc>
        <w:tc>
          <w:tcPr>
            <w:tcW w:w="10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638.2</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of deferred offering costs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Shares repurchased for tax withholdings on release of restricted stock</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(241.2)</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 net of repurchases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Principal payments on finance lease obligations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365.0</w:t>
            </w:r>
          </w:p>
        </w:tc>
      </w:tr>
      <w:tr>
        <w:trPr>
          <w:trHeight w:val="27"/>
        </w:trPr>
        <w:tc>
          <w:tcPr>
            <w:tcW w:w="1360" w:type="dxa"/>
            <w:vAlign w:val="bottom"/>
            <w:tcBorders>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Change in cash and cash equivalents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(160.1)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235.3</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430.0</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and cash equivalents—end of period</w:t>
            </w:r>
          </w:p>
        </w:tc>
        <w:tc>
          <w:tcPr>
            <w:tcW w:w="10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665.3</w:t>
            </w:r>
          </w:p>
        </w:tc>
      </w:tr>
      <w:tr>
        <w:trPr>
          <w:trHeight w:val="67"/>
        </w:trPr>
        <w:tc>
          <w:tcPr>
            <w:tcW w:w="1360" w:type="dxa"/>
            <w:vAlign w:val="bottom"/>
            <w:tcBorders>
              <w:bottom w:val="single" w:sz="8" w:color="CCEEFF"/>
            </w:tcBorders>
          </w:tcPr>
          <w:p>
            <w:pPr>
              <w:spacing w:after="0"/>
              <w:rPr>
                <w:sz w:val="5"/>
                <w:szCs w:val="5"/>
                <w:color w:val="auto"/>
              </w:rPr>
            </w:pPr>
          </w:p>
        </w:tc>
        <w:tc>
          <w:tcPr>
            <w:tcW w:w="676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64"/>
        </w:trPr>
        <w:tc>
          <w:tcPr>
            <w:tcW w:w="1360" w:type="dxa"/>
            <w:vAlign w:val="bottom"/>
            <w:shd w:val="clear" w:color="auto" w:fill="CCEEFF"/>
          </w:tcPr>
          <w:p>
            <w:pPr>
              <w:spacing w:after="0"/>
              <w:rPr>
                <w:sz w:val="22"/>
                <w:szCs w:val="22"/>
                <w:color w:val="auto"/>
              </w:rPr>
            </w:pPr>
          </w:p>
        </w:tc>
        <w:tc>
          <w:tcPr>
            <w:tcW w:w="67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Supplemental cash flow data:</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360" w:type="dxa"/>
            <w:vAlign w:val="bottom"/>
            <w:tcBorders>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Property and equipment acquired under finance leases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8"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the Business and Summary of Significant Accounting Policies</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Dropbox, Inc. (the “Company” or “Dropbox”) is a global collaboration platform. Dropbox was incorporated in May 2007 as Evenflow, Inc., a Delaware corporation, and changed its name to Dropbox, Inc. in October 2009. The Company is headquartered in San Francisco, California.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the United States of America generally accepted accounting principles (“GAAP”) and applicable rules and regulations of the Securities and Exchange Commission ("SEC") regarding interim financial reporting. The accompanying unaudited condensed consolidated financial statements include the accounts of Dropbox and its wholly owned subsidiaries. All intercompany balances and transactions have been eliminated in consolidation.</w:t>
      </w:r>
    </w:p>
    <w:p>
      <w:pPr>
        <w:spacing w:after="0" w:line="187"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The condensed consolidated balance sheet as of December 31, 2018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loss, statements of stockholders' equity and the statements of cash flows for the interim periods, but are not necessarily indicative of the results of operations to be anticipated for the full fiscal year ended December 31, 2019 or any future period.</w:t>
      </w:r>
    </w:p>
    <w:p>
      <w:pPr>
        <w:spacing w:after="0" w:line="15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unaudited condensed consolidated financial statements should be read in conjunction with the audited consolidated financial statements and the related notes thereto as of and for the year ended December 31, 2018, included in the Company's Annual Report on Form 10-K on file with the SEC ("Annual Report").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Initial public offering and private placement</w:t>
      </w:r>
    </w:p>
    <w:p>
      <w:pPr>
        <w:spacing w:after="0" w:line="117"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On March 27, 2018, the Company closed its initial public offering ("IPO"), in which the Company issued and sold 26,822,409 shares of Class A common stock at $21.00 per share. The Company received aggregate proceeds of $538.2 million, net of underwriters' discounts and commissions, before deducting offering costs of $6.9 million, net of reimbursements.</w:t>
      </w:r>
    </w:p>
    <w:p>
      <w:pPr>
        <w:spacing w:after="0" w:line="18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Immediately prior to the closing of the Company’s IPO, 147,310,563 shares of convertible preferred stock outstanding converted into an equivalent number of shares of Class B common stock. Further, pursuant to transfer agreements with certain of the Company’s stockholders, 258,620 shares of the Company’s convertible preferred stock and 2,609,951 shares of the Company’s Class B common stock automatically converted into an equivalent number of shares of Class A common stock.</w:t>
      </w:r>
    </w:p>
    <w:p>
      <w:pPr>
        <w:spacing w:after="0" w:line="187"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Immediately subsequent to the closing of the Company's IPO, Salesforce Ventures LLC purchased 4,761,905 shares of Class A common stock from the Company at $21.00 per share. The Company received aggregate proceeds of $100.0 million and did not pay any underwriting discounts or commissions with respect to the shares that were sold in the private placement.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March 28, 2018, the underwriters exercised their option to purchase an additional 5,400,000 shares of the Company's Class A common stock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$21.00 per share. This transaction closed on April 3, 2018, resulting in additional proceeds of $108.4 million, net of underwriters' discounts and commissions.</w:t>
      </w:r>
    </w:p>
    <w:p>
      <w:pPr>
        <w:spacing w:after="0" w:line="23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Company’s net proceeds from the IPO, the concurrent private placement, and underwriters' option totaled $746.6 million, before deducting offering costs of $6.9 million, net of reimbursements.</w:t>
      </w:r>
    </w:p>
    <w:p>
      <w:pPr>
        <w:spacing w:after="0" w:line="17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Upon the effectiveness of the registration statement for the Company's IPO, which was March 22, 2018, the liquidity event-related performance vesting condition, referred to as the Performance Vesting Condition, associated with the Company's two-tier restricted stock units ("RSUs") was satisfied. As a result, the Company recognized the cumulative unrecognized stock-based compensation related to its two-tier RSUs using the accelerated attribution method of $418.7 million attributable to service prior to such effective date.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During the first quarter of 2018, the Company's Board of Directors approved the acceleration of the Performance Vesting Condition for which the service condition was satisfied, to occur upon the effectiveness of the registration statement for the Company's IPO, rather than six months following an IPO. As a result, the Company released 26.8 million shares of common stock underlying the two-tier RSUs for which the Performance Vesting Condition was satisfied, and recorded $13.9 million in employer related payroll tax expenses associated with these same awards.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 split</w:t>
      </w:r>
    </w:p>
    <w:p>
      <w:pPr>
        <w:spacing w:after="0" w:line="11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On March 7, 2018, the Company effected a 1-for-1.5 reverse stock split of its capital stock. All of the share and per share information referenced throughout the condensed consolidated financial statements and notes to the condensed consolidated financial statements have been retroactively adjusted to reflect this reverse stock split.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spacing w:after="0" w:line="18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Company’s most significant estimates and judgments involve the estimation of the fair value of market-based awards and the valuation of acquired intangible assets and goodwill from business combinations.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Financial information about segments and geographic areas</w:t>
      </w:r>
    </w:p>
    <w:p>
      <w:pPr>
        <w:spacing w:after="0" w:line="117"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16, "Geographic Areas" for information regarding the Company’s long-lived assets and revenue by geography.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(loss).</w:t>
      </w:r>
    </w:p>
    <w:p>
      <w:pPr>
        <w:spacing w:after="0" w:line="18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Gains and losses realized from foreign currency transactions (those transactions denominated in currencies other than the foreign subsidiaries’ functional currency) are included in other income (expense), net. Monetary assets and liabilities are remeasured using foreign currency exchange rates at the end of the period, and non-monetary assets are remeasured based on historical exchange rates. The Company recorded immaterial net foreign currency transaction gains during the three months ended March 31, 2019 and 2018, respectively.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73"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121"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93"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The Company bills in advance for monthly contracts and typically bills annually in advance for contracts with terms of one year or longer. The Company also recognizes an immaterial amount of contract assets, or unbilled receivables, primarily relating to consideration for services completed but not billed at the reporting date. Unbilled receivables are classified as receivables when the Company has the right to invoice the customer.</w:t>
      </w:r>
    </w:p>
    <w:p>
      <w:pPr>
        <w:spacing w:after="0" w:line="166"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7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8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Company recognized $222.6 million and $188.2 million of revenue during the three months ended March 31, 2019, and 2018, respectively, that was included in the deferred revenue balances at the beginning of their respective periods.</w:t>
      </w:r>
    </w:p>
    <w:p>
      <w:pPr>
        <w:spacing w:after="0" w:line="1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March 31, 2019, future estimated revenue related to performance obligations that were unsatisfied or partially unsatisfied was $549.8 million. The substantial majority of the unsatisfied performance obligations will be satisfied over the next twelve months.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Company has granted RSUs to its employees and members of the Board of Directors under the 2008 Equity Incentive Plan (“2008 Plan”), the 2017 Equity Incentive Plan (“2017 Plan”), and the 2018 Equity Incentive Plan ("2018 Plan"). The Company had two types of RSUs outstanding as of March 31, 2019:</w:t>
      </w:r>
    </w:p>
    <w:p>
      <w:pPr>
        <w:spacing w:after="0" w:line="181" w:lineRule="exact"/>
        <w:rPr>
          <w:sz w:val="20"/>
          <w:szCs w:val="20"/>
          <w:color w:val="auto"/>
        </w:rPr>
      </w:pPr>
    </w:p>
    <w:p>
      <w:pPr>
        <w:ind w:left="980" w:right="20" w:hanging="324"/>
        <w:spacing w:after="0" w:line="279"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One-tier RSUs, which have a service-based vesting condition over a four-year period. These awards typically have a cliff vesting period of one year and continue to vest quarterly thereafter. The Company began granting one-tier RSUs under its 2008 Plan in August 2015 and it continues to grant one-tier RSUs under its 2018 Plan. The Company recognizes compensation expense associated with one-tier RSUs ratably on a straight-line basis over the requisite service period and accounts for forfeitures in the period in which they occur.</w:t>
      </w:r>
    </w:p>
    <w:p>
      <w:pPr>
        <w:spacing w:after="0" w:line="171" w:lineRule="exact"/>
        <w:rPr>
          <w:rFonts w:ascii="Arial" w:cs="Arial" w:eastAsia="Arial" w:hAnsi="Arial"/>
          <w:sz w:val="17"/>
          <w:szCs w:val="17"/>
          <w:color w:val="auto"/>
        </w:rPr>
      </w:pPr>
    </w:p>
    <w:p>
      <w:pPr>
        <w:ind w:left="980" w:right="180" w:hanging="324"/>
        <w:spacing w:after="0" w:line="273"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Two-tier RSUs, which have both a service-based vesting condition and a Performance Vesting Condition. The service-based vesting period for these awards is typically four years with a cliff vesting period of one year and continue to vest monthly thereafter. Upon satisfaction of the Performance Vesting Condition, these awards vest quarterly. The Performance Vesting Condition was satisfied on the effectiveness of the registration statement related to the Company's IPO. Prior to August 2015, the Company granted two-tier RSUs under the 2008 Plan. The last grant date for two-tier RSUs was in May 2015. The Company recognizes compensation expense associated with two-tier RSUs using the accelerated attribution method over the requisite service period.</w:t>
      </w:r>
    </w:p>
    <w:p>
      <w:pPr>
        <w:spacing w:after="0" w:line="178"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The Performance Vesting Condition for the two-tier RSUs was satisfied upon the effectiveness of the registration statement related to the Company's IPO, which was March 22, 2018. On that date, the Company recognized the cumulative unrecognized expense of the two-tier RSUs, using the accelerated attribution method, which is included in the Company's results for the three months ended March 31, 2018. See "—Initial public offering and private placement” for further discussion.</w:t>
      </w:r>
    </w:p>
    <w:p>
      <w:pPr>
        <w:spacing w:after="0" w:line="18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Since August 2015, the Company has granted one-tier RSUs as the only stock-based payment awards to its employees, with the exception of awards granted to its co-founders, and has not granted any stock options to employees since then. The fair values of the common stock underlying the RSUs granted in periods prior to the date of the Company's IPO were determined by the Board of Directors, with input from management and contemporaneous third-party valuations, which were performed at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least quarterly. For valuations after the Company's IPO, the Board of Directors determines the fair value of each share of underlying common stock based on the closing price of the Company's Class A common stock as reported on the Nasdaq Global Select Market on the date of the grant.</w:t>
      </w:r>
    </w:p>
    <w:p>
      <w:pPr>
        <w:spacing w:after="0" w:line="14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connection with the acquisition of JN Projects, Inc. (d/b/a HelloSign) ("HelloSign"), the Company assumed unvested stock options that had been granted under the HelloSign's 2011 Equity Incentive Plan. The fair value of options assumed were based upon the Black-Scholes option-pricing model, see Note 12, "Stockholders' Equity" for further information.</w:t>
      </w:r>
    </w:p>
    <w:p>
      <w:pPr>
        <w:spacing w:after="0" w:line="18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In December 2017, the Board of Directors approved a grant to the Company’s co-founders of restricted stock awards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The Company estimated the grant date fair value of the Co-Founder Grants using a model based on multiple stock price paths developed through the use of a Monte Carlo simulation that incorporates into the valuation the possibility that the Stock Price Targets may not be satisfied. See Note 12, "Stockholders' Equity" for further information.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Company’s short-term investments are primarily comprised of corporate notes and obligations, U.S. treasury securities, certificates of deposits, U.S. agency obligations, and commercial paper.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w:t>
      </w:r>
    </w:p>
    <w:p>
      <w:pPr>
        <w:spacing w:after="0" w:line="193"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The Company's short-term investments are classified as available-for-sale securities and are recorded at fair value each reporting period. Unrealized gains and losses on these short-term investments are reported as a separate component of accumulated other comprehensive income (loss) in the condensed consolidated balance sheets until realized. Interest income is reported within interest income (expense), net in the condensed consolidated statements of operations. The Company periodically evaluates its short-term investments to assess whether those with unrealized loss positions are other-than-temporarily impaired. The Company considers various factors in determining whether to recognize an impairment charge, including the length of time the investment has been in a loss position, the extent to which the fair value is less than the Company’s cost basis, and the financial condition and near-term prospects of the investee. Realized gains and losses are determined based on the specific identification method and are reported in other income (expense), net in the condensed consolidated statements of operations. If the Company determines that the decline in an investment’s fair value is other-than-temporary, the difference is recognized as an impairment loss in the condensed consolidated statements of operations.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accounts receivable, and short-term investments. The Company places its cash and cash equivalents and short-term investments with well-established financial institutions.</w:t>
      </w:r>
    </w:p>
    <w:p>
      <w:pPr>
        <w:spacing w:after="0" w:line="181" w:lineRule="exact"/>
        <w:rPr>
          <w:sz w:val="20"/>
          <w:szCs w:val="20"/>
          <w:color w:val="auto"/>
        </w:rPr>
      </w:pPr>
    </w:p>
    <w:p>
      <w:pPr>
        <w:jc w:val="both"/>
        <w:ind w:right="380" w:firstLine="432"/>
        <w:spacing w:after="0" w:line="312" w:lineRule="auto"/>
        <w:rPr>
          <w:sz w:val="20"/>
          <w:szCs w:val="20"/>
          <w:color w:val="auto"/>
        </w:rPr>
      </w:pPr>
      <w:r>
        <w:rPr>
          <w:rFonts w:ascii="Arial" w:cs="Arial" w:eastAsia="Arial" w:hAnsi="Arial"/>
          <w:sz w:val="16"/>
          <w:szCs w:val="16"/>
          <w:color w:val="auto"/>
        </w:rPr>
        <w:t>Trade accounts receivables are typically unsecured and are derived from revenue earned from customers located around the world. Two customers accounted for 13% and 41% of total trade and other receivables, net as of March 31, 2019. Two customers accounted for 14% and 23% of total trade and other receivables, net as of December 31, 2018. No customer accounted for more than 10% of the Company’s revenue in the periods presented.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Non-trade receivables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Company records non-trade receivables to reflect amounts due for activities outside of its subscription agreements, such as receivables resulting from tenant improvement allowances prior to the adoption of ASC 842. Non-trade receivables totaled $10.3 million and $46.2 million, as of March 31, 2019 and December 31, 2018, respectively, and are classified within prepaid expenses and other current assets and other assets in the accompanying condensed consolidated balance sheets. See "—Lease obligations” for further discussion.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Deferred commissions, net</w:t>
      </w:r>
    </w:p>
    <w:p>
      <w:pPr>
        <w:spacing w:after="0" w:line="11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Deferred commissions, net is stated as gross deferred commissions less accumulated amortization. Sales commissions earned by the Company’s sales force and third-party resellers, as well as related payroll taxes, are considered to be incremental and recoverable costs of obtaining a contract with a customer. These amounts have been capitalized as deferred commissions within prepaid and other current assets and other assets on the condensed consolidated balance sheets. The Company deferred incremental costs of obtaining a contract of $7.3 million and $9.8 million during the three months ended March 31, 2019 and 2018, respectively.</w:t>
      </w:r>
    </w:p>
    <w:p>
      <w:pPr>
        <w:spacing w:after="0" w:line="188"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Deferred commissions, net included in prepaid and other current assets were $15.9 million and $14.5 million as of March 31, 2019 and December 31, 2018, respectively. Deferred commissions, net included in other assets were $40.3 million and $38.3 million as of March 31, 2019 and December 31, 2018, respectively.</w:t>
      </w:r>
    </w:p>
    <w:p>
      <w:pPr>
        <w:spacing w:after="0" w:line="181"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Deferred commissions are typically amortized over a period of benefit of five years. The period of benefit was estimated by considering factors such as historical customer attrition rates, the useful life of the Company’s technology, and the impact of competition in its industry. Amortized costs were $3.9 million and $2.4 million for the three months ended March 31, 2019 and 2018, respectively. Amortized costs are included in sales and marketing expense in the accompanying condensed consolidated statements of operations. There was no impairment loss in relation to the deferred costs for any period presented.</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estimated useful lives of property and equipment:</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0"/>
              </w:rPr>
              <w:t>Useful life</w:t>
            </w:r>
          </w:p>
        </w:tc>
      </w:tr>
      <w:tr>
        <w:trPr>
          <w:trHeight w:val="27"/>
        </w:trPr>
        <w:tc>
          <w:tcPr>
            <w:tcW w:w="5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115"/>
        </w:trPr>
        <w:tc>
          <w:tcPr>
            <w:tcW w:w="5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700" w:type="dxa"/>
            <w:vAlign w:val="bottom"/>
          </w:tcPr>
          <w:p>
            <w:pPr>
              <w:spacing w:after="0"/>
              <w:rPr>
                <w:sz w:val="10"/>
                <w:szCs w:val="10"/>
                <w:color w:val="auto"/>
              </w:rPr>
            </w:pPr>
          </w:p>
        </w:tc>
      </w:tr>
      <w:tr>
        <w:trPr>
          <w:trHeight w:val="250"/>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5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 to 30 years</w:t>
            </w:r>
          </w:p>
        </w:tc>
      </w:tr>
      <w:tr>
        <w:trPr>
          <w:trHeight w:val="243"/>
        </w:trPr>
        <w:tc>
          <w:tcPr>
            <w:tcW w:w="5700" w:type="dxa"/>
            <w:vAlign w:val="bottom"/>
            <w:gridSpan w:val="2"/>
          </w:tcPr>
          <w:p>
            <w:pPr>
              <w:ind w:left="40"/>
              <w:spacing w:after="0"/>
              <w:rPr>
                <w:sz w:val="20"/>
                <w:szCs w:val="20"/>
                <w:color w:val="auto"/>
              </w:rPr>
            </w:pPr>
            <w:r>
              <w:rPr>
                <w:rFonts w:ascii="Arial" w:cs="Arial" w:eastAsia="Arial" w:hAnsi="Arial"/>
                <w:sz w:val="18"/>
                <w:szCs w:val="18"/>
                <w:color w:val="auto"/>
              </w:rPr>
              <w:t>Datacenter and other computer equipment</w:t>
            </w:r>
          </w:p>
        </w:tc>
        <w:tc>
          <w:tcPr>
            <w:tcW w:w="5700" w:type="dxa"/>
            <w:vAlign w:val="bottom"/>
          </w:tcPr>
          <w:p>
            <w:pPr>
              <w:jc w:val="center"/>
              <w:spacing w:after="0"/>
              <w:rPr>
                <w:sz w:val="20"/>
                <w:szCs w:val="20"/>
                <w:color w:val="auto"/>
              </w:rPr>
            </w:pPr>
            <w:r>
              <w:rPr>
                <w:rFonts w:ascii="Arial" w:cs="Arial" w:eastAsia="Arial" w:hAnsi="Arial"/>
                <w:sz w:val="18"/>
                <w:szCs w:val="18"/>
                <w:color w:val="auto"/>
                <w:w w:val="87"/>
              </w:rPr>
              <w:t>3 to 5 years</w:t>
            </w: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Office equipment and other</w:t>
            </w:r>
          </w:p>
        </w:tc>
        <w:tc>
          <w:tcPr>
            <w:tcW w:w="5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 to 7 years</w:t>
            </w:r>
          </w:p>
        </w:tc>
      </w:tr>
      <w:tr>
        <w:trPr>
          <w:trHeight w:val="243"/>
        </w:trPr>
        <w:tc>
          <w:tcPr>
            <w:tcW w:w="570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5700" w:type="dxa"/>
            <w:vAlign w:val="bottom"/>
          </w:tcPr>
          <w:p>
            <w:pPr>
              <w:jc w:val="center"/>
              <w:spacing w:after="0"/>
              <w:rPr>
                <w:sz w:val="20"/>
                <w:szCs w:val="20"/>
                <w:color w:val="auto"/>
              </w:rPr>
            </w:pPr>
            <w:r>
              <w:rPr>
                <w:rFonts w:ascii="Arial" w:cs="Arial" w:eastAsia="Arial" w:hAnsi="Arial"/>
                <w:sz w:val="18"/>
                <w:szCs w:val="18"/>
                <w:color w:val="auto"/>
                <w:w w:val="90"/>
              </w:rPr>
              <w:t>Lesser of estimated useful life or remaining lease term</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leases office space, datacenters, and equipment under non-cancelable finance and operating leases with various expiration dates through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2033. The Company determines if an arrangement contains a lease at inception.</w:t>
      </w:r>
    </w:p>
    <w:p>
      <w:pPr>
        <w:spacing w:after="0" w:line="21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5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Certain of the operating lease agreements contain rent concession, rent escalation, and option to renew provisions. Rent concession and rent escalation provisions are considered in determining the straight-line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generally uses the base, non-cancelable, lease term when recognizing the lease assets and liabilities, unless it is reasonably certain that the option will be exercised.</w:t>
      </w:r>
    </w:p>
    <w:p>
      <w:pPr>
        <w:spacing w:after="0" w:line="170"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In addition, certain of the Company’s operating lease agreements contain tenant improvement allowances from its landlords. These allowances are accounted for as lease incentives and decrease the Company's right-of-use asset and reduce single lease cost over the lease term.</w:t>
      </w:r>
    </w:p>
    <w:p>
      <w:pPr>
        <w:spacing w:after="0" w:line="124"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Company leases certain equipment from various third parties, through equipment financing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and the related amortization of assets under finance leases is included in depreciation and amortization expense in the Company’s condensed consolidated statements of operations. Initial asset values and finance lease obligations are based on the present value of future minimum lease payments.</w:t>
      </w:r>
    </w:p>
    <w:p>
      <w:pPr>
        <w:spacing w:after="0" w:line="17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Company uses best estimates and assumptions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Long-lived assets, including goodwill and other acquired intangible assets, net</w:t>
      </w:r>
    </w:p>
    <w:p>
      <w:pPr>
        <w:spacing w:after="0" w:line="117" w:lineRule="exact"/>
        <w:rPr>
          <w:sz w:val="20"/>
          <w:szCs w:val="20"/>
          <w:color w:val="auto"/>
        </w:rPr>
      </w:pPr>
    </w:p>
    <w:p>
      <w:pPr>
        <w:jc w:val="both"/>
        <w:ind w:right="20" w:firstLine="432"/>
        <w:spacing w:after="0" w:line="297" w:lineRule="auto"/>
        <w:rPr>
          <w:sz w:val="20"/>
          <w:szCs w:val="20"/>
          <w:color w:val="auto"/>
        </w:rPr>
      </w:pPr>
      <w:r>
        <w:rPr>
          <w:rFonts w:ascii="Arial" w:cs="Arial" w:eastAsia="Arial" w:hAnsi="Arial"/>
          <w:sz w:val="16"/>
          <w:szCs w:val="16"/>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5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70"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Company has not recorded impairment charges on property and equipment, goodwill, or intangible assets for the periods presented in these condensed consolidated financial statements.</w:t>
      </w:r>
    </w:p>
    <w:p>
      <w:pPr>
        <w:spacing w:after="0" w:line="17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revises the estimated useful life assumption for any asset, the remaining unamortized balance is amortized or depreciated over the revised estimated useful life on a prospective basis.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8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 valuation allowance is provided against deferred tax assets unless it is more likely than not that they will be realized based on all available positive and negative evidence. Such evidence includes, but is not limited to, recent cumulative earnings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or losses, expectations of future taxable income by taxing jurisdiction, and the carry-forward periods available for the utilization of deferred tax assets.</w:t>
      </w:r>
    </w:p>
    <w:p>
      <w:pPr>
        <w:spacing w:after="0" w:line="23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187" w:lineRule="exact"/>
        <w:rPr>
          <w:sz w:val="20"/>
          <w:szCs w:val="20"/>
          <w:color w:val="auto"/>
        </w:rPr>
      </w:pPr>
    </w:p>
    <w:p>
      <w:pPr>
        <w:jc w:val="both"/>
        <w:ind w:right="120" w:firstLine="432"/>
        <w:spacing w:after="0" w:line="279" w:lineRule="auto"/>
        <w:rPr>
          <w:sz w:val="20"/>
          <w:szCs w:val="20"/>
          <w:color w:val="auto"/>
        </w:rPr>
      </w:pPr>
      <w:r>
        <w:rPr>
          <w:rFonts w:ascii="Arial" w:cs="Arial" w:eastAsia="Arial" w:hAnsi="Arial"/>
          <w:sz w:val="17"/>
          <w:szCs w:val="17"/>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such as the 2017 Tax Cuts and Jobs Act ("2017 Tax Reform Act"), correspondence with tax authorities during the course of an audit, and effective settlement of audit issues.</w:t>
      </w:r>
    </w:p>
    <w:p>
      <w:pPr>
        <w:spacing w:after="0" w:line="171" w:lineRule="exact"/>
        <w:rPr>
          <w:sz w:val="20"/>
          <w:szCs w:val="20"/>
          <w:color w:val="auto"/>
        </w:rPr>
      </w:pPr>
    </w:p>
    <w:p>
      <w:pPr>
        <w:jc w:val="both"/>
        <w:ind w:right="340" w:firstLine="432"/>
        <w:spacing w:after="0" w:line="342" w:lineRule="auto"/>
        <w:rPr>
          <w:sz w:val="20"/>
          <w:szCs w:val="20"/>
          <w:color w:val="auto"/>
        </w:rPr>
      </w:pPr>
      <w:r>
        <w:rPr>
          <w:rFonts w:ascii="Arial" w:cs="Arial" w:eastAsia="Arial" w:hAnsi="Arial"/>
          <w:sz w:val="16"/>
          <w:szCs w:val="16"/>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7"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71" w:lineRule="exact"/>
        <w:rPr>
          <w:sz w:val="20"/>
          <w:szCs w:val="20"/>
          <w:color w:val="auto"/>
        </w:rPr>
      </w:pPr>
    </w:p>
    <w:p>
      <w:pPr>
        <w:jc w:val="both"/>
        <w:ind w:left="500" w:right="8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500" w:right="42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33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which requires the measurement and recognition of expected credit losses</w:t>
      </w:r>
      <w:r>
        <w:rPr>
          <w:rFonts w:ascii="Arial" w:cs="Arial" w:eastAsia="Arial" w:hAnsi="Arial"/>
          <w:sz w:val="16"/>
          <w:szCs w:val="16"/>
          <w:i w:val="1"/>
          <w:iCs w:val="1"/>
          <w:color w:val="auto"/>
        </w:rPr>
        <w:t xml:space="preserve"> </w:t>
      </w:r>
      <w:r>
        <w:rPr>
          <w:rFonts w:ascii="Arial" w:cs="Arial" w:eastAsia="Arial" w:hAnsi="Arial"/>
          <w:sz w:val="16"/>
          <w:szCs w:val="16"/>
          <w:color w:val="auto"/>
        </w:rPr>
        <w:t>for financial assets held at amortized cost.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Early adoption is permitted. The Company is currently evaluating the impact of adopting ASU No. 2016-13.</w:t>
      </w:r>
    </w:p>
    <w:p>
      <w:pPr>
        <w:spacing w:after="0" w:line="16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xml:space="preserve"> which amends disclosure requirements for fair value measurements by requiring new disclosures, modifying existing requirements, and eliminating others. The amendments are the result of a broader disclosure project, which aims to improve the effectiveness of disclosures. ASU No. 2018-13 is effective for fiscal years beginning after December 15, 2019 and interim periods within those fiscal years. Early adoption is permitted. The Company does not expect the adoption to have a significant impact on its disclosures and is currently evaluating the timing of adopting ASU No. 2018-13.</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Under existing U.S. GAAP, there is diversity</w:t>
      </w:r>
      <w:r>
        <w:rPr>
          <w:rFonts w:ascii="Arial" w:cs="Arial" w:eastAsia="Arial" w:hAnsi="Arial"/>
          <w:sz w:val="16"/>
          <w:szCs w:val="16"/>
          <w:i w:val="1"/>
          <w:iCs w:val="1"/>
          <w:color w:val="auto"/>
        </w:rPr>
        <w:t xml:space="preserve"> </w:t>
      </w:r>
      <w:r>
        <w:rPr>
          <w:rFonts w:ascii="Arial" w:cs="Arial" w:eastAsia="Arial" w:hAnsi="Arial"/>
          <w:sz w:val="16"/>
          <w:szCs w:val="16"/>
          <w:color w:val="auto"/>
        </w:rPr>
        <w:t>in practice in accounting for the costs of implementing cloud computing arrangements that are service contracts. The amendments in ASU No. 2018-15 amend the definition of a hosting arrangement and requires a customer in a hosting arrangement that is a service contract to capitalize certain costs as if the arrangement were an internal-use software project. The guidance is effective for fiscal years beginning after December 15, 2019 and interim periods within those fiscal years. Early adoption is permitted. The Company is currently evaluating the impact and timing of adopting ASU No. 2018-15.</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320" w:firstLine="486"/>
        <w:spacing w:after="0" w:line="28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Most prominent among the changes in the standard is the recognition of right-of-use assets (“ROU assets”) and lease liabilities by lessees for certain leases classified as operating leases under current GAAP. The Company has made the policy election to not recognize a lease liability or right-of-use asset for short-term operating leases.</w:t>
      </w:r>
    </w:p>
    <w:p>
      <w:pPr>
        <w:spacing w:after="0" w:line="166"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The Company adopted the standard as of January 1, 2019, using the modified retrospective approach and has elected to use the optional transition method which allows the Company to apply the guidance of ASC 840, including disclosure requirements, in the comparative periods presented. In addition, the Company elected the package of practical expedients permitted under the transition guidance within the new standard, which among other things, allowed the Company to carry forward the historical lease classification related to agreements entered prior to adoption.</w:t>
      </w:r>
    </w:p>
    <w:p>
      <w:pPr>
        <w:spacing w:after="0" w:line="17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most significant impact was the recognition of ROU assets and lease liabilities for operating leases. The adoption of the new standard resulted in the recording of additional operating ROU assets and lease liabilities of approximately $431.7 million and $502.4 million, respectively, as of January 1, 2019.</w:t>
      </w:r>
    </w:p>
    <w:p>
      <w:pPr>
        <w:spacing w:after="0" w:line="124"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The accounting for finance leases remained unchanged, except for the accounting for certain non-lease components. Lease and non-lease components will be accounted for as a single lease component if the non-lease component is determined to be insignificant to the total agreement.</w:t>
      </w:r>
    </w:p>
    <w:p>
      <w:pPr>
        <w:spacing w:after="0" w:line="147"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cumulative impact of transition to retained earnings, recorded as of the adoption date, was not material. The standard did not materially impact consolidated net earnings and had no impact on cash flows.</w:t>
      </w:r>
    </w:p>
    <w:p>
      <w:pPr>
        <w:spacing w:after="0" w:line="17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 xml:space="preserve">In February 2018, the FASB issued ASU No. 2018-02, </w:t>
      </w: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 Under existing U.S. GAAP, the effects of changes in tax rates and laws on deferred tax balances are recorded as a component of income tax expense in the period in which the law was enacted. When deferred tax balances related to items originally recorded in accumulated other comprehensive income are adjusted, certain tax effects become stranded in accumulated other comprehensive income. The amendments in ASU No. 2018-02 allow a reclassification from accumulated other comprehensive income to retained earnings for stranded tax effects resulting from the 2017 Tax Reform Act. The amendments in ASU No. 2018-02 also require certain disclosures about stranded tax effects. The Company adopted ASU No. 2018-02 on January 1, 2019. The adoption of the standard did not have a material impact on the Company's condensed consolidated financial statements.</w:t>
      </w:r>
    </w:p>
    <w:p>
      <w:pPr>
        <w:spacing w:after="0" w:line="178"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xml:space="preserve"> Under existing U.S. GAAP, the measurement date for equity awards granted to nonemployees is the earlier of the performance commitment date or the date the performance is complete. The amendments in ASU No. 2018-07 allow for measurement of these awards on the grant date, consistent with equity awards granted to employees. The Company adopted ASU No. 2018-07 on January 1, 2019. The adoption of the standard did not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Short-Term 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amortized cost, unrealized gains and losses and estimated fair value of the Company's cash, cash equivalents and short-term investments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2019 and December 31, 2018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40" w:type="dxa"/>
            <w:vAlign w:val="bottom"/>
            <w:gridSpan w:val="5"/>
          </w:tcPr>
          <w:p>
            <w:pPr>
              <w:ind w:left="880"/>
              <w:spacing w:after="0"/>
              <w:rPr>
                <w:sz w:val="20"/>
                <w:szCs w:val="20"/>
                <w:color w:val="auto"/>
              </w:rPr>
            </w:pPr>
            <w:r>
              <w:rPr>
                <w:rFonts w:ascii="Arial" w:cs="Arial" w:eastAsia="Arial" w:hAnsi="Arial"/>
                <w:sz w:val="18"/>
                <w:szCs w:val="18"/>
                <w:b w:val="1"/>
                <w:bCs w:val="1"/>
                <w:color w:val="auto"/>
              </w:rPr>
              <w:t>As of March 31, 2019</w:t>
            </w: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Amortized Cost</w:t>
            </w:r>
          </w:p>
        </w:tc>
        <w:tc>
          <w:tcPr>
            <w:tcW w:w="220" w:type="dxa"/>
            <w:vAlign w:val="bottom"/>
          </w:tcPr>
          <w:p>
            <w:pPr>
              <w:spacing w:after="0"/>
              <w:rPr>
                <w:sz w:val="20"/>
                <w:szCs w:val="20"/>
                <w:color w:val="auto"/>
              </w:rPr>
            </w:pPr>
          </w:p>
        </w:tc>
        <w:tc>
          <w:tcPr>
            <w:tcW w:w="1820" w:type="dxa"/>
            <w:vAlign w:val="bottom"/>
            <w:gridSpan w:val="2"/>
          </w:tcPr>
          <w:p>
            <w:pPr>
              <w:ind w:left="120"/>
              <w:spacing w:after="0"/>
              <w:rPr>
                <w:sz w:val="20"/>
                <w:szCs w:val="20"/>
                <w:color w:val="auto"/>
              </w:rPr>
            </w:pPr>
            <w:r>
              <w:rPr>
                <w:rFonts w:ascii="Arial" w:cs="Arial" w:eastAsia="Arial" w:hAnsi="Arial"/>
                <w:sz w:val="18"/>
                <w:szCs w:val="18"/>
                <w:b w:val="1"/>
                <w:bCs w:val="1"/>
                <w:color w:val="auto"/>
              </w:rPr>
              <w:t>Unrealized Gain</w:t>
            </w:r>
          </w:p>
        </w:tc>
        <w:tc>
          <w:tcPr>
            <w:tcW w:w="200" w:type="dxa"/>
            <w:vAlign w:val="bottom"/>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Unrealized Loss</w:t>
            </w:r>
          </w:p>
        </w:tc>
        <w:tc>
          <w:tcPr>
            <w:tcW w:w="140" w:type="dxa"/>
            <w:vAlign w:val="bottom"/>
          </w:tcPr>
          <w:p>
            <w:pPr>
              <w:spacing w:after="0"/>
              <w:rPr>
                <w:sz w:val="20"/>
                <w:szCs w:val="20"/>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Estimated Fair Value</w:t>
            </w:r>
          </w:p>
        </w:tc>
      </w:tr>
      <w:tr>
        <w:trPr>
          <w:trHeight w:val="27"/>
        </w:trPr>
        <w:tc>
          <w:tcPr>
            <w:tcW w:w="3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15"/>
        </w:trPr>
        <w:tc>
          <w:tcPr>
            <w:tcW w:w="3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Money market funds</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226.9</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notes and obligations</w:t>
            </w:r>
          </w:p>
        </w:tc>
        <w:tc>
          <w:tcPr>
            <w:tcW w:w="2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Total cash and cash equivalents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359.2</w:t>
            </w:r>
          </w:p>
        </w:tc>
      </w:tr>
      <w:tr>
        <w:trPr>
          <w:trHeight w:val="27"/>
        </w:trPr>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Corporate notes and obligations</w:t>
            </w:r>
          </w:p>
        </w:tc>
        <w:tc>
          <w:tcPr>
            <w:tcW w:w="240" w:type="dxa"/>
            <w:vAlign w:val="bottom"/>
          </w:tcPr>
          <w:p>
            <w:pPr>
              <w:spacing w:after="0"/>
              <w:rPr>
                <w:sz w:val="21"/>
                <w:szCs w:val="21"/>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244.7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245.3</w:t>
            </w: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U.S. Treasury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192.9</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21"/>
                <w:szCs w:val="21"/>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52.2</w:t>
            </w: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U.S. agency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27.1</w:t>
            </w:r>
          </w:p>
        </w:tc>
      </w:tr>
      <w:tr>
        <w:trPr>
          <w:trHeight w:val="27"/>
        </w:trPr>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short-term investments</w:t>
            </w:r>
          </w:p>
        </w:tc>
        <w:tc>
          <w:tcPr>
            <w:tcW w:w="2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556.0</w:t>
            </w:r>
          </w:p>
        </w:tc>
      </w:tr>
      <w:tr>
        <w:trPr>
          <w:trHeight w:val="257"/>
        </w:trPr>
        <w:tc>
          <w:tcPr>
            <w:tcW w:w="344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914.7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915.2</w:t>
            </w:r>
          </w:p>
        </w:tc>
      </w:tr>
      <w:tr>
        <w:trPr>
          <w:trHeight w:val="20"/>
        </w:trPr>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gridSpan w:val="5"/>
          </w:tcPr>
          <w:p>
            <w:pPr>
              <w:ind w:left="800"/>
              <w:spacing w:after="0"/>
              <w:rPr>
                <w:sz w:val="20"/>
                <w:szCs w:val="20"/>
                <w:color w:val="auto"/>
              </w:rPr>
            </w:pPr>
            <w:r>
              <w:rPr>
                <w:rFonts w:ascii="Arial" w:cs="Arial" w:eastAsia="Arial" w:hAnsi="Arial"/>
                <w:sz w:val="18"/>
                <w:szCs w:val="18"/>
                <w:b w:val="1"/>
                <w:bCs w:val="1"/>
                <w:color w:val="auto"/>
              </w:rPr>
              <w:t>As of December 31, 2018</w:t>
            </w: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Amortized cost</w:t>
            </w:r>
          </w:p>
        </w:tc>
        <w:tc>
          <w:tcPr>
            <w:tcW w:w="240" w:type="dxa"/>
            <w:vAlign w:val="bottom"/>
          </w:tcPr>
          <w:p>
            <w:pPr>
              <w:spacing w:after="0"/>
              <w:rPr>
                <w:sz w:val="20"/>
                <w:szCs w:val="20"/>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b w:val="1"/>
                <w:bCs w:val="1"/>
                <w:color w:val="auto"/>
              </w:rPr>
              <w:t>Unrealized gain</w:t>
            </w:r>
          </w:p>
        </w:tc>
        <w:tc>
          <w:tcPr>
            <w:tcW w:w="22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Unrealized loss</w:t>
            </w:r>
          </w:p>
        </w:tc>
        <w:tc>
          <w:tcPr>
            <w:tcW w:w="140" w:type="dxa"/>
            <w:vAlign w:val="bottom"/>
          </w:tcPr>
          <w:p>
            <w:pPr>
              <w:spacing w:after="0"/>
              <w:rPr>
                <w:sz w:val="20"/>
                <w:szCs w:val="20"/>
                <w:color w:val="auto"/>
              </w:rPr>
            </w:pPr>
          </w:p>
        </w:tc>
        <w:tc>
          <w:tcPr>
            <w:tcW w:w="18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Estimated fair value</w:t>
            </w:r>
          </w:p>
        </w:tc>
      </w:tr>
      <w:tr>
        <w:trPr>
          <w:trHeight w:val="27"/>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15"/>
        </w:trPr>
        <w:tc>
          <w:tcPr>
            <w:tcW w:w="3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103.0</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355.5</w:t>
            </w:r>
          </w:p>
        </w:tc>
      </w:tr>
      <w:tr>
        <w:trPr>
          <w:trHeight w:val="243"/>
        </w:trPr>
        <w:tc>
          <w:tcPr>
            <w:tcW w:w="3540" w:type="dxa"/>
            <w:vAlign w:val="bottom"/>
          </w:tcPr>
          <w:p>
            <w:pPr>
              <w:ind w:left="16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33.4</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w:t>
            </w:r>
          </w:p>
        </w:tc>
      </w:tr>
      <w:tr>
        <w:trPr>
          <w:trHeight w:val="297"/>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cash and cash equivalents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519.3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519.3</w:t>
            </w:r>
          </w:p>
        </w:tc>
      </w:tr>
      <w:tr>
        <w:trPr>
          <w:trHeight w:val="237"/>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243"/>
        </w:trPr>
        <w:tc>
          <w:tcPr>
            <w:tcW w:w="3540" w:type="dxa"/>
            <w:vAlign w:val="bottom"/>
          </w:tcPr>
          <w:p>
            <w:pPr>
              <w:ind w:left="160"/>
              <w:spacing w:after="0"/>
              <w:rPr>
                <w:sz w:val="20"/>
                <w:szCs w:val="20"/>
                <w:color w:val="auto"/>
              </w:rPr>
            </w:pPr>
            <w:r>
              <w:rPr>
                <w:rFonts w:ascii="Arial" w:cs="Arial" w:eastAsia="Arial" w:hAnsi="Arial"/>
                <w:sz w:val="18"/>
                <w:szCs w:val="18"/>
                <w:color w:val="auto"/>
              </w:rPr>
              <w:t>Corporate notes and obligations</w:t>
            </w:r>
          </w:p>
        </w:tc>
        <w:tc>
          <w:tcPr>
            <w:tcW w:w="20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269.2</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175.9</w:t>
            </w:r>
          </w:p>
        </w:tc>
      </w:tr>
      <w:tr>
        <w:trPr>
          <w:trHeight w:val="243"/>
        </w:trPr>
        <w:tc>
          <w:tcPr>
            <w:tcW w:w="354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70.6</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agency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r>
      <w:tr>
        <w:trPr>
          <w:trHeight w:val="243"/>
        </w:trPr>
        <w:tc>
          <w:tcPr>
            <w:tcW w:w="354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17.2</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investments</w:t>
            </w: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570.0</w:t>
            </w:r>
          </w:p>
        </w:tc>
      </w:tr>
      <w:tr>
        <w:trPr>
          <w:trHeight w:val="257"/>
        </w:trPr>
        <w:tc>
          <w:tcPr>
            <w:tcW w:w="3540" w:type="dxa"/>
            <w:vAlign w:val="bottom"/>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1,089.8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1,089.3</w:t>
            </w: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Included in cash and cash equivalents is cash in transit from payment processors for credit and debit card transactions of $15.8 million and $11.9 million as of March 31, 2019 and December 31, 2018,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short-term investments were designated as available-for-sale securities as of March 31, 2019 and December 31, 2018.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contractual maturities of the Company’s short-term investments as of March 31, 2019:</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40" w:type="dxa"/>
            <w:vAlign w:val="bottom"/>
            <w:gridSpan w:val="4"/>
          </w:tcPr>
          <w:p>
            <w:pPr>
              <w:jc w:val="right"/>
              <w:ind w:right="1310"/>
              <w:spacing w:after="0"/>
              <w:rPr>
                <w:sz w:val="20"/>
                <w:szCs w:val="20"/>
                <w:color w:val="auto"/>
              </w:rPr>
            </w:pPr>
            <w:r>
              <w:rPr>
                <w:rFonts w:ascii="Arial" w:cs="Arial" w:eastAsia="Arial" w:hAnsi="Arial"/>
                <w:sz w:val="18"/>
                <w:szCs w:val="18"/>
                <w:b w:val="1"/>
                <w:bCs w:val="1"/>
                <w:color w:val="auto"/>
              </w:rPr>
              <w:t>As of March 31, 2019</w:t>
            </w: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ind w:left="200"/>
              <w:spacing w:after="0"/>
              <w:rPr>
                <w:sz w:val="20"/>
                <w:szCs w:val="20"/>
                <w:color w:val="auto"/>
              </w:rPr>
            </w:pPr>
            <w:r>
              <w:rPr>
                <w:rFonts w:ascii="Arial" w:cs="Arial" w:eastAsia="Arial" w:hAnsi="Arial"/>
                <w:sz w:val="18"/>
                <w:szCs w:val="18"/>
                <w:b w:val="1"/>
                <w:bCs w:val="1"/>
                <w:color w:val="auto"/>
              </w:rPr>
              <w:t>Amortized cost</w:t>
            </w:r>
          </w:p>
        </w:tc>
        <w:tc>
          <w:tcPr>
            <w:tcW w:w="200" w:type="dxa"/>
            <w:vAlign w:val="bottom"/>
          </w:tcPr>
          <w:p>
            <w:pPr>
              <w:spacing w:after="0"/>
              <w:rPr>
                <w:sz w:val="20"/>
                <w:szCs w:val="20"/>
                <w:color w:val="auto"/>
              </w:rPr>
            </w:pPr>
          </w:p>
        </w:tc>
        <w:tc>
          <w:tcPr>
            <w:tcW w:w="196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Estimated fair value</w:t>
            </w: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15"/>
        </w:trPr>
        <w:tc>
          <w:tcPr>
            <w:tcW w:w="6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60" w:type="dxa"/>
            <w:vAlign w:val="bottom"/>
          </w:tcPr>
          <w:p>
            <w:pPr>
              <w:spacing w:after="0"/>
              <w:rPr>
                <w:sz w:val="10"/>
                <w:szCs w:val="10"/>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Due between one to three years</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217.9</w:t>
            </w: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556.0</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The Company had 65 short-term investments in unrealized loss positions as of March 31, 2019. There were no material gross unrealized losses from available-for-sale securities and no material realized gains or losses from available-for-sale securities that were reclassified out of accumulated other comprehensive income for the three months ended March 31, 2019 and 2018.</w:t>
      </w:r>
    </w:p>
    <w:p>
      <w:pPr>
        <w:spacing w:after="0" w:line="18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For investments in available-for-sale debt securities that have unrealized losses, the Company evaluates whether (i) it has the intention to sell any of these investments and (ii) whether it is not more likely than not that it will be required to sell any of these investments before recovery of the entire amortized cost basis. Based on this evaluation, the Company determined that there were no other-than-temporary impairments associated with short-term investments as of March 31, 2019.</w:t>
      </w:r>
    </w:p>
    <w:p>
      <w:pPr>
        <w:spacing w:after="0" w:line="1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Company recorded $6.2 million and $1.4 million in interest income from its cash, cash equivalents and short-term investments for the three months ended March 31, 2019 and 2018, respectively.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18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 presents information about the Company’s financial instruments that are measured at fair value on a recurring basis using the input categories discussed in Note 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80" w:type="dxa"/>
            <w:vAlign w:val="bottom"/>
            <w:gridSpan w:val="5"/>
          </w:tcPr>
          <w:p>
            <w:pPr>
              <w:ind w:left="620"/>
              <w:spacing w:after="0"/>
              <w:rPr>
                <w:sz w:val="20"/>
                <w:szCs w:val="20"/>
                <w:color w:val="auto"/>
              </w:rPr>
            </w:pPr>
            <w:r>
              <w:rPr>
                <w:rFonts w:ascii="Arial" w:cs="Arial" w:eastAsia="Arial" w:hAnsi="Arial"/>
                <w:sz w:val="18"/>
                <w:szCs w:val="18"/>
                <w:b w:val="1"/>
                <w:bCs w:val="1"/>
                <w:color w:val="auto"/>
              </w:rPr>
              <w:t>As of March 31, 2019</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380" w:type="dxa"/>
            <w:vAlign w:val="bottom"/>
          </w:tcPr>
          <w:p>
            <w:pPr>
              <w:spacing w:after="0"/>
              <w:rPr>
                <w:sz w:val="20"/>
                <w:szCs w:val="20"/>
                <w:color w:val="auto"/>
              </w:rPr>
            </w:pPr>
          </w:p>
        </w:tc>
        <w:tc>
          <w:tcPr>
            <w:tcW w:w="154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3</w:t>
            </w:r>
          </w:p>
        </w:tc>
        <w:tc>
          <w:tcPr>
            <w:tcW w:w="46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4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1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Corporate notes and obligations</w:t>
            </w:r>
          </w:p>
        </w:tc>
        <w:tc>
          <w:tcPr>
            <w:tcW w:w="13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cash equivalents</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Short-term investments</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notes and obligations</w:t>
            </w:r>
          </w:p>
        </w:tc>
        <w:tc>
          <w:tcPr>
            <w:tcW w:w="1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13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192.9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1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U.S. agency obligations</w:t>
            </w:r>
          </w:p>
        </w:tc>
        <w:tc>
          <w:tcPr>
            <w:tcW w:w="13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3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Total short-term investments</w:t>
            </w:r>
          </w:p>
        </w:tc>
        <w:tc>
          <w:tcPr>
            <w:tcW w:w="13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556.0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556.0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cash equivalents and short-term</w:t>
            </w:r>
          </w:p>
        </w:tc>
        <w:tc>
          <w:tcPr>
            <w:tcW w:w="1360" w:type="dxa"/>
            <w:vAlign w:val="bottom"/>
            <w:vMerge w:val="restart"/>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578.5</w:t>
            </w:r>
          </w:p>
        </w:tc>
        <w:tc>
          <w:tcPr>
            <w:tcW w:w="12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gridSpan w:val="2"/>
            <w:vMerge w:val="restart"/>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805.4</w:t>
            </w:r>
          </w:p>
        </w:tc>
        <w:tc>
          <w:tcPr>
            <w:tcW w:w="0" w:type="dxa"/>
            <w:vAlign w:val="bottom"/>
          </w:tcPr>
          <w:p>
            <w:pPr>
              <w:spacing w:after="0"/>
              <w:rPr>
                <w:sz w:val="1"/>
                <w:szCs w:val="1"/>
                <w:color w:val="auto"/>
              </w:rPr>
            </w:pPr>
          </w:p>
        </w:tc>
      </w:tr>
      <w:tr>
        <w:trPr>
          <w:trHeight w:val="23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360" w:type="dxa"/>
            <w:vAlign w:val="bottom"/>
            <w:vMerge w:val="continue"/>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1540" w:type="dxa"/>
            <w:vAlign w:val="bottom"/>
            <w:gridSpan w:val="2"/>
            <w:vMerge w:val="continue"/>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14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As of December 31, 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Level 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equivalents</w:t>
            </w:r>
          </w:p>
        </w:tc>
        <w:tc>
          <w:tcPr>
            <w:tcW w:w="1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21"/>
                <w:szCs w:val="21"/>
                <w:color w:val="auto"/>
              </w:rPr>
            </w:pP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U.S. Treasury securities</w:t>
            </w:r>
          </w:p>
        </w:tc>
        <w:tc>
          <w:tcPr>
            <w:tcW w:w="1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13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cash equivalents</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355.5</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Short-term investments</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Corporate notes and obligations</w:t>
            </w:r>
          </w:p>
        </w:tc>
        <w:tc>
          <w:tcPr>
            <w:tcW w:w="1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U.S. treasury securities</w:t>
            </w:r>
          </w:p>
        </w:tc>
        <w:tc>
          <w:tcPr>
            <w:tcW w:w="13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175.9</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Certificates of deposit</w:t>
            </w:r>
          </w:p>
        </w:tc>
        <w:tc>
          <w:tcPr>
            <w:tcW w:w="1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U.S agency obligations</w:t>
            </w:r>
          </w:p>
        </w:tc>
        <w:tc>
          <w:tcPr>
            <w:tcW w:w="13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Commercial paper</w:t>
            </w:r>
          </w:p>
        </w:tc>
        <w:tc>
          <w:tcPr>
            <w:tcW w:w="13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Total short-term investments</w:t>
            </w:r>
          </w:p>
        </w:tc>
        <w:tc>
          <w:tcPr>
            <w:tcW w:w="13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570.0</w:t>
            </w: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cash equivalents and short-term</w:t>
            </w:r>
          </w:p>
        </w:tc>
        <w:tc>
          <w:tcPr>
            <w:tcW w:w="1360" w:type="dxa"/>
            <w:vAlign w:val="bottom"/>
            <w:vMerge w:val="restart"/>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355.5</w:t>
            </w:r>
          </w:p>
        </w:tc>
        <w:tc>
          <w:tcPr>
            <w:tcW w:w="10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630.8</w:t>
            </w:r>
          </w:p>
        </w:tc>
        <w:tc>
          <w:tcPr>
            <w:tcW w:w="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6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986.3</w:t>
            </w:r>
          </w:p>
        </w:tc>
        <w:tc>
          <w:tcPr>
            <w:tcW w:w="0" w:type="dxa"/>
            <w:vAlign w:val="bottom"/>
          </w:tcPr>
          <w:p>
            <w:pPr>
              <w:spacing w:after="0"/>
              <w:rPr>
                <w:sz w:val="1"/>
                <w:szCs w:val="1"/>
                <w:color w:val="auto"/>
              </w:rPr>
            </w:pPr>
          </w:p>
        </w:tc>
      </w:tr>
      <w:tr>
        <w:trPr>
          <w:trHeight w:val="23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360" w:type="dxa"/>
            <w:vAlign w:val="bottom"/>
            <w:vMerge w:val="continue"/>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14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no transfers between levels of the fair value hierarchy.</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and Equipment, Net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440"/>
              <w:spacing w:after="0"/>
              <w:rPr>
                <w:sz w:val="20"/>
                <w:szCs w:val="20"/>
                <w:color w:val="auto"/>
              </w:rPr>
            </w:pPr>
            <w:r>
              <w:rPr>
                <w:rFonts w:ascii="Arial" w:cs="Arial" w:eastAsia="Arial" w:hAnsi="Arial"/>
                <w:sz w:val="18"/>
                <w:szCs w:val="18"/>
                <w:color w:val="auto"/>
              </w:rPr>
              <w:t>Property and equipment, net consisted of the following:</w:t>
            </w: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635"/>
        </w:trPr>
        <w:tc>
          <w:tcPr>
            <w:tcW w:w="6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900" w:type="dxa"/>
            <w:vAlign w:val="bottom"/>
          </w:tcPr>
          <w:p>
            <w:pPr>
              <w:spacing w:after="0"/>
              <w:rPr>
                <w:sz w:val="24"/>
                <w:szCs w:val="24"/>
                <w:color w:val="auto"/>
              </w:rPr>
            </w:pP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2019</w:t>
            </w:r>
          </w:p>
        </w:tc>
        <w:tc>
          <w:tcPr>
            <w:tcW w:w="260" w:type="dxa"/>
            <w:vAlign w:val="bottom"/>
          </w:tcPr>
          <w:p>
            <w:pPr>
              <w:spacing w:after="0"/>
              <w:rPr>
                <w:sz w:val="20"/>
                <w:szCs w:val="20"/>
                <w:color w:val="auto"/>
              </w:rPr>
            </w:pPr>
          </w:p>
        </w:tc>
        <w:tc>
          <w:tcPr>
            <w:tcW w:w="1900" w:type="dxa"/>
            <w:vAlign w:val="bottom"/>
          </w:tcPr>
          <w:p>
            <w:pPr>
              <w:jc w:val="right"/>
              <w:ind w:right="27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15"/>
        </w:trPr>
        <w:tc>
          <w:tcPr>
            <w:tcW w:w="6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00" w:type="dxa"/>
            <w:vAlign w:val="bottom"/>
          </w:tcPr>
          <w:p>
            <w:pPr>
              <w:spacing w:after="0"/>
              <w:rPr>
                <w:sz w:val="10"/>
                <w:szCs w:val="10"/>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Datacenter and other computer equipment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23.8</w:t>
            </w: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Construction in process</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32.8</w:t>
            </w: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(581.1)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(563.9)</w:t>
            </w: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310.6</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leases certain infrastructure from various third parties, through equipment financing leases. Infrastructure assets as of March 31, 2019 and December 31, 2018, respectively included a total of $360.2 million and $362.8 million acquired under financing lease agreements. These leases are capitalized in property and equipment, and the related amortization of assets under financing leases is included in depreciation and amortization expense. The accumulated depreciation of the infrastructure under financing leases totaled $196.2 million and $211.7 million as of March 31, 2019 and December 31, 2018, respectively.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Construction in process includes costs primarily related to construction of leasehold improvements for office buildings and datacenters.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Depreciation expense related to property and equipment was $43.1 million and $34.1 million for the three months ended March 31, 2019 and 2018, respectively.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w:t>
      </w:r>
    </w:p>
    <w:p>
      <w:pPr>
        <w:spacing w:after="0" w:line="229"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On February 8, 2019, the Company acquired all outstanding stock of JN Projects, Inc. (d/b/a HelloSign) ("HelloSign"), which provides an e-signature and document workflow platform. The acquisition of HelloSign expands the Company's content collaboration capabilities to include additional business-critical workflows. The results of HelloSign operations have been included in the Company’s consolidated results of operations since the date of acquisition.</w:t>
      </w:r>
    </w:p>
    <w:p>
      <w:pPr>
        <w:spacing w:after="0" w:line="147"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7820" w:type="dxa"/>
            <w:vAlign w:val="bottom"/>
          </w:tcPr>
          <w:p>
            <w:pPr>
              <w:ind w:left="160"/>
              <w:spacing w:after="0"/>
              <w:rPr>
                <w:sz w:val="20"/>
                <w:szCs w:val="20"/>
                <w:color w:val="auto"/>
              </w:rPr>
            </w:pPr>
            <w:r>
              <w:rPr>
                <w:rFonts w:ascii="Arial" w:cs="Arial" w:eastAsia="Arial" w:hAnsi="Arial"/>
                <w:sz w:val="18"/>
                <w:szCs w:val="18"/>
                <w:color w:val="auto"/>
              </w:rPr>
              <w:t>The purchase consideration transferred consisted of the following:</w:t>
            </w:r>
          </w:p>
        </w:tc>
        <w:tc>
          <w:tcPr>
            <w:tcW w:w="38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378"/>
        </w:trPr>
        <w:tc>
          <w:tcPr>
            <w:tcW w:w="7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tcPr>
          <w:p>
            <w:pPr>
              <w:jc w:val="right"/>
              <w:ind w:right="530"/>
              <w:spacing w:after="0"/>
              <w:rPr>
                <w:sz w:val="20"/>
                <w:szCs w:val="20"/>
                <w:color w:val="auto"/>
              </w:rPr>
            </w:pPr>
            <w:r>
              <w:rPr>
                <w:rFonts w:ascii="Arial" w:cs="Arial" w:eastAsia="Arial" w:hAnsi="Arial"/>
                <w:sz w:val="18"/>
                <w:szCs w:val="18"/>
                <w:b w:val="1"/>
                <w:bCs w:val="1"/>
                <w:color w:val="auto"/>
                <w:w w:val="98"/>
              </w:rPr>
              <w:t>Purchase consideration</w:t>
            </w:r>
          </w:p>
        </w:tc>
      </w:tr>
      <w:tr>
        <w:trPr>
          <w:trHeight w:val="27"/>
        </w:trPr>
        <w:tc>
          <w:tcPr>
            <w:tcW w:w="7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to common and preferred stockholders and vested option holders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175.2</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Transaction costs paid by Dropbox on behalf of HelloSign</w:t>
            </w:r>
          </w:p>
        </w:tc>
        <w:tc>
          <w:tcPr>
            <w:tcW w:w="380" w:type="dxa"/>
            <w:vAlign w:val="bottom"/>
          </w:tcPr>
          <w:p>
            <w:pPr>
              <w:spacing w:after="0"/>
              <w:rPr>
                <w:sz w:val="21"/>
                <w:szCs w:val="21"/>
                <w:color w:val="auto"/>
              </w:rPr>
            </w:pP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70"/>
        </w:trPr>
        <w:tc>
          <w:tcPr>
            <w:tcW w:w="78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Fair value of assumed HelloSign options attributable to pre-combination services </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3"/>
                <w:szCs w:val="23"/>
                <w:color w:val="auto"/>
              </w:rPr>
            </w:pPr>
          </w:p>
        </w:tc>
        <w:tc>
          <w:tcPr>
            <w:tcW w:w="2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Purchase price adjustments</w:t>
            </w:r>
          </w:p>
        </w:tc>
        <w:tc>
          <w:tcPr>
            <w:tcW w:w="38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7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37"/>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177.6</w:t>
            </w:r>
          </w:p>
        </w:tc>
      </w:tr>
      <w:tr>
        <w:trPr>
          <w:trHeight w:val="27"/>
        </w:trPr>
        <w:tc>
          <w:tcPr>
            <w:tcW w:w="78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4"/>
          <w:szCs w:val="14"/>
          <w:color w:val="auto"/>
        </w:rPr>
        <w:t xml:space="preserve"> The fair value of option assumed were based upon the Black-Scholes option-pricing model.</w:t>
      </w:r>
    </w:p>
    <w:p>
      <w:pPr>
        <w:spacing w:after="0" w:line="145"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In addition to the total purchase consideration above, the Company has compensation agreements with key HelloSign personnel consisting of $48.5 million in future cash payments subject to on-going employee service. The related expense will be recognized within research and development expenses over the required service period of three years, while the related payments will begin in the first quarter of 2020 if the requisite service is provided.</w:t>
      </w:r>
    </w:p>
    <w:p>
      <w:pPr>
        <w:spacing w:after="0" w:line="14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purchase consideration was preliminarily allocated to the tangible and intangible assets and liabilities acquired as of the acquisition date, with the excess recorded to goodwill as shown below. The fair value of assets and liabilities acquired may change as additional information is received during the measurement period. The measurement period will end no later than one-year from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73025</wp:posOffset>
            </wp:positionV>
            <wp:extent cx="69037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3720" cy="171450"/>
                    </a:xfrm>
                    <a:prstGeom prst="rect">
                      <a:avLst/>
                    </a:prstGeom>
                    <a:noFill/>
                  </pic:spPr>
                </pic:pic>
              </a:graphicData>
            </a:graphic>
          </wp:anchor>
        </w:drawing>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Assets acquired:</w:t>
      </w:r>
    </w:p>
    <w:p>
      <w:pPr>
        <w:spacing w:after="0" w:line="63"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78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Short-term investments</w:t>
            </w:r>
          </w:p>
        </w:tc>
        <w:tc>
          <w:tcPr>
            <w:tcW w:w="1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7820" w:type="dxa"/>
            <w:vAlign w:val="bottom"/>
          </w:tcPr>
          <w:p>
            <w:pPr>
              <w:ind w:left="260"/>
              <w:spacing w:after="0"/>
              <w:rPr>
                <w:sz w:val="20"/>
                <w:szCs w:val="20"/>
                <w:color w:val="auto"/>
              </w:rPr>
            </w:pPr>
            <w:r>
              <w:rPr>
                <w:rFonts w:ascii="Arial" w:cs="Arial" w:eastAsia="Arial" w:hAnsi="Arial"/>
                <w:sz w:val="18"/>
                <w:szCs w:val="18"/>
                <w:color w:val="auto"/>
              </w:rPr>
              <w:t>Acquisition-related intangible assets</w:t>
            </w:r>
          </w:p>
        </w:tc>
        <w:tc>
          <w:tcPr>
            <w:tcW w:w="13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44.6</w:t>
            </w:r>
          </w:p>
        </w:tc>
      </w:tr>
      <w:tr>
        <w:trPr>
          <w:trHeight w:val="27"/>
        </w:trPr>
        <w:tc>
          <w:tcPr>
            <w:tcW w:w="78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receivable, prepaid and other assets</w:t>
            </w:r>
          </w:p>
        </w:tc>
        <w:tc>
          <w:tcPr>
            <w:tcW w:w="13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9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 acquired</w:t>
            </w: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62.9</w:t>
            </w:r>
          </w:p>
        </w:tc>
      </w:tr>
      <w:tr>
        <w:trPr>
          <w:trHeight w:val="284"/>
        </w:trPr>
        <w:tc>
          <w:tcPr>
            <w:tcW w:w="78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13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payable, accrued and other liabilities</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43"/>
        </w:trPr>
        <w:tc>
          <w:tcPr>
            <w:tcW w:w="782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3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78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tax liability</w:t>
            </w:r>
          </w:p>
        </w:tc>
        <w:tc>
          <w:tcPr>
            <w:tcW w:w="13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Total liabilities assumed</w:t>
            </w:r>
          </w:p>
        </w:tc>
        <w:tc>
          <w:tcPr>
            <w:tcW w:w="13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r>
      <w:tr>
        <w:trPr>
          <w:trHeight w:val="27"/>
        </w:trPr>
        <w:tc>
          <w:tcPr>
            <w:tcW w:w="78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 excluding goodwill</w:t>
            </w:r>
          </w:p>
        </w:tc>
        <w:tc>
          <w:tcPr>
            <w:tcW w:w="13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13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177.6</w:t>
            </w:r>
          </w:p>
        </w:tc>
      </w:tr>
      <w:tr>
        <w:trPr>
          <w:trHeight w:val="27"/>
        </w:trPr>
        <w:tc>
          <w:tcPr>
            <w:tcW w:w="78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782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Estimated goodwill </w:t>
            </w:r>
            <w:r>
              <w:rPr>
                <w:rFonts w:ascii="Arial" w:cs="Arial" w:eastAsia="Arial" w:hAnsi="Arial"/>
                <w:sz w:val="25"/>
                <w:szCs w:val="25"/>
                <w:color w:val="auto"/>
                <w:vertAlign w:val="superscript"/>
              </w:rPr>
              <w:t>(2)</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132.7</w:t>
            </w:r>
          </w:p>
        </w:tc>
      </w:tr>
      <w:tr>
        <w:trPr>
          <w:trHeight w:val="20"/>
        </w:trPr>
        <w:tc>
          <w:tcPr>
            <w:tcW w:w="78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640" w:hanging="200"/>
        <w:spacing w:after="0"/>
        <w:tabs>
          <w:tab w:leader="none" w:pos="64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The goodwill recognized was primarily attributable to the opportunity to expand the user base of the Company's platform. The goodwill is not deductible for U.S. federal income tax</w:t>
      </w:r>
    </w:p>
    <w:p>
      <w:pPr>
        <w:spacing w:after="0" w:line="45"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14"/>
          <w:szCs w:val="14"/>
          <w:color w:val="auto"/>
        </w:rPr>
        <w:t>purposes.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 of the separately identifiable finite-lived intangible assets acquired and estimated weighted average useful lives are as follows:</w:t>
      </w:r>
    </w:p>
    <w:p>
      <w:pPr>
        <w:spacing w:after="0" w:line="399"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Estimated weighted average</w:t>
            </w:r>
          </w:p>
        </w:tc>
      </w:tr>
      <w:tr>
        <w:trPr>
          <w:trHeight w:val="216"/>
        </w:trPr>
        <w:tc>
          <w:tcPr>
            <w:tcW w:w="6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useful lives</w:t>
            </w:r>
          </w:p>
        </w:tc>
      </w:tr>
      <w:tr>
        <w:trPr>
          <w:trHeight w:val="230"/>
        </w:trPr>
        <w:tc>
          <w:tcPr>
            <w:tcW w:w="6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ind w:right="230"/>
              <w:spacing w:after="0"/>
              <w:rPr>
                <w:sz w:val="20"/>
                <w:szCs w:val="20"/>
                <w:color w:val="auto"/>
              </w:rPr>
            </w:pPr>
            <w:r>
              <w:rPr>
                <w:rFonts w:ascii="Arial" w:cs="Arial" w:eastAsia="Arial" w:hAnsi="Arial"/>
                <w:sz w:val="18"/>
                <w:szCs w:val="18"/>
                <w:color w:val="auto"/>
                <w:w w:val="95"/>
              </w:rPr>
              <w:t>Estimated fair values</w:t>
            </w:r>
          </w:p>
        </w:tc>
        <w:tc>
          <w:tcPr>
            <w:tcW w:w="120" w:type="dxa"/>
            <w:vAlign w:val="bottom"/>
          </w:tcPr>
          <w:p>
            <w:pPr>
              <w:spacing w:after="0"/>
              <w:rPr>
                <w:sz w:val="20"/>
                <w:szCs w:val="20"/>
                <w:color w:val="auto"/>
              </w:rPr>
            </w:pPr>
          </w:p>
        </w:tc>
        <w:tc>
          <w:tcPr>
            <w:tcW w:w="2160" w:type="dxa"/>
            <w:vAlign w:val="bottom"/>
          </w:tcPr>
          <w:p>
            <w:pPr>
              <w:ind w:left="760"/>
              <w:spacing w:after="0"/>
              <w:rPr>
                <w:sz w:val="20"/>
                <w:szCs w:val="20"/>
                <w:color w:val="auto"/>
              </w:rPr>
            </w:pPr>
            <w:r>
              <w:rPr>
                <w:rFonts w:ascii="Arial" w:cs="Arial" w:eastAsia="Arial" w:hAnsi="Arial"/>
                <w:sz w:val="18"/>
                <w:szCs w:val="18"/>
                <w:color w:val="auto"/>
              </w:rPr>
              <w:t>(In years)</w:t>
            </w:r>
          </w:p>
        </w:tc>
      </w:tr>
      <w:tr>
        <w:trPr>
          <w:trHeight w:val="27"/>
        </w:trPr>
        <w:tc>
          <w:tcPr>
            <w:tcW w:w="6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228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7"/>
              </w:rPr>
              <w:t>4.9</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228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5.0</w:t>
            </w: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228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7"/>
              </w:rPr>
              <w:t>5.0</w:t>
            </w:r>
          </w:p>
        </w:tc>
      </w:tr>
      <w:tr>
        <w:trPr>
          <w:trHeight w:val="257"/>
        </w:trPr>
        <w:tc>
          <w:tcPr>
            <w:tcW w:w="6420" w:type="dxa"/>
            <w:vAlign w:val="bottom"/>
          </w:tcPr>
          <w:p>
            <w:pPr>
              <w:ind w:left="20"/>
              <w:spacing w:after="0"/>
              <w:rPr>
                <w:sz w:val="20"/>
                <w:szCs w:val="20"/>
                <w:color w:val="auto"/>
              </w:rPr>
            </w:pPr>
            <w:r>
              <w:rPr>
                <w:rFonts w:ascii="Arial" w:cs="Arial" w:eastAsia="Arial" w:hAnsi="Arial"/>
                <w:sz w:val="18"/>
                <w:szCs w:val="18"/>
                <w:color w:val="auto"/>
              </w:rPr>
              <w:t>Total acquisition-related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0"/>
        </w:trPr>
        <w:tc>
          <w:tcPr>
            <w:tcW w:w="6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The fair values of the acquisition-related intangibles were determined using the following methodologies: the multi-period excess earnings method, replacement cost method, and the relief from royalty method, for customer relationships, developed technology, and the trade name, respectively. The valuation model inputs required the application of significant judgment by management. The acquired intangible assets have a total weighted average amortization period of 4.9 years.</w:t>
      </w:r>
    </w:p>
    <w:p>
      <w:pPr>
        <w:spacing w:after="0" w:line="187"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One-time acquisition-related diligence costs of $1.0 million were expensed within general and administrative expenses as incurred during the three months ended March 31,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Intangible Assets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8"/>
                <w:szCs w:val="18"/>
                <w:color w:val="auto"/>
              </w:rPr>
              <w:t>Intangible assets consisted of the following:</w:t>
            </w: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6"/>
        </w:trPr>
        <w:tc>
          <w:tcPr>
            <w:tcW w:w="3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of March 31,</w:t>
            </w:r>
          </w:p>
        </w:tc>
        <w:tc>
          <w:tcPr>
            <w:tcW w:w="180" w:type="dxa"/>
            <w:vAlign w:val="bottom"/>
          </w:tcPr>
          <w:p>
            <w:pPr>
              <w:spacing w:after="0"/>
              <w:rPr>
                <w:sz w:val="20"/>
                <w:szCs w:val="20"/>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As of December 31,</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556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480" w:type="dxa"/>
            <w:vAlign w:val="bottom"/>
            <w:vMerge w:val="restart"/>
          </w:tcPr>
          <w:p>
            <w:pPr>
              <w:jc w:val="center"/>
              <w:ind w:left="10"/>
              <w:spacing w:after="0" w:line="198" w:lineRule="exact"/>
              <w:rPr>
                <w:sz w:val="20"/>
                <w:szCs w:val="20"/>
                <w:color w:val="auto"/>
              </w:rPr>
            </w:pPr>
            <w:r>
              <w:rPr>
                <w:rFonts w:ascii="Arial" w:cs="Arial" w:eastAsia="Arial" w:hAnsi="Arial"/>
                <w:sz w:val="18"/>
                <w:szCs w:val="18"/>
                <w:b w:val="1"/>
                <w:bCs w:val="1"/>
                <w:color w:val="auto"/>
                <w:w w:val="90"/>
              </w:rPr>
              <w:t>remaining</w:t>
            </w:r>
          </w:p>
        </w:tc>
        <w:tc>
          <w:tcPr>
            <w:tcW w:w="0" w:type="dxa"/>
            <w:vAlign w:val="bottom"/>
          </w:tcPr>
          <w:p>
            <w:pPr>
              <w:spacing w:after="0"/>
              <w:rPr>
                <w:sz w:val="1"/>
                <w:szCs w:val="1"/>
                <w:color w:val="auto"/>
              </w:rPr>
            </w:pPr>
          </w:p>
        </w:tc>
      </w:tr>
      <w:tr>
        <w:trPr>
          <w:trHeight w:val="97"/>
        </w:trPr>
        <w:tc>
          <w:tcPr>
            <w:tcW w:w="38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8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48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useful life</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vMerge w:val="continue"/>
          </w:tcPr>
          <w:p>
            <w:pPr>
              <w:spacing w:after="0"/>
              <w:rPr>
                <w:sz w:val="20"/>
                <w:szCs w:val="20"/>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2"/>
              </w:rPr>
              <w:t>(In years)</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5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940" w:type="dxa"/>
            <w:vAlign w:val="bottom"/>
            <w:gridSpan w:val="2"/>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Software</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940" w:type="dxa"/>
            <w:vAlign w:val="bottom"/>
            <w:gridSpan w:val="2"/>
          </w:tcPr>
          <w:p>
            <w:pPr>
              <w:ind w:left="40"/>
              <w:spacing w:after="0"/>
              <w:rPr>
                <w:sz w:val="20"/>
                <w:szCs w:val="20"/>
                <w:color w:val="auto"/>
              </w:rPr>
            </w:pPr>
            <w:r>
              <w:rPr>
                <w:rFonts w:ascii="Arial" w:cs="Arial" w:eastAsia="Arial" w:hAnsi="Arial"/>
                <w:sz w:val="18"/>
                <w:szCs w:val="18"/>
                <w:color w:val="auto"/>
              </w:rPr>
              <w:t>Patents</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4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Assembled workforce in asset acquisitions</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940" w:type="dxa"/>
            <w:vAlign w:val="bottom"/>
            <w:gridSpan w:val="2"/>
          </w:tcPr>
          <w:p>
            <w:pPr>
              <w:ind w:left="40"/>
              <w:spacing w:after="0"/>
              <w:rPr>
                <w:sz w:val="20"/>
                <w:szCs w:val="20"/>
                <w:color w:val="auto"/>
              </w:rPr>
            </w:pPr>
            <w:r>
              <w:rPr>
                <w:rFonts w:ascii="Arial" w:cs="Arial" w:eastAsia="Arial" w:hAnsi="Arial"/>
                <w:sz w:val="18"/>
                <w:szCs w:val="18"/>
                <w:color w:val="auto"/>
              </w:rPr>
              <w:t>Licenses</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Trademarks and trade names</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4.9</w:t>
            </w:r>
          </w:p>
        </w:tc>
        <w:tc>
          <w:tcPr>
            <w:tcW w:w="0" w:type="dxa"/>
            <w:vAlign w:val="bottom"/>
          </w:tcPr>
          <w:p>
            <w:pPr>
              <w:spacing w:after="0"/>
              <w:rPr>
                <w:sz w:val="1"/>
                <w:szCs w:val="1"/>
                <w:color w:val="auto"/>
              </w:rPr>
            </w:pPr>
          </w:p>
        </w:tc>
      </w:tr>
      <w:tr>
        <w:trPr>
          <w:trHeight w:val="243"/>
        </w:trPr>
        <w:tc>
          <w:tcPr>
            <w:tcW w:w="59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4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5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intangibles</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w:t>
            </w: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gridSpan w:val="2"/>
          </w:tcPr>
          <w:p>
            <w:pPr>
              <w:ind w:left="40"/>
              <w:spacing w:after="0"/>
              <w:rPr>
                <w:sz w:val="20"/>
                <w:szCs w:val="20"/>
                <w:color w:val="auto"/>
              </w:rPr>
            </w:pPr>
            <w:r>
              <w:rPr>
                <w:rFonts w:ascii="Arial" w:cs="Arial" w:eastAsia="Arial" w:hAnsi="Arial"/>
                <w:sz w:val="18"/>
                <w:szCs w:val="18"/>
                <w:color w:val="auto"/>
              </w:rPr>
              <w:t>Accumulated amortization</w:t>
            </w: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(85.7)</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5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Intangible assets,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three months ended March 31, 2019 the Company retired $41.7 million in fully amortized developed technology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Amortization expense was $2.8 million and $1.8 million for the three months ended March 31, 2019 and 2018, respectively.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ind w:left="2840"/>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tc>
        <w:tc>
          <w:tcPr>
            <w:tcW w:w="8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675"/>
        </w:trPr>
        <w:tc>
          <w:tcPr>
            <w:tcW w:w="9360" w:type="dxa"/>
            <w:vAlign w:val="bottom"/>
          </w:tcPr>
          <w:p>
            <w:pPr>
              <w:ind w:left="440"/>
              <w:spacing w:after="0"/>
              <w:rPr>
                <w:sz w:val="20"/>
                <w:szCs w:val="20"/>
                <w:color w:val="auto"/>
              </w:rPr>
            </w:pPr>
            <w:r>
              <w:rPr>
                <w:rFonts w:ascii="Arial" w:cs="Arial" w:eastAsia="Arial" w:hAnsi="Arial"/>
                <w:sz w:val="18"/>
                <w:szCs w:val="18"/>
                <w:color w:val="auto"/>
              </w:rPr>
              <w:t>Expected future amortization expense for intangible assets as of March 31, 2019, is as follows:</w:t>
            </w: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716"/>
        </w:trPr>
        <w:tc>
          <w:tcPr>
            <w:tcW w:w="9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nine months of Fiscal 2019</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2020</w:t>
            </w:r>
          </w:p>
        </w:tc>
        <w:tc>
          <w:tcPr>
            <w:tcW w:w="8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13.6</w:t>
            </w:r>
          </w:p>
        </w:tc>
      </w:tr>
      <w:tr>
        <w:trPr>
          <w:trHeight w:val="27"/>
        </w:trPr>
        <w:tc>
          <w:tcPr>
            <w:tcW w:w="9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2022</w:t>
            </w:r>
          </w:p>
        </w:tc>
        <w:tc>
          <w:tcPr>
            <w:tcW w:w="8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8.0</w:t>
            </w:r>
          </w:p>
        </w:tc>
      </w:tr>
      <w:tr>
        <w:trPr>
          <w:trHeight w:val="27"/>
        </w:trPr>
        <w:tc>
          <w:tcPr>
            <w:tcW w:w="9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6.0</w:t>
            </w:r>
          </w:p>
        </w:tc>
      </w:tr>
      <w:tr>
        <w:trPr>
          <w:trHeight w:val="27"/>
        </w:trPr>
        <w:tc>
          <w:tcPr>
            <w:tcW w:w="93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w:t>
      </w:r>
    </w:p>
    <w:p>
      <w:pPr>
        <w:spacing w:after="0" w:line="229"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Goodwill represents the excess of the purchase price in a business combination over the fair value of net tangible and intangible assets acquired. The changes in the carrying amounts of goodwill were as follows:</w:t>
      </w:r>
    </w:p>
    <w:p>
      <w:pPr>
        <w:spacing w:after="0" w:line="104" w:lineRule="exact"/>
        <w:rPr>
          <w:sz w:val="20"/>
          <w:szCs w:val="20"/>
          <w:color w:val="auto"/>
        </w:rPr>
      </w:pPr>
    </w:p>
    <w:tbl>
      <w:tblPr>
        <w:tblLayout w:type="fixed"/>
        <w:tblInd w:w="280" w:type="dxa"/>
        <w:tblCellMar>
          <w:top w:w="0" w:type="dxa"/>
          <w:left w:w="0" w:type="dxa"/>
          <w:bottom w:w="0" w:type="dxa"/>
          <w:right w:w="0" w:type="dxa"/>
        </w:tblCellMar>
      </w:tblPr>
      <w:tr>
        <w:trPr>
          <w:trHeight w:val="250"/>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Balance at December 31, 2018</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w:t>
            </w:r>
          </w:p>
        </w:tc>
      </w:tr>
      <w:tr>
        <w:trPr>
          <w:trHeight w:val="243"/>
        </w:trPr>
        <w:tc>
          <w:tcPr>
            <w:tcW w:w="8700" w:type="dxa"/>
            <w:vAlign w:val="bottom"/>
          </w:tcPr>
          <w:p>
            <w:pPr>
              <w:ind w:left="260"/>
              <w:spacing w:after="0"/>
              <w:rPr>
                <w:sz w:val="20"/>
                <w:szCs w:val="20"/>
                <w:color w:val="auto"/>
              </w:rPr>
            </w:pPr>
            <w:r>
              <w:rPr>
                <w:rFonts w:ascii="Arial" w:cs="Arial" w:eastAsia="Arial" w:hAnsi="Arial"/>
                <w:sz w:val="18"/>
                <w:szCs w:val="18"/>
                <w:color w:val="auto"/>
              </w:rPr>
              <w:t>HelloSign acquisition</w:t>
            </w:r>
          </w:p>
        </w:tc>
        <w:tc>
          <w:tcPr>
            <w:tcW w:w="8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132.7</w:t>
            </w:r>
          </w:p>
        </w:tc>
      </w:tr>
      <w:tr>
        <w:trPr>
          <w:trHeight w:val="27"/>
        </w:trPr>
        <w:tc>
          <w:tcPr>
            <w:tcW w:w="8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Effect of foreign currency translation</w:t>
            </w:r>
          </w:p>
        </w:tc>
        <w:tc>
          <w:tcPr>
            <w:tcW w:w="8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shd w:val="clear" w:color="auto" w:fill="CCEEFF"/>
              </w:rPr>
              <w:t>1.2</w:t>
            </w:r>
          </w:p>
        </w:tc>
      </w:tr>
      <w:tr>
        <w:trPr>
          <w:trHeight w:val="257"/>
        </w:trPr>
        <w:tc>
          <w:tcPr>
            <w:tcW w:w="8700" w:type="dxa"/>
            <w:vAlign w:val="bottom"/>
          </w:tcPr>
          <w:p>
            <w:pPr>
              <w:ind w:left="20"/>
              <w:spacing w:after="0"/>
              <w:rPr>
                <w:sz w:val="20"/>
                <w:szCs w:val="20"/>
                <w:color w:val="auto"/>
              </w:rPr>
            </w:pPr>
            <w:r>
              <w:rPr>
                <w:rFonts w:ascii="Arial" w:cs="Arial" w:eastAsia="Arial" w:hAnsi="Arial"/>
                <w:sz w:val="18"/>
                <w:szCs w:val="18"/>
                <w:color w:val="auto"/>
              </w:rPr>
              <w:t>Balance at March 31, 2019</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230.4</w:t>
            </w:r>
          </w:p>
        </w:tc>
      </w:tr>
      <w:tr>
        <w:trPr>
          <w:trHeight w:val="20"/>
        </w:trPr>
        <w:tc>
          <w:tcPr>
            <w:tcW w:w="8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goodwill acquired from HelloSign is carried in U.S. dollars, while goodwill from previous acquisitions is denominated in other foreign currencies.</w:t>
      </w:r>
    </w:p>
    <w:p>
      <w:pPr>
        <w:spacing w:after="0" w:line="248"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Goodwill amounts are not amortized, but tested for impairment on an annual basis. There was no impairment of goodwill as of March 31, 2019 and December 31, 2018.</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Revolving Credit Facility</w:t>
      </w:r>
    </w:p>
    <w:p>
      <w:pPr>
        <w:spacing w:after="0" w:line="22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In April 2017, the Company entered into an amended and restated credit and guaranty agreement which provided for a $600.0 million revolving loan facility (the “revolving credit facility”). In conjunction with the revolving credit facility, the Company paid upfront issuance fees of $2.6 million, which are being amortized over the five-year term of the agreement.</w:t>
      </w:r>
    </w:p>
    <w:p>
      <w:pPr>
        <w:spacing w:after="0" w:line="18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 February 2018, the Company amended its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The Company may from time to time request increases in its borrowing capacity under the revolving credit facility of up to $275.0 million, provided no event of default has occurred or is continuing or would result from such increase. In conjunction with the amendment, the Company paid upfront issuance fees of $0.4 million, which are being amortized over the remaining term of the agreement.</w:t>
      </w:r>
    </w:p>
    <w:p>
      <w:pPr>
        <w:spacing w:after="0" w:line="19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LIBOR plus a spread of 1.50% or at an alternative base rate plus a spread of 0.50%.</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covenant and a minimum liquidity balance of $100.0 million, which includes any available borrowing capacity. The Company was in compliance with the covenants of the revolving credit facility as of March 31, 2019 and December 31, 2018, respectively.</w:t>
      </w:r>
    </w:p>
    <w:p>
      <w:pPr>
        <w:spacing w:after="0" w:line="173"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Company had an aggregate of $68.9 million of letters of credit outstanding under the revolving credit facility as of March 31, 2019, and the Company’s total available borrowing capacity under the revolving credit facility was $656.1 million as of March 31, 2019. The Company’s letters of credit expire between April of 2019 and April of 2022.</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22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Company has operating leases for corporate offices and datacenters, and finance leases for infrastructure equipment. The Company’s leases have remaining lease terms of 1 year to 15 years, some of which include options to extend the leases for up to 5 years.</w:t>
      </w:r>
    </w:p>
    <w:p>
      <w:pPr>
        <w:spacing w:after="0" w:line="170"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The Company also has subleases of former corporate offices. Subleases have remaining lease terms of 3 to 4 years. Sublease income, which is recorded as a reduction of rental expense, was $1.9 million and $3.5 million for the three months ended March 31, 2019 and 2018, respectively.</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single lease cost were as follows:</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2019</w:t>
            </w:r>
          </w:p>
        </w:tc>
        <w:tc>
          <w:tcPr>
            <w:tcW w:w="16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March 31, 2018</w:t>
            </w: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Amortization of assets under finance lease</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43"/>
        </w:trPr>
        <w:tc>
          <w:tcPr>
            <w:tcW w:w="8100" w:type="dxa"/>
            <w:vAlign w:val="bottom"/>
          </w:tcPr>
          <w:p>
            <w:pPr>
              <w:ind w:left="26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8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Total finance lease cost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-162560</wp:posOffset>
            </wp:positionV>
            <wp:extent cx="722947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ind w:left="340" w:right="4600" w:hanging="332"/>
        <w:spacing w:after="0" w:line="453" w:lineRule="auto"/>
        <w:tabs>
          <w:tab w:leader="none" w:pos="208" w:val="left"/>
        </w:tabs>
        <w:numPr>
          <w:ilvl w:val="0"/>
          <w:numId w:val="9"/>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 xml:space="preserve">Is presented gross of sublease income and includes short-term leases, which are immaterial </w:t>
      </w:r>
      <w:r>
        <w:rPr>
          <w:rFonts w:ascii="Arial" w:cs="Arial" w:eastAsia="Arial" w:hAnsi="Arial"/>
          <w:sz w:val="17"/>
          <w:szCs w:val="17"/>
          <w:color w:val="auto"/>
        </w:rPr>
        <w:t>Other information related to leases was as follows: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Three months ended</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tcPr>
          <w:p>
            <w:pPr>
              <w:jc w:val="right"/>
              <w:ind w:right="490"/>
              <w:spacing w:after="0"/>
              <w:rPr>
                <w:sz w:val="20"/>
                <w:szCs w:val="20"/>
                <w:color w:val="auto"/>
              </w:rPr>
            </w:pPr>
            <w:r>
              <w:rPr>
                <w:rFonts w:ascii="Arial" w:cs="Arial" w:eastAsia="Arial" w:hAnsi="Arial"/>
                <w:sz w:val="18"/>
                <w:szCs w:val="18"/>
                <w:b w:val="1"/>
                <w:bCs w:val="1"/>
                <w:color w:val="auto"/>
              </w:rPr>
              <w:t>March 31, 2019</w:t>
            </w:r>
          </w:p>
        </w:tc>
        <w:tc>
          <w:tcPr>
            <w:tcW w:w="0" w:type="dxa"/>
            <w:vAlign w:val="bottom"/>
          </w:tcPr>
          <w:p>
            <w:pPr>
              <w:spacing w:after="0"/>
              <w:rPr>
                <w:sz w:val="1"/>
                <w:szCs w:val="1"/>
                <w:color w:val="auto"/>
              </w:rPr>
            </w:pPr>
          </w:p>
        </w:tc>
      </w:tr>
      <w:tr>
        <w:trPr>
          <w:trHeight w:val="27"/>
        </w:trPr>
        <w:tc>
          <w:tcPr>
            <w:tcW w:w="9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40" w:type="dxa"/>
            <w:vAlign w:val="bottom"/>
          </w:tcPr>
          <w:p>
            <w:pPr>
              <w:ind w:left="260"/>
              <w:spacing w:after="0"/>
              <w:rPr>
                <w:sz w:val="20"/>
                <w:szCs w:val="20"/>
                <w:color w:val="auto"/>
              </w:rPr>
            </w:pPr>
            <w:r>
              <w:rPr>
                <w:rFonts w:ascii="Arial" w:cs="Arial" w:eastAsia="Arial" w:hAnsi="Arial"/>
                <w:sz w:val="18"/>
                <w:szCs w:val="18"/>
                <w:color w:val="auto"/>
              </w:rPr>
              <w:t>Payments for operating leases included in cash from 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9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Payments for finance leases included in cash from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9040" w:type="dxa"/>
            <w:vAlign w:val="bottom"/>
          </w:tcPr>
          <w:p>
            <w:pPr>
              <w:ind w:left="260"/>
              <w:spacing w:after="0"/>
              <w:rPr>
                <w:sz w:val="20"/>
                <w:szCs w:val="20"/>
                <w:color w:val="auto"/>
              </w:rPr>
            </w:pPr>
            <w:r>
              <w:rPr>
                <w:rFonts w:ascii="Arial" w:cs="Arial" w:eastAsia="Arial" w:hAnsi="Arial"/>
                <w:sz w:val="18"/>
                <w:szCs w:val="18"/>
                <w:color w:val="auto"/>
              </w:rPr>
              <w:t>Payments for finance leases included in cash from financing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9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obtained in exchange for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4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9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Finance leases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324"/>
        </w:trPr>
        <w:tc>
          <w:tcPr>
            <w:tcW w:w="9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 (in years)</w:t>
            </w:r>
          </w:p>
        </w:tc>
        <w:tc>
          <w:tcPr>
            <w:tcW w:w="2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4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21"/>
                <w:szCs w:val="21"/>
                <w:color w:val="auto"/>
              </w:rPr>
            </w:pPr>
          </w:p>
        </w:tc>
        <w:tc>
          <w:tcPr>
            <w:tcW w:w="2100" w:type="dxa"/>
            <w:vAlign w:val="bottom"/>
          </w:tcPr>
          <w:p>
            <w:pPr>
              <w:jc w:val="right"/>
              <w:ind w:right="9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Finance leases</w:t>
            </w:r>
          </w:p>
        </w:tc>
        <w:tc>
          <w:tcPr>
            <w:tcW w:w="2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4"/>
        </w:trPr>
        <w:tc>
          <w:tcPr>
            <w:tcW w:w="9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2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4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Finance leases</w:t>
            </w:r>
          </w:p>
        </w:tc>
        <w:tc>
          <w:tcPr>
            <w:tcW w:w="24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9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lease payments under non-cancellable leases as of March 31, 2019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Year ending December 31,</w:t>
            </w:r>
          </w:p>
        </w:tc>
        <w:tc>
          <w:tcPr>
            <w:tcW w:w="240" w:type="dxa"/>
            <w:vAlign w:val="bottom"/>
          </w:tcPr>
          <w:p>
            <w:pPr>
              <w:spacing w:after="0"/>
              <w:rPr>
                <w:sz w:val="24"/>
                <w:szCs w:val="24"/>
                <w:color w:val="auto"/>
              </w:rPr>
            </w:pPr>
          </w:p>
        </w:tc>
        <w:tc>
          <w:tcPr>
            <w:tcW w:w="2040" w:type="dxa"/>
            <w:vAlign w:val="bottom"/>
            <w:gridSpan w:val="2"/>
          </w:tcPr>
          <w:p>
            <w:pPr>
              <w:ind w:left="140"/>
              <w:spacing w:after="0"/>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25"/>
                <w:szCs w:val="25"/>
                <w:color w:val="auto"/>
                <w:vertAlign w:val="superscript"/>
              </w:rPr>
              <w:t>(1)</w:t>
            </w:r>
          </w:p>
        </w:tc>
        <w:tc>
          <w:tcPr>
            <w:tcW w:w="320" w:type="dxa"/>
            <w:vAlign w:val="bottom"/>
          </w:tcPr>
          <w:p>
            <w:pPr>
              <w:spacing w:after="0"/>
              <w:rPr>
                <w:sz w:val="24"/>
                <w:szCs w:val="24"/>
                <w:color w:val="auto"/>
              </w:rPr>
            </w:pPr>
          </w:p>
        </w:tc>
        <w:tc>
          <w:tcPr>
            <w:tcW w:w="184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Finance leases</w:t>
            </w:r>
          </w:p>
        </w:tc>
      </w:tr>
      <w:tr>
        <w:trPr>
          <w:trHeight w:val="244"/>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(excluding the three months ended March 31, 2019)</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56.2</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27.4</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357.0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shd w:val="clear" w:color="auto" w:fill="CCEEFF"/>
              </w:rPr>
              <w:t>707.7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shd w:val="clear" w:color="auto" w:fill="CCEEFF"/>
              </w:rPr>
              <w:t>191.1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tenant improvement receivables</w:t>
            </w: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liability</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515.6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177.4</w:t>
            </w:r>
          </w:p>
        </w:tc>
      </w:tr>
      <w:tr>
        <w:trPr>
          <w:trHeight w:val="27"/>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bl>
    <w:p>
      <w:pPr>
        <w:spacing w:after="0" w:line="220" w:lineRule="exact"/>
        <w:rPr>
          <w:sz w:val="20"/>
          <w:szCs w:val="20"/>
          <w:color w:val="auto"/>
        </w:rPr>
      </w:pPr>
    </w:p>
    <w:p>
      <w:pPr>
        <w:ind w:right="20" w:firstLine="8"/>
        <w:spacing w:after="0" w:line="265" w:lineRule="auto"/>
        <w:tabs>
          <w:tab w:leader="none" w:pos="192"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Consists of future non-cancelable minimum rental payments under operating leases for the Company’s corporate offices and datacenters where the Company has possession, excluding rent payments from the Company’s sub-tenants and variable operating expenses. As of March 31, 2019, the Company is entitled to non-cancelable rent payments from its sub-tenants of $40.6 million, which will be collected over the next 4 years</w:t>
      </w:r>
      <w:r>
        <w:rPr>
          <w:rFonts w:ascii="Arial" w:cs="Arial" w:eastAsia="Arial" w:hAnsi="Arial"/>
          <w:sz w:val="16"/>
          <w:szCs w:val="16"/>
          <w:color w:val="auto"/>
        </w:rPr>
        <w:t>.</w:t>
      </w:r>
    </w:p>
    <w:p>
      <w:pPr>
        <w:spacing w:after="0" w:line="186"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2017, the Company entered into a lease agreement for office space in San Francisco, California, to serve as its new corporate headquarters. The Company took initial possession of the first phase of its new corporate headquarters in June 2018, and began to recognize single lease cost. In that same period, the Company recorded a lease incentive obligation related to tenant improvement reimbursements associated with the first phase. The lease incentive obligation is recorded net against the Company's operating right-of-use asset and was $42.6 million as of March 31, 2019. The Company expects to start making recurring rental payments under the lease in the third quarter of 2019. The Company's total expected minimum obligations for all three phases of the lease are $843.1 million, which exclude expected tenant improvement reimbursements from the landlord of approximately $75.0 million and variable operating expenses. The Company’s obligations under the lease are supported by a $34.2 million letter of credit, which reduced the borrowing capacity under the revolving credit facility. In the three months ended March 31, 2019, the Company collected tenant improvement reimbursements from the landlord totaling $13.8 million.</w:t>
      </w:r>
    </w:p>
    <w:p>
      <w:pPr>
        <w:sectPr>
          <w:pgSz w:w="11900" w:h="16838" w:orient="portrait"/>
          <w:cols w:equalWidth="0" w:num="1">
            <w:col w:w="11420"/>
          </w:cols>
          <w:pgMar w:left="240" w:top="121"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As of March 31, 2019, the Company had commitments of $408.3 million for operating leases that have not yet commenced, and therefore are not included in the right-of-use asset or operating lease liability. These operating leases will commence between 2019 and 2021 with lease terms of 4 years to 15 years.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jc w:val="both"/>
        <w:ind w:right="380" w:firstLine="432"/>
        <w:spacing w:after="0" w:line="264" w:lineRule="auto"/>
        <w:rPr>
          <w:sz w:val="20"/>
          <w:szCs w:val="20"/>
          <w:color w:val="auto"/>
        </w:rPr>
      </w:pPr>
      <w:r>
        <w:rPr>
          <w:rFonts w:ascii="Arial" w:cs="Arial" w:eastAsia="Arial" w:hAnsi="Arial"/>
          <w:sz w:val="18"/>
          <w:szCs w:val="18"/>
          <w:color w:val="auto"/>
        </w:rPr>
        <w:t>Other commitments include payments to third-party vendors for services related to the Company’s infrastructure, infrastructure warranty contracts, asset retirement obligations for office modifications, and a note payable related to financing of infrastructure. There have been no material changes in the Company's other commitments, as disclosed in the Annual Report.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Accrued and Other Current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420"/>
              <w:spacing w:after="0"/>
              <w:rPr>
                <w:sz w:val="20"/>
                <w:szCs w:val="20"/>
                <w:color w:val="auto"/>
              </w:rPr>
            </w:pPr>
            <w:r>
              <w:rPr>
                <w:rFonts w:ascii="Arial" w:cs="Arial" w:eastAsia="Arial" w:hAnsi="Arial"/>
                <w:sz w:val="18"/>
                <w:szCs w:val="18"/>
                <w:color w:val="auto"/>
              </w:rPr>
              <w:t>Accrued and other current liabilities consisted of the following:</w:t>
            </w: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594"/>
        </w:trPr>
        <w:tc>
          <w:tcPr>
            <w:tcW w:w="6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900" w:type="dxa"/>
            <w:vAlign w:val="bottom"/>
          </w:tcPr>
          <w:p>
            <w:pPr>
              <w:spacing w:after="0"/>
              <w:rPr>
                <w:sz w:val="24"/>
                <w:szCs w:val="24"/>
                <w:color w:val="auto"/>
              </w:rPr>
            </w:pP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2019</w:t>
            </w:r>
          </w:p>
        </w:tc>
        <w:tc>
          <w:tcPr>
            <w:tcW w:w="260" w:type="dxa"/>
            <w:vAlign w:val="bottom"/>
          </w:tcPr>
          <w:p>
            <w:pPr>
              <w:spacing w:after="0"/>
              <w:rPr>
                <w:sz w:val="20"/>
                <w:szCs w:val="20"/>
                <w:color w:val="auto"/>
              </w:rPr>
            </w:pPr>
          </w:p>
        </w:tc>
        <w:tc>
          <w:tcPr>
            <w:tcW w:w="1900" w:type="dxa"/>
            <w:vAlign w:val="bottom"/>
          </w:tcPr>
          <w:p>
            <w:pPr>
              <w:jc w:val="right"/>
              <w:ind w:right="27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15"/>
        </w:trPr>
        <w:tc>
          <w:tcPr>
            <w:tcW w:w="6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00" w:type="dxa"/>
            <w:vAlign w:val="bottom"/>
          </w:tcPr>
          <w:p>
            <w:pPr>
              <w:spacing w:after="0"/>
              <w:rPr>
                <w:sz w:val="10"/>
                <w:szCs w:val="10"/>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Non-income taxes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Accrued legal and other external fees</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28.1</w:t>
            </w: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and 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accrued and other current liabilities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164.5</w:t>
            </w: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80" w:firstLine="405"/>
        <w:spacing w:after="0" w:line="264" w:lineRule="auto"/>
        <w:rPr>
          <w:sz w:val="20"/>
          <w:szCs w:val="20"/>
          <w:color w:val="auto"/>
        </w:rPr>
      </w:pPr>
      <w:r>
        <w:rPr>
          <w:rFonts w:ascii="Arial" w:cs="Arial" w:eastAsia="Arial" w:hAnsi="Arial"/>
          <w:sz w:val="18"/>
          <w:szCs w:val="18"/>
          <w:color w:val="auto"/>
        </w:rPr>
        <w:t>The decrease in deferred rent from December 31, 2018 is due to the Company's adoption of ASC 842 on January 1, 2019 using the modified retrospective approach. As of March 31, 2019, deferred rent reduces the Company's operating right-of-use asset. See Note 9 "Leases" for additional discussion.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12.Stockholders’ Equity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Company’s amended and restated certificate of incorporation authorizes the issuance of Class A common stock, Class B common stock, and Class C common stock. Holders of Class A common stock, Class B common stock, and Class C common stock</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 During the three months ended March 31, 2019, holders of 11.8 million shares of Class B common stock voluntarily converted into an equivalent number of shares of Class A common stock.</w:t>
      </w:r>
    </w:p>
    <w:p>
      <w:pPr>
        <w:spacing w:after="0" w:line="171" w:lineRule="exact"/>
        <w:rPr>
          <w:sz w:val="20"/>
          <w:szCs w:val="20"/>
          <w:color w:val="auto"/>
        </w:rPr>
      </w:pPr>
    </w:p>
    <w:p>
      <w:pPr>
        <w:ind w:right="200" w:firstLine="432"/>
        <w:spacing w:after="0" w:line="291" w:lineRule="auto"/>
        <w:rPr>
          <w:sz w:val="20"/>
          <w:szCs w:val="20"/>
          <w:color w:val="auto"/>
        </w:rPr>
      </w:pPr>
      <w:r>
        <w:rPr>
          <w:rFonts w:ascii="Arial" w:cs="Arial" w:eastAsia="Arial" w:hAnsi="Arial"/>
          <w:sz w:val="16"/>
          <w:szCs w:val="16"/>
          <w:color w:val="auto"/>
        </w:rPr>
        <w:t>As of March 31, 2019, the Company had authorized 2,400.0 million shares of Class A common stock, 475.0 million shares of Class B common stock, and 800.0 million shares of Class C common stock, each at par value of $0.00001. As of March 31, 2019, 224.1 million shares of Class A common stock,</w:t>
      </w:r>
    </w:p>
    <w:p>
      <w:pPr>
        <w:ind w:right="20"/>
        <w:spacing w:after="0" w:line="254" w:lineRule="auto"/>
        <w:rPr>
          <w:sz w:val="20"/>
          <w:szCs w:val="20"/>
          <w:color w:val="auto"/>
        </w:rPr>
      </w:pPr>
      <w:r>
        <w:rPr>
          <w:rFonts w:ascii="Arial" w:cs="Arial" w:eastAsia="Arial" w:hAnsi="Arial"/>
          <w:sz w:val="18"/>
          <w:szCs w:val="18"/>
          <w:color w:val="auto"/>
        </w:rPr>
        <w:t>187.3 million shares of Class B common stock, and no shares of Class C common stock were issued and outstanding. As of December 31, 2018, 211.0 million shares of Class A common stock, 198.6 million shares of Class B common stock, and no shares of Class C common stock were issued and outstanding. Class A shares issued and outstanding as of March 31, 2019 and December 31, 2018 exclude 14.7 million unvested restricted stock awards granted to the Company’s co-founders. See "Co-Founder Grants" section below for further details.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Immediately prior to the closing of the Company’s IPO, all of the 147.3 million shares of convertible preferred stock converted into an equivalent number of shares of Class B common stock. Further, pursuant to transfer agreements with certain of the Company’s stockholders, 0.3 million shares of the Company’s convertible preferred stock automatically converted into an equivalent number of shares of Class A common stock.</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The Company's Board of Directors will have the authority, without further action by the Company's stockholders, to issue up to 240.0 million shares of undesignated preferred stock with rights and preferences, including voting rights, designated from time to time by the Board of Directors.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15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In connection with the acquisition of HelloSign, the Company assumed unvested stock options that had been granted under the HelloSign's 2011 Equity Incentive Plan.</w:t>
      </w:r>
    </w:p>
    <w:p>
      <w:pPr>
        <w:spacing w:after="0" w:line="170"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As of March 31, 2019, there were 25.4 million stock-based awards issued and outstanding and 79.2 million shares available for issuance under the 2008 Equity Incentive Plan, HelloSign's Equity Incentive Plan, the 2017 Equity Incentive Plan, and the 2018 Plan (collectively, the "Plans").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and restricted stock activity for the Plans was as follows for the three months ended March 31, 2019:</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Restricted stock</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4"/>
          </w:tcPr>
          <w:p>
            <w:pPr>
              <w:ind w:left="240"/>
              <w:spacing w:after="0"/>
              <w:rPr>
                <w:sz w:val="20"/>
                <w:szCs w:val="20"/>
                <w:color w:val="auto"/>
              </w:rPr>
            </w:pPr>
            <w:r>
              <w:rPr>
                <w:rFonts w:ascii="Arial" w:cs="Arial" w:eastAsia="Arial" w:hAnsi="Arial"/>
                <w:sz w:val="18"/>
                <w:szCs w:val="18"/>
                <w:b w:val="1"/>
                <w:bCs w:val="1"/>
                <w:color w:val="auto"/>
              </w:rPr>
              <w:t>Options outstanding</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outstanding</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40" w:type="dxa"/>
            <w:vAlign w:val="bottom"/>
          </w:tcPr>
          <w:p>
            <w:pPr>
              <w:spacing w:after="0"/>
              <w:rPr>
                <w:sz w:val="19"/>
                <w:szCs w:val="19"/>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Weighted-</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shares</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Weighted-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average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available for</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remaining</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issuance</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exercise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contractual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8"/>
              </w:rPr>
              <w:t>grant date</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under the</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under the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term</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Aggregate</w:t>
            </w: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under the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3"/>
              </w:rPr>
              <w:t>fair value</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Plans</w:t>
            </w:r>
          </w:p>
        </w:tc>
        <w:tc>
          <w:tcPr>
            <w:tcW w:w="1160" w:type="dxa"/>
            <w:vAlign w:val="bottom"/>
          </w:tcPr>
          <w:p>
            <w:pPr>
              <w:jc w:val="center"/>
              <w:spacing w:after="0"/>
              <w:rPr>
                <w:sz w:val="20"/>
                <w:szCs w:val="20"/>
                <w:color w:val="auto"/>
              </w:rPr>
            </w:pPr>
            <w:r>
              <w:rPr>
                <w:rFonts w:ascii="Arial" w:cs="Arial" w:eastAsia="Arial" w:hAnsi="Arial"/>
                <w:sz w:val="18"/>
                <w:szCs w:val="18"/>
                <w:color w:val="auto"/>
                <w:w w:val="84"/>
              </w:rPr>
              <w:t>Plans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per share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(In years)</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intrinsic value</w:t>
            </w: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Plans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86"/>
              </w:rPr>
              <w:t>per share</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Additional shares authorized</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assumed</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Options exercised and RSUs</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released</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and RSUs canceled</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Shares repurchased for tax</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40"/>
              <w:spacing w:after="0"/>
              <w:rPr>
                <w:sz w:val="20"/>
                <w:szCs w:val="20"/>
                <w:color w:val="auto"/>
              </w:rPr>
            </w:pPr>
            <w:r>
              <w:rPr>
                <w:rFonts w:ascii="Arial" w:cs="Arial" w:eastAsia="Arial" w:hAnsi="Arial"/>
                <w:sz w:val="18"/>
                <w:szCs w:val="18"/>
                <w:color w:val="auto"/>
                <w:w w:val="93"/>
              </w:rPr>
              <w:t>withholdings on release of restricted</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stock</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Restricted stock and options granted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22.63</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97"/>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March 31, 2019</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23.2</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51"/>
        </w:trPr>
        <w:tc>
          <w:tcPr>
            <w:tcW w:w="27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Vested at March 31, 2019</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40"/>
              <w:spacing w:after="0"/>
              <w:rPr>
                <w:sz w:val="20"/>
                <w:szCs w:val="20"/>
                <w:color w:val="auto"/>
              </w:rPr>
            </w:pPr>
            <w:r>
              <w:rPr>
                <w:rFonts w:ascii="Arial" w:cs="Arial" w:eastAsia="Arial" w:hAnsi="Arial"/>
                <w:sz w:val="18"/>
                <w:szCs w:val="18"/>
                <w:color w:val="auto"/>
              </w:rPr>
              <w:t>Unvested at March 31, 2019</w:t>
            </w: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740" w:type="dxa"/>
            <w:vAlign w:val="bottom"/>
            <w:vMerge w:val="continue"/>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information about the pre-tax intrinsic value of options exercised during the three months ended March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0" w:lineRule="exact"/>
        <w:rPr>
          <w:sz w:val="20"/>
          <w:szCs w:val="20"/>
          <w:color w:val="auto"/>
        </w:rPr>
      </w:pPr>
    </w:p>
    <w:p>
      <w:pPr>
        <w:spacing w:after="0" w:line="209"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8400"/>
        <w:spacing w:after="0"/>
        <w:tabs>
          <w:tab w:leader="none" w:pos="103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82" w:lineRule="exact"/>
        <w:rPr>
          <w:sz w:val="20"/>
          <w:szCs w:val="20"/>
          <w:color w:val="auto"/>
        </w:rPr>
      </w:pPr>
    </w:p>
    <w:p>
      <w:pPr>
        <w:ind w:left="40"/>
        <w:spacing w:after="0"/>
        <w:tabs>
          <w:tab w:leader="none" w:pos="7680" w:val="left"/>
          <w:tab w:leader="none" w:pos="9140" w:val="left"/>
          <w:tab w:leader="none" w:pos="9600" w:val="left"/>
          <w:tab w:leader="none" w:pos="11060" w:val="left"/>
        </w:tabs>
        <w:rPr>
          <w:sz w:val="20"/>
          <w:szCs w:val="20"/>
          <w:color w:val="auto"/>
        </w:rPr>
      </w:pPr>
      <w:r>
        <w:rPr>
          <w:rFonts w:ascii="Arial" w:cs="Arial" w:eastAsia="Arial" w:hAnsi="Arial"/>
          <w:sz w:val="18"/>
          <w:szCs w:val="18"/>
          <w:color w:val="auto"/>
        </w:rPr>
        <w:t>Intrinsic value of options exercised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3.1</w:t>
        <w:tab/>
        <w:t>$</w:t>
      </w:r>
      <w:r>
        <w:rPr>
          <w:sz w:val="20"/>
          <w:szCs w:val="20"/>
          <w:color w:val="auto"/>
        </w:rPr>
        <w:tab/>
      </w:r>
      <w:r>
        <w:rPr>
          <w:rFonts w:ascii="Arial" w:cs="Arial" w:eastAsia="Arial" w:hAnsi="Arial"/>
          <w:sz w:val="17"/>
          <w:szCs w:val="17"/>
          <w:color w:val="auto"/>
        </w:rPr>
        <w:t>1.7</w:t>
      </w:r>
    </w:p>
    <w:p>
      <w:pPr>
        <w:spacing w:after="0" w:line="252"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As of March 31, 2019, unamortized stock-based compensation related to unvested stock options, restricted stock awards (excluding the Co-Founder Grants), and RSUs was $447.8 million. The weighted-average period over which such compensation expense will be recognized if the requisite service is provided is approximately 3.0 years as of March 31, 2019.</w:t>
      </w:r>
    </w:p>
    <w:p>
      <w:pPr>
        <w:spacing w:after="0" w:line="18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total fair value of released RSUs, as of their respective vesting dates, during the three months ended March 31, 2019 and 2018 were $67.9 million and $643.3 million,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Assumed stock options</w:t>
      </w:r>
    </w:p>
    <w:p>
      <w:pPr>
        <w:spacing w:after="0" w:line="11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In connection with the acquisition of HelloSign the Company assumed 0.9 million unvested stock options which were valued using the Black-Scholes option-pricing model. The fair value of stock options assumed were estimated using the following assumptions: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8"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9020" w:type="dxa"/>
            <w:vAlign w:val="bottom"/>
          </w:tcPr>
          <w:p>
            <w:pPr>
              <w:jc w:val="center"/>
              <w:ind w:right="1770"/>
              <w:spacing w:after="0"/>
              <w:rPr>
                <w:sz w:val="20"/>
                <w:szCs w:val="20"/>
                <w:color w:val="auto"/>
              </w:rPr>
            </w:pPr>
            <w:r>
              <w:rPr>
                <w:rFonts w:ascii="Arial" w:cs="Arial" w:eastAsia="Arial" w:hAnsi="Arial"/>
                <w:sz w:val="18"/>
                <w:szCs w:val="18"/>
                <w:b w:val="1"/>
                <w:bCs w:val="1"/>
                <w:color w:val="auto"/>
                <w:w w:val="99"/>
              </w:rPr>
              <w:t>DROPBOX, INC.</w:t>
            </w:r>
          </w:p>
        </w:tc>
      </w:tr>
      <w:tr>
        <w:trPr>
          <w:trHeight w:val="234"/>
        </w:trPr>
        <w:tc>
          <w:tcPr>
            <w:tcW w:w="1860" w:type="dxa"/>
            <w:vAlign w:val="bottom"/>
          </w:tcPr>
          <w:p>
            <w:pPr>
              <w:spacing w:after="0"/>
              <w:rPr>
                <w:sz w:val="20"/>
                <w:szCs w:val="20"/>
                <w:color w:val="auto"/>
              </w:rPr>
            </w:pPr>
          </w:p>
        </w:tc>
        <w:tc>
          <w:tcPr>
            <w:tcW w:w="9020" w:type="dxa"/>
            <w:vAlign w:val="bottom"/>
          </w:tcPr>
          <w:p>
            <w:pPr>
              <w:jc w:val="center"/>
              <w:ind w:right="179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r>
      <w:tr>
        <w:trPr>
          <w:trHeight w:val="324"/>
        </w:trPr>
        <w:tc>
          <w:tcPr>
            <w:tcW w:w="1860" w:type="dxa"/>
            <w:vAlign w:val="bottom"/>
          </w:tcPr>
          <w:p>
            <w:pPr>
              <w:spacing w:after="0"/>
              <w:rPr>
                <w:sz w:val="24"/>
                <w:szCs w:val="24"/>
                <w:color w:val="auto"/>
              </w:rPr>
            </w:pPr>
          </w:p>
        </w:tc>
        <w:tc>
          <w:tcPr>
            <w:tcW w:w="9020" w:type="dxa"/>
            <w:vAlign w:val="bottom"/>
          </w:tcPr>
          <w:p>
            <w:pPr>
              <w:jc w:val="center"/>
              <w:ind w:right="1790"/>
              <w:spacing w:after="0"/>
              <w:rPr>
                <w:sz w:val="20"/>
                <w:szCs w:val="20"/>
                <w:color w:val="auto"/>
              </w:rPr>
            </w:pPr>
            <w:r>
              <w:rPr>
                <w:rFonts w:ascii="Arial" w:cs="Arial" w:eastAsia="Arial" w:hAnsi="Arial"/>
                <w:sz w:val="18"/>
                <w:szCs w:val="18"/>
                <w:i w:val="1"/>
                <w:iCs w:val="1"/>
                <w:color w:val="auto"/>
                <w:w w:val="90"/>
              </w:rPr>
              <w:t>(Amounts in tables are in millions except per share data, or as otherwise noted)</w:t>
            </w:r>
          </w:p>
        </w:tc>
      </w:tr>
      <w:tr>
        <w:trPr>
          <w:trHeight w:val="594"/>
        </w:trPr>
        <w:tc>
          <w:tcPr>
            <w:tcW w:w="1860" w:type="dxa"/>
            <w:vAlign w:val="bottom"/>
          </w:tcPr>
          <w:p>
            <w:pPr>
              <w:spacing w:after="0"/>
              <w:rPr>
                <w:sz w:val="24"/>
                <w:szCs w:val="24"/>
                <w:color w:val="auto"/>
              </w:rPr>
            </w:pPr>
          </w:p>
        </w:tc>
        <w:tc>
          <w:tcPr>
            <w:tcW w:w="9020" w:type="dxa"/>
            <w:vAlign w:val="bottom"/>
          </w:tcPr>
          <w:p>
            <w:pPr>
              <w:spacing w:after="0"/>
              <w:rPr>
                <w:sz w:val="24"/>
                <w:szCs w:val="24"/>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9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w w:val="92"/>
              </w:rPr>
              <w:t>Expected term (in years)</w:t>
            </w:r>
          </w:p>
        </w:tc>
        <w:tc>
          <w:tcPr>
            <w:tcW w:w="9020" w:type="dxa"/>
            <w:vAlign w:val="bottom"/>
          </w:tcPr>
          <w:p>
            <w:pPr>
              <w:jc w:val="right"/>
              <w:ind w:right="110"/>
              <w:spacing w:after="0"/>
              <w:rPr>
                <w:sz w:val="20"/>
                <w:szCs w:val="20"/>
                <w:color w:val="auto"/>
              </w:rPr>
            </w:pPr>
            <w:r>
              <w:rPr>
                <w:rFonts w:ascii="Arial" w:cs="Arial" w:eastAsia="Arial" w:hAnsi="Arial"/>
                <w:sz w:val="18"/>
                <w:szCs w:val="18"/>
                <w:color w:val="auto"/>
              </w:rPr>
              <w:t>3.4 - 7.0</w:t>
            </w:r>
          </w:p>
        </w:tc>
      </w:tr>
      <w:tr>
        <w:trPr>
          <w:trHeight w:val="27"/>
        </w:trPr>
        <w:tc>
          <w:tcPr>
            <w:tcW w:w="1860" w:type="dxa"/>
            <w:vAlign w:val="bottom"/>
          </w:tcPr>
          <w:p>
            <w:pPr>
              <w:spacing w:after="0"/>
              <w:rPr>
                <w:sz w:val="2"/>
                <w:szCs w:val="2"/>
                <w:color w:val="auto"/>
              </w:rPr>
            </w:pPr>
          </w:p>
        </w:tc>
        <w:tc>
          <w:tcPr>
            <w:tcW w:w="9020" w:type="dxa"/>
            <w:vAlign w:val="bottom"/>
          </w:tcPr>
          <w:p>
            <w:pPr>
              <w:spacing w:after="0"/>
              <w:rPr>
                <w:sz w:val="2"/>
                <w:szCs w:val="2"/>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9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2.42% - 2.51%</w:t>
            </w: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90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20" w:firstLine="432"/>
        <w:spacing w:after="0" w:line="258"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is based on the Company's historical volatility. Management believes this is the best estimate of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over the expected life of its stock options.</w:t>
      </w:r>
    </w:p>
    <w:p>
      <w:pPr>
        <w:spacing w:after="0" w:line="1" w:lineRule="exact"/>
        <w:rPr>
          <w:sz w:val="20"/>
          <w:szCs w:val="20"/>
          <w:color w:val="auto"/>
        </w:rPr>
      </w:pPr>
    </w:p>
    <w:p>
      <w:pPr>
        <w:ind w:right="20" w:firstLine="432"/>
        <w:spacing w:after="0" w:line="277"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Company determines the expected term based on the average period the stock options are expected to remain outstanding,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calculated as the midpoint of the stock options’ remaining vesting term and contractual expiration period, as the Company does not have sufficient historical information to develop reasonable expectations about future exercise patterns and post-vesting employment termination behavior.</w:t>
      </w:r>
    </w:p>
    <w:p>
      <w:pPr>
        <w:spacing w:after="0" w:line="173"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security in effect at the time the options were assumed for maturities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17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Company has not paid and does not expect to pay dividends. Consequently, the Company uses an expected dividend yield</w:t>
      </w:r>
      <w:r>
        <w:rPr>
          <w:rFonts w:ascii="Arial" w:cs="Arial" w:eastAsia="Arial" w:hAnsi="Arial"/>
          <w:sz w:val="18"/>
          <w:szCs w:val="18"/>
          <w:i w:val="1"/>
          <w:iCs w:val="1"/>
          <w:color w:val="auto"/>
        </w:rPr>
        <w:t xml:space="preserve"> </w:t>
      </w:r>
      <w:r>
        <w:rPr>
          <w:rFonts w:ascii="Arial" w:cs="Arial" w:eastAsia="Arial" w:hAnsi="Arial"/>
          <w:sz w:val="18"/>
          <w:szCs w:val="18"/>
          <w:color w:val="auto"/>
        </w:rPr>
        <w:t>of zero.</w:t>
      </w:r>
    </w:p>
    <w:p>
      <w:pPr>
        <w:spacing w:after="0" w:line="17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estimated weighted-average grant date fair value for stock options assumed was $21.60 per share and total fair value of $19.4 million, of which, $18.6 million will be recognized as post-combination stock-based compensation expense.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Co-Founder Grants</w:t>
      </w:r>
    </w:p>
    <w:p>
      <w:pPr>
        <w:spacing w:after="0" w:line="117"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In December 2017, the Board of Directors approved a grant to the Company’s co-founders of non-Plan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The Co-Founder Grants are excluded from Class A common stock issued and outstanding until the satisfaction of these vesting conditions. The Co-Founder Grants also provide the holders with certain stockholder rights, such as the right to vote the shares with the other holders of Class A common stock and a right to cumulative declared dividends. However, the Co-Founder Grants are not considered a participating security for purposes of calculating net loss per share attributable to common stockholders in Note 13, "Net Loss Per Share", as the right to the cumulative declared dividends is forfeitable if the service condition is not met.</w:t>
      </w:r>
    </w:p>
    <w:p>
      <w:pPr>
        <w:spacing w:after="0" w:line="166"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Co-Founder Grants are eligible to vest over the ten-year period following the date the Company’s shares of Class A common stock commenced trading on the Nasdaq Global Select Market in connection with the Company’s IPO. The Co-Founder Grants comprise nine tranches that are eligible to vest based on the achievement of stock price goals, each of which are referred to as a Stock Price Target, measured over a consecutive thirty-day trading period during the Performance Period. The Performance Period began on January 1, 2019.</w:t>
      </w:r>
    </w:p>
    <w:p>
      <w:pPr>
        <w:spacing w:after="0" w:line="18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During the first four years of the Performance Period, no more than 20% of the shares subject to each Co-Founder Grant would be eligible to vest in any calendar year. After the first four years, all shares are eligible to vest based on the achievement of the Stock Price Targets.</w:t>
      </w:r>
    </w:p>
    <w:p>
      <w:pPr>
        <w:spacing w:after="0" w:line="170"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color w:val="auto"/>
        </w:rPr>
        <w:t>The Company calculated the grant date fair value of the Co-Founder Grants based on multiple stock price paths developed through the use of a Monte Carlo simulation. A Monte Carlo simulation also calculates a derived service period for each of the nine vesting tranches, which is the measure of the expected time to achieve each Stock Price Target. A Monte Carlo simulation requires the use of various assumptions, including the underlying stock price, volatility, and the risk-free interest rate as of the valuation date, corresponding to the length of time remaining in the performance period, and expected dividend yield. The weighted-average grant date fair value of each Co-Founder Grant was estimated to be $10.60 per share. The weighted-average derived service period of each Co-Founder Grant was estimated to be 5.2 years, and ranged from 2.9 - 6.9 years. The Company will recognize aggregate stock-based compensation expense of $156.2 million over the derived service period of each tranche using the accelerated attribution method as long as the co-founders satisfy their service-based vesting conditions. If the Stock Price Targets are met sooner than the derived service period, the Company will adjust its stock-based compensation to reflect the cumulative expense associated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with the vested awards. The Company will recognize expense if the requisite service is provided, regardless of whether the market conditions are achieved.</w:t>
      </w:r>
    </w:p>
    <w:p>
      <w:pPr>
        <w:spacing w:after="0" w:line="248"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The Performance Vesting Condition for the Co-Founder Grants was satisfied on the date the Company’s shares of Class A common stock commenced trading on the Nasdaq Global Select Market in connection with the Company’s IPO, which was March 23, 2018. The Company recognized $8.6 million and $10.6 million in stock-based compensation related to the Co-Founder Grants during the three months ended March 31, 2019 and 2018, respectively. As of March 31, 2019, unamortized stock-based compensation expense related to the Co-Founder Grants was $119.3 million.</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Award modifications</w:t>
      </w:r>
    </w:p>
    <w:p>
      <w:pPr>
        <w:spacing w:after="0" w:line="117"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During the year ended December 31, 2017, the Company's Board of Directors voted to approve a modification of vesting schedules for certain unvested one-tier and two-tier RSUs to align the vesting schedules for all RSUs to vest once per quarter. The modification was effective February 15, 2018, which resulted in accelerated vesting of impacted RSUs that had met their service requirement as of that date. As a result, the Company recognized an incremental $10.0 million in stock-based compensation during the first quarter of 2018 related to these modified one-tier and two-tier RSUs.</w:t>
      </w:r>
    </w:p>
    <w:p>
      <w:pPr>
        <w:spacing w:after="0" w:line="3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Net Loss Per Share</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computes net loss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losses. Before the IPO, the Company’s outstanding securities also included convertible preferred stock. The holders of convertible preferred stock did not have a contractual obligation to share in the Company’s losses, and as a result, net losses were not allocated to these securities.</w:t>
      </w:r>
    </w:p>
    <w:p>
      <w:pPr>
        <w:spacing w:after="0" w:line="188"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The following table sets forth the calculation of basic and diluted net loss per share attributable to common stockholders during the periods presented. The shares issued in the IPO and the shares of Class A and Class B common stock issued upon conversion of the outstanding shares of convertible preferred stock in the IPO are included in the table below weighted for the period outstanding in the three months ended March 31, 2018. Additionally, the voluntary conversions of Class B common stock into Class A common stock are included in the table below weighted for the period outstanding in the three months ended March 31, 2019:</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March 31,</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color w:val="auto"/>
              </w:rPr>
              <w:t>Class A</w:t>
            </w:r>
          </w:p>
        </w:tc>
        <w:tc>
          <w:tcPr>
            <w:tcW w:w="280" w:type="dxa"/>
            <w:vAlign w:val="bottom"/>
          </w:tcPr>
          <w:p>
            <w:pPr>
              <w:spacing w:after="0"/>
              <w:rPr>
                <w:sz w:val="20"/>
                <w:szCs w:val="20"/>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Class B</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Class A</w:t>
            </w:r>
          </w:p>
        </w:tc>
        <w:tc>
          <w:tcPr>
            <w:tcW w:w="3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Class B</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1"/>
              </w:rPr>
              <w:t>Weighted-average number of common shares outstanding used</w:t>
            </w:r>
          </w:p>
        </w:tc>
        <w:tc>
          <w:tcPr>
            <w:tcW w:w="320" w:type="dxa"/>
            <w:vAlign w:val="bottom"/>
          </w:tcPr>
          <w:p>
            <w:pPr>
              <w:spacing w:after="0"/>
              <w:rPr>
                <w:sz w:val="19"/>
                <w:szCs w:val="19"/>
                <w:color w:val="auto"/>
              </w:rPr>
            </w:pP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vMerge w:val="restart"/>
          </w:tcPr>
          <w:p>
            <w:pPr>
              <w:jc w:val="right"/>
              <w:ind w:right="30"/>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vMerge w:val="restart"/>
          </w:tcPr>
          <w:p>
            <w:pPr>
              <w:jc w:val="right"/>
              <w:ind w:right="1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9"/>
              </w:rPr>
              <w:t>in computing basic and diluted net loss per common share</w:t>
            </w: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Net loss per common share, basic and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firstLine="432"/>
        <w:spacing w:after="0" w:line="312" w:lineRule="auto"/>
        <w:rPr>
          <w:sz w:val="20"/>
          <w:szCs w:val="20"/>
          <w:color w:val="auto"/>
        </w:rPr>
      </w:pPr>
      <w:r>
        <w:rPr>
          <w:rFonts w:ascii="Arial" w:cs="Arial" w:eastAsia="Arial" w:hAnsi="Arial"/>
          <w:sz w:val="16"/>
          <w:szCs w:val="16"/>
          <w:color w:val="auto"/>
        </w:rPr>
        <w:t>Since the Company was in a loss position for all periods presented, basic net loss per share attributable to common stockholders is the same as diluted net loss per share for all periods as the inclusion of all potential common shares outstanding would have been anti-dilutive. The weighted-average impact of potentially dilutive securities that were not included in the diluted per share calculations because they would be anti-dilutive was as follows: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22860</wp:posOffset>
            </wp:positionV>
            <wp:extent cx="2101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gridSpan w:val="2"/>
          </w:tcPr>
          <w:p>
            <w:pPr>
              <w:ind w:left="874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15"/>
        </w:trPr>
        <w:tc>
          <w:tcPr>
            <w:tcW w:w="8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250"/>
        </w:trPr>
        <w:tc>
          <w:tcPr>
            <w:tcW w:w="9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r>
      <w:tr>
        <w:trPr>
          <w:trHeight w:val="243"/>
        </w:trPr>
        <w:tc>
          <w:tcPr>
            <w:tcW w:w="9180" w:type="dxa"/>
            <w:vAlign w:val="bottom"/>
            <w:gridSpan w:val="2"/>
          </w:tcPr>
          <w:p>
            <w:pPr>
              <w:ind w:left="40"/>
              <w:spacing w:after="0"/>
              <w:rPr>
                <w:sz w:val="20"/>
                <w:szCs w:val="20"/>
                <w:color w:val="auto"/>
              </w:rPr>
            </w:pPr>
            <w:r>
              <w:rPr>
                <w:rFonts w:ascii="Arial" w:cs="Arial" w:eastAsia="Arial" w:hAnsi="Arial"/>
                <w:sz w:val="18"/>
                <w:szCs w:val="18"/>
                <w:color w:val="auto"/>
              </w:rPr>
              <w:t>Options to purchase shares of common stock</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9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Co-Founder Grants</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75.9</w:t>
            </w:r>
          </w:p>
        </w:tc>
      </w:tr>
      <w:tr>
        <w:trPr>
          <w:trHeight w:val="27"/>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Company computed the year-to-date income tax provision by applying the estimated annual effective tax rate to the year-to-date pre-tax loss and adjusted for discrete tax items in the period. The Company's income tax was a benefit of $5.7 million for the three months ended March 31, 2019, and an expense of $1.8 million for the three months ended March 31, 2018.</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Income tax benefit for the three months ended March 31, 2019 was primarily attributable to the tax benefit from the acquisition of HelloSign.</w:t>
      </w:r>
    </w:p>
    <w:p>
      <w:pPr>
        <w:spacing w:after="0" w:line="237"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During the three months ended March 31, 2019, the Company recorded a deferred tax liability of $6.9 million to reflect the tax effect of the assets and liabilities recorded in the acquisition of HelloSign. As a result of the acquisition of HelloSign, the Company recorded a one-time benefit of $6.9 million to recognize previously unrecognized deferred tax assets, which are now more-likely-than-not to be realized as a result of the net deferred tax liability recorded in the transaction. For further discussion of the HelloSign acquisition, see Note 5 "Business Combinations".</w:t>
      </w:r>
    </w:p>
    <w:p>
      <w:pPr>
        <w:spacing w:after="0" w:line="17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For the periods presented, the difference between the U.S. statutory rate and the Company's effective tax rate is primarily due to the full valuation allowance on its U.S. and Irish deferred tax assets. The effective tax rate is also impacted by earnings realized in foreign jurisdictions with statutory tax rates lower than the federal statutory tax rate.</w:t>
      </w:r>
    </w:p>
    <w:p>
      <w:pPr>
        <w:spacing w:after="0" w:line="18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March 31, 2019, the Company continues to maintain a full valuation allowance on its deferred tax assets in the U.S. and Ireland. However, the Company has partially benefited from its deferred tax assets due to the recognition of forecasted future income which is more likely than not to be earned in one of its foreign jurisdictions.</w:t>
      </w:r>
    </w:p>
    <w:p>
      <w:pPr>
        <w:spacing w:after="0" w:line="188"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The Company is subject to income tax audits in the U.S. and foreign jurisdictions. The Company records liabilities related to uncertain tax positions and believes that it has provided adequate reserves for income tax uncertainties in all open tax years. Unrecognized tax benefits increased by approximately $3.6 million for the three months ended March 31, 2019, of which $0.6 million, if recognized, would affect the Company's effective tax rate.</w:t>
      </w:r>
    </w:p>
    <w:p>
      <w:pPr>
        <w:spacing w:after="0" w:line="3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Dropbox Charitable Foundation</w:t>
      </w:r>
    </w:p>
    <w:p>
      <w:pPr>
        <w:spacing w:after="0" w:line="117"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During the year ended December 31, 2016, two of the Company’s controlling shareholders formed the Dropbox Charitable Foundation, a Delaware non-stock corporation (the “Foundation”). The primary purpose of the Foundation is to engage in charitable and educational activities within the meaning of Section 501(c)(3) of the Code. The Foundation is governed by a Board of Directors, a majority of which are independent. Both shareholders made contributions to the Foundation during the year ended December 31, 2016, comprised entirely of shares of Dropbox common stock. The Company has not consolidated the Foundation in the accompanying condensed consolidated financial statements, as the Company does not have control of the entity.</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contributions to the Foundation during the three months ended March 31, 2019 and 2018, respectively.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Geographic Areas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long-lived assets by geographic area:</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2019</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2018</w:t>
            </w:r>
          </w:p>
        </w:tc>
      </w:tr>
      <w:tr>
        <w:trPr>
          <w:trHeight w:val="27"/>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15"/>
        </w:trPr>
        <w:tc>
          <w:tcPr>
            <w:tcW w:w="7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tcPr>
          <w:p>
            <w:pPr>
              <w:spacing w:after="0"/>
              <w:rPr>
                <w:sz w:val="10"/>
                <w:szCs w:val="10"/>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293.6</w:t>
            </w:r>
          </w:p>
        </w:tc>
      </w:tr>
      <w:tr>
        <w:trPr>
          <w:trHeight w:val="270"/>
        </w:trPr>
        <w:tc>
          <w:tcPr>
            <w:tcW w:w="74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620" w:hanging="332"/>
        <w:spacing w:after="0" w:line="232" w:lineRule="auto"/>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No single country other than the United States had a property and equipment balance greater than 10% of total property and equipment, net, as of March 31, 2019 and December 31, 2018.</w:t>
      </w:r>
    </w:p>
    <w:p>
      <w:pPr>
        <w:spacing w:after="0" w:line="31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Revenue by geography is generally based on the address of the customer as defined in the Company’s subscription agreement. The following table sets forth revenue by geographic area for the three months ended March 31, 2019 and 2018.</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15"/>
        </w:trPr>
        <w:tc>
          <w:tcPr>
            <w:tcW w:w="8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197.1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161.6</w:t>
            </w:r>
          </w:p>
        </w:tc>
      </w:tr>
      <w:tr>
        <w:trPr>
          <w:trHeight w:val="270"/>
        </w:trPr>
        <w:tc>
          <w:tcPr>
            <w:tcW w:w="8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(1)</w:t>
            </w:r>
          </w:p>
        </w:tc>
        <w:tc>
          <w:tcPr>
            <w:tcW w:w="10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188.5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154.7</w:t>
            </w: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385.6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316.3</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240" w:hanging="332"/>
        <w:spacing w:after="0" w:line="232"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No single country outside of the United States accounted for more than 10% of total revenue during the three months ended March 31, 2019 and 2018, respectively.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40" w:firstLine="432"/>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Our modern economy runs on knowledge. Today, knowledge lives in the cloud as digital content, and Dropbox is a global collaboration platform where more and more of this content is created, accessed, and shared with the world. We serve more than 500 million registered users across 180 countries.</w:t>
      </w:r>
    </w:p>
    <w:p>
      <w:pPr>
        <w:spacing w:after="0" w:line="124"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Since our founding in 2007, our market opportunity has grown as we’ve expanded from keeping files in sync to keeping teams in sync. 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w:t>
      </w:r>
    </w:p>
    <w:p>
      <w:pPr>
        <w:spacing w:after="0" w:line="14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By solving these universal problems, we’ve become invaluable to our users. The popularity of our platform drives viral growth, which has allowed us to scale rapidly and efficiently. We’ve built a thriving global business with 13.2 million paying users.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Subscription Plans</w:t>
      </w:r>
    </w:p>
    <w:p>
      <w:pPr>
        <w:spacing w:after="0" w:line="12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generate revenue from individuals, teams, and organizations by selling subscriptions to our platform, which serve the varying needs of our diverse customer base. Subscribers can purchase individual licenses through our Plus and Professional plans, or purchase multiple licenses through a Standard, Advanced, or Enterprise team plan. Each team represents a separately billed deployment that is managed through a single administrative dashboard. Teams must have a minimum of three users, but can also have more than tens of thousands of users. Customers can choose between an annual or monthly plan, with a small number of large organizations on multi-year plans. A majority of our customers opt for our annual plans. We typically bill our customers at the beginning of their respective terms and recognize revenue ratably over the term of the subscription period. International customers can pay in U.S. dollars or a select number of foreign currencies.</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187"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the first quarter of fiscal 2019, we acquired HelloSign, an e-signature and document workflow platform. The acquisition of HelloSign expands our content collaboration capabilities to include additional business-critical workflows. HelloSign has several product lines, and the pricing and revenue generated from each product line varies, with some product lines priced based on the number of licenses purchased (similar to Dropbox plans), while others are priced based on a customer’s transaction volume. Depending on the product purchased, teams must have a minimum of a certain number of licenses, but can also have hundreds of users. Customers can choose between an annual or monthly plan, with a small number of large organizations on multi-year plans. HelloSign also typically bills customers at the beginning of their respective terms and recognizes revenue ratably over the subscription period. HelloSign primarily sells within the United States and sells only in U.S. dollars</w:t>
      </w:r>
      <w:r>
        <w:rPr>
          <w:rFonts w:ascii="Arial" w:cs="Arial" w:eastAsia="Arial" w:hAnsi="Arial"/>
          <w:sz w:val="17"/>
          <w:szCs w:val="17"/>
          <w:i w:val="1"/>
          <w:iCs w:val="1"/>
          <w:color w:val="auto"/>
        </w:rPr>
        <w: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customer base is highly diversified, and in the period presented,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1"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education, industrials, consumer and retail, and financial services. Within companies, our platform is used by all types of teams and functions, including sales, marketing, product, design, engineering, finance, legal, and human resources.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Drive new signups</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Increase conversion of registered users to our paid subscription plans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generate over 90% of our revenue from self-serve channels—users who purchase a subscription through our app or website. We actively encourage our registered users to become paying users through in-product prompts and notifications, time-limited free trials of paid subscription plans, email campaigns, and lifecycle marketing.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Upgrade and expand existing customers</w:t>
      </w:r>
    </w:p>
    <w:p>
      <w:pPr>
        <w:spacing w:after="0" w:line="22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We prompt individual subscribers who collaborate with others on Dropbox to purchase our Standard or Advanced plans for a better team experience, and we also encourage existing Dropbox Business teams to purchase additional licenses or to upgrade to premium subscription plans.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Paying users</w:t>
      </w:r>
    </w:p>
    <w:p>
      <w:pPr>
        <w:spacing w:after="0" w:line="117"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18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We have experienced growth in the number of paying users across our products, with the majority of paying users for the periods presented coming from our self-serve channels.</w:t>
      </w:r>
    </w:p>
    <w:p>
      <w:pPr>
        <w:spacing w:after="0" w:line="170"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We acquired HelloSign in the first quarter of fiscal 2019. HelloSign has several product lines and the pricing and revenue generated from each product line varies, with some product lines priced based on the number of licenses purchased (similar to Dropbox plans), while others are priced based on a customer’s transaction volume. For purposes of HelloSign results, we include as paying users either (i) the number of users who have active paid licenses for access to the HelloSign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below table sets forth the number of paying users as of March 31, 2019, December 31, 2018, and March 31, 2018.</w:t>
      </w:r>
    </w:p>
    <w:p>
      <w:pPr>
        <w:spacing w:after="0" w:line="200" w:lineRule="exact"/>
        <w:rPr>
          <w:sz w:val="20"/>
          <w:szCs w:val="20"/>
          <w:color w:val="auto"/>
        </w:rPr>
      </w:pPr>
    </w:p>
    <w:p>
      <w:pPr>
        <w:spacing w:after="0" w:line="224"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34290</wp:posOffset>
            </wp:positionV>
            <wp:extent cx="40563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620" w:type="dxa"/>
            <w:vAlign w:val="bottom"/>
          </w:tcPr>
          <w:p>
            <w:pPr>
              <w:ind w:left="420"/>
              <w:spacing w:after="0"/>
              <w:rPr>
                <w:sz w:val="20"/>
                <w:szCs w:val="20"/>
                <w:color w:val="auto"/>
              </w:rPr>
            </w:pPr>
            <w:r>
              <w:rPr>
                <w:rFonts w:ascii="Arial" w:cs="Arial" w:eastAsia="Arial" w:hAnsi="Arial"/>
                <w:sz w:val="18"/>
                <w:szCs w:val="18"/>
                <w:b w:val="1"/>
                <w:bCs w:val="1"/>
                <w:color w:val="auto"/>
                <w:w w:val="92"/>
              </w:rPr>
              <w:t>March 31, 2019</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 2018</w:t>
            </w: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 2018</w:t>
            </w:r>
          </w:p>
        </w:tc>
      </w:tr>
      <w:tr>
        <w:trPr>
          <w:trHeight w:val="27"/>
        </w:trPr>
        <w:tc>
          <w:tcPr>
            <w:tcW w:w="504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358"/>
        </w:trPr>
        <w:tc>
          <w:tcPr>
            <w:tcW w:w="5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5"/>
              </w:rPr>
              <w:t>(In millions)</w:t>
            </w:r>
          </w:p>
        </w:tc>
        <w:tc>
          <w:tcPr>
            <w:tcW w:w="2040" w:type="dxa"/>
            <w:vAlign w:val="bottom"/>
          </w:tcPr>
          <w:p>
            <w:pPr>
              <w:spacing w:after="0"/>
              <w:rPr>
                <w:sz w:val="24"/>
                <w:szCs w:val="24"/>
                <w:color w:val="auto"/>
              </w:rPr>
            </w:pPr>
          </w:p>
        </w:tc>
      </w:tr>
      <w:tr>
        <w:trPr>
          <w:trHeight w:val="27"/>
        </w:trPr>
        <w:tc>
          <w:tcPr>
            <w:tcW w:w="5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3"/>
        </w:trPr>
        <w:tc>
          <w:tcPr>
            <w:tcW w:w="6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Paying users</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13.2</w:t>
            </w:r>
          </w:p>
        </w:tc>
        <w:tc>
          <w:tcPr>
            <w:tcW w:w="120" w:type="dxa"/>
            <w:vAlign w:val="bottom"/>
            <w:shd w:val="clear" w:color="auto" w:fill="CCEEFF"/>
          </w:tcPr>
          <w:p>
            <w:pPr>
              <w:spacing w:after="0"/>
              <w:rPr>
                <w:sz w:val="21"/>
                <w:szCs w:val="21"/>
                <w:color w:val="auto"/>
              </w:rPr>
            </w:pP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50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Average revenue per paying user</w:t>
      </w:r>
    </w:p>
    <w:p>
      <w:pPr>
        <w:spacing w:after="0" w:line="117" w:lineRule="exact"/>
        <w:rPr>
          <w:sz w:val="20"/>
          <w:szCs w:val="20"/>
          <w:color w:val="auto"/>
        </w:rPr>
      </w:pPr>
    </w:p>
    <w:p>
      <w:pPr>
        <w:jc w:val="both"/>
        <w:ind w:right="320" w:firstLine="432"/>
        <w:spacing w:after="0" w:line="279" w:lineRule="auto"/>
        <w:rPr>
          <w:sz w:val="20"/>
          <w:szCs w:val="20"/>
          <w:color w:val="auto"/>
        </w:rPr>
      </w:pPr>
      <w:r>
        <w:rPr>
          <w:rFonts w:ascii="Arial" w:cs="Arial" w:eastAsia="Arial" w:hAnsi="Arial"/>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171" w:lineRule="exact"/>
        <w:rPr>
          <w:sz w:val="20"/>
          <w:szCs w:val="20"/>
          <w:color w:val="auto"/>
        </w:rPr>
      </w:pPr>
    </w:p>
    <w:p>
      <w:pPr>
        <w:ind w:right="300" w:firstLine="432"/>
        <w:spacing w:after="0" w:line="302" w:lineRule="auto"/>
        <w:rPr>
          <w:sz w:val="20"/>
          <w:szCs w:val="20"/>
          <w:color w:val="auto"/>
        </w:rPr>
      </w:pPr>
      <w:r>
        <w:rPr>
          <w:rFonts w:ascii="Arial" w:cs="Arial" w:eastAsia="Arial" w:hAnsi="Arial"/>
          <w:sz w:val="16"/>
          <w:szCs w:val="16"/>
          <w:color w:val="auto"/>
        </w:rPr>
        <w:t>In 2017, we launched our Dropbox Business Advanced plan. At the time of launch, we grandfathered existing Dropbox Business teams into the Dropbox Business Advanced plan at their legacy price. During the second quarter of 2018, a significant portion of those grandfathered teams renewed at a higher price. As a result of these renewals, and combined with an increased mix of sales towards our higher-priced subscription plans, we experienced an increase in our average revenue per paying user for the three months ended March 31, 2019, compared to the three months ended March 31, 2018.</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below table sets forth our ARPU for the three months ended March 31, 2019 and 2018.</w:t>
      </w:r>
    </w:p>
    <w:p>
      <w:pPr>
        <w:spacing w:after="0" w:line="200" w:lineRule="exact"/>
        <w:rPr>
          <w:sz w:val="20"/>
          <w:szCs w:val="20"/>
          <w:color w:val="auto"/>
        </w:rPr>
      </w:pPr>
    </w:p>
    <w:p>
      <w:pPr>
        <w:spacing w:after="0" w:line="224"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8400"/>
        <w:spacing w:after="0"/>
        <w:tabs>
          <w:tab w:leader="none" w:pos="103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82" w:lineRule="exact"/>
        <w:rPr>
          <w:sz w:val="20"/>
          <w:szCs w:val="20"/>
          <w:color w:val="auto"/>
        </w:rPr>
      </w:pPr>
    </w:p>
    <w:p>
      <w:pPr>
        <w:ind w:left="40"/>
        <w:spacing w:after="0"/>
        <w:tabs>
          <w:tab w:leader="none" w:pos="7680" w:val="left"/>
          <w:tab w:leader="none" w:pos="8860" w:val="left"/>
          <w:tab w:leader="none" w:pos="9600" w:val="left"/>
          <w:tab w:leader="none" w:pos="10800" w:val="left"/>
        </w:tabs>
        <w:rPr>
          <w:sz w:val="20"/>
          <w:szCs w:val="20"/>
          <w:color w:val="auto"/>
        </w:rPr>
      </w:pPr>
      <w:r>
        <w:rPr>
          <w:rFonts w:ascii="Arial" w:cs="Arial" w:eastAsia="Arial" w:hAnsi="Arial"/>
          <w:sz w:val="18"/>
          <w:szCs w:val="18"/>
          <w:color w:val="auto"/>
        </w:rPr>
        <w:t>ARPU</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121.04</w:t>
        <w:tab/>
        <w:t>$</w:t>
      </w:r>
      <w:r>
        <w:rPr>
          <w:sz w:val="20"/>
          <w:szCs w:val="20"/>
          <w:color w:val="auto"/>
        </w:rPr>
        <w:tab/>
      </w:r>
      <w:r>
        <w:rPr>
          <w:rFonts w:ascii="Arial" w:cs="Arial" w:eastAsia="Arial" w:hAnsi="Arial"/>
          <w:sz w:val="16"/>
          <w:szCs w:val="16"/>
          <w:color w:val="auto"/>
        </w:rPr>
        <w:t>114.30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In addition to our results determined in accordance with U.S. generally accepted accounting principles, or GAAP, we believe that free cash flow, or FCF, a non-GAAP financial measure, is useful in evaluating our liquidity.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and may be calculated differently by other companies in our industry, limiting its usefulness as a comparative measure.</w:t>
      </w:r>
    </w:p>
    <w:p>
      <w:pPr>
        <w:spacing w:after="0" w:line="189" w:lineRule="exact"/>
        <w:rPr>
          <w:sz w:val="20"/>
          <w:szCs w:val="20"/>
          <w:color w:val="auto"/>
        </w:rPr>
      </w:pPr>
    </w:p>
    <w:p>
      <w:pPr>
        <w:jc w:val="both"/>
        <w:ind w:right="240" w:firstLine="432"/>
        <w:spacing w:after="0" w:line="312" w:lineRule="auto"/>
        <w:rPr>
          <w:sz w:val="20"/>
          <w:szCs w:val="20"/>
          <w:color w:val="auto"/>
        </w:rPr>
      </w:pPr>
      <w:r>
        <w:rPr>
          <w:rFonts w:ascii="Arial" w:cs="Arial" w:eastAsia="Arial" w:hAnsi="Arial"/>
          <w:sz w:val="16"/>
          <w:szCs w:val="16"/>
          <w:color w:val="auto"/>
        </w:rPr>
        <w:t>Our FCF decreased for the three months ended March 31, 2019, compared to the three months ended March 31, 2018, primarily due to higher capital expenditures related to our office and datacenter build-outs and an increase in our annual bonus payout. The decrease was partially offset by an increase in cash provided by operating activities, which was driven by increased subscription sales, as a majority of our paying users are invoiced in advance.</w:t>
      </w:r>
    </w:p>
    <w:p>
      <w:pPr>
        <w:spacing w:after="0" w:line="14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expect our FCF to fluctuate in future periods as we purchase infrastructure equipment to support our user base and invest in our new and existing office spaces, including our new corporate headquarters, to support our plans for growth. These activities, along with certain increased operating expenses as described below, may result in a decrease in FCF as a percentage of revenue in future periods.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FCF to the most comparable GAAP measure, net cash provided by operating activities: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0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47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3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00" w:type="dxa"/>
            <w:vAlign w:val="bottom"/>
            <w:gridSpan w:val="3"/>
          </w:tcPr>
          <w:p>
            <w:pPr>
              <w:jc w:val="right"/>
              <w:ind w:right="730"/>
              <w:spacing w:after="0"/>
              <w:rPr>
                <w:sz w:val="20"/>
                <w:szCs w:val="20"/>
                <w:color w:val="auto"/>
              </w:rPr>
            </w:pPr>
            <w:r>
              <w:rPr>
                <w:rFonts w:ascii="Arial" w:cs="Arial" w:eastAsia="Arial" w:hAnsi="Arial"/>
                <w:sz w:val="18"/>
                <w:szCs w:val="18"/>
                <w:i w:val="1"/>
                <w:iCs w:val="1"/>
                <w:color w:val="auto"/>
              </w:rPr>
              <w:t>(In millions)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740" w:type="dxa"/>
            <w:vAlign w:val="bottom"/>
            <w:tcBorders>
              <w:bottom w:val="single" w:sz="8" w:color="CCEEFF"/>
            </w:tcBorders>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4740" w:type="dxa"/>
            <w:vAlign w:val="bottom"/>
            <w:tcBorders>
              <w:bottom w:val="single" w:sz="8" w:color="CCEEFF"/>
            </w:tcBorders>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bottom w:val="single" w:sz="8" w:color="CCEEFF"/>
            </w:tcBorders>
            <w:vMerge w:val="restart"/>
          </w:tcPr>
          <w:p>
            <w:pPr>
              <w:jc w:val="right"/>
              <w:ind w:right="2010"/>
              <w:spacing w:after="0"/>
              <w:rPr>
                <w:sz w:val="20"/>
                <w:szCs w:val="20"/>
                <w:color w:val="auto"/>
              </w:rPr>
            </w:pPr>
            <w:r>
              <w:rPr>
                <w:rFonts w:ascii="Arial" w:cs="Arial" w:eastAsia="Arial" w:hAnsi="Arial"/>
                <w:sz w:val="18"/>
                <w:szCs w:val="18"/>
                <w:color w:val="auto"/>
              </w:rPr>
              <w:t>39</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0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generate revenue from sales of subscriptions to our platform.</w:t>
      </w:r>
    </w:p>
    <w:p>
      <w:pPr>
        <w:spacing w:after="0" w:line="225" w:lineRule="exact"/>
        <w:rPr>
          <w:sz w:val="20"/>
          <w:szCs w:val="20"/>
          <w:color w:val="auto"/>
        </w:rPr>
      </w:pPr>
    </w:p>
    <w:p>
      <w:pPr>
        <w:jc w:val="both"/>
        <w:ind w:right="120" w:firstLine="432"/>
        <w:spacing w:after="0" w:line="279" w:lineRule="auto"/>
        <w:rPr>
          <w:sz w:val="20"/>
          <w:szCs w:val="20"/>
          <w:color w:val="auto"/>
        </w:rPr>
      </w:pPr>
      <w:r>
        <w:rPr>
          <w:rFonts w:ascii="Arial" w:cs="Arial" w:eastAsia="Arial" w:hAnsi="Arial"/>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17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Our revenue is driven primarily by the number of paying users and the price we charge for access to our platform, which varies based on the type of plan to which a customer subscribes. We generate over 90% of our revenue from self-serve channels. No customer represented more than 1% of our revenue in the periods presented.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17"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cost of revenue consists primarily of expenses associated with the storage, delivery, and distribution of our platform for both</w:t>
      </w:r>
      <w:r>
        <w:rPr>
          <w:rFonts w:ascii="Arial" w:cs="Arial" w:eastAsia="Arial" w:hAnsi="Arial"/>
          <w:sz w:val="16"/>
          <w:szCs w:val="16"/>
          <w:i w:val="1"/>
          <w:iCs w:val="1"/>
          <w:color w:val="auto"/>
        </w:rPr>
        <w:t xml:space="preserve"> </w:t>
      </w:r>
      <w:r>
        <w:rPr>
          <w:rFonts w:ascii="Arial" w:cs="Arial" w:eastAsia="Arial" w:hAnsi="Arial"/>
          <w:sz w:val="16"/>
          <w:szCs w:val="16"/>
          <w:color w:val="auto"/>
        </w:rPr>
        <w:t>paying users and free users, also known as Basic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6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170" w:lineRule="exact"/>
        <w:rPr>
          <w:sz w:val="20"/>
          <w:szCs w:val="20"/>
          <w:color w:val="auto"/>
        </w:rPr>
      </w:pPr>
    </w:p>
    <w:p>
      <w:pPr>
        <w:jc w:val="both"/>
        <w:ind w:right="200" w:firstLine="432"/>
        <w:spacing w:after="0" w:line="259"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is gross profit expressed as a percentage of revenue. Our gross margin may fluctuate from period to period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of additional capital expenditures and the related depreciation expense, or other increases in our infrastructure costs, as well as revenue fluctuations. As we continue to increase the utilization of our internal infrastructure, we generally expect our gross margin, to remain relatively constant in the near term and to increase modestly in the long term.</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Our research and development expenses consist primarily of employee-related costs for our engineering, product, and</w:t>
      </w:r>
      <w:r>
        <w:rPr>
          <w:rFonts w:ascii="Arial" w:cs="Arial" w:eastAsia="Arial" w:hAnsi="Arial"/>
          <w:sz w:val="16"/>
          <w:szCs w:val="16"/>
          <w:i w:val="1"/>
          <w:iCs w:val="1"/>
          <w:color w:val="auto"/>
        </w:rPr>
        <w:t xml:space="preserve"> </w:t>
      </w:r>
      <w:r>
        <w:rPr>
          <w:rFonts w:ascii="Arial" w:cs="Arial" w:eastAsia="Arial" w:hAnsi="Arial"/>
          <w:sz w:val="16"/>
          <w:szCs w:val="16"/>
          <w:color w:val="auto"/>
        </w:rPr>
        <w:t>design teams, compensation expenses related to key personnel from acquisitions and allocated overhead. Additionally, research and development expenses include internal development-related third-party hosting fees. We have expensed almost all of our research and development costs as they were incurred.</w:t>
      </w:r>
    </w:p>
    <w:p>
      <w:pPr>
        <w:spacing w:after="0" w:line="147"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We plan to continue to hire employees for our engineering, product, and design teams to support our research and development efforts. We expect that research and development costs will increase in absolute dollars in future periods and vary from period to period as a percentage of revenue.</w:t>
      </w:r>
    </w:p>
    <w:p>
      <w:pPr>
        <w:spacing w:after="0" w:line="12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Our sales and marketing expenses relate to both self-serve and outbound sales activities, and consist primarily of employee-related</w:t>
      </w:r>
      <w:r>
        <w:rPr>
          <w:rFonts w:ascii="Arial" w:cs="Arial" w:eastAsia="Arial" w:hAnsi="Arial"/>
          <w:sz w:val="16"/>
          <w:szCs w:val="16"/>
          <w:i w:val="1"/>
          <w:iCs w:val="1"/>
          <w:color w:val="auto"/>
        </w:rPr>
        <w:t xml:space="preserve"> </w:t>
      </w:r>
      <w:r>
        <w:rPr>
          <w:rFonts w:ascii="Arial" w:cs="Arial" w:eastAsia="Arial" w:hAnsi="Arial"/>
          <w:sz w:val="16"/>
          <w:szCs w:val="16"/>
          <w:color w:val="auto"/>
        </w:rPr>
        <w:t>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user,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15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plan to continue to invest in sales and marketing to grow our user base and increase our brand awareness, including marketing efforts to continue to drive our self-serve business model. We expect that sales and marketing expenses will increase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1"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absolute dollars in future periods and vary from period to period as a percentage of revenue. The trend and timing of sales and marketing expenses will depend in part on the timing of marketing campaigns.</w:t>
      </w:r>
    </w:p>
    <w:p>
      <w:pPr>
        <w:spacing w:after="0" w:line="17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Our general and administrative expenses consist primarily of employee-related costs for our legal, finance, human</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and other administrative teams, as well as certain executives. In addition, general and administrative expenses include allocated overhead, outside legal, accounting and other professional fees, and non-income based taxes.</w:t>
      </w:r>
    </w:p>
    <w:p>
      <w:pPr>
        <w:spacing w:after="0" w:line="18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expect to incur additional general and administrative expenses to support the growth of the Company. General and administrative expenses include the recognition of stock-based compensation expense related to grants of restricted stock made to our co-founders. We expect that general and administrative expenses will increase in absolute dollars in future periods and vary from period to period as a percentage of revenue.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Interest income (expense), net consists primarily of interest income earned on our money market funds classified as cash and cash equivalents and short-term investments, partially offset by interest expense related to our finance lease obligations for infrastructure and our imputed financing obligation for our liability to the legal owner of our previous corporate headquarters. We no longer incur interest expense for our imputed financing obligation as of the fourth quarter of 2018, due to the termination of our master lease for our previous corporate headquarters in the third quarter of 2018.</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Other income (expense), net consists of other non-operating gains or losses, including those related to lease arrangements, which include ongoing subleases. Other income (expense), net also includes foreign currency transaction gains and losses, and realized gains and losses related to our short-term investments.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11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Provision for income taxes consists primarily of U.S. federal and state income taxes and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state, and certain foreign jurisdictions as we have concluded that it is not more likely than not that the deferred assets will be realized.</w:t>
      </w:r>
    </w:p>
    <w:p>
      <w:pPr>
        <w:spacing w:after="0" w:line="200" w:lineRule="exact"/>
        <w:rPr>
          <w:sz w:val="20"/>
          <w:szCs w:val="20"/>
          <w:color w:val="auto"/>
        </w:rPr>
      </w:pPr>
    </w:p>
    <w:p>
      <w:pPr>
        <w:spacing w:after="0" w:line="3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00"/>
          </w:cols>
          <w:pgMar w:left="240" w:top="121"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ind w:left="420"/>
              <w:spacing w:after="0"/>
              <w:rPr>
                <w:sz w:val="20"/>
                <w:szCs w:val="20"/>
                <w:color w:val="auto"/>
              </w:rPr>
            </w:pPr>
            <w:r>
              <w:rPr>
                <w:rFonts w:ascii="Arial" w:cs="Arial" w:eastAsia="Arial" w:hAnsi="Arial"/>
                <w:sz w:val="18"/>
                <w:szCs w:val="18"/>
                <w:color w:val="auto"/>
              </w:rPr>
              <w:t>The following tables set forth our results of operations for the periods presented:</w:t>
            </w: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729"/>
        </w:trPr>
        <w:tc>
          <w:tcPr>
            <w:tcW w:w="7900" w:type="dxa"/>
            <w:vAlign w:val="bottom"/>
          </w:tcPr>
          <w:p>
            <w:pPr>
              <w:spacing w:after="0"/>
              <w:rPr>
                <w:sz w:val="24"/>
                <w:szCs w:val="24"/>
                <w:color w:val="auto"/>
              </w:rPr>
            </w:pPr>
          </w:p>
        </w:tc>
        <w:tc>
          <w:tcPr>
            <w:tcW w:w="352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58"/>
        </w:trPr>
        <w:tc>
          <w:tcPr>
            <w:tcW w:w="7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gridSpan w:val="3"/>
          </w:tcPr>
          <w:p>
            <w:pPr>
              <w:jc w:val="right"/>
              <w:ind w:right="50"/>
              <w:spacing w:after="0"/>
              <w:rPr>
                <w:sz w:val="20"/>
                <w:szCs w:val="20"/>
                <w:color w:val="auto"/>
              </w:rPr>
            </w:pPr>
            <w:r>
              <w:rPr>
                <w:rFonts w:ascii="Arial" w:cs="Arial" w:eastAsia="Arial" w:hAnsi="Arial"/>
                <w:sz w:val="18"/>
                <w:szCs w:val="18"/>
                <w:i w:val="1"/>
                <w:iCs w:val="1"/>
                <w:color w:val="auto"/>
              </w:rPr>
              <w:t>(In millions)</w:t>
            </w:r>
          </w:p>
        </w:tc>
        <w:tc>
          <w:tcPr>
            <w:tcW w:w="1160" w:type="dxa"/>
            <w:vAlign w:val="bottom"/>
          </w:tcPr>
          <w:p>
            <w:pPr>
              <w:spacing w:after="0"/>
              <w:rPr>
                <w:sz w:val="24"/>
                <w:szCs w:val="24"/>
                <w:color w:val="auto"/>
              </w:rPr>
            </w:pP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316.3</w:t>
            </w:r>
          </w:p>
        </w:tc>
      </w:tr>
      <w:tr>
        <w:trPr>
          <w:trHeight w:val="270"/>
        </w:trPr>
        <w:tc>
          <w:tcPr>
            <w:tcW w:w="790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p>
        </w:tc>
        <w:tc>
          <w:tcPr>
            <w:tcW w:w="1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120.6</w:t>
            </w: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195.7</w:t>
            </w:r>
          </w:p>
        </w:tc>
      </w:tr>
      <w:tr>
        <w:trPr>
          <w:trHeight w:val="270"/>
        </w:trPr>
        <w:tc>
          <w:tcPr>
            <w:tcW w:w="7900" w:type="dxa"/>
            <w:vAlign w:val="bottom"/>
          </w:tcPr>
          <w:p>
            <w:pPr>
              <w:ind w:left="40"/>
              <w:spacing w:after="0" w:line="27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157.0</w:t>
            </w: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661.6</w:t>
            </w:r>
          </w:p>
        </w:tc>
      </w:tr>
      <w:tr>
        <w:trPr>
          <w:trHeight w:val="27"/>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(463.7)</w:t>
            </w: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(465.5)</w:t>
            </w:r>
          </w:p>
        </w:tc>
      </w:tr>
      <w:tr>
        <w:trPr>
          <w:trHeight w:val="27"/>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Includes stock-based compensation as follows:</w:t>
      </w:r>
    </w:p>
    <w:p>
      <w:pPr>
        <w:spacing w:after="0" w:line="32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30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20" w:type="dxa"/>
            <w:vAlign w:val="bottom"/>
          </w:tcPr>
          <w:p>
            <w:pPr>
              <w:spacing w:after="0"/>
              <w:rPr>
                <w:sz w:val="20"/>
                <w:szCs w:val="20"/>
                <w:color w:val="auto"/>
              </w:rPr>
            </w:pPr>
          </w:p>
        </w:tc>
      </w:tr>
      <w:tr>
        <w:trPr>
          <w:trHeight w:val="27"/>
        </w:trPr>
        <w:tc>
          <w:tcPr>
            <w:tcW w:w="78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78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r>
      <w:tr>
        <w:trPr>
          <w:trHeight w:val="27"/>
        </w:trPr>
        <w:tc>
          <w:tcPr>
            <w:tcW w:w="78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358"/>
        </w:trPr>
        <w:tc>
          <w:tcPr>
            <w:tcW w:w="7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40" w:type="dxa"/>
            <w:vAlign w:val="bottom"/>
            <w:gridSpan w:val="3"/>
          </w:tcPr>
          <w:p>
            <w:pPr>
              <w:jc w:val="right"/>
              <w:ind w:right="690"/>
              <w:spacing w:after="0"/>
              <w:rPr>
                <w:sz w:val="20"/>
                <w:szCs w:val="20"/>
                <w:color w:val="auto"/>
              </w:rPr>
            </w:pPr>
            <w:r>
              <w:rPr>
                <w:rFonts w:ascii="Arial" w:cs="Arial" w:eastAsia="Arial" w:hAnsi="Arial"/>
                <w:sz w:val="18"/>
                <w:szCs w:val="18"/>
                <w:i w:val="1"/>
                <w:iCs w:val="1"/>
                <w:color w:val="auto"/>
              </w:rPr>
              <w:t>(In millions)</w:t>
            </w:r>
          </w:p>
        </w:tc>
        <w:tc>
          <w:tcPr>
            <w:tcW w:w="520" w:type="dxa"/>
            <w:vAlign w:val="bottom"/>
          </w:tcPr>
          <w:p>
            <w:pPr>
              <w:spacing w:after="0"/>
              <w:rPr>
                <w:sz w:val="24"/>
                <w:szCs w:val="24"/>
                <w:color w:val="auto"/>
              </w:rPr>
            </w:pPr>
          </w:p>
        </w:tc>
      </w:tr>
      <w:tr>
        <w:trPr>
          <w:trHeight w:val="27"/>
        </w:trPr>
        <w:tc>
          <w:tcPr>
            <w:tcW w:w="7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r>
      <w:tr>
        <w:trPr>
          <w:trHeight w:val="243"/>
        </w:trPr>
        <w:tc>
          <w:tcPr>
            <w:tcW w:w="784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282.9</w:t>
            </w:r>
          </w:p>
        </w:tc>
      </w:tr>
      <w:tr>
        <w:trPr>
          <w:trHeight w:val="27"/>
        </w:trPr>
        <w:tc>
          <w:tcPr>
            <w:tcW w:w="7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r>
      <w:tr>
        <w:trPr>
          <w:trHeight w:val="243"/>
        </w:trPr>
        <w:tc>
          <w:tcPr>
            <w:tcW w:w="78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93.4</w:t>
            </w:r>
          </w:p>
        </w:tc>
      </w:tr>
      <w:tr>
        <w:trPr>
          <w:trHeight w:val="27"/>
        </w:trPr>
        <w:tc>
          <w:tcPr>
            <w:tcW w:w="78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4"/>
        </w:trPr>
        <w:tc>
          <w:tcPr>
            <w:tcW w:w="784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color w:val="auto"/>
              </w:rPr>
              <w:t>Total stock-based compensation</w:t>
            </w:r>
            <w:r>
              <w:rPr>
                <w:rFonts w:ascii="Arial" w:cs="Arial" w:eastAsia="Arial" w:hAnsi="Arial"/>
                <w:sz w:val="25"/>
                <w:szCs w:val="25"/>
                <w:color w:val="auto"/>
                <w:vertAlign w:val="superscript"/>
              </w:rPr>
              <w:t>(2)</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486.5</w:t>
            </w:r>
          </w:p>
        </w:tc>
      </w:tr>
      <w:tr>
        <w:trPr>
          <w:trHeight w:val="20"/>
        </w:trPr>
        <w:tc>
          <w:tcPr>
            <w:tcW w:w="78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40" w:right="220" w:hanging="332"/>
        <w:spacing w:after="0" w:line="230"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Upon the effectiveness of the registration statement for our initial public offering, which was March 22, 2018, the liquidity event-related performance vesting condition associated with our two-tier RSUs was satisfied. As a result, during the three months ended March 31, 2018, we recognized the cumulative unrecognized stock-based compensation of $418.7 million. See Note 1, "Description of the Business and Summary of Significant Accounting Policies" to our condensed consolidated financial statements included elsewhere in this Quarterly Report on Form 10-Q for further information.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results of operations for each of the periods presented as a percentage of revenue:</w:t>
      </w:r>
    </w:p>
    <w:p>
      <w:pPr>
        <w:spacing w:after="0" w:line="302"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34290</wp:posOffset>
            </wp:positionV>
            <wp:extent cx="23666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2"/>
          </w:tcPr>
          <w:p>
            <w:pPr>
              <w:ind w:left="8420"/>
              <w:spacing w:after="0"/>
              <w:rPr>
                <w:sz w:val="20"/>
                <w:szCs w:val="20"/>
                <w:color w:val="auto"/>
              </w:rPr>
            </w:pPr>
            <w:r>
              <w:rPr>
                <w:rFonts w:ascii="Arial" w:cs="Arial" w:eastAsia="Arial" w:hAnsi="Arial"/>
                <w:sz w:val="18"/>
                <w:szCs w:val="18"/>
                <w:b w:val="1"/>
                <w:bCs w:val="1"/>
                <w:color w:val="auto"/>
                <w:w w:val="94"/>
              </w:rPr>
              <w:t>2019</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jc w:val="right"/>
              <w:ind w:right="63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7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58"/>
        </w:trPr>
        <w:tc>
          <w:tcPr>
            <w:tcW w:w="7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gridSpan w:val="3"/>
          </w:tcPr>
          <w:p>
            <w:pPr>
              <w:ind w:left="40"/>
              <w:spacing w:after="0"/>
              <w:rPr>
                <w:sz w:val="20"/>
                <w:szCs w:val="20"/>
                <w:color w:val="auto"/>
              </w:rPr>
            </w:pPr>
            <w:r>
              <w:rPr>
                <w:rFonts w:ascii="Arial" w:cs="Arial" w:eastAsia="Arial" w:hAnsi="Arial"/>
                <w:sz w:val="18"/>
                <w:szCs w:val="18"/>
                <w:i w:val="1"/>
                <w:iCs w:val="1"/>
                <w:color w:val="auto"/>
                <w:w w:val="89"/>
              </w:rPr>
              <w:t>(As a % of revenue)</w:t>
            </w:r>
          </w:p>
        </w:tc>
        <w:tc>
          <w:tcPr>
            <w:tcW w:w="1120" w:type="dxa"/>
            <w:vAlign w:val="bottom"/>
          </w:tcPr>
          <w:p>
            <w:pPr>
              <w:spacing w:after="0"/>
              <w:rPr>
                <w:sz w:val="24"/>
                <w:szCs w:val="24"/>
                <w:color w:val="auto"/>
              </w:rPr>
            </w:pPr>
          </w:p>
        </w:tc>
      </w:tr>
      <w:tr>
        <w:trPr>
          <w:trHeight w:val="27"/>
        </w:trPr>
        <w:tc>
          <w:tcPr>
            <w:tcW w:w="7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70"/>
        </w:trPr>
        <w:tc>
          <w:tcPr>
            <w:tcW w:w="882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38</w:t>
            </w:r>
          </w:p>
        </w:tc>
      </w:tr>
      <w:tr>
        <w:trPr>
          <w:trHeight w:val="244"/>
        </w:trPr>
        <w:tc>
          <w:tcPr>
            <w:tcW w:w="7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62</w:t>
            </w:r>
          </w:p>
        </w:tc>
      </w:tr>
      <w:tr>
        <w:trPr>
          <w:trHeight w:val="270"/>
        </w:trPr>
        <w:tc>
          <w:tcPr>
            <w:tcW w:w="88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8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120</w:t>
            </w:r>
          </w:p>
        </w:tc>
      </w:tr>
      <w:tr>
        <w:trPr>
          <w:trHeight w:val="243"/>
        </w:trPr>
        <w:tc>
          <w:tcPr>
            <w:tcW w:w="882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50</w:t>
            </w:r>
          </w:p>
        </w:tc>
      </w:tr>
      <w:tr>
        <w:trPr>
          <w:trHeight w:val="27"/>
        </w:trPr>
        <w:tc>
          <w:tcPr>
            <w:tcW w:w="7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w:t>
            </w:r>
          </w:p>
        </w:tc>
      </w:tr>
      <w:tr>
        <w:trPr>
          <w:trHeight w:val="237"/>
        </w:trPr>
        <w:tc>
          <w:tcPr>
            <w:tcW w:w="77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209</w:t>
            </w:r>
          </w:p>
        </w:tc>
      </w:tr>
      <w:tr>
        <w:trPr>
          <w:trHeight w:val="27"/>
        </w:trPr>
        <w:tc>
          <w:tcPr>
            <w:tcW w:w="7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(147)</w:t>
            </w: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Interest income (expense), net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7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r>
      <w:tr>
        <w:trPr>
          <w:trHeight w:val="237"/>
        </w:trPr>
        <w:tc>
          <w:tcPr>
            <w:tcW w:w="77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(147)</w:t>
            </w:r>
          </w:p>
        </w:tc>
      </w:tr>
      <w:tr>
        <w:trPr>
          <w:trHeight w:val="27"/>
        </w:trPr>
        <w:tc>
          <w:tcPr>
            <w:tcW w:w="7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r>
      <w:tr>
        <w:trPr>
          <w:trHeight w:val="237"/>
        </w:trPr>
        <w:tc>
          <w:tcPr>
            <w:tcW w:w="77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7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Includes stock-based compensation as a percentage of revenue as follows:</w:t>
      </w:r>
    </w:p>
    <w:p>
      <w:pPr>
        <w:spacing w:after="0" w:line="352"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34290</wp:posOffset>
            </wp:positionV>
            <wp:extent cx="23152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gridSpan w:val="2"/>
          </w:tcPr>
          <w:p>
            <w:pPr>
              <w:ind w:left="8480"/>
              <w:spacing w:after="0"/>
              <w:rPr>
                <w:sz w:val="20"/>
                <w:szCs w:val="20"/>
                <w:color w:val="auto"/>
              </w:rPr>
            </w:pPr>
            <w:r>
              <w:rPr>
                <w:rFonts w:ascii="Arial" w:cs="Arial" w:eastAsia="Arial" w:hAnsi="Arial"/>
                <w:sz w:val="18"/>
                <w:szCs w:val="18"/>
                <w:b w:val="1"/>
                <w:bCs w:val="1"/>
                <w:color w:val="auto"/>
                <w:w w:val="89"/>
              </w:rPr>
              <w:t>2019</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7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gridSpan w:val="3"/>
          </w:tcPr>
          <w:p>
            <w:pPr>
              <w:ind w:left="40"/>
              <w:spacing w:after="0"/>
              <w:rPr>
                <w:sz w:val="20"/>
                <w:szCs w:val="20"/>
                <w:color w:val="auto"/>
              </w:rPr>
            </w:pPr>
            <w:r>
              <w:rPr>
                <w:rFonts w:ascii="Arial" w:cs="Arial" w:eastAsia="Arial" w:hAnsi="Arial"/>
                <w:sz w:val="18"/>
                <w:szCs w:val="18"/>
                <w:i w:val="1"/>
                <w:iCs w:val="1"/>
                <w:color w:val="auto"/>
                <w:w w:val="89"/>
              </w:rPr>
              <w:t>(As a % of revenue)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860" w:type="dxa"/>
            <w:vAlign w:val="bottom"/>
            <w:gridSpan w:val="2"/>
          </w:tcPr>
          <w:p>
            <w:pPr>
              <w:ind w:left="380"/>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886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w:t>
            </w:r>
          </w:p>
        </w:tc>
        <w:tc>
          <w:tcPr>
            <w:tcW w:w="10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43</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7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2018</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w:t>
      </w:r>
    </w:p>
    <w:p>
      <w:pPr>
        <w:spacing w:after="0" w:line="302"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22860</wp:posOffset>
            </wp:positionV>
            <wp:extent cx="19380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58"/>
        </w:trPr>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millions)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Revenue increased $69.3 million or 22% during the three months ended March 31, 2019, as compared to the three months ended March 31, 2018. This increase was primarily due to a 15% increase in the number of paying users between periods. The average revenue per paying user also increased between periods primarily due to an increased mix of sales towards our higher-priced subscription plans, including renewals of grandfathered teams on our Dropbox Business Advanced Plan at higher prices, as discussed in "—Key Business Metrics".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ind w:left="420"/>
              <w:spacing w:after="0"/>
              <w:rPr>
                <w:sz w:val="20"/>
                <w:szCs w:val="20"/>
                <w:color w:val="auto"/>
              </w:rPr>
            </w:pPr>
            <w:r>
              <w:rPr>
                <w:rFonts w:ascii="Arial" w:cs="Arial" w:eastAsia="Arial" w:hAnsi="Arial"/>
                <w:sz w:val="18"/>
                <w:szCs w:val="18"/>
                <w:i w:val="1"/>
                <w:iCs w:val="1"/>
                <w:color w:val="auto"/>
              </w:rPr>
              <w:t>Cost of revenue, gross profit, and gross margin</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60"/>
        </w:trPr>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4"/>
        </w:trPr>
        <w:tc>
          <w:tcPr>
            <w:tcW w:w="5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3"/>
              </w:rPr>
              <w:t>March 31,</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58"/>
        </w:trPr>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center"/>
              <w:ind w:left="630"/>
              <w:spacing w:after="0"/>
              <w:rPr>
                <w:sz w:val="20"/>
                <w:szCs w:val="20"/>
                <w:color w:val="auto"/>
              </w:rPr>
            </w:pPr>
            <w:r>
              <w:rPr>
                <w:rFonts w:ascii="Arial" w:cs="Arial" w:eastAsia="Arial" w:hAnsi="Arial"/>
                <w:sz w:val="18"/>
                <w:szCs w:val="18"/>
                <w:i w:val="1"/>
                <w:iCs w:val="1"/>
                <w:color w:val="auto"/>
                <w:w w:val="97"/>
              </w:rPr>
              <w:t>(In millions)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7"/>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7"/>
        </w:trPr>
        <w:tc>
          <w:tcPr>
            <w:tcW w:w="5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Cost of revenue decreased $22.2 million or 18% during the three months ended March 31, 2019, as compared to the three months ended March 31, 2018, primarily due to a decrease of $34.8 million in stock-based compensation, which included expense recognized due to the achievement of the performance vesting condition of our two-tier RSUs upon the effectiveness of the registration statement related to our IPO. This decrease was offset by increases of $6.8 million in infrastructure expenses, $1.9 million in credit card transaction fees due to higher sales and professional fees for user support, $1.9 million in overhead-related costs, and $1.5 million in employee related expenses due to headcount growth.</w:t>
      </w:r>
    </w:p>
    <w:p>
      <w:pPr>
        <w:spacing w:after="0" w:line="9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Our gross margin increased 12% during the three months ended March 31, 2019 compared to the three months ended March 31, 2018, primarily due to a decrease in our cost of revenue primarily due to a decrease in stock-based compensation described above and a 22% increase in our revenue during the period.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ind w:left="420"/>
              <w:spacing w:after="0"/>
              <w:rPr>
                <w:sz w:val="20"/>
                <w:szCs w:val="20"/>
                <w:color w:val="auto"/>
              </w:rPr>
            </w:pPr>
            <w:r>
              <w:rPr>
                <w:rFonts w:ascii="Arial" w:cs="Arial" w:eastAsia="Arial" w:hAnsi="Arial"/>
                <w:sz w:val="18"/>
                <w:szCs w:val="18"/>
                <w:i w:val="1"/>
                <w:iCs w:val="1"/>
                <w:color w:val="auto"/>
              </w:rPr>
              <w:t>Research and development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60"/>
        </w:trPr>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4"/>
        </w:trPr>
        <w:tc>
          <w:tcPr>
            <w:tcW w:w="5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93"/>
              </w:rPr>
              <w:t>March 31,</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60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58"/>
        </w:trPr>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center"/>
              <w:ind w:left="590"/>
              <w:spacing w:after="0"/>
              <w:rPr>
                <w:sz w:val="20"/>
                <w:szCs w:val="20"/>
                <w:color w:val="auto"/>
              </w:rPr>
            </w:pPr>
            <w:r>
              <w:rPr>
                <w:rFonts w:ascii="Arial" w:cs="Arial" w:eastAsia="Arial" w:hAnsi="Arial"/>
                <w:sz w:val="18"/>
                <w:szCs w:val="18"/>
                <w:i w:val="1"/>
                <w:iCs w:val="1"/>
                <w:color w:val="auto"/>
                <w:w w:val="97"/>
              </w:rPr>
              <w:t>(In millions)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5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Research and development expenses decreased $228.5 million or 60% during the three months ended March 31, 2019, as compared to the three months ended March 31, 2018, primarily due to a decrease of $252.4 million in stock-based compensation, which included expense recognized due to the achievement of the performance vesting condition of our two-tier RSUs upon the effectiveness of the registration statement related to our IPO. This decrease was offset by increases of $10.4 million in employee-related expenses due to headcount growth and $9.7 million in overhead-related costs, which includes facilities related costs for both our current and future corporate headquarters.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Sales and marketing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508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623"/>
        </w:trPr>
        <w:tc>
          <w:tcPr>
            <w:tcW w:w="1360" w:type="dxa"/>
            <w:vAlign w:val="bottom"/>
            <w:tcBorders>
              <w:top w:val="single" w:sz="8" w:color="0000EE"/>
            </w:tcBorders>
          </w:tcPr>
          <w:p>
            <w:pPr>
              <w:spacing w:after="0"/>
              <w:rPr>
                <w:sz w:val="24"/>
                <w:szCs w:val="24"/>
                <w:color w:val="auto"/>
              </w:rPr>
            </w:pPr>
          </w:p>
        </w:tc>
        <w:tc>
          <w:tcPr>
            <w:tcW w:w="3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93"/>
              </w:rPr>
              <w:t>March 31,</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60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13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58"/>
        </w:trPr>
        <w:tc>
          <w:tcPr>
            <w:tcW w:w="13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center"/>
              <w:ind w:left="590"/>
              <w:spacing w:after="0"/>
              <w:rPr>
                <w:sz w:val="20"/>
                <w:szCs w:val="20"/>
                <w:color w:val="auto"/>
              </w:rPr>
            </w:pPr>
            <w:r>
              <w:rPr>
                <w:rFonts w:ascii="Arial" w:cs="Arial" w:eastAsia="Arial" w:hAnsi="Arial"/>
                <w:sz w:val="18"/>
                <w:szCs w:val="18"/>
                <w:i w:val="1"/>
                <w:iCs w:val="1"/>
                <w:color w:val="auto"/>
                <w:w w:val="97"/>
              </w:rPr>
              <w:t>(In millions)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
        </w:trPr>
        <w:tc>
          <w:tcPr>
            <w:tcW w:w="13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136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Sales and marketing expenses decreased $55.5 million or 35% during the three months ended March 31, 2019, as compared to the three months ended March 31, 2018, primarily due to a decrease of $65.3 million in stock-based compensation, which included expense recognized due to the achievement of the performance vesting condition of our two-tier RSUs upon the effectiveness of the registration statement related to our IPO. This decrease was offset by increases of $5.1 million in employee-related expenses due to headcount growth and $4.7 million in overhead-related costs, which includes facilities related costs for both our current and future corporate headquarters.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ind w:left="420"/>
              <w:spacing w:after="0"/>
              <w:rPr>
                <w:sz w:val="20"/>
                <w:szCs w:val="20"/>
                <w:color w:val="auto"/>
              </w:rPr>
            </w:pPr>
            <w:r>
              <w:rPr>
                <w:rFonts w:ascii="Arial" w:cs="Arial" w:eastAsia="Arial" w:hAnsi="Arial"/>
                <w:sz w:val="18"/>
                <w:szCs w:val="18"/>
                <w:i w:val="1"/>
                <w:iCs w:val="1"/>
                <w:color w:val="auto"/>
              </w:rPr>
              <w:t>General and administrative</w:t>
            </w: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60"/>
        </w:trPr>
        <w:tc>
          <w:tcPr>
            <w:tcW w:w="5080" w:type="dxa"/>
            <w:vAlign w:val="bottom"/>
          </w:tcPr>
          <w:p>
            <w:pPr>
              <w:spacing w:after="0"/>
              <w:rPr>
                <w:sz w:val="24"/>
                <w:szCs w:val="24"/>
                <w:color w:val="auto"/>
              </w:rPr>
            </w:pPr>
          </w:p>
        </w:tc>
        <w:tc>
          <w:tcPr>
            <w:tcW w:w="252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89"/>
              </w:rPr>
              <w:t>Three months ended</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4"/>
        </w:trPr>
        <w:tc>
          <w:tcPr>
            <w:tcW w:w="5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4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93"/>
              </w:rPr>
              <w:t>March 31,</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60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0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58"/>
        </w:trPr>
        <w:tc>
          <w:tcPr>
            <w:tcW w:w="5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gridSpan w:val="3"/>
          </w:tcPr>
          <w:p>
            <w:pPr>
              <w:jc w:val="center"/>
              <w:ind w:right="350"/>
              <w:spacing w:after="0"/>
              <w:rPr>
                <w:sz w:val="20"/>
                <w:szCs w:val="20"/>
                <w:color w:val="auto"/>
              </w:rPr>
            </w:pPr>
            <w:r>
              <w:rPr>
                <w:rFonts w:ascii="Arial" w:cs="Arial" w:eastAsia="Arial" w:hAnsi="Arial"/>
                <w:sz w:val="18"/>
                <w:szCs w:val="18"/>
                <w:i w:val="1"/>
                <w:iCs w:val="1"/>
                <w:color w:val="auto"/>
                <w:w w:val="97"/>
              </w:rPr>
              <w:t>(In millions)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126.1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50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General and administrative expenses decreased $69.1 million or 55% during the three months ended March 31, 2019, as compared to the three months ended March 31, 2018, primarily due to a decrease of $78.5 million in stock-based compensation, which included expense recognized due to the achievement of the performance vesting condition of our two-tier RSUs, and the performance-based vesting condition for the Co-Founder Grants in connection with our IPO. This decrease was offset by increases of $3.8 million in legal-related and acquisition expenses and $2.4 million in non-income based taxes.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Interest income (expense), net increased $4.9 million during the three months ended March 31, 2019, as compared to the three months ended March 31, 2018, primarily due to an increase in interest income from our money market funds and short-term investments of $4.8 million.</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right="500" w:firstLine="405"/>
        <w:spacing w:after="0" w:line="342" w:lineRule="auto"/>
        <w:rPr>
          <w:sz w:val="20"/>
          <w:szCs w:val="20"/>
          <w:color w:val="auto"/>
        </w:rPr>
      </w:pPr>
      <w:r>
        <w:rPr>
          <w:rFonts w:ascii="Arial" w:cs="Arial" w:eastAsia="Arial" w:hAnsi="Arial"/>
          <w:sz w:val="16"/>
          <w:szCs w:val="16"/>
          <w:color w:val="auto"/>
        </w:rPr>
        <w:t>Other income, net increased $0.8 million during the three months ended March 31, 2019, as compared to the three months ended March 31, 2018, primarily due to an increase of $3.0 million of gains related to disposal of infrastructure assets, offset by a decrease of $1.8 million in sublease income.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22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Provision for income taxes decreased $7.5 million during the three months ended March 31, 2019, as compared to the three months ended March 31, 2018, primarily due to the tax benefit from our acquisition of HelloSign.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8"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As of March 31, 2019, we had cash and cash equivalents of $359.2 million and short-term investments of $556.0 million, which were held for working capital purposes. Our cash, cash equivalents, and short-term investments consist primarily of cash, money market funds, corporate notes and obligations, U.S. treasury securities, U.S. agency obligations, commercial paper, and certificates of deposits. As of March 31, 2019, we had $143.3 million of our cash and cash equivalents held by our foreign subsidiaries. We do not expect to incur material taxes in the event we repatriate any of these amounts.</w:t>
      </w:r>
    </w:p>
    <w:p>
      <w:pPr>
        <w:spacing w:after="0" w:line="73"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Since our inception, we have financed our operations primarily through equity issuances, cash generated from our operations,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73"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Our principal uses of cash in recent periods have been funding our operations, purchases of short-term investments, the satisfaction of tax withholdings in connection with the settlement of restricted stock units, making principal payments on our finance lease obligations, and capital expenditures.</w:t>
      </w:r>
    </w:p>
    <w:p>
      <w:pPr>
        <w:spacing w:after="0" w:line="4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April 2017, we entered into a $600.0 million credit facility with a syndicate of financial institutions. Pursuant to the terms of the revolving credit facility, we may issue letters of credit under the revolving credit facility, which reduce the total amount available for borrowing under such facility. The revolving credit facility terminates on April 4, 2022.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We may from time to time request increases in the borrowing capacity under our revolving credit facility of up to $275.0 million, provided no event of default has occurred or is continuing or would result from such increase.</w:t>
      </w:r>
    </w:p>
    <w:p>
      <w:pPr>
        <w:spacing w:after="0" w:line="108"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Interest on borrowings under the revolving credit facility accrues at a variable rate tied to the prime rate or the LIBOR rate, at our election. Interest is payable quarterly in arrears. Pursuant to the terms of the revolving credit facility, we are required to pay an annual commitment fee that accrues at a rate of 0.20% per annum on the unused portion of the borrowing commitments under the revolving credit facility. In addition, we are required to pay a fee in connection with letters of credit issued under the revolving credit facility that accrues at a rate of 1.5% per annum on the amount of such letters of credit outstanding. There is an additional fronting fee of 0.125% per annum multiplied by the average aggregate daily maximum amount available under all letters of credit.</w:t>
      </w:r>
    </w:p>
    <w:p>
      <w:pPr>
        <w:spacing w:after="0" w:line="112"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covenant and a minimum liquidity balance. We were in compliance with all covenants under the revolving credit facility as of March 31, 2019.</w:t>
      </w:r>
    </w:p>
    <w:p>
      <w:pPr>
        <w:spacing w:after="0" w:line="9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As of March 31, 2019, we had no amounts outstanding under the revolving credit facility and an aggregate of $68.9 million in letters of credit outstanding under the revolving credit facility. Our total available borrowing capacity under the revolving credit facility was $656.1 million as of March 31, 2019.</w:t>
      </w:r>
    </w:p>
    <w:p>
      <w:pPr>
        <w:spacing w:after="0" w:line="10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believe our existing cash and cash equivalents, together with our short-term investments, cash provided by operations and amounts available under the revolving credit facility, will be sufficient to meet our needs for the foreseeable future. 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existing and new office spaces, such as our new corporate headquarters, the satisfaction of tax withholding obligations for the release of restricted stock units, the expansion of sales and marketing and international operation activities, the introduction of new product capabilities and enhancement of our platform, and the continuing market acceptance of our platform. We have and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cash flow activities were as follows for the periods presented: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72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642"/>
        </w:trPr>
        <w:tc>
          <w:tcPr>
            <w:tcW w:w="1360" w:type="dxa"/>
            <w:vAlign w:val="bottom"/>
            <w:tcBorders>
              <w:top w:val="single" w:sz="8" w:color="0000EE"/>
            </w:tcBorders>
          </w:tcPr>
          <w:p>
            <w:pPr>
              <w:spacing w:after="0"/>
              <w:rPr>
                <w:sz w:val="24"/>
                <w:szCs w:val="24"/>
                <w:color w:val="auto"/>
              </w:rPr>
            </w:pPr>
          </w:p>
        </w:tc>
        <w:tc>
          <w:tcPr>
            <w:tcW w:w="5840" w:type="dxa"/>
            <w:vAlign w:val="bottom"/>
          </w:tcPr>
          <w:p>
            <w:pPr>
              <w:spacing w:after="0"/>
              <w:rPr>
                <w:sz w:val="24"/>
                <w:szCs w:val="24"/>
                <w:color w:val="auto"/>
              </w:rPr>
            </w:pPr>
          </w:p>
        </w:tc>
        <w:tc>
          <w:tcPr>
            <w:tcW w:w="35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 March 31,</w:t>
            </w:r>
          </w:p>
        </w:tc>
        <w:tc>
          <w:tcPr>
            <w:tcW w:w="700" w:type="dxa"/>
            <w:vAlign w:val="bottom"/>
          </w:tcPr>
          <w:p>
            <w:pPr>
              <w:spacing w:after="0"/>
              <w:rPr>
                <w:sz w:val="24"/>
                <w:szCs w:val="24"/>
                <w:color w:val="auto"/>
              </w:rPr>
            </w:pPr>
          </w:p>
        </w:tc>
      </w:tr>
      <w:tr>
        <w:trPr>
          <w:trHeight w:val="27"/>
        </w:trPr>
        <w:tc>
          <w:tcPr>
            <w:tcW w:w="13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358"/>
        </w:trPr>
        <w:tc>
          <w:tcPr>
            <w:tcW w:w="13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80" w:type="dxa"/>
            <w:vAlign w:val="bottom"/>
            <w:gridSpan w:val="3"/>
          </w:tcPr>
          <w:p>
            <w:pPr>
              <w:jc w:val="right"/>
              <w:ind w:right="850"/>
              <w:spacing w:after="0"/>
              <w:rPr>
                <w:sz w:val="20"/>
                <w:szCs w:val="20"/>
                <w:color w:val="auto"/>
              </w:rPr>
            </w:pPr>
            <w:r>
              <w:rPr>
                <w:rFonts w:ascii="Arial" w:cs="Arial" w:eastAsia="Arial" w:hAnsi="Arial"/>
                <w:sz w:val="18"/>
                <w:szCs w:val="18"/>
                <w:i w:val="1"/>
                <w:iCs w:val="1"/>
                <w:color w:val="auto"/>
              </w:rPr>
              <w:t>(In millions)</w:t>
            </w:r>
          </w:p>
        </w:tc>
        <w:tc>
          <w:tcPr>
            <w:tcW w:w="700" w:type="dxa"/>
            <w:vAlign w:val="bottom"/>
          </w:tcPr>
          <w:p>
            <w:pPr>
              <w:spacing w:after="0"/>
              <w:rPr>
                <w:sz w:val="24"/>
                <w:szCs w:val="24"/>
                <w:color w:val="auto"/>
              </w:rPr>
            </w:pPr>
          </w:p>
        </w:tc>
      </w:tr>
      <w:tr>
        <w:trPr>
          <w:trHeight w:val="27"/>
        </w:trPr>
        <w:tc>
          <w:tcPr>
            <w:tcW w:w="13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(193.1)</w:t>
            </w:r>
          </w:p>
        </w:tc>
      </w:tr>
      <w:tr>
        <w:trPr>
          <w:trHeight w:val="27"/>
        </w:trPr>
        <w:tc>
          <w:tcPr>
            <w:tcW w:w="13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used in financing activities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365.0</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136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235.3</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loss adjusted for certain non-cash items, including depreciation and amortization expenses and stock-based compensation, as well as the effect of changes in operating assets and liabilities.</w:t>
      </w:r>
    </w:p>
    <w:p>
      <w:pPr>
        <w:spacing w:after="0" w:line="106"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For the three months ended March 31, 2019, net cash provided by operating activities was $63.2 million, which mostly consisted of our net loss of $7.7 million, adjusted for stock-based compensation expense of $55.6 million and depreciation and amortization expenses of $45.8 million, and net cash outflow of $30.0 million from operating assets and liabilities. The outflow from operating assets and liabilities was primarily due to the payment of our corporate bonus during the three months ended March 31, 2019, partially offset by $13.8 million in reimbursements for tenant improvement allowances.</w:t>
      </w:r>
    </w:p>
    <w:p>
      <w:pPr>
        <w:spacing w:after="0" w:line="73"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increase in net cash provided by operating activities during the three months ended March 31, 2019, compared to the three months ended March 31, 2018, was primarily due to a decrease in our net loss, as adjusted for stock-based compensation and depreciation and amortization expenses offset by a decrease in cash inflows from changes in operating assets and liabilities.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ind w:right="500" w:firstLine="405"/>
        <w:spacing w:after="0" w:line="342" w:lineRule="auto"/>
        <w:rPr>
          <w:sz w:val="20"/>
          <w:szCs w:val="20"/>
          <w:color w:val="auto"/>
        </w:rPr>
      </w:pPr>
      <w:r>
        <w:rPr>
          <w:rFonts w:ascii="Arial" w:cs="Arial" w:eastAsia="Arial" w:hAnsi="Arial"/>
          <w:sz w:val="16"/>
          <w:szCs w:val="16"/>
          <w:color w:val="auto"/>
        </w:rPr>
        <w:t>Net cash used in investing activities is primarily impacted by purchases of short-term investments, purchases of property and equipment to make improvements to existing and new office spaces, and for purchasing infrastructure equipment in co-location facilities that we directly lease and operate.</w:t>
      </w:r>
    </w:p>
    <w:p>
      <w:pPr>
        <w:spacing w:after="0" w:line="43" w:lineRule="exact"/>
        <w:rPr>
          <w:sz w:val="20"/>
          <w:szCs w:val="20"/>
          <w:color w:val="auto"/>
        </w:rPr>
      </w:pPr>
    </w:p>
    <w:p>
      <w:pPr>
        <w:ind w:right="440" w:firstLine="405"/>
        <w:spacing w:after="0" w:line="286" w:lineRule="auto"/>
        <w:rPr>
          <w:sz w:val="20"/>
          <w:szCs w:val="20"/>
          <w:color w:val="auto"/>
        </w:rPr>
      </w:pPr>
      <w:r>
        <w:rPr>
          <w:rFonts w:ascii="Arial" w:cs="Arial" w:eastAsia="Arial" w:hAnsi="Arial"/>
          <w:sz w:val="17"/>
          <w:szCs w:val="17"/>
          <w:color w:val="auto"/>
        </w:rPr>
        <w:t>For the three months ended March 31, 2019, net cash used in investing activities was $173.3 million, which primarily related to cash paid for our acquisition of HelloSign, net of cash acquired of $172.1 million and capital expenditures of $29.7 million related to our office and datacenter build-outs. These outflows were partially offset by inflows of $23.8 million related to proceeds from maturities and sales of short-term investments.</w:t>
      </w:r>
    </w:p>
    <w:p>
      <w:pPr>
        <w:spacing w:after="0" w:line="84"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The increase in cash used in investing activities during the three months ended March 31, 2019, compared to the three months ended March 31, 2018, was primarily due to the acquisition of HelloSign and an increase in capital expenditures for office and datacenter build-outs.</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Net cash provided by (used in) financing activities is primarily impacted by repurchases of common stock to satisfy the tax withholding obligation for the release of restricted stock units (“RSUs”) and finance lease obligations for our infrastructure equipment.</w:t>
      </w:r>
    </w:p>
    <w:p>
      <w:pPr>
        <w:spacing w:after="0" w:line="89"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For the three months ended March 31, 2019, net cash used for financing activities was $51.0 million, which primarily consisted of principal payments against finance lease obligations and payments for the satisfaction of tax withholding obligations for the release of restricted stock units.</w:t>
      </w:r>
    </w:p>
    <w:p>
      <w:pPr>
        <w:spacing w:after="0" w:line="66"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The increase in cash used in financing activities during the three months ended March 31, 2019, compared to the three months ended March 31, 2018, was primarily due to cash inflows from the proceeds from the completion of our IPO during the three months ended March 31, 2018.</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08"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Our principal commitments consist of obligations under operating leases for office space and datacenter operations, and financing leases for datacenter equipment. See Note 9 "Leases" to our condensed consolidated financial statements included elsewhere in this Quarterly Report on Form 10-Q for further information. There have been no material changes in our contractual obligations and commitments, as disclosed in our Annual Report.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80"/>
          </w:cols>
          <w:pgMar w:left="240" w:top="121"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March 31, 2019, we did not have any relationships with unconsolidated entities or financial partnerships, such as entities often referred to as structured finance or variable interest entities, which would have been established for the purpose of facilitating off balance sheet arrangements or other contractually narrow or limited purposes.</w:t>
      </w:r>
    </w:p>
    <w:p>
      <w:pPr>
        <w:spacing w:after="0" w:line="200" w:lineRule="exact"/>
        <w:rPr>
          <w:sz w:val="20"/>
          <w:szCs w:val="20"/>
          <w:color w:val="auto"/>
        </w:rPr>
      </w:pPr>
    </w:p>
    <w:p>
      <w:pPr>
        <w:spacing w:after="0" w:line="35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0"/>
          </w:cols>
          <w:pgMar w:left="240" w:top="121" w:right="6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Judgments</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There have been no changes to our critical accounting policies and significant judgments as compared to the critical accounting policies and judgments disclosed in our Annual Report. Additionally, common stock valuation is no longer a critical accounting policy or judgment for us in any of the periods presented as our Board of Directors determines the fair value of each share of underlying common stock based on the closing price of our Class A common stock as reported on the date of the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00"/>
          </w:cols>
          <w:pgMar w:left="240" w:top="121"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See Note 1, “Description of the Business and Summary of Significant Accounting Policies” to our condensed consolidated financial statements included elsewhere in this Quarterly Report on Form 10-Q for recently adopted accounting pronouncements and recently issued accounting pronouncements not yet adopted as of the date of this Quarterly Report on Form 10-Q.</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1"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4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had cash and cash equivalents of $359.2 million and short-term investments of $556.0 million as of March 31, 2019. We hold our cash and cash equivalents and short-term investments for working capital purposes. Our cash, cash equivalents, and short-term investments consist primarily of cash, money market funds, corporate notes and obligations, U.S. treasury securities, U.S. agency obligations, commercial paper, and certificates of deposits. The primary objectives of our investment activities are the preservation of capital, the fulfillment of liquidity needs, and the control of cash and investments. We do not enter into investments for trading or speculative purposes. Due to the short-term nature of these instruments, we believe that we do not have any material exposure to changes in the fair value of our investment portfolio as a result of changes in interest rates. Decreases in interest rates, however, would reduce future interest income.</w:t>
      </w:r>
    </w:p>
    <w:p>
      <w:pPr>
        <w:spacing w:after="0" w:line="10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Any borrowings under the revolving credit facility bear interest at a variable rate tied to the prime rate or the LIBOR rate. As of March 31, 2019, we had no amounts outstanding under the revolving credit facility. We do not have any other long-term debt or financial liabilities with floating interest rates that would subject us to interest rate fluctuations.</w:t>
      </w:r>
    </w:p>
    <w:p>
      <w:pPr>
        <w:spacing w:after="0" w:line="10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As of March 31, 2019, a hypothetical change in interest rates by 100 basis points would not have a significant impact on our cash and cash equivalents or the fair value of our investment portfolio.</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4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relative to U.S. dollars, our reporting currency. Our revenue is generated in U.S. dollars, euros, British pounds sterling, Australian dollars, Canadian dollars, and Japanese yen. 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 As exchange rates may fluctuate significantly between periods, revenue and operating expenses, when converted into U.S. dollars, may also experience significant fluctuations between periods.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In the three months ended March 31, 2019, 29%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99"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recorded immaterial net foreign currency transaction gains in the three months ended March 31, 2019 and $0.7 in net foreign currency transaction gains in the three months ended March 31, 2018. A hypothetical 10% change in foreign currency rates would not have resulted in material gains or losses for the three months ended March 31, 2019 and 2018.</w:t>
      </w:r>
    </w:p>
    <w:p>
      <w:pPr>
        <w:spacing w:after="0" w:line="10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To date, we have not engaged in any hedging activities. As our international operations grow, we will continue to reassess our approach to managing risks relating to fluctuations in currency rates.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4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520" w:firstLine="405"/>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Disclosure Controls and Procedures</w:t>
      </w:r>
    </w:p>
    <w:p>
      <w:pPr>
        <w:spacing w:after="0" w:line="22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121"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 OTHER INFORMATION</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 For example, in April 2015, Synchronoss Technologies, Inc., a public company that provides cloud-based products, filed a patent infringement lawsuit against us in the United States District Court for the District of New Jersey, claiming three counts of patent infringement and seeking injunctive relief. The case was subsequently transferred to the United States District Court for the Northern District of California. We do not currently believe that this matter is likely to have a material adverse impact on our consolidated results of operations, cash flows, or our financial position. We intend to vigorously defend this lawsuit, and believe we have valid defenses to the claims. However, any litigation is inherently uncertain, and any judgment or injunctive relief entered against us or any adverse settlement could materially and adversely impact our business, results of operations, financial condition, and prospects.</w:t>
      </w:r>
    </w:p>
    <w:p>
      <w:pPr>
        <w:spacing w:after="0" w:line="98" w:lineRule="exact"/>
        <w:rPr>
          <w:sz w:val="20"/>
          <w:szCs w:val="20"/>
          <w:color w:val="auto"/>
        </w:rPr>
      </w:pPr>
    </w:p>
    <w:p>
      <w:pPr>
        <w:jc w:val="both"/>
        <w:ind w:right="140" w:firstLine="405"/>
        <w:spacing w:after="0" w:line="312" w:lineRule="auto"/>
        <w:rPr>
          <w:sz w:val="20"/>
          <w:szCs w:val="20"/>
          <w:color w:val="auto"/>
        </w:rPr>
      </w:pPr>
      <w:r>
        <w:rPr>
          <w:rFonts w:ascii="Arial" w:cs="Arial" w:eastAsia="Arial" w:hAnsi="Arial"/>
          <w:sz w:val="16"/>
          <w:szCs w:val="16"/>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1"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1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Investing in our Class A common stock involves a high degree of risk. In addition to the other information set forth in this Annual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business depends on our ability to retain and upgrade paying users, and any decline in renewals or upgrades could adversely affect our future results of operations.</w:t>
      </w:r>
    </w:p>
    <w:p>
      <w:pPr>
        <w:spacing w:after="0" w:line="17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business depends upon our ability to maintain and expand our relationships with our users. Our business is subscription 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support, pricing, or mix of features, a user no longer having a need for our products, or the perception that competitive products provide better or less expensive options. In addition, some paying users downgrade or do not renew their subscriptions.</w:t>
      </w:r>
    </w:p>
    <w:p>
      <w:pPr>
        <w:spacing w:after="0" w:line="19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encourage paying users to upgrade to our premium offerings by recommending additional features and through in-product prompts and notifications. Additionally,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fail to renew or cancel their subscriptions, or if we fail to upgrade our paying users to premium offerings or expand within organizations, our business, results of operations, and financial condition may be harmed.</w:t>
      </w:r>
    </w:p>
    <w:p>
      <w:pPr>
        <w:spacing w:after="0" w:line="193"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Although it is important to our business that our users renew their subscriptions after their existing subscriptions expire and that we expand our commercial relationships with our users, given the volume of our users, we do not actively monitor the retention rates of our individual users. As a result, we may be unable to address any retention issues with specific users in a timely manner, which could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could be harmed if we fail to attract new users or convert registered users to paying users.</w:t>
      </w:r>
    </w:p>
    <w:p>
      <w:pPr>
        <w:spacing w:after="0" w:line="225"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166"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March 31, 2019, we served over 500 million registered users but only 13.2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w:t>
      </w:r>
    </w:p>
    <w:p>
      <w:pPr>
        <w:spacing w:after="0" w:line="173"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color w:val="auto"/>
        </w:rPr>
        <w:t>In addition, our user growth rate may slow in the future as our market penetration rates increase and we turn our focus to converting registered users to paying users rather than growing the total number of registered users. If we are not able to continue to expand our user base or fail to convert our registered users to paying users, demand for our paid services and our revenue may grow more slowly than expected or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growth rate has declined in recent periods and may continue to slow in the future.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80" w:firstLine="405"/>
        <w:spacing w:after="0" w:line="255" w:lineRule="auto"/>
        <w:rPr>
          <w:sz w:val="20"/>
          <w:szCs w:val="20"/>
          <w:color w:val="auto"/>
        </w:rPr>
      </w:pPr>
      <w:r>
        <w:rPr>
          <w:rFonts w:ascii="Arial" w:cs="Arial" w:eastAsia="Arial" w:hAnsi="Arial"/>
          <w:sz w:val="18"/>
          <w:szCs w:val="18"/>
          <w:color w:val="auto"/>
        </w:rPr>
        <w:t>We have experienced significant revenue growth in prior periods. However, our rates of revenue growth are slowing and may continue to slow in the future. Many factors may contribute to declines in our growth rates, including higher market penetration, increased competition, slowing demand for our platform, a decrease in the growth of the overall content collaboration market, a failure by us to continue capitalizing on growth opportunities, and the maturation of our business, among others. You should not rely on the revenue growth of any prior quarterly or annual period as an indication of our future performance. If our growth rates decline, investors’ perceptions of our business and the trading price of our Class A common stock could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we anticipate increasing expenses in the future, and we may not be able to achieve or maintain profitability.</w:t>
      </w:r>
    </w:p>
    <w:p>
      <w:pPr>
        <w:spacing w:after="0" w:line="23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have incurred net losses on an annual basis since our inception. We incurred net losses of $484.9 million, $111.7 million, and $210.2 million, in the years ended December 31, 2018, 2017 and 2016, respectively, and we had an accumulated deficit of $1,659.5 million as of December 31, 2018. As we strive to grow our business, we expect expenses to increase in the near term, particularly as we continue to make investments to scale our business. For example, we will need an increasing amount of technical infrastructure to continue to satisfy the needs of our user base. We also expect our research and development expenses to increase as we plan to continue to hire employees for our engineering, product, and design teams to support these efforts. In addition, we will incur additional rent expense in connection with our move to our new corporate headquarters, and additional general and administrative expenses to support both our growth as well as our transition to being a publicly traded company. These investments may not result in increased revenue or growth in our business. We may encounter unforeseen or unpredictable factors, including unforeseen operating expenses, complications, or delays, which may result in increased costs. Furthermore, it is difficult to predict the size and growth rate of our market, user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18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business could be damaged, and we could be subject to liability if there is any unauthorized access to our data or our users’ content, including through privacy and data security breaches.</w:t>
      </w:r>
    </w:p>
    <w:p>
      <w:pPr>
        <w:spacing w:after="0" w:line="170"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The use of our platform involves the transmission, storage, and processing of user content, some of which may be considered personally identifiable, confidential, or sensitive. We face security threats from malicious third parties that could obtain unauthorized access to our systems, infrastructure, and networks. We anticipate that these threats will continue to grow in scope and complexity over time. For example, in 2016, we learned that an old set of Dropbox user credentials for approximately 68 million accounts was released. These credentials consisted of email addresses and passwords protected by cryptographic techniques known as hashing and salting. Hashing and salting can make it more difficult to obtain the original password, but may not fully protect the original password from being obtained. We believe these Dropbox user credentials were obtained in 2012 and related to a security incident we disclosed to users. In response, we notified all existing users we believed to be affected and completed a password reset for anyone who had not updated their password since mid-2012. We have responded to this event by expanding our security team and data monitoring capabilities and continuing to work on features such as two-factor authentication to increase protection of user information. While we believe our corrective actions will reduce the likelihood of similar incidents occurring in the future, third parties might use techniques that we are unable to defend against to compromise and infiltrate our systems, infrastructure, and networks. We may fail to detect the existence of a breach of user content and be unable to prevent unauthorized access to user and company content. The techniques used to obtain unauthorized access, disable or degrade service, or sabotage systems change frequently and are often not recognized until launched against a target. They may originate from less regulated or remote areas around the world, or from state-sponsored actors. If our security measures are breached, or our users’ content is otherwise accessed through unauthorized means, or if any such actions are believed to occur, our platform may be perceived as insecure, and we may lose existing users or fail to attract and retain new users.</w:t>
      </w:r>
    </w:p>
    <w:p>
      <w:pPr>
        <w:spacing w:after="0" w:line="16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w:t>
      </w:r>
    </w:p>
    <w:p>
      <w:pPr>
        <w:spacing w:after="0" w:line="18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in the event of a breach of their networks, our data or our users' data may be improperly accessed, used, or disclosed.</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1"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Third parties may attempt to compromise our employees and their privileged access into internal systems to gain access to accounts, our information, our networks, or our systems. Employee error, malfeasance, or other errors in the storage, use, or transmission of personal information could result in an actual or perceived breach of user privacy. Our users may also disclose or lose control of their passwords, or use the same or similar passwords on third parties’ systems, which could lead to unauthorized access to their accounts on our platform.</w:t>
      </w:r>
    </w:p>
    <w:p>
      <w:pPr>
        <w:spacing w:after="0" w:line="18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Any unauthorized or inadvertent access to, or an actual or perceived security breach of, our systems, infrastructure, or networks could result in an actual or perceived loss of, or unauthorized access to, our data or our users’ content,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 profile security breach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by any significant disruption of service on our platform or loss of content.</w:t>
      </w:r>
    </w:p>
    <w:p>
      <w:pPr>
        <w:spacing w:after="0" w:line="225"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If our platform is unavailable when users attempt to access it, or if it does not load as quickly as they expect, users may not use our platform as often in the future, or at all.</w:t>
      </w:r>
    </w:p>
    <w:p>
      <w:pPr>
        <w:spacing w:after="0" w:line="17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During 2015 and 2016, we migrated the vast majority of user content to our own custom-built infrastructure in co-location facilities that we directly lease and operate. As we add to our infrastructure, we may move or transfer additional content.</w:t>
      </w:r>
    </w:p>
    <w:p>
      <w:pPr>
        <w:spacing w:after="0" w:line="18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Further, as we continue to grow and scale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w:t>
      </w:r>
    </w:p>
    <w:p>
      <w:pPr>
        <w:spacing w:after="0" w:line="18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addition, the datacenters that we use are vulnerable to damage or interruption from human error, intentional bad acts,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170" w:lineRule="exact"/>
        <w:rPr>
          <w:sz w:val="20"/>
          <w:szCs w:val="20"/>
          <w:color w:val="auto"/>
        </w:rPr>
      </w:pPr>
    </w:p>
    <w:p>
      <w:pPr>
        <w:jc w:val="both"/>
        <w:ind w:right="100" w:firstLine="405"/>
        <w:spacing w:after="0" w:line="286" w:lineRule="auto"/>
        <w:rPr>
          <w:sz w:val="20"/>
          <w:szCs w:val="20"/>
          <w:color w:val="auto"/>
        </w:rPr>
      </w:pPr>
      <w:r>
        <w:rPr>
          <w:rFonts w:ascii="Arial" w:cs="Arial" w:eastAsia="Arial" w:hAnsi="Arial"/>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demand for our platform could be negatively affected.</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21"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81"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awareness of the content collaboration category generally;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support;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26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IBM, Cisco, VMware, Okta, Symantec, Palo Alto Networks,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19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competitive markets, and we must continue to compete effectively.</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market for content collaboration platforms is competitive and rapidly changing. Certain features of our platform compete in the cloud storage market with products offered by Amazon, Apple, Google, and Microsoft, and in the content collaboration market with products offered by Atlassian, Google, and Microsoft. We compete with Box on a more limited basis in the cloud storage market for deployments by large enterprises. We also compete with smaller private companies that offer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1"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point solutions in the cloud storage market or the content collaboration market. We believe the principal competitive factors in our markets include the following:</w:t>
      </w:r>
    </w:p>
    <w:p>
      <w:pPr>
        <w:spacing w:after="0" w:line="170"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user-centric design;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scale of user network;</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accessibility across several devices, operating system, and applications;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integration;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innovation;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With the introduction of new technologies and market entrants, we expect competition to intensify in the future. Many of our actual and potential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78"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 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respond to rapid technological changes, extend our platform, or develop new features or products.</w:t>
      </w:r>
    </w:p>
    <w:p>
      <w:pPr>
        <w:spacing w:after="0" w:line="22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We invest significantly in research and development, and our goal is to focus our spending on measures that improve quality and ease of adoption and create organic user demand for our platform. For example, in 2017, we released Smart Sync, an advanced productivity feature, and introduced Paper, a new collaborative product experience. More recently, in 2018, we announced Dropbox Extensions, which allows users to initiate and manage workflows with third-party partner applications from Dropbox.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to our platform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manage our growth or plan for future growth.</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Since our founding in 2007, we have experienced rapid growth. For example, our headcount has grown from 1,612 employees as of December 31, 2016, to 2,323 employees as of December 31, 2018, with employees located both in the United States and internationally. The growth and expansion of our business places a continuous significant strain on our management, operational, and financial resources. Further growth of our operations to support our user base or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spacing w:after="0" w:line="1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lack of a significant outbound sales force may limit the potential growth of our business.</w:t>
      </w:r>
    </w:p>
    <w:p>
      <w:pPr>
        <w:spacing w:after="0" w:line="225"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expand sales to large organizations, which could lengthen sales cycles and result in greater deployment challenges.</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1"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produce any sales. As a result, sales to large organizations may lead to greater unpredictability in our business, results of operations, and financial condition.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offer high-quality customer support may harm our relationships with our users and our financial results.</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8.8 million as of December 31, 2016, to 13.2 million as of March 31, 2019.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193"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retain and upgrade paying users;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new paying users and convert registered to paying users;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225" w:lineRule="exact"/>
        <w:rPr>
          <w:rFonts w:ascii="Arial" w:cs="Arial" w:eastAsia="Arial" w:hAnsi="Arial"/>
          <w:sz w:val="18"/>
          <w:szCs w:val="18"/>
          <w:color w:val="auto"/>
        </w:rPr>
      </w:pPr>
    </w:p>
    <w:p>
      <w:pPr>
        <w:ind w:left="1300" w:right="240" w:hanging="320"/>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 as well as entry into operating and finance leases;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expenses related to acquisitions;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large indemnification payments to our users or other third parties;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success of new product feature and service introductions by us or our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network outages or actual or perceived security breaches;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results of operations may not immediately reflect downturns or upturns in sales because we recognize revenue from our users over the term of their subscriptions with us.</w:t>
      </w:r>
    </w:p>
    <w:p>
      <w:pPr>
        <w:spacing w:after="0" w:line="170"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121"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1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7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depend on the continued service and performance of our key personnel. In particular, Andrew W. Houston, our President and Chief Executive Officer and one of our co-founders, is critical to our vision, strategic direction, culture, and offerings. From time to time, there may be changes in our management team resulting from the hiring or departure of our executives. For example, in the third quarter of 2018 we announced that Dennis Woodside, our former Chief Operating Officer, had resigned such role, remaining an advisor through the end of 2018. Some of our other key personnel have recently joined us and are still being integrated into our company. We may continue to make changes to our management team, which could make it difficult to execute on our business plans and strategies. New hires also require significant training and, in most cases, take significant time before they achieve full productivity. Our failure to successfully integrate these key personnel into our business could adversely affect our business.</w:t>
      </w:r>
    </w:p>
    <w:p>
      <w:pPr>
        <w:spacing w:after="0" w:line="17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do not have long-term employment agreements with any of our officers or key personnel.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4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To execute our growth plan, we must attract and retain highly qualified personnel. Competition for these employees is intense, particularly in the San Francisco Bay Area where our headquarters is located, and we may not be successful in attracting and retaining qualified personnel. We have from time to time in the past experienced, and we expect to continue to experience, difficulty in hiring and retaining highly skilled employees with appropriate qualifications.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and growth prospects could be harmed.</w:t>
      </w:r>
    </w:p>
    <w:p>
      <w:pPr>
        <w:spacing w:after="0" w:line="178" w:lineRule="exact"/>
        <w:rPr>
          <w:sz w:val="20"/>
          <w:szCs w:val="20"/>
          <w:color w:val="auto"/>
        </w:rPr>
      </w:pPr>
    </w:p>
    <w:p>
      <w:pPr>
        <w:jc w:val="both"/>
        <w:ind w:right="700" w:firstLine="405"/>
        <w:spacing w:after="0" w:line="264" w:lineRule="auto"/>
        <w:rPr>
          <w:sz w:val="20"/>
          <w:szCs w:val="20"/>
          <w:color w:val="auto"/>
        </w:rPr>
      </w:pPr>
      <w:r>
        <w:rPr>
          <w:rFonts w:ascii="Arial" w:cs="Arial" w:eastAsia="Arial" w:hAnsi="Arial"/>
          <w:sz w:val="18"/>
          <w:szCs w:val="18"/>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and large numbers of employees could significantly and adversely impact our culture.</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users will be impaired and our business, results of operations, and financial condition will be harmed.</w:t>
      </w:r>
    </w:p>
    <w:p>
      <w:pPr>
        <w:spacing w:after="0" w:line="170"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170"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We have paying users across 180 countries and approximately half of our revenue in the year ended December 31, 2018 was generated from paying users outside the United States. We expect to continue to expand our international operations, which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1"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189" w:lineRule="exact"/>
        <w:rPr>
          <w:sz w:val="20"/>
          <w:szCs w:val="20"/>
          <w:color w:val="auto"/>
        </w:rPr>
      </w:pPr>
    </w:p>
    <w:p>
      <w:pPr>
        <w:ind w:left="1300" w:right="200" w:hanging="320"/>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181" w:lineRule="exact"/>
        <w:rPr>
          <w:rFonts w:ascii="Arial" w:cs="Arial" w:eastAsia="Arial" w:hAnsi="Arial"/>
          <w:sz w:val="18"/>
          <w:szCs w:val="18"/>
          <w:color w:val="auto"/>
        </w:rPr>
      </w:pPr>
    </w:p>
    <w:p>
      <w:pPr>
        <w:ind w:left="1300" w:right="26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recruiting and retaining talented and capable employees outside the United States, and maintaining our company culture across all of our offices;</w:t>
      </w:r>
    </w:p>
    <w:p>
      <w:pPr>
        <w:spacing w:after="0" w:line="170" w:lineRule="exact"/>
        <w:rPr>
          <w:rFonts w:ascii="Arial" w:cs="Arial" w:eastAsia="Arial" w:hAnsi="Arial"/>
          <w:sz w:val="18"/>
          <w:szCs w:val="18"/>
          <w:color w:val="auto"/>
        </w:rPr>
      </w:pPr>
    </w:p>
    <w:p>
      <w:pPr>
        <w:ind w:left="1300" w:right="480" w:hanging="320"/>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81" w:lineRule="exact"/>
        <w:rPr>
          <w:rFonts w:ascii="Arial" w:cs="Arial" w:eastAsia="Arial" w:hAnsi="Arial"/>
          <w:sz w:val="18"/>
          <w:szCs w:val="18"/>
          <w:color w:val="auto"/>
        </w:rPr>
      </w:pPr>
    </w:p>
    <w:p>
      <w:pPr>
        <w:ind w:left="1300" w:right="32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of an employee base in jurisdictions that may not give us the same employment and retention flexibility as does the United States;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does the United States;</w:t>
      </w:r>
    </w:p>
    <w:p>
      <w:pPr>
        <w:spacing w:after="0" w:line="225" w:lineRule="exact"/>
        <w:rPr>
          <w:rFonts w:ascii="Arial" w:cs="Arial" w:eastAsia="Arial" w:hAnsi="Arial"/>
          <w:sz w:val="18"/>
          <w:szCs w:val="18"/>
          <w:color w:val="auto"/>
        </w:rPr>
      </w:pPr>
    </w:p>
    <w:p>
      <w:pPr>
        <w:ind w:left="1300" w:right="460" w:hanging="320"/>
        <w:spacing w:after="0" w:line="308"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170" w:lineRule="exact"/>
        <w:rPr>
          <w:rFonts w:ascii="Arial" w:cs="Arial" w:eastAsia="Arial" w:hAnsi="Arial"/>
          <w:sz w:val="18"/>
          <w:szCs w:val="18"/>
          <w:color w:val="auto"/>
        </w:rPr>
      </w:pPr>
    </w:p>
    <w:p>
      <w:pPr>
        <w:ind w:left="1300" w:right="20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income and other tax laws of the United States or the international jurisdictions in which we operate;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w:t>
      </w:r>
    </w:p>
    <w:p>
      <w:pPr>
        <w:spacing w:after="0" w:line="23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Compliance with laws and regulations applicable to our global operations substantially increases our cost of doing business in international jurisdictions. We may be unable to keep current with changes in laws and regulations as they change.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26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conduct our business across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2018, 30% of our sales were denominated in currencies other than U.S. dollars. Our expenses, by contrast, are primarily denominated in U.S.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dollars. As a result, any increase in the value of the U.S. dollar against these foreign currencies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7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5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Our third-party datacenter operators could decide to close their facilities or cease providing services without adequate notice. In addition, any financial difficulties, such as bankruptcy, faced by our third-party datacenters operators or any of the service providers with whom we or they contract may have negative effects on our business, the nature and extent of which are difficult to predict.</w:t>
      </w:r>
    </w:p>
    <w:p>
      <w:pPr>
        <w:spacing w:after="0" w:line="178"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relationships with third parties to provide, develop, and create applications that integrate with our platform, and our business could be harmed if we are not able to continue these relationships.</w:t>
      </w:r>
    </w:p>
    <w:p>
      <w:pPr>
        <w:spacing w:after="0" w:line="170"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178"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We also depend on our ecosystem of developers to create applications that will integrate with our platform. As of December 31, 2018, Dropbox was receiving over 50 billion API calls per month, and more than 500,000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 We may not have the ability to control or prevent these risks. As a result, issues relating to these applications could adversely affect our business, brand, and reputation.</w:t>
      </w:r>
    </w:p>
    <w:p>
      <w:pPr>
        <w:spacing w:after="0" w:line="193"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178" w:lineRule="exact"/>
        <w:rPr>
          <w:sz w:val="20"/>
          <w:szCs w:val="20"/>
          <w:color w:val="auto"/>
        </w:rPr>
      </w:pPr>
    </w:p>
    <w:p>
      <w:pPr>
        <w:jc w:val="both"/>
        <w:ind w:right="280" w:firstLine="405"/>
        <w:spacing w:after="0" w:line="286" w:lineRule="auto"/>
        <w:rPr>
          <w:sz w:val="20"/>
          <w:szCs w:val="20"/>
          <w:color w:val="auto"/>
        </w:rPr>
      </w:pPr>
      <w:r>
        <w:rPr>
          <w:rFonts w:ascii="Arial" w:cs="Arial" w:eastAsia="Arial" w:hAnsi="Arial"/>
          <w:sz w:val="16"/>
          <w:szCs w:val="16"/>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 authorities as a result of our business practices, including our subscription, billing, and auto-renewal policies.</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184"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47" w:lineRule="exact"/>
        <w:rPr>
          <w:sz w:val="20"/>
          <w:szCs w:val="20"/>
          <w:color w:val="auto"/>
        </w:rPr>
      </w:pPr>
    </w:p>
    <w:p>
      <w:pPr>
        <w:ind w:right="180" w:firstLine="405"/>
        <w:spacing w:after="0" w:line="297" w:lineRule="auto"/>
        <w:rPr>
          <w:sz w:val="20"/>
          <w:szCs w:val="20"/>
          <w:color w:val="auto"/>
        </w:rPr>
      </w:pPr>
      <w:r>
        <w:rPr>
          <w:rFonts w:ascii="Arial" w:cs="Arial" w:eastAsia="Arial" w:hAnsi="Arial"/>
          <w:sz w:val="16"/>
          <w:szCs w:val="16"/>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70"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cannot guarantee that the precautions we take will prevent violations of export control and sanctions laws. For example, in 2011, we provided certain downloadable portions of our software to international users that, prior to export, required either a one-time product review or application for an encryption registration number in lieu of such product review. These exports were likely made in violation of U.S. export control and sanction laws. In March 2011, we filed a Final Voluntary Self Disclosure with the U.S. Department of Commerce’s Bureau of Industry and Security, or BIS, concerning these potential violations. In June 2012, BIS notified us that it had completed its review of these matters and closed its review with the issuance of a Warning Letter. No monetary penalties were assessed against us by BIS with respect to the 2011 filing. In addition, in 2017, we discovered that our platform has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w:t>
      </w:r>
    </w:p>
    <w:p>
      <w:pPr>
        <w:spacing w:after="0" w:line="175"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1"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14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regulations, and obligations could harm our business.</w:t>
      </w:r>
    </w:p>
    <w:p>
      <w:pPr>
        <w:spacing w:after="0" w:line="17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79"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or GDPR, went into effect in the European Union, or EU. The GDPR imposed more stringent data protection requirements and provides greater penalties for noncompliance than previous data protection laws. Further, following a referendum in June 2016 in which voters in the United Kingdom approved an exit from the EU, the United Kingdom government has initiated a process to leave the EU, or Brexit. Brexit has created uncertainty with regard to the regulation of data protection in the United Kingdom. In particular, it is unclear whether the United Kingdom will enact data protection laws or regulations designed to be consistent with the GDPR and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closely monitoring regulatory developments in this area. Additionally, California recently enacted legislation, the California Consumer Privacy Act of 2018, that will afford consumers expanded privacy protections when it goes into effect on January 1, 2020. Legislators have proposed amendments to this legislation, and it remains unclear what, if any, modifications will be made to this legislation or how it will be interpreted. The effects of this legislation potentially are far-reaching, however, and may require us to modify our data processing practices and policies and to incur substantial costs and expenses in an effort to comply. Similarly, there are a number of legislative proposals in the European Union, the United States, at both the federal and state level, as well as other jurisdictions that could impose new obligations in areas affecting our business. In addition, some countries are considering or have passed legislation implementing data protection requirements or requiring local storage and processing of data, or similar requirements, that could increase the cost and complexity of delivering our services.</w:t>
      </w:r>
    </w:p>
    <w:p>
      <w:pPr>
        <w:spacing w:after="0" w:line="178"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With laws and regulations such as the GDPR in the EU and the California Consumer Privacy Act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services.</w:t>
      </w:r>
    </w:p>
    <w:p>
      <w:pPr>
        <w:spacing w:after="0" w:line="16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impacted by changes in internet access for our users or laws specifically governing the internet.</w:t>
      </w:r>
    </w:p>
    <w:p>
      <w:pPr>
        <w:spacing w:after="0" w:line="225"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187"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 usage-based pricing;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discount pricing for competitive products;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otherwise materially change their pricing rates or schemes;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charge us to deliver our traffic at certain levels or at all;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throttle traffic based on its source or type;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 bandwidth caps or other usage restrictions;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otherwise try to monetize or control access to their networks.</w:t>
      </w:r>
    </w:p>
    <w:p>
      <w:pPr>
        <w:spacing w:after="0" w:line="22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on September 30, 2018, California enacted the California Internet Consumer Protection and Net Neutrality Act of 2018, making California the fourth state to enact a state-level net neutrality law since the FCC repealed its nationwide regulations, mandating that all broadband services in California must be provided in accordance with state net neutrality requirements. The U.S. Department of Justice has sued to block the law going into effect, and California has agreed to delay enforcement until the resolution of the FCC’s repeal of the federal rules. A number of other states are considering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80"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70"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The costs of supporting litigation and dispute resolution proceedings are considerable, and there can be no assurances that a favorable outcome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121"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results of operations, and financial condition could be materially and adversely affected as a result.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237"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750 issued patents and more than 600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open source software could negatively affect our ability to offer and sell subscriptions to our platform and subject us to possible litigation.</w:t>
      </w:r>
    </w:p>
    <w:p>
      <w:pPr>
        <w:spacing w:after="0" w:line="248"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and/or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sell subscriptions to our platform could be harmed by real or perceived material defects or errors in our platform.</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1"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We also utilize hardware purchased or leased and software and services licensed from third parties on our platform. Any defects in, or unavailability of, our or third-party software, services, or hardware that cause interruptions to the availability of our services, loss of data, or performance issues could, among other things:</w:t>
      </w:r>
    </w:p>
    <w:p>
      <w:pPr>
        <w:spacing w:after="0" w:line="181"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cause a reduction in revenue or delay in market acceptance of our platform;</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us to issue refunds to our users or expose us to claims for damages;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cause us to lose existing users and make it more difficult to attract new users;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acquired, and may in the future acquire, other businesses, and we may also receive offers to be acquired, any of which could require significant management attention, disrupt our business, or dilute stockholder value.</w:t>
      </w:r>
    </w:p>
    <w:p>
      <w:pPr>
        <w:spacing w:after="0" w:line="170"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As part of our business strategy, we have acquired, and may in the future acquire, other companies, employee teams, or technologies to complement or expand our products, obtain personnel, or otherwise grow our business. For example, in the first fiscal quarter of 2019 we acquired Hellosign, an e-signature and document workflow platform, to expand our content collaboration capabilities to include additional business critical workflows. The pursuit of acquisitions may divert the attention of management and cause us to incur various expenses in identifying, investigating, and pursuing suitable acquisitions, whether or not they are consummated.</w:t>
      </w:r>
    </w:p>
    <w:p>
      <w:pPr>
        <w:spacing w:after="0" w:line="18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have limited experience making acquisitions. We may not be able to find suitable acquisition candidates and we may not be able to complete acquisitions on favorable terms, if at all. If we do complete acquisitions, we may not ultimately strengthen our competitive position or achieve the anticipated benefits from such acquisitions, due to a number of factors, including:</w:t>
      </w:r>
    </w:p>
    <w:p>
      <w:pPr>
        <w:spacing w:after="0" w:line="181"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acquisition-related costs, liabilities, or tax impacts, some of which may be unanticipated;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difficulty integrating and retaining the personnel, intellectual property, technology infrastructure, and operations of an acquired business;</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ineffective or inadequate, controls, procedures, or policies at an acquired business;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multiple product lines or services offerings, as a result of our acquisitions, that are offered, priced, and supported differently;</w:t>
      </w:r>
    </w:p>
    <w:p>
      <w:pPr>
        <w:spacing w:after="0" w:line="225" w:lineRule="exact"/>
        <w:rPr>
          <w:rFonts w:ascii="Arial" w:cs="Arial" w:eastAsia="Arial" w:hAnsi="Arial"/>
          <w:sz w:val="18"/>
          <w:szCs w:val="18"/>
          <w:color w:val="auto"/>
        </w:rPr>
      </w:pPr>
    </w:p>
    <w:p>
      <w:pPr>
        <w:ind w:left="1300" w:right="100" w:hanging="32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unknown liabilities or risks associated with an acquired business, including those arising from existing contractual obligations or litigation matters;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maintain relationships with key customers, suppliers, and partners of an acquired business;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experience in new markets, products or technologies;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w:t>
      </w:r>
    </w:p>
    <w:p>
      <w:pPr>
        <w:spacing w:after="0" w:line="225"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acquired goodwill. We review goodwill for impairment at least annually. In the future, if our acquisitions do not yield expected returns, we may be required to record impairment charges based this assessment, which could adversely affect our results of operations.</w:t>
      </w:r>
    </w:p>
    <w:p>
      <w:pPr>
        <w:spacing w:after="0" w:line="18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We may not be able to integrate acquired businesses successfully or effectively manage the combined company following an acquisition. If we fail to successfully integrate acquisitions, or the people or technologies associated with those acquisitions,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121"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181"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Any acquisition we complete could be viewed negatively by users, developers, partners, or investors, and could have adverse effects on our existing business relationships. In addition, we may not successfully evaluate or utilize acquired technology or accurately forecast the financial impact of an acquisition transaction, including accounting charges.</w:t>
      </w:r>
    </w:p>
    <w:p>
      <w:pPr>
        <w:spacing w:after="0" w:line="181" w:lineRule="exact"/>
        <w:rPr>
          <w:sz w:val="20"/>
          <w:szCs w:val="20"/>
          <w:color w:val="auto"/>
        </w:rPr>
      </w:pPr>
    </w:p>
    <w:p>
      <w:pPr>
        <w:ind w:right="360" w:firstLine="405"/>
        <w:spacing w:after="0" w:line="259" w:lineRule="auto"/>
        <w:rPr>
          <w:sz w:val="20"/>
          <w:szCs w:val="20"/>
          <w:color w:val="auto"/>
        </w:rPr>
      </w:pPr>
      <w:r>
        <w:rPr>
          <w:rFonts w:ascii="Arial" w:cs="Arial" w:eastAsia="Arial" w:hAnsi="Arial"/>
          <w:sz w:val="18"/>
          <w:szCs w:val="18"/>
          <w:color w:val="auto"/>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significantly impacted by a change in the economy, including any resulting effect on consumer or business spending.</w:t>
      </w:r>
    </w:p>
    <w:p>
      <w:pPr>
        <w:spacing w:after="0" w:line="23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business may be affected by changes in the economy generally, including any resulting effect on spending by our business and consumer users. Some of our users may view a subscription to our platform as a discretionary purchase, and our paying users may reduce their discretionary spending on our platform during an economic downturn. If an economic downturn were to occur, we may experience such a reduction in the future, especially in the event of a prolonged recessionary period. As a result, our business, results of operations, and financial condition may be significantly affected by changes in the economy generally.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disrupted by catastrophic events.</w:t>
      </w:r>
    </w:p>
    <w:p>
      <w:pPr>
        <w:spacing w:after="0" w:line="22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adversely impact our results of operations.</w:t>
      </w:r>
    </w:p>
    <w:p>
      <w:pPr>
        <w:spacing w:after="0" w:line="225"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While to date we have not incurred significant income taxes in operating our business, 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88"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Our tax provision could also be impacted by changes in accounting principles, changes in U.S. federal, state, or international tax laws applicable to corporate multinationals such as the recent legislation enacted in the United States, United Kingdom and Australia, other fundamental law changes currently being considered by many countries, and changes in taxing jurisdictions’ administrative interpretations, decisions, policies, and positions. Additionally, in October 2015, the Organization for Economic Co-Operation and Development released final guidance covering various topics, including transfer pricing, country-by-country reporting, and definitional changes to permanent establishment that could ultimately impact our tax liabilities.</w:t>
      </w:r>
    </w:p>
    <w:p>
      <w:pPr>
        <w:spacing w:after="0" w:line="158"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1"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judicial decisions, changes in accounting principles, changes to the business operations, including acquisitions, as well as the evaluation of new information that results in a change to a tax position taken in a prior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As of December 31, 2018, we had $923.6 million of federal and $403.5 million of state net operating loss carryforwards available to reduce future taxable income. Of our federal net operating loss carryforwards, $307.4 million will begin to expire in 2031 and $616.2 million will carryforward indefinitely, while state net operating losses begin to expire in 2029. As of December 31, 2018, we also had $265.1 million of foreign net operating loss carryforwards available to reduce future taxable income, which will carryforward indefinitely. In addition, we had $22.9 million of foreign acquired net operating losses,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percent shareholders” that exceeds 50 percentage points over a rolling three-year period. Similar rules may apply under state tax laws. We performed a study for the period through December 31, 2018 and determined that no ownership changes exceeding 50 percentage points had occurred. Our ability to use net operating loss and tax credit carryforwards to reduce future taxable income and liabilities may be subject to annual limitations as a result of ownership changes from January 1, 2019 and subsequent years.</w:t>
      </w:r>
    </w:p>
    <w:p>
      <w:pPr>
        <w:spacing w:after="0" w:line="1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170"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170"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On December 22, 2017, the legislation commonly referred to as the Tax Cuts and Jobs Act ("Tax Reform Act") was enacted, which contains significant changes to U.S. tax law, including, but not limited to, a reduction in the corporate tax rate and a transition to a new territorial system of taxation. The primary impact of the new legislation on our provision for income taxes was a reduction of the future tax benefits of our deferred tax assets as a result of the reduction in the corporate tax rate. However, since we have recorded a full valuation allowance against our deferred tax assets, these changes did not have a material impact on our consolidated financial statements. As we expand the scale of our international business activities, any changes in the U.S. or foreign taxation of such activities may increase our worldwide effective tax rate and harm our business, results of operations, and financial condition.</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70"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We are subject to the reporting requirements of the Securities Exchange Act of 1934, as amended, or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71"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1"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expended, and anticipate that we will continue to expend, significant resources, including accounting-related costs and significant management oversight.</w:t>
      </w:r>
    </w:p>
    <w:p>
      <w:pPr>
        <w:spacing w:after="0" w:line="248" w:lineRule="exact"/>
        <w:rPr>
          <w:sz w:val="20"/>
          <w:szCs w:val="20"/>
          <w:color w:val="auto"/>
        </w:rPr>
      </w:pPr>
    </w:p>
    <w:p>
      <w:pPr>
        <w:ind w:right="80" w:firstLine="405"/>
        <w:spacing w:after="0" w:line="286"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We will be required to provide an annual management report on the effectiveness of our internal control over financial reporting commencing with our fiscal 2019 Annual Report on Form 10-K.</w:t>
      </w:r>
    </w:p>
    <w:p>
      <w:pPr>
        <w:spacing w:after="0" w:line="175" w:lineRule="exact"/>
        <w:rPr>
          <w:sz w:val="20"/>
          <w:szCs w:val="20"/>
          <w:color w:val="auto"/>
        </w:rPr>
      </w:pPr>
    </w:p>
    <w:p>
      <w:pPr>
        <w:ind w:right="200" w:firstLine="405"/>
        <w:spacing w:after="0" w:line="297" w:lineRule="auto"/>
        <w:rPr>
          <w:sz w:val="20"/>
          <w:szCs w:val="20"/>
          <w:color w:val="auto"/>
        </w:rPr>
      </w:pPr>
      <w:r>
        <w:rPr>
          <w:rFonts w:ascii="Arial" w:cs="Arial" w:eastAsia="Arial" w:hAnsi="Arial"/>
          <w:sz w:val="16"/>
          <w:szCs w:val="16"/>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materially and adversely affect our business, results of operations, and financial condition and could cause a decline in the trading price of our Class A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results of operations may be adversely affected by changes in accounting principles generally accepted in the United States.</w:t>
      </w:r>
    </w:p>
    <w:p>
      <w:pPr>
        <w:spacing w:after="0" w:line="23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188" w:lineRule="exact"/>
        <w:rPr>
          <w:sz w:val="20"/>
          <w:szCs w:val="20"/>
          <w:color w:val="auto"/>
        </w:rPr>
      </w:pPr>
    </w:p>
    <w:p>
      <w:pPr>
        <w:jc w:val="both"/>
        <w:ind w:right="220"/>
        <w:spacing w:after="0" w:line="381" w:lineRule="auto"/>
        <w:rPr>
          <w:sz w:val="20"/>
          <w:szCs w:val="20"/>
          <w:color w:val="auto"/>
        </w:rPr>
      </w:pPr>
      <w:r>
        <w:rPr>
          <w:rFonts w:ascii="Arial" w:cs="Arial" w:eastAsia="Arial" w:hAnsi="Arial"/>
          <w:sz w:val="15"/>
          <w:szCs w:val="15"/>
          <w:b w:val="1"/>
          <w:bCs w:val="1"/>
          <w:i w:val="1"/>
          <w:iCs w:val="1"/>
          <w:color w:val="auto"/>
        </w:rPr>
        <w:t>We have publicly disclosed market opportunity estimates, growth forecasts, and key metrics, including the key metrics included in this Quarterly Report on Form 10-Q which could prove to be inaccurate, and any real or perceived inaccuracies may harm our reputation and negatively affect our business.</w:t>
      </w:r>
    </w:p>
    <w:p>
      <w:pPr>
        <w:spacing w:after="0" w:line="101"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We have found that aggregate user activity metrics are not leading indicators of revenue or conversion. For that reason, we do not comprehensively track user activity across the Dropbox platform for financial planning and forecasting purposes.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revolving credit facility provides our lenders with a first-priority lien against substantially all of our intellectual property and certain other assets, and contains financial covenants and other restrictions on our actions that may limit our operational flexibility or otherwise adversely affect our results of operations.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are party to a revolving credit and guarantee agreement, as amended, which contains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maximum consolidated leverage ratio and a minimum liquidity balance. The terms of our revolving credit facility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w:t>
      </w:r>
    </w:p>
    <w:p>
      <w:pPr>
        <w:spacing w:after="0" w:line="178"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A failure by us to comply with the covenants or payment requirements specified in our credit agreement, as amended, could result in an event of default under the agreement, which would give the lenders the right to terminate their commitments to provide additional loans under our revolving credit facility and to declare all borrowings outstanding, together with accrued and unpaid interest and fees, to be immediately due and payable. In addition, the lenders would have the right to proceed against the collateral we granted to them, which consists of substantially all our intellectual property and certain other assets.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16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operations may be interrupted and our business, results of operations, and financial condition could be adversely affected if we default on our leasing or credit obligations.</w:t>
      </w:r>
    </w:p>
    <w:p>
      <w:pPr>
        <w:spacing w:after="0" w:line="170"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finance a significant portion of our expenditures through leasing arrangements and we may enter into additional similar arrangements in the future. As of December 31, 2018, we had an aggregate of $1,394.9 million of commitments to settle contractual obligations. In particular, we have entered into leasing arrangements for our operating leases and we have used these types of arrangements to finance some of our equipment and datacenters. In addition, we may draw upon our revolving credit facility to finance our operations or for other corporate purposes. If we default on these leasing or credit obligations, our leasing partners and lenders may, among other things:</w:t>
      </w:r>
    </w:p>
    <w:p>
      <w:pPr>
        <w:spacing w:after="0" w:line="188"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repayment of any outstanding lease obligations;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terminate our leasing arrangements;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terminate our access to the leased datacenters we utilize;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stop delivery of ordered equipment;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 or require us to return our leased equipment;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repayment of any outstanding amounts drawn on our revolving credit facility;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terminate our revolving credit facility;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us to pay significant fees, penalties, or damages.</w:t>
      </w:r>
    </w:p>
    <w:p>
      <w:pPr>
        <w:spacing w:after="0" w:line="225"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In October 2017, we entered into a new lease agreement to rent office space in San Francisco, California, to serve as our new corporate headquarters. The total minimum obligations under this lease agreement are expected to be approximately $831.6 million. Before moving to our new corporate headquarters, we will continue to operate in our current corporate headquarters, during which time we will be incurring rent expense on both our current and new corporate headquarters. After moving to our new corporate headquarters, we plan to vacate our current corporate headquarters. If we are unable to move into our new headquarters as scheduled, our results of operations could be adversely impacted as a result of additional rent expense.</w:t>
      </w:r>
    </w:p>
    <w:p>
      <w:pPr>
        <w:spacing w:after="0" w:line="158"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If some or all of these events were to occur, our operations may be interrupted and our ability to fund our operations or obligations, as well as our business, results of operations, and financial condition, could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certain that additional financing will be available on favorable terms, or at all.</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225"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spacing w:after="0" w:line="147"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225" w:lineRule="exact"/>
        <w:rPr>
          <w:rFonts w:ascii="Arial" w:cs="Arial" w:eastAsia="Arial" w:hAnsi="Arial"/>
          <w:sz w:val="18"/>
          <w:szCs w:val="18"/>
          <w:color w:val="auto"/>
        </w:rPr>
      </w:pPr>
    </w:p>
    <w:p>
      <w:pPr>
        <w:ind w:left="1300" w:right="66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225" w:lineRule="exact"/>
        <w:rPr>
          <w:rFonts w:ascii="Arial" w:cs="Arial" w:eastAsia="Arial" w:hAnsi="Arial"/>
          <w:sz w:val="18"/>
          <w:szCs w:val="18"/>
          <w:color w:val="auto"/>
        </w:rPr>
      </w:pPr>
    </w:p>
    <w:p>
      <w:pPr>
        <w:ind w:left="1300" w:right="22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1"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170"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Our Class A common stock has one vote per share, our Class B common stock has ten votes per share, and our Class C common stock has no voting rights, except as otherwise required by law. As of March 31, 2019, our directors, executive officers and holders of more than 5% of our common stock, and their respective affiliates, held in the aggregate 86.6% of the voting power of our capital stock, with our Co-Founders holding approximately 55.3% of the voting power of our capital stock (including the Co-Founder Grants and voting agreements that our co-founders entered into with certain of our stockholders that covered an aggregate of 1.0% of the voting power of our capital stock as of March 31, 2019). We are including the Co-Founder Grants in this calculation since they are legally issued and outstanding shares of our Class A common stock and our co-founders are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spacing w:after="0" w:line="188"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the death or permanent and total disability of a co-founder, shares of Class B common stock held by such co-founder, his permitted entities or permitted transferees will convert to Class A common stock, provided that the conversion will be deferred for nine months, or up to 18 months if approved by a majority of our independent directors, following his death or permanent and total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 The conversion of Class B common stock to Class A common stock will have the effect, over time, of increasing the relative voting power of those individual holders of Class B common stock who retain their shares in the long term.</w:t>
      </w:r>
    </w:p>
    <w:p>
      <w:pPr>
        <w:spacing w:after="0" w:line="188"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4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multi-class capital structure likely makes us ineligible for inclusion in any of these indices, and as a result, mutual funds, exchange-traded funds, and other investment vehicles that attempt to passively track these indices will not be investing in our stock. These policies are still new and it is as of yet unclear what effect, if any, they will have on the valuations of publicly traded companies excluded from the indices, but it is possible that they may depress these valuations compared to those of other similar companies that are included.</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Because of the relatively small number of shares of our Class A common stock outstanding after our IPO and the number of shares of Class A common stock held by our founders as a result of their RSAs, which shares have full voting rights, our co-founders will have significant influence over any vote of the Class A common stock voting as a separate class.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As of March 31, 2019, we had 238,878,368 shares of Class A common stock legally issued and outstanding. As a result, until the public float of our Class A common stock increases, which is expected to occur primarily as a result of conversion of shares of Class B common stock into shares of Class A common stock upon transfer, our co-founders will hold a significant percentage of the outstanding Class A common stock. Although the terms of our amended and restated certificate of incorporation only provide for a separate vote of the holders of the Class A common stock on matters occurring after the conversion of the Class B common stock as a class, under Delaware law, certain actions may require the approval of the holders of the Class A common stock voting as a separate class. For example, if we amend our amended and restated certificate of incorporation to adversely affect our Class A common stock, Delaware law could require approval of the holders of our Class A common stock voting separately as a single class. For any vote of the Class A common stock voting as a separate class, our co-founders will heavily influence such vote until the number of outstanding shares of Class A common stock significantly increases. Further, our co-founders will have the right to vote those shares until the termination of the award even if the performance targets have not been met or are not expected to be met. To the extent that the RSAs vest, our co-founders will have the ability to gain liquidity by selling shares of our Class A common stock without reducing their voting power by converting their Class B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could depress the market price of our Class A common stock.</w:t>
      </w:r>
    </w:p>
    <w:p>
      <w:pPr>
        <w:spacing w:after="0" w:line="22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market price of our Class A common stock could decline as a result of a large number of sales of shares of such stock, and the perception that these sales could occur may also depress the market price of our Class A common stock.</w:t>
      </w:r>
    </w:p>
    <w:p>
      <w:pPr>
        <w:spacing w:after="0" w:line="170"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Under our investors’ rights agreement, certain stockholders can require us to register shares owned by them for public sale in the United States. In addition, we filed a registration statement to register shares reserved for future issuance under our equity compensation plans. As a result, subject to the satisfaction of applicable exercise periods, the shares issued upon exercise of outstanding stock options or upon settlement of outstanding RSU awards are available for immediate resale in the United States in the open market.</w:t>
      </w:r>
    </w:p>
    <w:p>
      <w:pPr>
        <w:spacing w:after="0" w:line="187"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170" w:lineRule="exact"/>
        <w:rPr>
          <w:sz w:val="20"/>
          <w:szCs w:val="20"/>
          <w:color w:val="auto"/>
        </w:rPr>
      </w:pPr>
    </w:p>
    <w:p>
      <w:pPr>
        <w:ind w:right="280" w:firstLine="405"/>
        <w:spacing w:after="0" w:line="302"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54" w:lineRule="exact"/>
        <w:rPr>
          <w:sz w:val="20"/>
          <w:szCs w:val="20"/>
          <w:color w:val="auto"/>
        </w:rPr>
      </w:pPr>
    </w:p>
    <w:p>
      <w:pPr>
        <w:ind w:left="1300" w:right="460" w:hanging="320"/>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transaction that would result in a change in control of our company requires the approval of a majority of our outstanding Class B common stock voting as a separate class;</w:t>
      </w:r>
    </w:p>
    <w:p>
      <w:pPr>
        <w:spacing w:after="0" w:line="170" w:lineRule="exact"/>
        <w:rPr>
          <w:rFonts w:ascii="Arial" w:cs="Arial" w:eastAsia="Arial" w:hAnsi="Arial"/>
          <w:sz w:val="18"/>
          <w:szCs w:val="18"/>
          <w:color w:val="auto"/>
        </w:rPr>
      </w:pPr>
    </w:p>
    <w:p>
      <w:pPr>
        <w:ind w:left="1300" w:right="60" w:hanging="320"/>
        <w:spacing w:after="0" w:line="26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181" w:lineRule="exact"/>
        <w:rPr>
          <w:rFonts w:ascii="Arial" w:cs="Arial" w:eastAsia="Arial" w:hAnsi="Arial"/>
          <w:sz w:val="18"/>
          <w:szCs w:val="18"/>
          <w:color w:val="auto"/>
        </w:rPr>
      </w:pPr>
    </w:p>
    <w:p>
      <w:pPr>
        <w:jc w:val="both"/>
        <w:ind w:left="1300" w:right="20" w:hanging="320"/>
        <w:spacing w:after="0" w:line="26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181" w:lineRule="exact"/>
        <w:rPr>
          <w:rFonts w:ascii="Arial" w:cs="Arial" w:eastAsia="Arial" w:hAnsi="Arial"/>
          <w:sz w:val="18"/>
          <w:szCs w:val="18"/>
          <w:color w:val="auto"/>
        </w:rPr>
      </w:pPr>
    </w:p>
    <w:p>
      <w:pPr>
        <w:ind w:left="1300" w:right="60" w:hanging="320"/>
        <w:spacing w:after="0" w:line="302"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1"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1300" w:right="20" w:hanging="32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four amended and restated bylaws will provide that approval of stockholders holding two-thirds of our outstanding voting power voting as a single class is required for stockholders to amend or adopt any provision of our bylaws;</w:t>
      </w:r>
    </w:p>
    <w:p>
      <w:pPr>
        <w:spacing w:after="0" w:line="170" w:lineRule="exact"/>
        <w:rPr>
          <w:rFonts w:ascii="Arial" w:cs="Arial" w:eastAsia="Arial" w:hAnsi="Arial"/>
          <w:sz w:val="18"/>
          <w:szCs w:val="18"/>
          <w:color w:val="auto"/>
        </w:rPr>
      </w:pPr>
    </w:p>
    <w:p>
      <w:pPr>
        <w:ind w:left="1300" w:right="220" w:hanging="32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after the Voting Threshold Date our stockholders will only be able to take action at a meeting of stockholders, and will not be able to take action by written consent for any matter;</w:t>
      </w:r>
    </w:p>
    <w:p>
      <w:pPr>
        <w:spacing w:after="0" w:line="170" w:lineRule="exact"/>
        <w:rPr>
          <w:rFonts w:ascii="Arial" w:cs="Arial" w:eastAsia="Arial" w:hAnsi="Arial"/>
          <w:sz w:val="18"/>
          <w:szCs w:val="18"/>
          <w:color w:val="auto"/>
        </w:rPr>
      </w:pPr>
    </w:p>
    <w:p>
      <w:pPr>
        <w:ind w:left="1300" w:right="120" w:hanging="32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until the Voting Threshold Date, our stockholders will be able to act by written consent only if the action is first recommended or approved by the Board of Directors;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vacancies on our Board of Directors will be able to be filled only by our Board of Directors and not by stockholders;</w:t>
      </w:r>
    </w:p>
    <w:p>
      <w:pPr>
        <w:spacing w:after="0" w:line="225" w:lineRule="exact"/>
        <w:rPr>
          <w:rFonts w:ascii="Arial" w:cs="Arial" w:eastAsia="Arial" w:hAnsi="Arial"/>
          <w:sz w:val="18"/>
          <w:szCs w:val="18"/>
          <w:color w:val="auto"/>
        </w:rPr>
      </w:pPr>
    </w:p>
    <w:p>
      <w:pPr>
        <w:ind w:left="1300" w:right="60" w:hanging="320"/>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only our chairman of the Board of Directors, chief executive officer, a majority of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225" w:lineRule="exact"/>
        <w:rPr>
          <w:rFonts w:ascii="Arial" w:cs="Arial" w:eastAsia="Arial" w:hAnsi="Arial"/>
          <w:sz w:val="18"/>
          <w:szCs w:val="18"/>
          <w:color w:val="auto"/>
        </w:rPr>
      </w:pPr>
    </w:p>
    <w:p>
      <w:pPr>
        <w:ind w:left="1300" w:right="60" w:hanging="32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170" w:lineRule="exact"/>
        <w:rPr>
          <w:rFonts w:ascii="Arial" w:cs="Arial" w:eastAsia="Arial" w:hAnsi="Arial"/>
          <w:sz w:val="18"/>
          <w:szCs w:val="18"/>
          <w:color w:val="auto"/>
        </w:rPr>
      </w:pPr>
    </w:p>
    <w:p>
      <w:pPr>
        <w:ind w:left="1300" w:right="480" w:hanging="32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70"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18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7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Our amended and restated bylaws also provide that the federal district courts of the United States of America will be the exclusive forum for resolving any complaint asserting a cause of action arising under the Securities Act, or a Federal Forum Provision.</w:t>
      </w:r>
    </w:p>
    <w:p>
      <w:pPr>
        <w:spacing w:after="0" w:line="170"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66"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As previously disclosed in our Current Report on Form 8-K filed with the SEC on December 19, 2018, in light of the decision issued by the Delaware Court of Chancery in Matthew Sciabacucchi v. Matthew B. Salzberg et al., C.A. No. 2017-0931-JTL (Del. Ch.), finding Federal Forum Provisions are not valid under Delaware law, we do not intend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enforce the Federal Forum Provision in our amended and restated bylaws unless and until such time there is a final determination by the Delaware Supreme Court regarding the validity of such provisions. To the extent the Delaware Supreme Court makes a final determination that provisions such as the Federal Forum Provision are not valid as a matter of Delaware law, our board of directors intends to amend our amended and restated bylaws to remove the Federal Forum Provision.</w:t>
      </w:r>
    </w:p>
    <w:p>
      <w:pPr>
        <w:spacing w:after="0" w:line="18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If we face relevant litigation and are unable to enforce these provisions, we may incur additional costs associated with resolving the dispute in other jurisdictions, which could harm our results of operations.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7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121"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We have filed the exhibits listed on the accompanying Exhibit Index, which is incorporated herein by reference.</w:t>
      </w:r>
    </w:p>
    <w:p>
      <w:pPr>
        <w:spacing w:after="0" w:line="200" w:lineRule="exact"/>
        <w:rPr>
          <w:sz w:val="20"/>
          <w:szCs w:val="20"/>
          <w:color w:val="auto"/>
        </w:rPr>
      </w:pPr>
    </w:p>
    <w:p>
      <w:pPr>
        <w:spacing w:after="0" w:line="3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219"/>
          </w:cols>
          <w:pgMar w:left="240" w:top="121"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Incorporated by</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5340" w:type="dxa"/>
            <w:vAlign w:val="bottom"/>
            <w:gridSpan w:val="5"/>
            <w:vMerge w:val="restart"/>
          </w:tcPr>
          <w:p>
            <w:pPr>
              <w:ind w:left="2240"/>
              <w:spacing w:after="0"/>
              <w:rPr>
                <w:sz w:val="20"/>
                <w:szCs w:val="20"/>
                <w:color w:val="auto"/>
              </w:rPr>
            </w:pPr>
            <w:r>
              <w:rPr>
                <w:rFonts w:ascii="Arial" w:cs="Arial" w:eastAsia="Arial" w:hAnsi="Arial"/>
                <w:sz w:val="14"/>
                <w:szCs w:val="14"/>
                <w:b w:val="1"/>
                <w:bCs w:val="1"/>
                <w:color w:val="auto"/>
              </w:rPr>
              <w:t>Description</w:t>
            </w:r>
          </w:p>
        </w:tc>
        <w:tc>
          <w:tcPr>
            <w:tcW w:w="7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12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Number</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22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4"/>
              </w:rPr>
              <w:t>Filed with SEC</w:t>
            </w:r>
          </w:p>
        </w:tc>
        <w:tc>
          <w:tcPr>
            <w:tcW w:w="0" w:type="dxa"/>
            <w:vAlign w:val="bottom"/>
          </w:tcPr>
          <w:p>
            <w:pPr>
              <w:spacing w:after="0"/>
              <w:rPr>
                <w:sz w:val="1"/>
                <w:szCs w:val="1"/>
                <w:color w:val="auto"/>
              </w:rPr>
            </w:pPr>
          </w:p>
        </w:tc>
      </w:tr>
      <w:tr>
        <w:trPr>
          <w:trHeight w:val="186"/>
        </w:trPr>
        <w:tc>
          <w:tcPr>
            <w:tcW w:w="1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340" w:type="dxa"/>
            <w:vAlign w:val="bottom"/>
            <w:gridSpan w:val="5"/>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6"/>
              </w:rPr>
              <w:t>Exhibit Number</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40" w:type="dxa"/>
            <w:vAlign w:val="bottom"/>
          </w:tcPr>
          <w:p>
            <w:pPr>
              <w:spacing w:after="0"/>
              <w:rPr>
                <w:sz w:val="20"/>
                <w:szCs w:val="20"/>
                <w:color w:val="auto"/>
              </w:rPr>
            </w:pPr>
            <w:r>
              <w:rPr>
                <w:rFonts w:ascii="Arial" w:cs="Arial" w:eastAsia="Arial" w:hAnsi="Arial"/>
                <w:sz w:val="14"/>
                <w:szCs w:val="14"/>
                <w:color w:val="auto"/>
              </w:rPr>
              <w:t>31.1</w:t>
            </w:r>
          </w:p>
        </w:tc>
        <w:tc>
          <w:tcPr>
            <w:tcW w:w="5340" w:type="dxa"/>
            <w:vAlign w:val="bottom"/>
            <w:gridSpan w:val="5"/>
          </w:tcPr>
          <w:p>
            <w:pPr>
              <w:spacing w:after="0"/>
              <w:rPr>
                <w:rFonts w:ascii="Arial" w:cs="Arial" w:eastAsia="Arial" w:hAnsi="Arial"/>
                <w:sz w:val="14"/>
                <w:szCs w:val="14"/>
                <w:color w:val="0000FF"/>
              </w:rPr>
            </w:pPr>
            <w:hyperlink w:anchor="page82">
              <w:r>
                <w:rPr>
                  <w:rFonts w:ascii="Arial" w:cs="Arial" w:eastAsia="Arial" w:hAnsi="Arial"/>
                  <w:sz w:val="14"/>
                  <w:szCs w:val="14"/>
                  <w:color w:val="0000FF"/>
                </w:rPr>
                <w:t>Certification of Principal Executive Officer pursuant to Exchange Act Rules 13a-14(a)</w:t>
              </w:r>
            </w:hyperlink>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498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2"/>
              </w:rPr>
            </w:pPr>
            <w:hyperlink w:anchor="page82">
              <w:r>
                <w:rPr>
                  <w:rFonts w:ascii="Arial" w:cs="Arial" w:eastAsia="Arial" w:hAnsi="Arial"/>
                  <w:sz w:val="14"/>
                  <w:szCs w:val="14"/>
                  <w:color w:val="0000FF"/>
                  <w:w w:val="92"/>
                </w:rPr>
                <w:t>and 15d-14(a), as adopted pursuant to Section 302 of the Sarbanes-Oxley Act of 2002.</w:t>
              </w:r>
            </w:hyperlink>
          </w:p>
        </w:tc>
        <w:tc>
          <w:tcPr>
            <w:tcW w:w="20" w:type="dxa"/>
            <w:vAlign w:val="bottom"/>
            <w:tcBorders>
              <w:top w:val="single" w:sz="8" w:color="0000FF"/>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7"/>
        </w:trPr>
        <w:tc>
          <w:tcPr>
            <w:tcW w:w="1040" w:type="dxa"/>
            <w:vAlign w:val="bottom"/>
          </w:tcPr>
          <w:p>
            <w:pPr>
              <w:spacing w:after="0"/>
              <w:rPr>
                <w:sz w:val="20"/>
                <w:szCs w:val="20"/>
                <w:color w:val="auto"/>
              </w:rPr>
            </w:pPr>
            <w:r>
              <w:rPr>
                <w:rFonts w:ascii="Arial" w:cs="Arial" w:eastAsia="Arial" w:hAnsi="Arial"/>
                <w:sz w:val="14"/>
                <w:szCs w:val="14"/>
                <w:color w:val="auto"/>
              </w:rPr>
              <w:t>31.2</w:t>
            </w:r>
          </w:p>
        </w:tc>
        <w:tc>
          <w:tcPr>
            <w:tcW w:w="5340" w:type="dxa"/>
            <w:vAlign w:val="bottom"/>
            <w:gridSpan w:val="5"/>
          </w:tcPr>
          <w:p>
            <w:pPr>
              <w:spacing w:after="0"/>
              <w:rPr>
                <w:rFonts w:ascii="Arial" w:cs="Arial" w:eastAsia="Arial" w:hAnsi="Arial"/>
                <w:sz w:val="14"/>
                <w:szCs w:val="14"/>
                <w:color w:val="0000FF"/>
                <w:w w:val="97"/>
              </w:rPr>
            </w:pPr>
            <w:hyperlink w:anchor="page83">
              <w:r>
                <w:rPr>
                  <w:rFonts w:ascii="Arial" w:cs="Arial" w:eastAsia="Arial" w:hAnsi="Arial"/>
                  <w:sz w:val="14"/>
                  <w:szCs w:val="14"/>
                  <w:color w:val="0000FF"/>
                  <w:w w:val="97"/>
                </w:rPr>
                <w:t>Certification of Principal Financial Officer pursuant to Exchange Act Rules 13a-14(a) and</w:t>
              </w:r>
            </w:hyperlink>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5180" w:type="dxa"/>
            <w:vAlign w:val="bottom"/>
            <w:tcBorders>
              <w:top w:val="single" w:sz="8" w:color="0000FF"/>
            </w:tcBorders>
            <w:gridSpan w:val="4"/>
          </w:tcPr>
          <w:p>
            <w:pPr>
              <w:spacing w:after="0" w:line="129" w:lineRule="exact"/>
              <w:rPr>
                <w:rFonts w:ascii="Arial" w:cs="Arial" w:eastAsia="Arial" w:hAnsi="Arial"/>
                <w:sz w:val="14"/>
                <w:szCs w:val="14"/>
                <w:color w:val="0000FF"/>
              </w:rPr>
            </w:pPr>
            <w:hyperlink w:anchor="page83">
              <w:r>
                <w:rPr>
                  <w:rFonts w:ascii="Arial" w:cs="Arial" w:eastAsia="Arial" w:hAnsi="Arial"/>
                  <w:sz w:val="14"/>
                  <w:szCs w:val="14"/>
                  <w:color w:val="0000FF"/>
                </w:rPr>
                <w:t>15d-14(a), as adopted pursuant to Section 302 of the Sarbanes-Oxley Act of 2002.</w:t>
              </w:r>
            </w:hyperlink>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1" w:right="299" w:bottom="1440" w:gutter="0" w:footer="0" w:header="0"/>
        </w:sectPr>
      </w:pP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101.INS</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101.SCH</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101.CAL</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101.DEF</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101.LAB</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101.PRE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rFonts w:ascii="Arial" w:cs="Arial" w:eastAsia="Arial" w:hAnsi="Arial"/>
          <w:sz w:val="13"/>
          <w:szCs w:val="13"/>
          <w:u w:val="single" w:color="auto"/>
          <w:color w:val="0000FF"/>
        </w:rPr>
      </w:pPr>
      <w:hyperlink w:anchor="page84">
        <w:r>
          <w:rPr>
            <w:rFonts w:ascii="Arial" w:cs="Arial" w:eastAsia="Arial" w:hAnsi="Arial"/>
            <w:sz w:val="13"/>
            <w:szCs w:val="13"/>
            <w:u w:val="single" w:color="auto"/>
            <w:color w:val="0000FF"/>
          </w:rPr>
          <w:t>Certifications of Principal Executive Officer and Principal Financial Officer pursuant to</w:t>
        </w:r>
      </w:hyperlink>
    </w:p>
    <w:p>
      <w:pPr>
        <w:spacing w:after="0" w:line="11" w:lineRule="exact"/>
        <w:rPr>
          <w:sz w:val="20"/>
          <w:szCs w:val="20"/>
          <w:color w:val="auto"/>
        </w:rPr>
      </w:pPr>
    </w:p>
    <w:p>
      <w:pPr>
        <w:spacing w:after="0"/>
        <w:rPr>
          <w:rFonts w:ascii="Arial" w:cs="Arial" w:eastAsia="Arial" w:hAnsi="Arial"/>
          <w:sz w:val="12"/>
          <w:szCs w:val="12"/>
          <w:u w:val="single" w:color="auto"/>
          <w:color w:val="0000FF"/>
        </w:rPr>
      </w:pPr>
      <w:hyperlink w:anchor="page84">
        <w:r>
          <w:rPr>
            <w:rFonts w:ascii="Arial" w:cs="Arial" w:eastAsia="Arial" w:hAnsi="Arial"/>
            <w:sz w:val="12"/>
            <w:szCs w:val="12"/>
            <w:u w:val="single" w:color="auto"/>
            <w:color w:val="0000FF"/>
          </w:rPr>
          <w:t>18 U.S.C. Section 1350 as adopted pursuant to Section 906 of the Sarbanes-Oxley Act of</w:t>
        </w:r>
      </w:hyperlink>
    </w:p>
    <w:p>
      <w:pPr>
        <w:spacing w:after="0" w:line="11" w:lineRule="exact"/>
        <w:rPr>
          <w:sz w:val="20"/>
          <w:szCs w:val="20"/>
          <w:color w:val="auto"/>
        </w:rPr>
      </w:pPr>
    </w:p>
    <w:p>
      <w:pPr>
        <w:spacing w:after="0"/>
        <w:rPr>
          <w:rFonts w:ascii="Arial" w:cs="Arial" w:eastAsia="Arial" w:hAnsi="Arial"/>
          <w:sz w:val="14"/>
          <w:szCs w:val="14"/>
          <w:u w:val="single" w:color="auto"/>
          <w:color w:val="0000FF"/>
        </w:rPr>
      </w:pPr>
      <w:hyperlink w:anchor="page84">
        <w:r>
          <w:rPr>
            <w:rFonts w:ascii="Arial" w:cs="Arial" w:eastAsia="Arial" w:hAnsi="Arial"/>
            <w:sz w:val="14"/>
            <w:szCs w:val="14"/>
            <w:u w:val="single" w:color="auto"/>
            <w:color w:val="0000FF"/>
          </w:rPr>
          <w:t>2002.</w:t>
        </w:r>
      </w:hyperlink>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XBRL Instance Document.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Schema Document.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Calculation Linkbase Document.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Definition Linkbase Document.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Label Linkbase Document.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Presentation Linkbase Document.</w:t>
      </w:r>
    </w:p>
    <w:p>
      <w:pPr>
        <w:spacing w:after="0" w:line="177" w:lineRule="exact"/>
        <w:rPr>
          <w:sz w:val="20"/>
          <w:szCs w:val="20"/>
          <w:color w:val="auto"/>
        </w:rPr>
      </w:pPr>
    </w:p>
    <w:p>
      <w:pPr>
        <w:sectPr>
          <w:pgSz w:w="11900" w:h="16838" w:orient="portrait"/>
          <w:cols w:equalWidth="0" w:num="2">
            <w:col w:w="580" w:space="500"/>
            <w:col w:w="10280"/>
          </w:cols>
          <w:pgMar w:left="240" w:top="121" w:right="299" w:bottom="1440" w:gutter="0" w:footer="0" w:header="0"/>
          <w:type w:val="continuous"/>
        </w:sectPr>
      </w:pPr>
    </w:p>
    <w:p>
      <w:pPr>
        <w:ind w:firstLine="8"/>
        <w:spacing w:after="0" w:line="257" w:lineRule="auto"/>
        <w:tabs>
          <w:tab w:leader="none" w:pos="108"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121" w:right="29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660" w:type="dxa"/>
            <w:vAlign w:val="bottom"/>
            <w:gridSpan w:val="2"/>
          </w:tcPr>
          <w:p>
            <w:pPr>
              <w:ind w:left="40"/>
              <w:spacing w:after="0"/>
              <w:rPr>
                <w:sz w:val="20"/>
                <w:szCs w:val="20"/>
                <w:color w:val="auto"/>
              </w:rPr>
            </w:pPr>
            <w:r>
              <w:rPr>
                <w:rFonts w:ascii="Arial" w:cs="Arial" w:eastAsia="Arial" w:hAnsi="Arial"/>
                <w:sz w:val="18"/>
                <w:szCs w:val="18"/>
                <w:b w:val="1"/>
                <w:bCs w:val="1"/>
                <w:color w:val="auto"/>
              </w:rPr>
              <w:t>DROPBOX, INC.</w:t>
            </w:r>
          </w:p>
        </w:tc>
      </w:tr>
      <w:tr>
        <w:trPr>
          <w:trHeight w:val="594"/>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1680" w:type="dxa"/>
            <w:vAlign w:val="bottom"/>
          </w:tcPr>
          <w:p>
            <w:pPr>
              <w:ind w:left="660"/>
              <w:spacing w:after="0"/>
              <w:rPr>
                <w:sz w:val="20"/>
                <w:szCs w:val="20"/>
                <w:color w:val="auto"/>
              </w:rPr>
            </w:pPr>
            <w:r>
              <w:rPr>
                <w:rFonts w:ascii="Arial" w:cs="Arial" w:eastAsia="Arial" w:hAnsi="Arial"/>
                <w:sz w:val="18"/>
                <w:szCs w:val="18"/>
                <w:color w:val="auto"/>
                <w:w w:val="91"/>
              </w:rPr>
              <w:t>May 10, 2019</w:t>
            </w:r>
          </w:p>
        </w:tc>
        <w:tc>
          <w:tcPr>
            <w:tcW w:w="1020" w:type="dxa"/>
            <w:vAlign w:val="bottom"/>
          </w:tcPr>
          <w:p>
            <w:pPr>
              <w:ind w:left="4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Andrew W. Houston</w:t>
            </w:r>
          </w:p>
        </w:tc>
      </w:tr>
      <w:tr>
        <w:trPr>
          <w:trHeight w:val="27"/>
        </w:trPr>
        <w:tc>
          <w:tcPr>
            <w:tcW w:w="10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Andrew W. Houston</w:t>
            </w:r>
          </w:p>
        </w:tc>
      </w:tr>
      <w:tr>
        <w:trPr>
          <w:trHeight w:val="270"/>
        </w:trPr>
        <w:tc>
          <w:tcPr>
            <w:tcW w:w="10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10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621"/>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1680" w:type="dxa"/>
            <w:vAlign w:val="bottom"/>
          </w:tcPr>
          <w:p>
            <w:pPr>
              <w:ind w:left="660"/>
              <w:spacing w:after="0"/>
              <w:rPr>
                <w:sz w:val="20"/>
                <w:szCs w:val="20"/>
                <w:color w:val="auto"/>
              </w:rPr>
            </w:pPr>
            <w:r>
              <w:rPr>
                <w:rFonts w:ascii="Arial" w:cs="Arial" w:eastAsia="Arial" w:hAnsi="Arial"/>
                <w:sz w:val="18"/>
                <w:szCs w:val="18"/>
                <w:color w:val="auto"/>
                <w:w w:val="91"/>
              </w:rPr>
              <w:t>May 10, 2019</w:t>
            </w:r>
          </w:p>
        </w:tc>
        <w:tc>
          <w:tcPr>
            <w:tcW w:w="1020" w:type="dxa"/>
            <w:vAlign w:val="bottom"/>
          </w:tcPr>
          <w:p>
            <w:pPr>
              <w:ind w:left="4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Ajay V. Vashee</w:t>
            </w:r>
          </w:p>
        </w:tc>
      </w:tr>
      <w:tr>
        <w:trPr>
          <w:trHeight w:val="27"/>
        </w:trPr>
        <w:tc>
          <w:tcPr>
            <w:tcW w:w="10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Ajay V. Vashee</w:t>
            </w:r>
          </w:p>
        </w:tc>
      </w:tr>
      <w:tr>
        <w:trPr>
          <w:trHeight w:val="270"/>
        </w:trPr>
        <w:tc>
          <w:tcPr>
            <w:tcW w:w="10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10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r>
        <w:trPr>
          <w:trHeight w:val="621"/>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1680" w:type="dxa"/>
            <w:vAlign w:val="bottom"/>
          </w:tcPr>
          <w:p>
            <w:pPr>
              <w:ind w:left="660"/>
              <w:spacing w:after="0"/>
              <w:rPr>
                <w:sz w:val="20"/>
                <w:szCs w:val="20"/>
                <w:color w:val="auto"/>
              </w:rPr>
            </w:pPr>
            <w:r>
              <w:rPr>
                <w:rFonts w:ascii="Arial" w:cs="Arial" w:eastAsia="Arial" w:hAnsi="Arial"/>
                <w:sz w:val="18"/>
                <w:szCs w:val="18"/>
                <w:color w:val="auto"/>
                <w:w w:val="91"/>
              </w:rPr>
              <w:t>May 10, 2019</w:t>
            </w:r>
          </w:p>
        </w:tc>
        <w:tc>
          <w:tcPr>
            <w:tcW w:w="1020" w:type="dxa"/>
            <w:vAlign w:val="bottom"/>
          </w:tcPr>
          <w:p>
            <w:pPr>
              <w:ind w:left="4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Timothy J. Regan</w:t>
            </w:r>
          </w:p>
        </w:tc>
      </w:tr>
      <w:tr>
        <w:trPr>
          <w:trHeight w:val="27"/>
        </w:trPr>
        <w:tc>
          <w:tcPr>
            <w:tcW w:w="10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Timothy J. Regan</w:t>
            </w:r>
          </w:p>
        </w:tc>
      </w:tr>
      <w:tr>
        <w:trPr>
          <w:trHeight w:val="270"/>
        </w:trPr>
        <w:tc>
          <w:tcPr>
            <w:tcW w:w="10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270"/>
        </w:trPr>
        <w:tc>
          <w:tcPr>
            <w:tcW w:w="10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i w:val="1"/>
                <w:iCs w:val="1"/>
                <w:color w:val="auto"/>
              </w:rPr>
              <w:t>(Principal Accounting Officer)</w:t>
            </w:r>
          </w:p>
        </w:tc>
      </w:tr>
      <w:tr>
        <w:trPr>
          <w:trHeight w:val="702"/>
        </w:trPr>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40" w:type="dxa"/>
            <w:vAlign w:val="bottom"/>
          </w:tcPr>
          <w:p>
            <w:pPr>
              <w:ind w:left="1840"/>
              <w:spacing w:after="0"/>
              <w:rPr>
                <w:sz w:val="20"/>
                <w:szCs w:val="20"/>
                <w:color w:val="auto"/>
              </w:rPr>
            </w:pPr>
            <w:r>
              <w:rPr>
                <w:rFonts w:ascii="Arial" w:cs="Arial" w:eastAsia="Arial" w:hAnsi="Arial"/>
                <w:sz w:val="18"/>
                <w:szCs w:val="18"/>
                <w:color w:val="auto"/>
              </w:rPr>
              <w:t>81</w:t>
            </w:r>
          </w:p>
        </w:tc>
      </w:tr>
    </w:tbl>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W. Houston,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Dropbox,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2019</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DROPBOX, INC.</w:t>
      </w:r>
    </w:p>
    <w:p>
      <w:pPr>
        <w:spacing w:after="0" w:line="360"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ind w:left="20"/>
              <w:spacing w:after="0"/>
              <w:rPr>
                <w:sz w:val="20"/>
                <w:szCs w:val="20"/>
                <w:color w:val="auto"/>
              </w:rPr>
            </w:pPr>
            <w:r>
              <w:rPr>
                <w:rFonts w:ascii="Arial" w:cs="Arial" w:eastAsia="Arial" w:hAnsi="Arial"/>
                <w:sz w:val="18"/>
                <w:szCs w:val="18"/>
                <w:color w:val="auto"/>
              </w:rPr>
              <w:t>/s/ Andrew W. Houston</w:t>
            </w:r>
          </w:p>
        </w:tc>
      </w:tr>
      <w:tr>
        <w:trPr>
          <w:trHeight w:val="27"/>
        </w:trPr>
        <w:tc>
          <w:tcPr>
            <w:tcW w:w="70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Andrew W. Houston</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7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Ajay V. Vashee, certify that:</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Dropbox,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2019</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DROPBOX, INC.</w:t>
      </w:r>
    </w:p>
    <w:p>
      <w:pPr>
        <w:spacing w:after="0" w:line="360"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ind w:left="20"/>
              <w:spacing w:after="0"/>
              <w:rPr>
                <w:sz w:val="20"/>
                <w:szCs w:val="20"/>
                <w:color w:val="auto"/>
              </w:rPr>
            </w:pPr>
            <w:r>
              <w:rPr>
                <w:rFonts w:ascii="Arial" w:cs="Arial" w:eastAsia="Arial" w:hAnsi="Arial"/>
                <w:sz w:val="18"/>
                <w:szCs w:val="18"/>
                <w:color w:val="auto"/>
              </w:rPr>
              <w:t>/s/ Ajay V. Vashee</w:t>
            </w:r>
          </w:p>
        </w:tc>
      </w:tr>
      <w:tr>
        <w:trPr>
          <w:trHeight w:val="27"/>
        </w:trPr>
        <w:tc>
          <w:tcPr>
            <w:tcW w:w="70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Ajay V. Vashee</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20"/>
          <w:szCs w:val="20"/>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 OF PRINCIPAL EXECUTIVE OFFICER AND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w:t>
      </w:r>
    </w:p>
    <w:p>
      <w:pPr>
        <w:jc w:val="center"/>
        <w:spacing w:after="0"/>
        <w:rPr>
          <w:sz w:val="20"/>
          <w:szCs w:val="20"/>
          <w:color w:val="auto"/>
        </w:rPr>
      </w:pPr>
      <w:r>
        <w:rPr>
          <w:rFonts w:ascii="Arial" w:cs="Arial" w:eastAsia="Arial" w:hAnsi="Arial"/>
          <w:sz w:val="20"/>
          <w:szCs w:val="20"/>
          <w:b w:val="1"/>
          <w:bCs w:val="1"/>
          <w:color w:val="auto"/>
        </w:rPr>
        <w:t>18 U.S.C. SECTION 1350,</w:t>
      </w: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 Andrew W. Houston, certify, pursuant to 18 U.S.C. Section 1350, as adopted pursuant to Section 906 of the Sarbanes-Oxley Act of 2002, that the Quarterly Report on Form 10-Q of Dropbox, Inc. for the fiscal quarter ended March 31, 2019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16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20"/>
                <w:szCs w:val="20"/>
                <w:color w:val="auto"/>
              </w:rPr>
              <w:t>Date:</w:t>
            </w:r>
          </w:p>
        </w:tc>
        <w:tc>
          <w:tcPr>
            <w:tcW w:w="49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May 10, 2019</w:t>
            </w:r>
          </w:p>
        </w:tc>
        <w:tc>
          <w:tcPr>
            <w:tcW w:w="9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By:</w:t>
            </w:r>
          </w:p>
        </w:tc>
        <w:tc>
          <w:tcPr>
            <w:tcW w:w="4440" w:type="dxa"/>
            <w:vAlign w:val="bottom"/>
            <w:tcBorders>
              <w:bottom w:val="single" w:sz="8" w:color="auto"/>
            </w:tcBorders>
            <w:shd w:val="clear" w:color="auto" w:fill="FEFEFE"/>
          </w:tcPr>
          <w:p>
            <w:pPr>
              <w:ind w:left="20"/>
              <w:spacing w:after="0"/>
              <w:rPr>
                <w:sz w:val="20"/>
                <w:szCs w:val="20"/>
                <w:color w:val="auto"/>
              </w:rPr>
            </w:pPr>
            <w:r>
              <w:rPr>
                <w:rFonts w:ascii="Arial" w:cs="Arial" w:eastAsia="Arial" w:hAnsi="Arial"/>
                <w:sz w:val="20"/>
                <w:szCs w:val="20"/>
                <w:color w:val="auto"/>
              </w:rPr>
              <w:t>/s/ Andrew W. Houston</w:t>
            </w:r>
          </w:p>
        </w:tc>
      </w:tr>
      <w:tr>
        <w:trPr>
          <w:trHeight w:val="261"/>
        </w:trPr>
        <w:tc>
          <w:tcPr>
            <w:tcW w:w="1160" w:type="dxa"/>
            <w:vAlign w:val="bottom"/>
            <w:shd w:val="clear" w:color="auto" w:fill="FEFEFE"/>
          </w:tcPr>
          <w:p>
            <w:pPr>
              <w:spacing w:after="0"/>
              <w:rPr>
                <w:sz w:val="22"/>
                <w:szCs w:val="22"/>
                <w:color w:val="auto"/>
              </w:rPr>
            </w:pPr>
          </w:p>
        </w:tc>
        <w:tc>
          <w:tcPr>
            <w:tcW w:w="4920" w:type="dxa"/>
            <w:vAlign w:val="bottom"/>
            <w:shd w:val="clear" w:color="auto" w:fill="FEFEFE"/>
          </w:tcPr>
          <w:p>
            <w:pPr>
              <w:spacing w:after="0"/>
              <w:rPr>
                <w:sz w:val="22"/>
                <w:szCs w:val="22"/>
                <w:color w:val="auto"/>
              </w:rPr>
            </w:pPr>
          </w:p>
        </w:tc>
        <w:tc>
          <w:tcPr>
            <w:tcW w:w="900" w:type="dxa"/>
            <w:vAlign w:val="bottom"/>
            <w:shd w:val="clear" w:color="auto" w:fill="FEFEFE"/>
          </w:tcPr>
          <w:p>
            <w:pPr>
              <w:ind w:left="20"/>
              <w:spacing w:after="0"/>
              <w:rPr>
                <w:sz w:val="20"/>
                <w:szCs w:val="20"/>
                <w:color w:val="auto"/>
              </w:rPr>
            </w:pPr>
            <w:r>
              <w:rPr>
                <w:rFonts w:ascii="Arial" w:cs="Arial" w:eastAsia="Arial" w:hAnsi="Arial"/>
                <w:sz w:val="20"/>
                <w:szCs w:val="20"/>
                <w:color w:val="auto"/>
              </w:rPr>
              <w:t>Name:</w:t>
            </w: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Andrew W. Houston</w:t>
            </w:r>
          </w:p>
        </w:tc>
      </w:tr>
      <w:tr>
        <w:trPr>
          <w:trHeight w:val="270"/>
        </w:trPr>
        <w:tc>
          <w:tcPr>
            <w:tcW w:w="1160" w:type="dxa"/>
            <w:vAlign w:val="bottom"/>
            <w:shd w:val="clear" w:color="auto" w:fill="FEFEFE"/>
          </w:tcPr>
          <w:p>
            <w:pPr>
              <w:spacing w:after="0"/>
              <w:rPr>
                <w:sz w:val="23"/>
                <w:szCs w:val="23"/>
                <w:color w:val="auto"/>
              </w:rPr>
            </w:pPr>
          </w:p>
        </w:tc>
        <w:tc>
          <w:tcPr>
            <w:tcW w:w="4920" w:type="dxa"/>
            <w:vAlign w:val="bottom"/>
            <w:shd w:val="clear" w:color="auto" w:fill="FEFEFE"/>
          </w:tcPr>
          <w:p>
            <w:pPr>
              <w:spacing w:after="0"/>
              <w:rPr>
                <w:sz w:val="23"/>
                <w:szCs w:val="23"/>
                <w:color w:val="auto"/>
              </w:rPr>
            </w:pPr>
          </w:p>
        </w:tc>
        <w:tc>
          <w:tcPr>
            <w:tcW w:w="900" w:type="dxa"/>
            <w:vAlign w:val="bottom"/>
            <w:shd w:val="clear" w:color="auto" w:fill="FEFEFE"/>
          </w:tcPr>
          <w:p>
            <w:pPr>
              <w:ind w:left="20"/>
              <w:spacing w:after="0"/>
              <w:rPr>
                <w:sz w:val="20"/>
                <w:szCs w:val="20"/>
                <w:color w:val="auto"/>
              </w:rPr>
            </w:pPr>
            <w:r>
              <w:rPr>
                <w:rFonts w:ascii="Arial" w:cs="Arial" w:eastAsia="Arial" w:hAnsi="Arial"/>
                <w:sz w:val="20"/>
                <w:szCs w:val="20"/>
                <w:color w:val="auto"/>
              </w:rPr>
              <w:t>Title:</w:t>
            </w: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Chief Executive Officer</w:t>
            </w:r>
          </w:p>
        </w:tc>
      </w:tr>
      <w:tr>
        <w:trPr>
          <w:trHeight w:val="297"/>
        </w:trPr>
        <w:tc>
          <w:tcPr>
            <w:tcW w:w="1160" w:type="dxa"/>
            <w:vAlign w:val="bottom"/>
            <w:shd w:val="clear" w:color="auto" w:fill="FEFEFE"/>
          </w:tcPr>
          <w:p>
            <w:pPr>
              <w:spacing w:after="0"/>
              <w:rPr>
                <w:sz w:val="24"/>
                <w:szCs w:val="24"/>
                <w:color w:val="auto"/>
              </w:rPr>
            </w:pPr>
          </w:p>
        </w:tc>
        <w:tc>
          <w:tcPr>
            <w:tcW w:w="4920" w:type="dxa"/>
            <w:vAlign w:val="bottom"/>
            <w:shd w:val="clear" w:color="auto" w:fill="FEFEFE"/>
          </w:tcPr>
          <w:p>
            <w:pPr>
              <w:spacing w:after="0"/>
              <w:rPr>
                <w:sz w:val="24"/>
                <w:szCs w:val="24"/>
                <w:color w:val="auto"/>
              </w:rPr>
            </w:pPr>
          </w:p>
        </w:tc>
        <w:tc>
          <w:tcPr>
            <w:tcW w:w="900" w:type="dxa"/>
            <w:vAlign w:val="bottom"/>
            <w:shd w:val="clear" w:color="auto" w:fill="FEFEFE"/>
          </w:tcPr>
          <w:p>
            <w:pPr>
              <w:spacing w:after="0"/>
              <w:rPr>
                <w:sz w:val="24"/>
                <w:szCs w:val="24"/>
                <w:color w:val="auto"/>
              </w:rPr>
            </w:pP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(Principal Executive Officer)</w:t>
            </w:r>
          </w:p>
        </w:tc>
      </w:tr>
      <w:tr>
        <w:trPr>
          <w:trHeight w:val="266"/>
        </w:trPr>
        <w:tc>
          <w:tcPr>
            <w:tcW w:w="1160" w:type="dxa"/>
            <w:vAlign w:val="bottom"/>
            <w:shd w:val="clear" w:color="auto" w:fill="FEFEFE"/>
          </w:tcPr>
          <w:p>
            <w:pPr>
              <w:spacing w:after="0"/>
              <w:rPr>
                <w:sz w:val="23"/>
                <w:szCs w:val="23"/>
                <w:color w:val="auto"/>
              </w:rPr>
            </w:pPr>
          </w:p>
        </w:tc>
        <w:tc>
          <w:tcPr>
            <w:tcW w:w="4920" w:type="dxa"/>
            <w:vAlign w:val="bottom"/>
            <w:shd w:val="clear" w:color="auto" w:fill="FEFEFE"/>
          </w:tcPr>
          <w:p>
            <w:pPr>
              <w:spacing w:after="0"/>
              <w:rPr>
                <w:sz w:val="23"/>
                <w:szCs w:val="23"/>
                <w:color w:val="auto"/>
              </w:rPr>
            </w:pPr>
          </w:p>
        </w:tc>
        <w:tc>
          <w:tcPr>
            <w:tcW w:w="900" w:type="dxa"/>
            <w:vAlign w:val="bottom"/>
            <w:shd w:val="clear" w:color="auto" w:fill="FEFEFE"/>
          </w:tcPr>
          <w:p>
            <w:pPr>
              <w:spacing w:after="0"/>
              <w:rPr>
                <w:sz w:val="23"/>
                <w:szCs w:val="23"/>
                <w:color w:val="auto"/>
              </w:rPr>
            </w:pPr>
          </w:p>
        </w:tc>
        <w:tc>
          <w:tcPr>
            <w:tcW w:w="4440" w:type="dxa"/>
            <w:vAlign w:val="bottom"/>
            <w:shd w:val="clear" w:color="auto" w:fill="FEFEFE"/>
          </w:tcPr>
          <w:p>
            <w:pPr>
              <w:spacing w:after="0"/>
              <w:rPr>
                <w:sz w:val="23"/>
                <w:szCs w:val="23"/>
                <w:color w:val="auto"/>
              </w:rPr>
            </w:pPr>
          </w:p>
        </w:tc>
      </w:tr>
    </w:tbl>
    <w:p>
      <w:pPr>
        <w:spacing w:after="0" w:line="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 Ajay V. Vashee, certify, pursuant to 18 U.S.C. Section 1350, as adopted pursuant to Section 906 of the Sarbanes-Oxley Act of 2002, that the Quarterly Report on Form 10-Q of Dropbox, Inc. for the fiscal quarter ended March 31, 2019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16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20"/>
                <w:szCs w:val="20"/>
                <w:color w:val="auto"/>
              </w:rPr>
              <w:t>Date:</w:t>
            </w:r>
          </w:p>
        </w:tc>
        <w:tc>
          <w:tcPr>
            <w:tcW w:w="49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May 10, 2019</w:t>
            </w:r>
          </w:p>
        </w:tc>
        <w:tc>
          <w:tcPr>
            <w:tcW w:w="9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By:</w:t>
            </w:r>
          </w:p>
        </w:tc>
        <w:tc>
          <w:tcPr>
            <w:tcW w:w="4440" w:type="dxa"/>
            <w:vAlign w:val="bottom"/>
            <w:tcBorders>
              <w:bottom w:val="single" w:sz="8" w:color="auto"/>
            </w:tcBorders>
            <w:shd w:val="clear" w:color="auto" w:fill="FEFEFE"/>
          </w:tcPr>
          <w:p>
            <w:pPr>
              <w:ind w:left="20"/>
              <w:spacing w:after="0"/>
              <w:rPr>
                <w:sz w:val="20"/>
                <w:szCs w:val="20"/>
                <w:color w:val="auto"/>
              </w:rPr>
            </w:pPr>
            <w:r>
              <w:rPr>
                <w:rFonts w:ascii="Arial" w:cs="Arial" w:eastAsia="Arial" w:hAnsi="Arial"/>
                <w:sz w:val="20"/>
                <w:szCs w:val="20"/>
                <w:color w:val="auto"/>
              </w:rPr>
              <w:t>/s/ Ajay V. Vashee</w:t>
            </w:r>
          </w:p>
        </w:tc>
      </w:tr>
      <w:tr>
        <w:trPr>
          <w:trHeight w:val="250"/>
        </w:trPr>
        <w:tc>
          <w:tcPr>
            <w:tcW w:w="1160" w:type="dxa"/>
            <w:vAlign w:val="bottom"/>
            <w:shd w:val="clear" w:color="auto" w:fill="FEFEFE"/>
          </w:tcPr>
          <w:p>
            <w:pPr>
              <w:spacing w:after="0"/>
              <w:rPr>
                <w:sz w:val="21"/>
                <w:szCs w:val="21"/>
                <w:color w:val="auto"/>
              </w:rPr>
            </w:pPr>
          </w:p>
        </w:tc>
        <w:tc>
          <w:tcPr>
            <w:tcW w:w="4920" w:type="dxa"/>
            <w:vAlign w:val="bottom"/>
            <w:shd w:val="clear" w:color="auto" w:fill="FEFEFE"/>
          </w:tcPr>
          <w:p>
            <w:pPr>
              <w:spacing w:after="0"/>
              <w:rPr>
                <w:sz w:val="21"/>
                <w:szCs w:val="21"/>
                <w:color w:val="auto"/>
              </w:rPr>
            </w:pPr>
          </w:p>
        </w:tc>
        <w:tc>
          <w:tcPr>
            <w:tcW w:w="900" w:type="dxa"/>
            <w:vAlign w:val="bottom"/>
            <w:shd w:val="clear" w:color="auto" w:fill="FEFEFE"/>
          </w:tcPr>
          <w:p>
            <w:pPr>
              <w:ind w:left="20"/>
              <w:spacing w:after="0"/>
              <w:rPr>
                <w:sz w:val="20"/>
                <w:szCs w:val="20"/>
                <w:color w:val="auto"/>
              </w:rPr>
            </w:pPr>
            <w:r>
              <w:rPr>
                <w:rFonts w:ascii="Arial" w:cs="Arial" w:eastAsia="Arial" w:hAnsi="Arial"/>
                <w:sz w:val="20"/>
                <w:szCs w:val="20"/>
                <w:color w:val="auto"/>
              </w:rPr>
              <w:t>Name:</w:t>
            </w: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Ajay V. Vashee</w:t>
            </w:r>
          </w:p>
        </w:tc>
      </w:tr>
      <w:tr>
        <w:trPr>
          <w:trHeight w:val="267"/>
        </w:trPr>
        <w:tc>
          <w:tcPr>
            <w:tcW w:w="1160" w:type="dxa"/>
            <w:vAlign w:val="bottom"/>
            <w:shd w:val="clear" w:color="auto" w:fill="FEFEFE"/>
          </w:tcPr>
          <w:p>
            <w:pPr>
              <w:spacing w:after="0"/>
              <w:rPr>
                <w:sz w:val="23"/>
                <w:szCs w:val="23"/>
                <w:color w:val="auto"/>
              </w:rPr>
            </w:pPr>
          </w:p>
        </w:tc>
        <w:tc>
          <w:tcPr>
            <w:tcW w:w="4920" w:type="dxa"/>
            <w:vAlign w:val="bottom"/>
            <w:shd w:val="clear" w:color="auto" w:fill="FEFEFE"/>
          </w:tcPr>
          <w:p>
            <w:pPr>
              <w:spacing w:after="0"/>
              <w:rPr>
                <w:sz w:val="23"/>
                <w:szCs w:val="23"/>
                <w:color w:val="auto"/>
              </w:rPr>
            </w:pPr>
          </w:p>
        </w:tc>
        <w:tc>
          <w:tcPr>
            <w:tcW w:w="900" w:type="dxa"/>
            <w:vAlign w:val="bottom"/>
            <w:shd w:val="clear" w:color="auto" w:fill="FEFEFE"/>
          </w:tcPr>
          <w:p>
            <w:pPr>
              <w:ind w:left="20"/>
              <w:spacing w:after="0"/>
              <w:rPr>
                <w:sz w:val="20"/>
                <w:szCs w:val="20"/>
                <w:color w:val="auto"/>
              </w:rPr>
            </w:pPr>
            <w:r>
              <w:rPr>
                <w:rFonts w:ascii="Arial" w:cs="Arial" w:eastAsia="Arial" w:hAnsi="Arial"/>
                <w:sz w:val="20"/>
                <w:szCs w:val="20"/>
                <w:color w:val="auto"/>
              </w:rPr>
              <w:t>Title:</w:t>
            </w: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Chief Financial Officer</w:t>
            </w:r>
          </w:p>
        </w:tc>
      </w:tr>
      <w:tr>
        <w:trPr>
          <w:trHeight w:val="270"/>
        </w:trPr>
        <w:tc>
          <w:tcPr>
            <w:tcW w:w="1160" w:type="dxa"/>
            <w:vAlign w:val="bottom"/>
            <w:shd w:val="clear" w:color="auto" w:fill="FEFEFE"/>
          </w:tcPr>
          <w:p>
            <w:pPr>
              <w:spacing w:after="0"/>
              <w:rPr>
                <w:sz w:val="23"/>
                <w:szCs w:val="23"/>
                <w:color w:val="auto"/>
              </w:rPr>
            </w:pPr>
          </w:p>
        </w:tc>
        <w:tc>
          <w:tcPr>
            <w:tcW w:w="4920" w:type="dxa"/>
            <w:vAlign w:val="bottom"/>
            <w:shd w:val="clear" w:color="auto" w:fill="FEFEFE"/>
          </w:tcPr>
          <w:p>
            <w:pPr>
              <w:spacing w:after="0"/>
              <w:rPr>
                <w:sz w:val="23"/>
                <w:szCs w:val="23"/>
                <w:color w:val="auto"/>
              </w:rPr>
            </w:pPr>
          </w:p>
        </w:tc>
        <w:tc>
          <w:tcPr>
            <w:tcW w:w="900" w:type="dxa"/>
            <w:vAlign w:val="bottom"/>
            <w:shd w:val="clear" w:color="auto" w:fill="FEFEFE"/>
          </w:tcPr>
          <w:p>
            <w:pPr>
              <w:spacing w:after="0"/>
              <w:rPr>
                <w:sz w:val="23"/>
                <w:szCs w:val="23"/>
                <w:color w:val="auto"/>
              </w:rPr>
            </w:pP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(Principal Financial Officer)</w:t>
            </w:r>
          </w:p>
        </w:tc>
      </w:tr>
      <w:tr>
        <w:trPr>
          <w:trHeight w:val="23"/>
        </w:trPr>
        <w:tc>
          <w:tcPr>
            <w:tcW w:w="1160" w:type="dxa"/>
            <w:vAlign w:val="bottom"/>
            <w:shd w:val="clear" w:color="auto" w:fill="FEFEFE"/>
          </w:tcPr>
          <w:p>
            <w:pPr>
              <w:spacing w:after="0"/>
              <w:rPr>
                <w:sz w:val="2"/>
                <w:szCs w:val="2"/>
                <w:color w:val="auto"/>
              </w:rPr>
            </w:pPr>
          </w:p>
        </w:tc>
        <w:tc>
          <w:tcPr>
            <w:tcW w:w="4920" w:type="dxa"/>
            <w:vAlign w:val="bottom"/>
            <w:shd w:val="clear" w:color="auto" w:fill="FEFEFE"/>
          </w:tcPr>
          <w:p>
            <w:pPr>
              <w:spacing w:after="0"/>
              <w:rPr>
                <w:sz w:val="2"/>
                <w:szCs w:val="2"/>
                <w:color w:val="auto"/>
              </w:rPr>
            </w:pPr>
          </w:p>
        </w:tc>
        <w:tc>
          <w:tcPr>
            <w:tcW w:w="900" w:type="dxa"/>
            <w:vAlign w:val="bottom"/>
            <w:shd w:val="clear" w:color="auto" w:fill="FEFEFE"/>
          </w:tcPr>
          <w:p>
            <w:pPr>
              <w:spacing w:after="0"/>
              <w:rPr>
                <w:sz w:val="2"/>
                <w:szCs w:val="2"/>
                <w:color w:val="auto"/>
              </w:rPr>
            </w:pPr>
          </w:p>
        </w:tc>
        <w:tc>
          <w:tcPr>
            <w:tcW w:w="4440" w:type="dxa"/>
            <w:vAlign w:val="bottom"/>
            <w:shd w:val="clear" w:color="auto" w:fill="FEFEFE"/>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420"/>
      </w:cols>
      <w:pgMar w:left="240" w:top="1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2"/>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2"/>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2019-12-28T12:21:16Z</dcterms:created>
  <dcterms:modified xsi:type="dcterms:W3CDTF">2019-12-28T12:21:16Z</dcterms:modified>
</cp:coreProperties>
</file>