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96"/>
                </w:rPr>
                <w:t>Ferdowsi Arash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DROPBOX,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DBX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OWENS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17.8529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04/01/2020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28,360,483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-3241675</wp:posOffset>
            </wp:positionV>
            <wp:extent cx="7034530" cy="3282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28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125,000 shares of Class B Common Stock were converted into 125,000 shares of Class A Common Stock at the election of the Reporting Person and had no expiration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8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$17.39 to $18.22.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Mary Anne Becking,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43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2020-04-03T18:10:41Z</dcterms:created>
  <dcterms:modified xsi:type="dcterms:W3CDTF">2020-04-03T18:10:41Z</dcterms:modified>
</cp:coreProperties>
</file>